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FC76E9" w:rsidRPr="00FB3656" w14:paraId="0FE0FEF4" w14:textId="77777777" w:rsidTr="00601C85">
        <w:trPr>
          <w:trHeight w:hRule="exact" w:val="1418"/>
        </w:trPr>
        <w:tc>
          <w:tcPr>
            <w:tcW w:w="6804" w:type="dxa"/>
            <w:shd w:val="clear" w:color="auto" w:fill="auto"/>
            <w:vAlign w:val="center"/>
          </w:tcPr>
          <w:p w14:paraId="2568E72C" w14:textId="77777777" w:rsidR="00FC76E9" w:rsidRPr="00FB3656" w:rsidRDefault="00FA7FF4" w:rsidP="00601C85">
            <w:pPr>
              <w:pStyle w:val="EPName"/>
            </w:pPr>
            <w:r w:rsidRPr="00FB3656">
              <w:t>Euroopan parlamentti</w:t>
            </w:r>
          </w:p>
          <w:p w14:paraId="44793F14" w14:textId="77777777" w:rsidR="00FC76E9" w:rsidRPr="00FB3656" w:rsidRDefault="00B22707" w:rsidP="00B22707">
            <w:pPr>
              <w:pStyle w:val="EPTerm"/>
              <w:rPr>
                <w:rStyle w:val="HideTWBExt"/>
                <w:noProof w:val="0"/>
                <w:vanish w:val="0"/>
                <w:color w:val="auto"/>
              </w:rPr>
            </w:pPr>
            <w:r w:rsidRPr="00FB3656">
              <w:t>2019-2024</w:t>
            </w:r>
          </w:p>
        </w:tc>
        <w:tc>
          <w:tcPr>
            <w:tcW w:w="2268" w:type="dxa"/>
            <w:shd w:val="clear" w:color="auto" w:fill="auto"/>
          </w:tcPr>
          <w:p w14:paraId="7A75AFAA" w14:textId="77777777" w:rsidR="00FC76E9" w:rsidRPr="00FB3656" w:rsidRDefault="00BE4D12" w:rsidP="00601C85">
            <w:pPr>
              <w:pStyle w:val="EPLogo"/>
            </w:pPr>
            <w:r w:rsidRPr="00FB3656">
              <w:rPr>
                <w:noProof/>
                <w:lang w:val="en-GB"/>
              </w:rPr>
              <w:drawing>
                <wp:inline distT="0" distB="0" distL="0" distR="0" wp14:anchorId="75038EB1" wp14:editId="248602A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A18339" w14:textId="77777777" w:rsidR="000C7B89" w:rsidRPr="00FB3656" w:rsidRDefault="000C7B89" w:rsidP="000C7B89">
      <w:pPr>
        <w:pStyle w:val="LineTop"/>
      </w:pPr>
    </w:p>
    <w:p w14:paraId="6033FE77" w14:textId="77777777" w:rsidR="000C7B89" w:rsidRPr="00FB3656" w:rsidRDefault="00B22707" w:rsidP="000C7B89">
      <w:pPr>
        <w:pStyle w:val="EPBody"/>
      </w:pPr>
      <w:r w:rsidRPr="00FB3656">
        <w:t>Istuntoasiakirja</w:t>
      </w:r>
    </w:p>
    <w:p w14:paraId="45B6167D" w14:textId="77777777" w:rsidR="00D44E5E" w:rsidRPr="00FB3656" w:rsidRDefault="00D44E5E" w:rsidP="00D44E5E">
      <w:pPr>
        <w:pStyle w:val="LineBottom"/>
      </w:pPr>
    </w:p>
    <w:p w14:paraId="75898B87" w14:textId="77777777" w:rsidR="00D44E5E" w:rsidRPr="00FB3656" w:rsidRDefault="00D44E5E" w:rsidP="00D44E5E">
      <w:pPr>
        <w:pStyle w:val="CoverReference"/>
      </w:pPr>
      <w:r w:rsidRPr="00FB3656">
        <w:rPr>
          <w:rStyle w:val="HideTWBExt"/>
          <w:b w:val="0"/>
          <w:noProof w:val="0"/>
        </w:rPr>
        <w:t>&lt;NoDocSe&gt;</w:t>
      </w:r>
      <w:r w:rsidRPr="00FB3656">
        <w:t>B9</w:t>
      </w:r>
      <w:r w:rsidRPr="00FB3656">
        <w:noBreakHyphen/>
        <w:t>0230/2019</w:t>
      </w:r>
      <w:r w:rsidRPr="00FB3656">
        <w:rPr>
          <w:rStyle w:val="HideTWBExt"/>
          <w:b w:val="0"/>
          <w:noProof w:val="0"/>
        </w:rPr>
        <w:t>&lt;/NoDocSe&gt;</w:t>
      </w:r>
    </w:p>
    <w:p w14:paraId="38BABD3E" w14:textId="77777777" w:rsidR="00D44E5E" w:rsidRPr="00FB3656" w:rsidRDefault="00D44E5E" w:rsidP="00D44E5E">
      <w:pPr>
        <w:pStyle w:val="CoverDate"/>
      </w:pPr>
      <w:r w:rsidRPr="00FB3656">
        <w:rPr>
          <w:rStyle w:val="HideTWBExt"/>
          <w:noProof w:val="0"/>
        </w:rPr>
        <w:t>&lt;Date&gt;</w:t>
      </w:r>
      <w:r w:rsidRPr="00FB3656">
        <w:rPr>
          <w:rStyle w:val="HideTWBInt"/>
        </w:rPr>
        <w:t>{05/12/2019}</w:t>
      </w:r>
      <w:r w:rsidRPr="00FB3656">
        <w:t>5.12.2019</w:t>
      </w:r>
      <w:r w:rsidRPr="00FB3656">
        <w:rPr>
          <w:rStyle w:val="HideTWBExt"/>
          <w:noProof w:val="0"/>
        </w:rPr>
        <w:t>&lt;/Date&gt;</w:t>
      </w:r>
    </w:p>
    <w:p w14:paraId="6EFACF75" w14:textId="37E02596" w:rsidR="00211FEF" w:rsidRPr="00FB3656" w:rsidRDefault="00211FEF" w:rsidP="00211FEF">
      <w:pPr>
        <w:pStyle w:val="CoverDocType24a"/>
      </w:pPr>
      <w:r w:rsidRPr="00FB3656">
        <w:rPr>
          <w:rStyle w:val="HideTWBExt"/>
          <w:b w:val="0"/>
          <w:noProof w:val="0"/>
        </w:rPr>
        <w:t>&lt;TitreType&gt;</w:t>
      </w:r>
      <w:r w:rsidRPr="00FB3656">
        <w:t>PÄÄTÖSLAUSELMAESITYS</w:t>
      </w:r>
      <w:r w:rsidRPr="00FB3656">
        <w:rPr>
          <w:rStyle w:val="HideTWBExt"/>
          <w:b w:val="0"/>
          <w:noProof w:val="0"/>
        </w:rPr>
        <w:t>&lt;/TitreType&gt;</w:t>
      </w:r>
    </w:p>
    <w:p w14:paraId="26F5B6D6" w14:textId="7B1990C8" w:rsidR="00211FEF" w:rsidRPr="00FB3656" w:rsidRDefault="00211FEF" w:rsidP="00211FEF">
      <w:pPr>
        <w:pStyle w:val="CoverNormal12a"/>
      </w:pPr>
      <w:r w:rsidRPr="00FB3656">
        <w:rPr>
          <w:rStyle w:val="HideTWBExt"/>
          <w:noProof w:val="0"/>
        </w:rPr>
        <w:t>&lt;TitreRecueil&gt;</w:t>
      </w:r>
      <w:r w:rsidRPr="00FB3656">
        <w:t>työjärjestyksen 112 artiklan 2 ja 3 kohdan mukaisesti</w:t>
      </w:r>
      <w:r w:rsidRPr="00FB3656">
        <w:rPr>
          <w:rStyle w:val="HideTWBExt"/>
          <w:noProof w:val="0"/>
          <w:color w:val="auto"/>
        </w:rPr>
        <w:t>&lt;/TitreRecueil&gt;</w:t>
      </w:r>
    </w:p>
    <w:p w14:paraId="3B7408FB" w14:textId="2FB07C8C" w:rsidR="00211FEF" w:rsidRPr="00FB3656" w:rsidRDefault="00211FEF" w:rsidP="00211FEF">
      <w:pPr>
        <w:pStyle w:val="CoverNormal"/>
      </w:pPr>
      <w:r w:rsidRPr="00FB3656">
        <w:rPr>
          <w:rStyle w:val="HideTWBExt"/>
          <w:noProof w:val="0"/>
          <w:color w:val="auto"/>
        </w:rPr>
        <w:t>&lt;Titre&gt;</w:t>
      </w:r>
      <w:r w:rsidRPr="00FB3656">
        <w:t xml:space="preserve">ehdotuksesta komission täytäntöönpanoasetukseksi täytäntöönpanoasetuksen (EU) N:o 540/2011 muuttamisesta siltä osin kuin on kyse tehoaineiden </w:t>
      </w:r>
      <w:proofErr w:type="spellStart"/>
      <w:r w:rsidRPr="00FB3656">
        <w:t>benfluraliini</w:t>
      </w:r>
      <w:proofErr w:type="spellEnd"/>
      <w:r w:rsidRPr="00FB3656">
        <w:t xml:space="preserve">, </w:t>
      </w:r>
      <w:proofErr w:type="spellStart"/>
      <w:r w:rsidRPr="00FB3656">
        <w:t>dimoksistrobiini</w:t>
      </w:r>
      <w:proofErr w:type="spellEnd"/>
      <w:r w:rsidRPr="00FB3656">
        <w:t xml:space="preserve">, </w:t>
      </w:r>
      <w:proofErr w:type="spellStart"/>
      <w:r w:rsidRPr="00FB3656">
        <w:t>fluatsinami</w:t>
      </w:r>
      <w:proofErr w:type="spellEnd"/>
      <w:r w:rsidRPr="00FB3656">
        <w:t xml:space="preserve">, </w:t>
      </w:r>
      <w:proofErr w:type="spellStart"/>
      <w:r w:rsidRPr="00FB3656">
        <w:t>flutolaniili</w:t>
      </w:r>
      <w:proofErr w:type="spellEnd"/>
      <w:r w:rsidRPr="00FB3656">
        <w:t xml:space="preserve">, </w:t>
      </w:r>
      <w:proofErr w:type="spellStart"/>
      <w:r w:rsidRPr="00FB3656">
        <w:t>mankotsebi</w:t>
      </w:r>
      <w:proofErr w:type="spellEnd"/>
      <w:r w:rsidRPr="00FB3656">
        <w:t xml:space="preserve">, </w:t>
      </w:r>
      <w:proofErr w:type="spellStart"/>
      <w:r w:rsidRPr="00FB3656">
        <w:t>mekoproppi</w:t>
      </w:r>
      <w:proofErr w:type="spellEnd"/>
      <w:r w:rsidRPr="00FB3656">
        <w:t xml:space="preserve">-P, </w:t>
      </w:r>
      <w:proofErr w:type="spellStart"/>
      <w:r w:rsidRPr="00FB3656">
        <w:t>mepikvat</w:t>
      </w:r>
      <w:proofErr w:type="spellEnd"/>
      <w:r w:rsidRPr="00FB3656">
        <w:t xml:space="preserve">, </w:t>
      </w:r>
      <w:proofErr w:type="spellStart"/>
      <w:r w:rsidRPr="00FB3656">
        <w:t>metiraami</w:t>
      </w:r>
      <w:proofErr w:type="spellEnd"/>
      <w:r w:rsidRPr="00FB3656">
        <w:t xml:space="preserve">, </w:t>
      </w:r>
      <w:proofErr w:type="spellStart"/>
      <w:r w:rsidRPr="00FB3656">
        <w:t>oksamyyli</w:t>
      </w:r>
      <w:proofErr w:type="spellEnd"/>
      <w:r w:rsidRPr="00FB3656">
        <w:t xml:space="preserve"> ja </w:t>
      </w:r>
      <w:proofErr w:type="spellStart"/>
      <w:r w:rsidRPr="00FB3656">
        <w:t>pyraklostrobiini</w:t>
      </w:r>
      <w:proofErr w:type="spellEnd"/>
      <w:r w:rsidRPr="00FB3656">
        <w:t xml:space="preserve"> hyväksynnän voimassaoloajan pidentämisestä</w:t>
      </w:r>
      <w:r w:rsidRPr="00FB3656">
        <w:rPr>
          <w:rStyle w:val="HideTWBExt"/>
          <w:noProof w:val="0"/>
          <w:color w:val="auto"/>
        </w:rPr>
        <w:t>&lt;/Titre&gt;</w:t>
      </w:r>
    </w:p>
    <w:p w14:paraId="6D896BD5" w14:textId="42E71247" w:rsidR="00211FEF" w:rsidRPr="00FB3656" w:rsidRDefault="00211FEF" w:rsidP="00271D36">
      <w:pPr>
        <w:pStyle w:val="CoverNormal24a"/>
      </w:pPr>
      <w:r w:rsidRPr="00FB3656">
        <w:rPr>
          <w:rStyle w:val="HideTWBExt"/>
          <w:noProof w:val="0"/>
          <w:color w:val="auto"/>
        </w:rPr>
        <w:t>&lt;DocRef&gt;</w:t>
      </w:r>
      <w:r w:rsidR="00DB3936">
        <w:t>(D064213/02 – 2019/2925</w:t>
      </w:r>
      <w:bookmarkStart w:id="0" w:name="_GoBack"/>
      <w:bookmarkEnd w:id="0"/>
      <w:r w:rsidRPr="00FB3656">
        <w:t>(R</w:t>
      </w:r>
      <w:r w:rsidR="0012201F" w:rsidRPr="00FB3656">
        <w:t>S</w:t>
      </w:r>
      <w:r w:rsidRPr="00FB3656">
        <w:t>P))</w:t>
      </w:r>
      <w:r w:rsidRPr="00FB3656">
        <w:rPr>
          <w:rStyle w:val="HideTWBExt"/>
          <w:noProof w:val="0"/>
          <w:color w:val="auto"/>
        </w:rPr>
        <w:t>&lt;/DocRef&gt;</w:t>
      </w:r>
    </w:p>
    <w:p w14:paraId="7E82FCF8" w14:textId="1677659F" w:rsidR="00135BD8" w:rsidRPr="00FB3656" w:rsidRDefault="00135BD8" w:rsidP="00135BD8">
      <w:pPr>
        <w:pStyle w:val="CoverBold24a"/>
      </w:pPr>
      <w:r w:rsidRPr="00FB3656">
        <w:rPr>
          <w:rStyle w:val="HideTWBExt"/>
          <w:b w:val="0"/>
          <w:noProof w:val="0"/>
          <w:color w:val="auto"/>
        </w:rPr>
        <w:t>&lt;Commission&gt;</w:t>
      </w:r>
      <w:r w:rsidRPr="00FB3656">
        <w:rPr>
          <w:rStyle w:val="HideTWBInt"/>
          <w:color w:val="auto"/>
        </w:rPr>
        <w:t>{ENVI}</w:t>
      </w:r>
      <w:r w:rsidRPr="00FB3656">
        <w:t>Ympäristön, kansanterveyden ja elintarvikkeiden turvallisuuden valiokunta</w:t>
      </w:r>
      <w:r w:rsidRPr="00FB3656">
        <w:rPr>
          <w:rStyle w:val="HideTWBExt"/>
          <w:b w:val="0"/>
          <w:noProof w:val="0"/>
          <w:color w:val="auto"/>
        </w:rPr>
        <w:t>&lt;/Commission&gt;</w:t>
      </w:r>
    </w:p>
    <w:p w14:paraId="022FC477" w14:textId="7DC2D221" w:rsidR="00135BD8" w:rsidRPr="00FB3656" w:rsidRDefault="00135BD8" w:rsidP="00135BD8">
      <w:pPr>
        <w:pStyle w:val="CoverNormal24a"/>
      </w:pPr>
      <w:r w:rsidRPr="00FB3656">
        <w:t xml:space="preserve">Asiasta vastaavat jäsenet: </w:t>
      </w:r>
      <w:r w:rsidRPr="00FB3656">
        <w:rPr>
          <w:rStyle w:val="HideTWBExt"/>
          <w:noProof w:val="0"/>
          <w:color w:val="auto"/>
        </w:rPr>
        <w:t>&lt;Depute&gt;</w:t>
      </w:r>
      <w:r w:rsidRPr="00FB3656">
        <w:t xml:space="preserve">Anja </w:t>
      </w:r>
      <w:proofErr w:type="spellStart"/>
      <w:r w:rsidRPr="00FB3656">
        <w:t>Hazekamp</w:t>
      </w:r>
      <w:proofErr w:type="spellEnd"/>
      <w:r w:rsidRPr="00FB3656">
        <w:t xml:space="preserve">, </w:t>
      </w:r>
      <w:proofErr w:type="spellStart"/>
      <w:r w:rsidRPr="00FB3656">
        <w:t>Tilly</w:t>
      </w:r>
      <w:proofErr w:type="spellEnd"/>
      <w:r w:rsidRPr="00FB3656">
        <w:t xml:space="preserve"> </w:t>
      </w:r>
      <w:proofErr w:type="spellStart"/>
      <w:r w:rsidRPr="00FB3656">
        <w:t>Metz</w:t>
      </w:r>
      <w:proofErr w:type="spellEnd"/>
      <w:r w:rsidRPr="00FB3656">
        <w:t xml:space="preserve">, Eleonora </w:t>
      </w:r>
      <w:proofErr w:type="spellStart"/>
      <w:r w:rsidRPr="00FB3656">
        <w:t>Evi</w:t>
      </w:r>
      <w:proofErr w:type="spellEnd"/>
      <w:r w:rsidRPr="00FB3656">
        <w:rPr>
          <w:rStyle w:val="HideTWBExt"/>
          <w:noProof w:val="0"/>
          <w:color w:val="auto"/>
        </w:rPr>
        <w:t>&lt;/Depute&gt;</w:t>
      </w:r>
    </w:p>
    <w:p w14:paraId="1A073944" w14:textId="77777777" w:rsidR="00A93F71" w:rsidRPr="00FB3656" w:rsidRDefault="00A93F71" w:rsidP="00A93F71">
      <w:pPr>
        <w:pStyle w:val="NormalBold12a"/>
      </w:pPr>
      <w:r w:rsidRPr="00FB3656">
        <w:br w:type="page"/>
      </w:r>
      <w:r w:rsidRPr="00FB3656">
        <w:lastRenderedPageBreak/>
        <w:t>B9</w:t>
      </w:r>
      <w:r w:rsidRPr="00FB3656">
        <w:noBreakHyphen/>
        <w:t>0230/2019</w:t>
      </w:r>
    </w:p>
    <w:p w14:paraId="222C9296" w14:textId="65BE50A7" w:rsidR="00E32818" w:rsidRPr="00FB3656" w:rsidRDefault="002307E3" w:rsidP="00687220">
      <w:pPr>
        <w:pStyle w:val="NormalBold"/>
      </w:pPr>
      <w:r w:rsidRPr="00FB3656">
        <w:t xml:space="preserve">Euroopan parlamentin päätöslauselma ehdotuksesta komission täytäntöönpanoasetukseksi täytäntöönpanoasetuksen (EU) </w:t>
      </w:r>
      <w:proofErr w:type="gramStart"/>
      <w:r w:rsidRPr="00FB3656">
        <w:t>N:o</w:t>
      </w:r>
      <w:proofErr w:type="gramEnd"/>
      <w:r w:rsidRPr="00FB3656">
        <w:t xml:space="preserve"> 540/2011 muuttamisesta siltä osin kuin on kyse tehoaineiden </w:t>
      </w:r>
      <w:proofErr w:type="spellStart"/>
      <w:r w:rsidRPr="00FB3656">
        <w:t>benfluraliini</w:t>
      </w:r>
      <w:proofErr w:type="spellEnd"/>
      <w:r w:rsidRPr="00FB3656">
        <w:t xml:space="preserve">, </w:t>
      </w:r>
      <w:proofErr w:type="spellStart"/>
      <w:r w:rsidRPr="00FB3656">
        <w:t>dimoksistrobiini</w:t>
      </w:r>
      <w:proofErr w:type="spellEnd"/>
      <w:r w:rsidRPr="00FB3656">
        <w:t xml:space="preserve">, </w:t>
      </w:r>
      <w:proofErr w:type="spellStart"/>
      <w:r w:rsidRPr="00FB3656">
        <w:t>fluatsinami</w:t>
      </w:r>
      <w:proofErr w:type="spellEnd"/>
      <w:r w:rsidRPr="00FB3656">
        <w:t xml:space="preserve">, </w:t>
      </w:r>
      <w:proofErr w:type="spellStart"/>
      <w:r w:rsidRPr="00FB3656">
        <w:t>flutolaniili</w:t>
      </w:r>
      <w:proofErr w:type="spellEnd"/>
      <w:r w:rsidRPr="00FB3656">
        <w:t xml:space="preserve">, </w:t>
      </w:r>
      <w:proofErr w:type="spellStart"/>
      <w:r w:rsidRPr="00FB3656">
        <w:t>mankotsebi</w:t>
      </w:r>
      <w:proofErr w:type="spellEnd"/>
      <w:r w:rsidRPr="00FB3656">
        <w:t xml:space="preserve">, </w:t>
      </w:r>
      <w:proofErr w:type="spellStart"/>
      <w:r w:rsidRPr="00FB3656">
        <w:t>mekoproppi</w:t>
      </w:r>
      <w:proofErr w:type="spellEnd"/>
      <w:r w:rsidRPr="00FB3656">
        <w:t xml:space="preserve">-P, </w:t>
      </w:r>
      <w:proofErr w:type="spellStart"/>
      <w:r w:rsidRPr="00FB3656">
        <w:t>mepikvat</w:t>
      </w:r>
      <w:proofErr w:type="spellEnd"/>
      <w:r w:rsidRPr="00FB3656">
        <w:t xml:space="preserve">, </w:t>
      </w:r>
      <w:proofErr w:type="spellStart"/>
      <w:r w:rsidRPr="00FB3656">
        <w:t>metiraami</w:t>
      </w:r>
      <w:proofErr w:type="spellEnd"/>
      <w:r w:rsidRPr="00FB3656">
        <w:t xml:space="preserve">, </w:t>
      </w:r>
      <w:proofErr w:type="spellStart"/>
      <w:r w:rsidRPr="00FB3656">
        <w:t>oksamyyli</w:t>
      </w:r>
      <w:proofErr w:type="spellEnd"/>
      <w:r w:rsidRPr="00FB3656">
        <w:t xml:space="preserve"> ja </w:t>
      </w:r>
      <w:proofErr w:type="spellStart"/>
      <w:r w:rsidRPr="00FB3656">
        <w:t>pyraklostrobiini</w:t>
      </w:r>
      <w:proofErr w:type="spellEnd"/>
      <w:r w:rsidRPr="00FB3656">
        <w:t xml:space="preserve"> hyväksynnän voimassaoloajan pidentämisestä</w:t>
      </w:r>
    </w:p>
    <w:p w14:paraId="230056C4" w14:textId="0415161A" w:rsidR="00E32818" w:rsidRPr="00FB3656" w:rsidRDefault="002307E3" w:rsidP="00687220">
      <w:pPr>
        <w:pStyle w:val="NormalBold"/>
      </w:pPr>
      <w:r w:rsidRPr="00FB3656">
        <w:t>(D064213/02 – 2019/2925(RSP))</w:t>
      </w:r>
    </w:p>
    <w:p w14:paraId="5F0D619C" w14:textId="77777777" w:rsidR="00A93F71" w:rsidRPr="00FB3656" w:rsidRDefault="00FA7FF4" w:rsidP="00A93F71">
      <w:pPr>
        <w:pStyle w:val="EPComma"/>
      </w:pPr>
      <w:r w:rsidRPr="00FB3656">
        <w:rPr>
          <w:i/>
        </w:rPr>
        <w:t>Euroopan parlamentti</w:t>
      </w:r>
      <w:r w:rsidRPr="00FB3656">
        <w:t>, joka</w:t>
      </w:r>
    </w:p>
    <w:p w14:paraId="1F6697A8" w14:textId="3E1162FB" w:rsidR="00F17D74" w:rsidRPr="00FB3656" w:rsidRDefault="00F17D74" w:rsidP="00F17D74">
      <w:pPr>
        <w:pStyle w:val="NormalHanging12a"/>
      </w:pPr>
      <w:r w:rsidRPr="00FB3656">
        <w:t>–</w:t>
      </w:r>
      <w:r w:rsidRPr="00FB3656">
        <w:tab/>
        <w:t xml:space="preserve">ottaa huomioon ehdotuksen komission täytäntöönpanoasetukseksi täytäntöönpanoasetuksen (EU) </w:t>
      </w:r>
      <w:proofErr w:type="gramStart"/>
      <w:r w:rsidRPr="00FB3656">
        <w:t>N:o</w:t>
      </w:r>
      <w:proofErr w:type="gramEnd"/>
      <w:r w:rsidRPr="00FB3656">
        <w:t xml:space="preserve"> 540/2011 muuttamisesta siltä osin kuin on kyse tehoaineiden </w:t>
      </w:r>
      <w:proofErr w:type="spellStart"/>
      <w:r w:rsidRPr="00FB3656">
        <w:t>benfluraliini</w:t>
      </w:r>
      <w:proofErr w:type="spellEnd"/>
      <w:r w:rsidRPr="00FB3656">
        <w:t xml:space="preserve">, </w:t>
      </w:r>
      <w:proofErr w:type="spellStart"/>
      <w:r w:rsidRPr="00FB3656">
        <w:t>dimoksistrobiini</w:t>
      </w:r>
      <w:proofErr w:type="spellEnd"/>
      <w:r w:rsidRPr="00FB3656">
        <w:t xml:space="preserve">, </w:t>
      </w:r>
      <w:proofErr w:type="spellStart"/>
      <w:r w:rsidRPr="00FB3656">
        <w:t>fluatsinami</w:t>
      </w:r>
      <w:proofErr w:type="spellEnd"/>
      <w:r w:rsidRPr="00FB3656">
        <w:t xml:space="preserve">, </w:t>
      </w:r>
      <w:proofErr w:type="spellStart"/>
      <w:r w:rsidRPr="00FB3656">
        <w:t>flutolaniili</w:t>
      </w:r>
      <w:proofErr w:type="spellEnd"/>
      <w:r w:rsidRPr="00FB3656">
        <w:t xml:space="preserve">, </w:t>
      </w:r>
      <w:proofErr w:type="spellStart"/>
      <w:r w:rsidRPr="00FB3656">
        <w:t>mankotsebi</w:t>
      </w:r>
      <w:proofErr w:type="spellEnd"/>
      <w:r w:rsidRPr="00FB3656">
        <w:t xml:space="preserve">, </w:t>
      </w:r>
      <w:proofErr w:type="spellStart"/>
      <w:r w:rsidRPr="00FB3656">
        <w:t>mekoproppi</w:t>
      </w:r>
      <w:proofErr w:type="spellEnd"/>
      <w:r w:rsidRPr="00FB3656">
        <w:t xml:space="preserve">-P, </w:t>
      </w:r>
      <w:proofErr w:type="spellStart"/>
      <w:r w:rsidRPr="00FB3656">
        <w:t>mepikvat</w:t>
      </w:r>
      <w:proofErr w:type="spellEnd"/>
      <w:r w:rsidRPr="00FB3656">
        <w:t xml:space="preserve">, </w:t>
      </w:r>
      <w:proofErr w:type="spellStart"/>
      <w:r w:rsidRPr="00FB3656">
        <w:t>metiraami</w:t>
      </w:r>
      <w:proofErr w:type="spellEnd"/>
      <w:r w:rsidRPr="00FB3656">
        <w:t xml:space="preserve">, </w:t>
      </w:r>
      <w:proofErr w:type="spellStart"/>
      <w:r w:rsidRPr="00FB3656">
        <w:t>oksamyyli</w:t>
      </w:r>
      <w:proofErr w:type="spellEnd"/>
      <w:r w:rsidRPr="00FB3656">
        <w:t xml:space="preserve"> ja </w:t>
      </w:r>
      <w:proofErr w:type="spellStart"/>
      <w:r w:rsidRPr="00FB3656">
        <w:t>pyraklostrobiini</w:t>
      </w:r>
      <w:proofErr w:type="spellEnd"/>
      <w:r w:rsidRPr="00FB3656">
        <w:t xml:space="preserve"> hyväksynnän voimassaoloajan pidentämisestä (D064213/02),</w:t>
      </w:r>
    </w:p>
    <w:p w14:paraId="3DD4D6C8" w14:textId="6013D753" w:rsidR="00EE6073" w:rsidRPr="00FB3656" w:rsidRDefault="00B22707" w:rsidP="00EE6073">
      <w:pPr>
        <w:pStyle w:val="NormalHanging12a"/>
      </w:pPr>
      <w:r w:rsidRPr="00FB3656">
        <w:t>–</w:t>
      </w:r>
      <w:r w:rsidRPr="00FB3656">
        <w:tab/>
        <w:t>ottaa huomioon kasvinsuojeluaineiden markkinoille saattamisesta sekä neuvoston direktiivien 79/117/ETY ja 91/414/ETY kumoamisesta 21. lokakuuta 2009 annetun Euroopan parlamentin ja neuvoston asetuksen (EY) N:o 1107/2009</w:t>
      </w:r>
      <w:r w:rsidRPr="00FB3656">
        <w:rPr>
          <w:rStyle w:val="FootnoteReference"/>
          <w:color w:val="000000"/>
          <w:szCs w:val="24"/>
        </w:rPr>
        <w:footnoteReference w:id="1"/>
      </w:r>
      <w:r w:rsidRPr="00FB3656">
        <w:t xml:space="preserve"> ja erityisesti sen 17</w:t>
      </w:r>
      <w:r w:rsidR="00D025F2" w:rsidRPr="00FB3656">
        <w:t> </w:t>
      </w:r>
      <w:r w:rsidRPr="00FB3656">
        <w:t>artiklan ensimmäisen kohdan ja 21 artiklan,</w:t>
      </w:r>
    </w:p>
    <w:p w14:paraId="29408CD3" w14:textId="77777777" w:rsidR="00EE6073" w:rsidRPr="00FB3656" w:rsidRDefault="00B22707" w:rsidP="00EE6073">
      <w:pPr>
        <w:pStyle w:val="NormalHanging12a"/>
      </w:pPr>
      <w:r w:rsidRPr="00FB3656">
        <w:t>–</w:t>
      </w:r>
      <w:r w:rsidRPr="00FB3656">
        <w:tab/>
        <w:t>ottaa huomioon kasvinsuojeluaineiden markkinoille saattamisesta annetun Euroopan parlamentin ja neuvoston asetuksen (EY) N:o 1107/2009 80 artiklan 7 kohdan täytäntöönpanosta ja korvattavien aineiden luettelon laatimisesta 11. maaliskuuta 2015 annetun komission täytäntöönpanoasetuksen (EU) 2015/408</w:t>
      </w:r>
      <w:r w:rsidRPr="00FB3656">
        <w:rPr>
          <w:rStyle w:val="FootnoteReference"/>
          <w:color w:val="000000"/>
          <w:szCs w:val="24"/>
        </w:rPr>
        <w:footnoteReference w:id="2"/>
      </w:r>
      <w:r w:rsidRPr="00FB3656">
        <w:t>,</w:t>
      </w:r>
    </w:p>
    <w:p w14:paraId="2C675026" w14:textId="77777777" w:rsidR="00EE6073" w:rsidRPr="00FB3656" w:rsidRDefault="00B22707" w:rsidP="00EE6073">
      <w:pPr>
        <w:pStyle w:val="NormalHanging12a"/>
      </w:pPr>
      <w:r w:rsidRPr="00FB3656">
        <w:t>–</w:t>
      </w:r>
      <w:r w:rsidRPr="00FB3656">
        <w:tab/>
        <w:t>ottaa huomioon yleisistä säännöistä ja periaatteista, joiden mukaisesti jäsenvaltiot valvovat komission täytäntöönpanovallan käyttöä, 16. helmikuuta 2011 annetun Euroopan parlamentin ja neuvoston asetuksen (EU) N:o 182/2011</w:t>
      </w:r>
      <w:r w:rsidRPr="00FB3656">
        <w:rPr>
          <w:rStyle w:val="FootnoteReference"/>
          <w:color w:val="000000"/>
          <w:szCs w:val="24"/>
        </w:rPr>
        <w:footnoteReference w:id="3"/>
      </w:r>
      <w:r w:rsidRPr="00FB3656">
        <w:t xml:space="preserve"> 11 ja 13 artiklan,</w:t>
      </w:r>
    </w:p>
    <w:p w14:paraId="127A7EF3" w14:textId="77777777" w:rsidR="00EE6073" w:rsidRPr="00FB3656" w:rsidRDefault="00B22707" w:rsidP="00EE6073">
      <w:pPr>
        <w:pStyle w:val="NormalHanging12a"/>
      </w:pPr>
      <w:r w:rsidRPr="00FB3656">
        <w:t>–</w:t>
      </w:r>
      <w:r w:rsidRPr="00FB3656">
        <w:tab/>
        <w:t>ottaa huomioon 13. syyskuuta 2018 antamansa päätöslauselman kasvinsuojeluaineita koskevan asetuksen (EY) N:o 1107/2009 täytäntöönpanosta</w:t>
      </w:r>
      <w:r w:rsidRPr="00FB3656">
        <w:rPr>
          <w:rStyle w:val="FootnoteReference"/>
          <w:color w:val="000000"/>
          <w:szCs w:val="24"/>
        </w:rPr>
        <w:footnoteReference w:id="4"/>
      </w:r>
      <w:r w:rsidRPr="00FB3656">
        <w:t>,</w:t>
      </w:r>
    </w:p>
    <w:p w14:paraId="0064EC26" w14:textId="77777777" w:rsidR="00EE6073" w:rsidRPr="00FB3656" w:rsidRDefault="00B22707" w:rsidP="00EE6073">
      <w:pPr>
        <w:pStyle w:val="NormalHanging12a"/>
      </w:pPr>
      <w:r w:rsidRPr="00FB3656">
        <w:t>–</w:t>
      </w:r>
      <w:r w:rsidRPr="00FB3656">
        <w:tab/>
        <w:t>ottaa huomioon työjärjestyksen 112 artiklan 2 ja 3 kohdan,</w:t>
      </w:r>
    </w:p>
    <w:p w14:paraId="3AC4264D" w14:textId="77777777" w:rsidR="00EE6073" w:rsidRPr="00FB3656" w:rsidRDefault="00B22707" w:rsidP="00EE6073">
      <w:pPr>
        <w:pStyle w:val="NormalHanging12a"/>
      </w:pPr>
      <w:r w:rsidRPr="00FB3656">
        <w:t>–</w:t>
      </w:r>
      <w:r w:rsidRPr="00FB3656">
        <w:tab/>
        <w:t>ottaa huomioon ympäristön, kansanterveyden ja elintarvikkeiden turvallisuuden valiokunnan päätöslauselmaesityksen,</w:t>
      </w:r>
    </w:p>
    <w:p w14:paraId="11FE302B" w14:textId="013A56DA" w:rsidR="00EE6073" w:rsidRPr="00FB3656" w:rsidRDefault="00EE6073" w:rsidP="00EE6073">
      <w:pPr>
        <w:pStyle w:val="NormalHanging12a"/>
      </w:pPr>
      <w:r w:rsidRPr="00FB3656">
        <w:t>A.</w:t>
      </w:r>
      <w:r w:rsidRPr="00FB3656">
        <w:tab/>
        <w:t xml:space="preserve">ottaa huomioon, että </w:t>
      </w:r>
      <w:proofErr w:type="spellStart"/>
      <w:r w:rsidRPr="00FB3656">
        <w:t>dimoksistrobiini</w:t>
      </w:r>
      <w:proofErr w:type="spellEnd"/>
      <w:r w:rsidRPr="00FB3656">
        <w:t xml:space="preserve"> sisällytettiin 1. lokakuuta 2006 neuvoston direktiivin 91/414/ETY</w:t>
      </w:r>
      <w:r w:rsidR="002E1B72" w:rsidRPr="00FB3656">
        <w:rPr>
          <w:rStyle w:val="FootnoteReference"/>
          <w:color w:val="000000"/>
          <w:szCs w:val="24"/>
        </w:rPr>
        <w:footnoteReference w:id="5"/>
      </w:r>
      <w:r w:rsidRPr="00FB3656">
        <w:t xml:space="preserve"> liitteeseen I komission direktiivillä 2006/75/EY</w:t>
      </w:r>
      <w:r w:rsidR="002E1B72" w:rsidRPr="00FB3656">
        <w:rPr>
          <w:rStyle w:val="FootnoteReference"/>
          <w:color w:val="000000"/>
          <w:szCs w:val="24"/>
          <w:shd w:val="clear" w:color="auto" w:fill="FFFFFF"/>
        </w:rPr>
        <w:footnoteReference w:id="6"/>
      </w:r>
      <w:r w:rsidRPr="00FB3656">
        <w:t xml:space="preserve"> ja että se on </w:t>
      </w:r>
      <w:r w:rsidRPr="00FB3656">
        <w:lastRenderedPageBreak/>
        <w:t>katsottu hyväksytyksi asetuksen (EY) N:o 1107/2009 nojalla;</w:t>
      </w:r>
    </w:p>
    <w:p w14:paraId="5F8A9B77" w14:textId="77777777" w:rsidR="00EE6073" w:rsidRPr="00FB3656" w:rsidRDefault="002E1B72" w:rsidP="00EE6073">
      <w:pPr>
        <w:pStyle w:val="NormalHanging12a"/>
      </w:pPr>
      <w:r w:rsidRPr="00FB3656">
        <w:t>B.</w:t>
      </w:r>
      <w:r w:rsidRPr="00FB3656">
        <w:tab/>
        <w:t xml:space="preserve">toteaa, että menettely </w:t>
      </w:r>
      <w:proofErr w:type="spellStart"/>
      <w:r w:rsidRPr="00FB3656">
        <w:t>dimoksistrobiinin</w:t>
      </w:r>
      <w:proofErr w:type="spellEnd"/>
      <w:r w:rsidRPr="00FB3656">
        <w:t xml:space="preserve"> hyväksynnän uusimiseksi komission täytäntöönpanoasetuksen (EU) N:o 844/2012</w:t>
      </w:r>
      <w:r w:rsidRPr="00FB3656">
        <w:rPr>
          <w:rStyle w:val="FootnoteReference"/>
          <w:color w:val="000000"/>
        </w:rPr>
        <w:footnoteReference w:id="7"/>
      </w:r>
      <w:r w:rsidRPr="00FB3656">
        <w:t xml:space="preserve"> nojalla on ollut käynnissä vuodesta 2013;</w:t>
      </w:r>
    </w:p>
    <w:p w14:paraId="637B06C2" w14:textId="77777777" w:rsidR="00EE6073" w:rsidRPr="00FB3656" w:rsidRDefault="002E1B72" w:rsidP="00EE6073">
      <w:pPr>
        <w:pStyle w:val="NormalHanging12a"/>
      </w:pPr>
      <w:r w:rsidRPr="00FB3656">
        <w:t>C.</w:t>
      </w:r>
      <w:r w:rsidRPr="00FB3656">
        <w:tab/>
        <w:t xml:space="preserve">toteaa, että tehoaineen </w:t>
      </w:r>
      <w:proofErr w:type="spellStart"/>
      <w:r w:rsidRPr="00FB3656">
        <w:t>dimoksistrobiini</w:t>
      </w:r>
      <w:proofErr w:type="spellEnd"/>
      <w:r w:rsidRPr="00FB3656">
        <w:t xml:space="preserve"> hyväksynnän voimassaoloaikaa, jonka piti alun perin päättyä 30. syyskuuta 2016, on jo pidennetty 16 kuukaudella komission täytäntöönpanoasetuksella (EU) N:o 1136/2013</w:t>
      </w:r>
      <w:r w:rsidRPr="00FB3656">
        <w:rPr>
          <w:rStyle w:val="FootnoteReference"/>
          <w:color w:val="000000"/>
          <w:szCs w:val="24"/>
          <w:shd w:val="clear" w:color="auto" w:fill="FFFFFF"/>
        </w:rPr>
        <w:footnoteReference w:id="8"/>
      </w:r>
      <w:r w:rsidRPr="00FB3656">
        <w:t>, myöhemmin vuodella komission täytäntöönpanoasetuksella (EU) 2018/84</w:t>
      </w:r>
      <w:r w:rsidRPr="00FB3656">
        <w:rPr>
          <w:rStyle w:val="FootnoteReference"/>
          <w:color w:val="000000"/>
          <w:szCs w:val="24"/>
          <w:shd w:val="clear" w:color="auto" w:fill="FFFFFF"/>
        </w:rPr>
        <w:footnoteReference w:id="9"/>
      </w:r>
      <w:r w:rsidRPr="00FB3656">
        <w:t>, jälleen vuodella komission täytäntöönpanoasetuksella (EU) 2018/1796</w:t>
      </w:r>
      <w:r w:rsidRPr="00FB3656">
        <w:rPr>
          <w:rStyle w:val="FootnoteReference"/>
          <w:color w:val="000000"/>
          <w:szCs w:val="24"/>
          <w:shd w:val="clear" w:color="auto" w:fill="FFFFFF"/>
        </w:rPr>
        <w:footnoteReference w:id="10"/>
      </w:r>
      <w:r w:rsidRPr="00FB3656">
        <w:t xml:space="preserve"> ja nyt uudelleen vuodella tällä ehdotuksella komission täytäntöönpanoasetukseksi, jolla pidennettäisiin hyväksynnän voimassaoloaikaa 31. tammikuuta 2021 saakka;</w:t>
      </w:r>
    </w:p>
    <w:p w14:paraId="01BF3B37" w14:textId="77777777" w:rsidR="00EE6073" w:rsidRPr="00FB3656" w:rsidRDefault="002E1B72" w:rsidP="00EE6073">
      <w:pPr>
        <w:pStyle w:val="NormalHanging12a"/>
      </w:pPr>
      <w:r w:rsidRPr="00FB3656">
        <w:t>D.</w:t>
      </w:r>
      <w:r w:rsidRPr="00FB3656">
        <w:tab/>
        <w:t xml:space="preserve">ottaa huomioon, että </w:t>
      </w:r>
      <w:proofErr w:type="spellStart"/>
      <w:r w:rsidRPr="00FB3656">
        <w:t>mankotsebi</w:t>
      </w:r>
      <w:proofErr w:type="spellEnd"/>
      <w:r w:rsidRPr="00FB3656">
        <w:t xml:space="preserve"> sisällytettiin 1. heinäkuuta 2006 neuvoston direktiivin 91/414/ETY liitteeseen I komission direktiivillä 2005/72/EY</w:t>
      </w:r>
      <w:r w:rsidRPr="00FB3656">
        <w:rPr>
          <w:rStyle w:val="FootnoteReference"/>
          <w:color w:val="000000"/>
          <w:szCs w:val="24"/>
          <w:shd w:val="clear" w:color="auto" w:fill="FFFFFF"/>
        </w:rPr>
        <w:footnoteReference w:id="11"/>
      </w:r>
      <w:r w:rsidRPr="00FB3656">
        <w:t xml:space="preserve"> ja että se on katsottu hyväksytyksi asetuksen (EY) N:o 1107/2009 nojalla;</w:t>
      </w:r>
    </w:p>
    <w:p w14:paraId="204F4E53" w14:textId="77777777" w:rsidR="00EE6073" w:rsidRPr="00FB3656" w:rsidRDefault="002E1B72" w:rsidP="00EE6073">
      <w:pPr>
        <w:pStyle w:val="NormalHanging12a"/>
      </w:pPr>
      <w:r w:rsidRPr="00FB3656">
        <w:t>E.</w:t>
      </w:r>
      <w:r w:rsidRPr="00FB3656">
        <w:tab/>
        <w:t xml:space="preserve">toteaa, että menettely </w:t>
      </w:r>
      <w:proofErr w:type="spellStart"/>
      <w:r w:rsidRPr="00FB3656">
        <w:t>mankotsebin</w:t>
      </w:r>
      <w:proofErr w:type="spellEnd"/>
      <w:r w:rsidRPr="00FB3656">
        <w:t xml:space="preserve"> hyväksynnän uusimiseksi täytäntöönpanoasetuksen (EU) </w:t>
      </w:r>
      <w:proofErr w:type="gramStart"/>
      <w:r w:rsidRPr="00FB3656">
        <w:t>N:o</w:t>
      </w:r>
      <w:proofErr w:type="gramEnd"/>
      <w:r w:rsidRPr="00FB3656">
        <w:t xml:space="preserve"> 844/2012 nojalla on ollut käynnissä vuodesta 2013;</w:t>
      </w:r>
    </w:p>
    <w:p w14:paraId="1D7C997A" w14:textId="530D6145" w:rsidR="00EE6073" w:rsidRPr="00FB3656" w:rsidRDefault="002E1B72" w:rsidP="00EE6073">
      <w:pPr>
        <w:pStyle w:val="NormalHanging12a"/>
      </w:pPr>
      <w:r w:rsidRPr="00FB3656">
        <w:t>F.</w:t>
      </w:r>
      <w:r w:rsidRPr="00FB3656">
        <w:tab/>
        <w:t xml:space="preserve">toteaa, että tehoaineen </w:t>
      </w:r>
      <w:proofErr w:type="spellStart"/>
      <w:r w:rsidRPr="00FB3656">
        <w:t>mankotsebi</w:t>
      </w:r>
      <w:proofErr w:type="spellEnd"/>
      <w:r w:rsidRPr="00FB3656">
        <w:t xml:space="preserve"> hyväksynnän voimassaoloaikaa, jonka piti alun perin päättyä 30. kesäkuuta 2016, on jo pidennetty 19 kuukaudella komission täytäntöönpanoasetuksella (EU) N:o 762/2013</w:t>
      </w:r>
      <w:r w:rsidRPr="00FB3656">
        <w:rPr>
          <w:rStyle w:val="FootnoteReference"/>
          <w:color w:val="000000"/>
          <w:szCs w:val="24"/>
          <w:shd w:val="clear" w:color="auto" w:fill="FFFFFF"/>
        </w:rPr>
        <w:footnoteReference w:id="12"/>
      </w:r>
      <w:r w:rsidRPr="00FB3656">
        <w:t>, myöhemmin vuodella täytäntöönpanoasetuksella (EU) 2018/84, jälleen vuodella täytäntöönpanoasetuksella (EU) 2018/1796 ja nyt uudelleen vuodella tällä ehdotuksella komission täytäntöönpanoasetukseksi, jolla pidennettäisiin hyväksynnän voimassaoloaikaa 31.</w:t>
      </w:r>
      <w:r w:rsidR="00D025F2" w:rsidRPr="00FB3656">
        <w:t> </w:t>
      </w:r>
      <w:r w:rsidRPr="00FB3656">
        <w:t>tammikuuta 2021 saakka;</w:t>
      </w:r>
    </w:p>
    <w:p w14:paraId="5018A733" w14:textId="77777777" w:rsidR="00EE6073" w:rsidRPr="00FB3656" w:rsidRDefault="002E1B72" w:rsidP="00EE6073">
      <w:pPr>
        <w:pStyle w:val="NormalHanging12a"/>
      </w:pPr>
      <w:r w:rsidRPr="00FB3656">
        <w:lastRenderedPageBreak/>
        <w:t>G.</w:t>
      </w:r>
      <w:r w:rsidRPr="00FB3656">
        <w:tab/>
        <w:t xml:space="preserve">toteaa, että komissio ei perustele pidentämisen syitä muutoin kuin toteamalla, että koska kyseisten aineiden arviointi on viivästynyt hakijoista riippumattomista syistä, kyseisten tehoaineiden </w:t>
      </w:r>
      <w:proofErr w:type="spellStart"/>
      <w:r w:rsidRPr="00FB3656">
        <w:t>hyväksyntien</w:t>
      </w:r>
      <w:proofErr w:type="spellEnd"/>
      <w:r w:rsidRPr="00FB3656">
        <w:t xml:space="preserve"> voimassaolo todennäköisesti päättyy ennen kuin on tehty päätös niiden uusimisesta;</w:t>
      </w:r>
    </w:p>
    <w:p w14:paraId="5CD32D1D" w14:textId="77777777" w:rsidR="00EE6073" w:rsidRPr="00FB3656" w:rsidRDefault="002E1B72" w:rsidP="00EE6073">
      <w:pPr>
        <w:pStyle w:val="NormalHanging12a"/>
      </w:pPr>
      <w:r w:rsidRPr="00FB3656">
        <w:t>H.</w:t>
      </w:r>
      <w:r w:rsidRPr="00FB3656">
        <w:tab/>
        <w:t xml:space="preserve">toteaa, että asetuksen (EY) </w:t>
      </w:r>
      <w:proofErr w:type="gramStart"/>
      <w:r w:rsidRPr="00FB3656">
        <w:t>N:o</w:t>
      </w:r>
      <w:proofErr w:type="gramEnd"/>
      <w:r w:rsidRPr="00FB3656">
        <w:t xml:space="preserve"> 1107/2009 tarkoituksena on varmistaa sekä ihmisten ja eläinten terveyden että ympäristön korkeatasoinen suojelu ja turvata samalla unionin maatalouden kilpailukyky; katsoo, että erityistä huomiota olisi kiinnitettävä herkkien väestöryhmien, kuten raskaana olevien naisten, imeväisten ja lasten, suojeluun;</w:t>
      </w:r>
    </w:p>
    <w:p w14:paraId="2C76865B" w14:textId="77777777" w:rsidR="00EE6073" w:rsidRPr="00FB3656" w:rsidRDefault="002E1B72" w:rsidP="00EE6073">
      <w:pPr>
        <w:pStyle w:val="NormalHanging12a"/>
      </w:pPr>
      <w:r w:rsidRPr="00FB3656">
        <w:t>I.</w:t>
      </w:r>
      <w:r w:rsidRPr="00FB3656">
        <w:tab/>
        <w:t>toteaa, että ennalta varautumisen periaatetta olisi sovellettava ja että asetuksessa (EY) </w:t>
      </w:r>
      <w:proofErr w:type="gramStart"/>
      <w:r w:rsidRPr="00FB3656">
        <w:t>N:o</w:t>
      </w:r>
      <w:proofErr w:type="gramEnd"/>
      <w:r w:rsidRPr="00FB3656">
        <w:t> 1107/2009 todetaan, että aineita olisi sisällytettävä kasvinsuojeluaineisiin ainoastaan, kun on osoitettu, että niistä on selvää hyötyä kasvintuotannossa ja ettei niillä odoteta olevan haitallisia vaikutuksia ihmisten tai eläinten terveyteen tai kohtuuttomia haittavaikutuksia ympäristöön;</w:t>
      </w:r>
    </w:p>
    <w:p w14:paraId="5A0D1C36" w14:textId="77777777" w:rsidR="00EE6073" w:rsidRPr="00FB3656" w:rsidRDefault="002E1B72" w:rsidP="00EE6073">
      <w:pPr>
        <w:pStyle w:val="NormalHanging12a"/>
      </w:pPr>
      <w:r w:rsidRPr="00FB3656">
        <w:t>J.</w:t>
      </w:r>
      <w:r w:rsidRPr="00FB3656">
        <w:tab/>
        <w:t xml:space="preserve">toteaa, että asetuksessa (EY) </w:t>
      </w:r>
      <w:proofErr w:type="gramStart"/>
      <w:r w:rsidRPr="00FB3656">
        <w:t>N:o</w:t>
      </w:r>
      <w:proofErr w:type="gramEnd"/>
      <w:r w:rsidRPr="00FB3656">
        <w:t xml:space="preserve"> 1107/2009 säädetään, että tehoaineiden hyväksynnän voimassaoloaikaa olisi rajoitettava turvallisuussyistä; katsoo, että hyväksynnän voimassaoloajan olisi oltava oikeassa suhteessa tällaisten aineiden käyttöön liittyviin mahdollisiin riskeihin, mutta näissä tapauksissa on selvää, ettei tällaista oikeasuhteisuutta ole;</w:t>
      </w:r>
    </w:p>
    <w:p w14:paraId="44002493" w14:textId="77777777" w:rsidR="00EE6073" w:rsidRPr="00FB3656" w:rsidRDefault="002E1B72" w:rsidP="00EE6073">
      <w:pPr>
        <w:pStyle w:val="NormalHanging12a"/>
      </w:pPr>
      <w:r w:rsidRPr="00FB3656">
        <w:t>K.</w:t>
      </w:r>
      <w:r w:rsidRPr="00FB3656">
        <w:tab/>
        <w:t>katsoo, että komissiolla ja jäsenvaltioilla on mahdollisuus ja velvollisuus toimia ennalta varautumisen periaatteen mukaisesti, kun haitallisten terveysvaikutusten mahdollisuus on havaittu mutta asiasta ei ole tieteellistä varmuutta, hyväksymällä väliaikaisia riskinhallintatoimenpiteitä, jotka ovat tarpeen ihmisten terveyden korkeatasoisen suojelun varmistamiseksi;</w:t>
      </w:r>
    </w:p>
    <w:p w14:paraId="5487F6E4" w14:textId="77777777" w:rsidR="00EE6073" w:rsidRPr="00FB3656" w:rsidRDefault="002E1B72" w:rsidP="00EE6073">
      <w:pPr>
        <w:pStyle w:val="NormalHanging12a"/>
      </w:pPr>
      <w:r w:rsidRPr="00FB3656">
        <w:t>L.</w:t>
      </w:r>
      <w:r w:rsidRPr="00FB3656">
        <w:tab/>
        <w:t xml:space="preserve">toteaa lisäksi, että asetuksen (EY) </w:t>
      </w:r>
      <w:proofErr w:type="gramStart"/>
      <w:r w:rsidRPr="00FB3656">
        <w:t>N:o</w:t>
      </w:r>
      <w:proofErr w:type="gramEnd"/>
      <w:r w:rsidRPr="00FB3656">
        <w:t xml:space="preserve"> 1107/2009 21 artiklalla varmistetaan, että komissio voi milloin tahansa tarkastella tehoaineen hyväksyntää uudelleen, erityisesti jos se katsoo uuden tieteellisen ja teknisen tietämyksen perusteella olevan merkkejä siitä, ettei aine enää täytä 4 artiklassa säädettyjä hyväksymiskriteereitä ja että tämä uudelleentarkastelu voi johtaa aineen hyväksynnän peruuttamiseen tai muuttamiseen;</w:t>
      </w:r>
    </w:p>
    <w:p w14:paraId="7F175A59" w14:textId="77777777" w:rsidR="002E1B72" w:rsidRPr="00FB3656" w:rsidRDefault="002E1B72" w:rsidP="002E1B72">
      <w:pPr>
        <w:spacing w:after="240"/>
        <w:ind w:left="794" w:hanging="567"/>
        <w:rPr>
          <w:b/>
          <w:bCs/>
        </w:rPr>
      </w:pPr>
      <w:r w:rsidRPr="00FB3656">
        <w:rPr>
          <w:b/>
          <w:i/>
        </w:rPr>
        <w:t xml:space="preserve">Hormonitoimintaa häiritsevät ominaisuudet ja kategoriaan 1B kuuluvat lisääntymiselle vaaralliset aineet </w:t>
      </w:r>
    </w:p>
    <w:p w14:paraId="3DF1FA26" w14:textId="77777777" w:rsidR="00EE6073" w:rsidRPr="00FB3656" w:rsidRDefault="002E1B72" w:rsidP="00EE6073">
      <w:pPr>
        <w:pStyle w:val="NormalHanging12a"/>
      </w:pPr>
      <w:r w:rsidRPr="00FB3656">
        <w:t>M.</w:t>
      </w:r>
      <w:r w:rsidRPr="00FB3656">
        <w:tab/>
        <w:t xml:space="preserve">ottaa huomioon, että </w:t>
      </w:r>
      <w:proofErr w:type="spellStart"/>
      <w:r w:rsidRPr="00FB3656">
        <w:t>dimoksistrobiini</w:t>
      </w:r>
      <w:proofErr w:type="spellEnd"/>
      <w:r w:rsidRPr="00FB3656">
        <w:t xml:space="preserve"> sisällytettiin vuonna 2015 korvattavien aineiden luetteloon täytäntöönpanoasetuksella (EU) 2015/408, koska kyseisen tehoaineen akuutin altistumisen viiteannos (</w:t>
      </w:r>
      <w:proofErr w:type="spellStart"/>
      <w:r w:rsidRPr="00FB3656">
        <w:t>ARfD</w:t>
      </w:r>
      <w:proofErr w:type="spellEnd"/>
      <w:r w:rsidRPr="00FB3656">
        <w:t>) on huomattavasti alhaisempi kuin suurimmalla osalla hyväksytyistä tehoaineista omissa ryhmissään ja koska sillä on katsottava olevan hormonitoimintaa häiritseviä ominaisuuksia, joilla voi olla haitallisia vaikutuksia ihmisiin;</w:t>
      </w:r>
    </w:p>
    <w:p w14:paraId="07165A5A" w14:textId="18F71D4A" w:rsidR="00EE6073" w:rsidRPr="00FB3656" w:rsidRDefault="002E1B72" w:rsidP="00EE6073">
      <w:pPr>
        <w:pStyle w:val="NormalHanging12a"/>
      </w:pPr>
      <w:r w:rsidRPr="00FB3656">
        <w:t>N.</w:t>
      </w:r>
      <w:r w:rsidRPr="00FB3656">
        <w:tab/>
        <w:t>ottaa huomioon, että asetuksen (EY) N:o 1107/2009 liitteessä II olevan 3.6.5</w:t>
      </w:r>
      <w:r w:rsidR="00D025F2" w:rsidRPr="00FB3656">
        <w:t> </w:t>
      </w:r>
      <w:r w:rsidRPr="00FB3656">
        <w:t xml:space="preserve">kohdan mukaan tehoaineita ei voida hyväksyä, jos niillä katsotaan olevan sellaisia hormonitoimintaa häiritseviä ominaisuuksia, joilla voi olla haitallisia vaikutuksia ihmisiin, jollei ihmisten altistuminen kyseiselle tehoaineelle, suoja-aineelle tai tehosteaineelle ole realistisissa ehdotetuissa käyttöolosuhteissa merkityksetön, eli jos tuotetta käytetään suljetuissa järjestelmissä tai muissa olosuhteissa, joissa ne eivät ole </w:t>
      </w:r>
      <w:r w:rsidRPr="00FB3656">
        <w:lastRenderedPageBreak/>
        <w:t>kosketuksessa ihmisiin ja joissa kyseisen tehoaineen, suoja-aineen tai tehosteaineen jäämät elintarvikkeissa ja rehuissa eivät ylitä Euroopan parlamentin ja neuvoston asetuksen (EY) N:o 396/2005</w:t>
      </w:r>
      <w:r w:rsidRPr="00FB3656">
        <w:rPr>
          <w:rStyle w:val="FootnoteReference"/>
          <w:color w:val="000000"/>
        </w:rPr>
        <w:footnoteReference w:id="13"/>
      </w:r>
      <w:r w:rsidRPr="00FB3656">
        <w:t xml:space="preserve"> 18 artiklan 1 kohdan b alakohdan mukaisesti asetettua oletusarvoa;</w:t>
      </w:r>
    </w:p>
    <w:p w14:paraId="7F94DA4D" w14:textId="26BF2282" w:rsidR="00EE6073" w:rsidRPr="00FB3656" w:rsidRDefault="002E1B72" w:rsidP="00EE6073">
      <w:pPr>
        <w:pStyle w:val="NormalHanging12a"/>
      </w:pPr>
      <w:r w:rsidRPr="00FB3656">
        <w:t>O.</w:t>
      </w:r>
      <w:r w:rsidRPr="00FB3656">
        <w:tab/>
        <w:t>ottaa huomioon, että 27. helmikuuta 2019 pidetyssä riskinarviointikomitean 47.</w:t>
      </w:r>
      <w:r w:rsidR="00D025F2" w:rsidRPr="00FB3656">
        <w:t> </w:t>
      </w:r>
      <w:r w:rsidRPr="00FB3656">
        <w:t xml:space="preserve">kokouksessa sovittiin </w:t>
      </w:r>
      <w:proofErr w:type="spellStart"/>
      <w:r w:rsidRPr="00FB3656">
        <w:t>mankotsebin</w:t>
      </w:r>
      <w:proofErr w:type="spellEnd"/>
      <w:r w:rsidRPr="00FB3656">
        <w:t xml:space="preserve"> luokittelemisesta lisääntymiselle vaarallisten aineiden kategoriaan 1B;</w:t>
      </w:r>
    </w:p>
    <w:p w14:paraId="0C87B13D" w14:textId="1F315C79" w:rsidR="00EE6073" w:rsidRPr="00FB3656" w:rsidRDefault="002E1B72" w:rsidP="00EE6073">
      <w:pPr>
        <w:pStyle w:val="NormalHanging12a"/>
      </w:pPr>
      <w:r w:rsidRPr="00FB3656">
        <w:t>P.</w:t>
      </w:r>
      <w:r w:rsidRPr="00FB3656">
        <w:tab/>
        <w:t>ottaa huomioon, että asetuksen (EY) N:o 1107/2009 liitteessä II olevan 3.6.4</w:t>
      </w:r>
      <w:r w:rsidR="00D025F2" w:rsidRPr="00FB3656">
        <w:t> </w:t>
      </w:r>
      <w:r w:rsidRPr="00FB3656">
        <w:t>kohdan mukaan tehoaineita ei voida hyväksyä, kun ne on luokiteltu lisääntymiselle vaarallisiksi kategoriaan 1B kuuluviksi aineiksi, paitsi jos tehoaine on hakemuksessa mukana olevan todennetun näytön perusteella välttämätön sellaisen kasvien terveyteen kohdistuvan vakavan vaaran hallitsemiseksi, jota ei voi torjua muilla käytettävissä olevilla keinoilla, muut kuin kemialliset menetelmät mukaan luettuina, edellyttäen, että tehoaineen käyttöön sovelletaan riskinhallintatoimenpiteitä sen varmistamiseksi, että ihmisten ja ympäristön altistuminen tehoaineelle minimoidaan;</w:t>
      </w:r>
    </w:p>
    <w:p w14:paraId="4CA72EFA" w14:textId="77777777" w:rsidR="00EE6073" w:rsidRPr="00FB3656" w:rsidRDefault="002E1B72" w:rsidP="00EE6073">
      <w:pPr>
        <w:pStyle w:val="NormalHanging12a"/>
      </w:pPr>
      <w:r w:rsidRPr="00FB3656">
        <w:t>Q.</w:t>
      </w:r>
      <w:r w:rsidRPr="00FB3656">
        <w:tab/>
        <w:t xml:space="preserve">ottaa huomioon, että </w:t>
      </w:r>
      <w:proofErr w:type="spellStart"/>
      <w:r w:rsidRPr="00FB3656">
        <w:t>mankotsebille</w:t>
      </w:r>
      <w:proofErr w:type="spellEnd"/>
      <w:r w:rsidRPr="00FB3656">
        <w:t xml:space="preserve"> altistuminen on yhdistetty Parkinsonin taudin riskin lisääntymiseen maanviljelijöiden ja muiden Alankomaiden ja Ranskan maaseutualueiden asukkaiden keskuudessa</w:t>
      </w:r>
      <w:r w:rsidRPr="00FB3656">
        <w:rPr>
          <w:rStyle w:val="FootnoteReference"/>
          <w:color w:val="000000"/>
        </w:rPr>
        <w:footnoteReference w:id="14"/>
      </w:r>
      <w:r w:rsidRPr="00FB3656">
        <w:t>;</w:t>
      </w:r>
    </w:p>
    <w:p w14:paraId="44C2010A" w14:textId="77777777" w:rsidR="00EE6073" w:rsidRPr="00FB3656" w:rsidRDefault="002E1B72" w:rsidP="00EE6073">
      <w:pPr>
        <w:pStyle w:val="NormalHanging12a"/>
      </w:pPr>
      <w:r w:rsidRPr="00FB3656">
        <w:t>R.</w:t>
      </w:r>
      <w:r w:rsidRPr="00FB3656">
        <w:tab/>
        <w:t xml:space="preserve">ottaa huomioon, että </w:t>
      </w:r>
      <w:proofErr w:type="spellStart"/>
      <w:r w:rsidRPr="00FB3656">
        <w:t>mankotsebi</w:t>
      </w:r>
      <w:proofErr w:type="spellEnd"/>
      <w:r w:rsidRPr="00FB3656">
        <w:t xml:space="preserve"> on kahden muun </w:t>
      </w:r>
      <w:proofErr w:type="spellStart"/>
      <w:r w:rsidRPr="00FB3656">
        <w:t>ditiokarbamaatin</w:t>
      </w:r>
      <w:proofErr w:type="spellEnd"/>
      <w:r w:rsidRPr="00FB3656">
        <w:t xml:space="preserve"> eli </w:t>
      </w:r>
      <w:proofErr w:type="spellStart"/>
      <w:r w:rsidRPr="00FB3656">
        <w:t>manebin</w:t>
      </w:r>
      <w:proofErr w:type="spellEnd"/>
      <w:r w:rsidRPr="00FB3656">
        <w:t xml:space="preserve"> ja </w:t>
      </w:r>
      <w:proofErr w:type="spellStart"/>
      <w:r w:rsidRPr="00FB3656">
        <w:t>tsinebin</w:t>
      </w:r>
      <w:proofErr w:type="spellEnd"/>
      <w:r w:rsidRPr="00FB3656">
        <w:t xml:space="preserve"> yhdistelmä ja että näiden käyttöä ei ole enää hyväksytty unionissa niiden ihmisten ja ympäristön terveydelle aiheuttamien riskien vuoksi;</w:t>
      </w:r>
    </w:p>
    <w:p w14:paraId="61AEBCC4" w14:textId="77777777" w:rsidR="00EE6073" w:rsidRPr="00FB3656" w:rsidRDefault="002E1B72" w:rsidP="00EE6073">
      <w:pPr>
        <w:pStyle w:val="NormalHanging12a"/>
      </w:pPr>
      <w:r w:rsidRPr="00FB3656">
        <w:t>S.</w:t>
      </w:r>
      <w:r w:rsidRPr="00FB3656">
        <w:tab/>
        <w:t xml:space="preserve">ottaa huomioon, että </w:t>
      </w:r>
      <w:proofErr w:type="spellStart"/>
      <w:r w:rsidRPr="00FB3656">
        <w:t>mankotsebi</w:t>
      </w:r>
      <w:proofErr w:type="spellEnd"/>
      <w:r w:rsidRPr="00FB3656">
        <w:t xml:space="preserve"> on erittäin myrkyllinen vesieliöille, sen epäillään vahingoittavan ihmisen sikiötä ja se voi aiheuttaa allergisia ihoreaktioita;</w:t>
      </w:r>
    </w:p>
    <w:p w14:paraId="078C86C5" w14:textId="77777777" w:rsidR="00EE6073" w:rsidRPr="00FB3656" w:rsidRDefault="002E1B72" w:rsidP="00EE6073">
      <w:pPr>
        <w:pStyle w:val="NormalHanging12a"/>
      </w:pPr>
      <w:r w:rsidRPr="00FB3656">
        <w:t>T.</w:t>
      </w:r>
      <w:r w:rsidRPr="00FB3656">
        <w:tab/>
        <w:t>pitää mahdottomana hyväksyä, että aineita, joiden tiedetään täyttävän ihmisten ja ympäristön terveyden suojelemiseksi tarkoitetut poissulkemisperusteet sellaisten tehoaineiden osalta, jotka ovat perimää vaurioittavia, syöpää aiheuttavia ja/tai lisääntymiselle vaarallisia aineita tai joilla on hormonitoimintaa häiritseviä ominaisuuksia, on edelleen sallittua käyttää unionissa, mikä vaarantaa kansanterveyden ja ympäristön terveyden;</w:t>
      </w:r>
    </w:p>
    <w:p w14:paraId="351AE5B2" w14:textId="77777777" w:rsidR="00EE6073" w:rsidRPr="00FB3656" w:rsidRDefault="002E1B72" w:rsidP="00EE6073">
      <w:pPr>
        <w:pStyle w:val="NormalHanging12a"/>
      </w:pPr>
      <w:r w:rsidRPr="00FB3656">
        <w:t>U.</w:t>
      </w:r>
      <w:r w:rsidRPr="00FB3656">
        <w:tab/>
        <w:t xml:space="preserve">katsoo, että hakijat voivat käyttää hyväkseen sitä, että komission työmenetelmien mukaisesti tehoaineiden </w:t>
      </w:r>
      <w:proofErr w:type="spellStart"/>
      <w:r w:rsidRPr="00FB3656">
        <w:t>hyväksyntien</w:t>
      </w:r>
      <w:proofErr w:type="spellEnd"/>
      <w:r w:rsidRPr="00FB3656">
        <w:t xml:space="preserve"> voimassaoloaikoja pidennetään automaattisesti, jos riskien uudelleenarviointia ei ole saatu päätökseen; toteaa, että tällöin hakijat voivat tarkoituksella pitkittää uudelleenarviointia antamalla epätäydellisiä tietoja ja pyytämällä lisää poikkeuksia ja erityisedellytyksiä, mikä aiheuttaa kohtuuttomia riskejä ympäristölle ja ihmisten terveydelle, sillä altistuminen vaaralliselle aineelle jatkuu edelleen;</w:t>
      </w:r>
    </w:p>
    <w:p w14:paraId="63EAA4FE" w14:textId="77777777" w:rsidR="00EE6073" w:rsidRPr="00FB3656" w:rsidRDefault="002E1B72" w:rsidP="00EE6073">
      <w:pPr>
        <w:pStyle w:val="NormalHanging12a"/>
      </w:pPr>
      <w:r w:rsidRPr="00FB3656">
        <w:t>V.</w:t>
      </w:r>
      <w:r w:rsidRPr="00FB3656">
        <w:tab/>
        <w:t xml:space="preserve">toteaa, että kasvinsuojeluaineita koskevan asetuksen (EY) N:o 1107/2009 </w:t>
      </w:r>
      <w:r w:rsidRPr="00FB3656">
        <w:lastRenderedPageBreak/>
        <w:t xml:space="preserve">täytäntöönpanosta 13. syyskuuta 2018 antamassaan päätöslauselmassa parlamentti kehotti komissiota ja jäsenvaltioita varmistamaan, että asetuksen 17 artiklan mukaista hyväksynnän voimassaolon pidentämistä menettelyn kestoa vastaavaksi ajaksi ei käytetä tehoaineisiin, jotka ovat sukusolujen perimää vaurioittavia, syöpää aiheuttavia ja lisääntymiselle vaarallisia ja luokiteltu siten kategoriaan 1A tai 1B, tai tehoaineisiin, joilla on hormonitoimintaa häiritseviä ominaisuuksia ja jotka ovat ihmisille tai eläimille haitallisia, kuten tällä hetkellä </w:t>
      </w:r>
      <w:proofErr w:type="spellStart"/>
      <w:r w:rsidRPr="00FB3656">
        <w:t>flumioksatsiini</w:t>
      </w:r>
      <w:proofErr w:type="spellEnd"/>
      <w:r w:rsidRPr="00FB3656">
        <w:t xml:space="preserve">, </w:t>
      </w:r>
      <w:proofErr w:type="spellStart"/>
      <w:r w:rsidRPr="00FB3656">
        <w:t>tiaklopridi</w:t>
      </w:r>
      <w:proofErr w:type="spellEnd"/>
      <w:r w:rsidRPr="00FB3656">
        <w:t xml:space="preserve">, </w:t>
      </w:r>
      <w:proofErr w:type="spellStart"/>
      <w:r w:rsidRPr="00FB3656">
        <w:t>klorotoluroni</w:t>
      </w:r>
      <w:proofErr w:type="spellEnd"/>
      <w:r w:rsidRPr="00FB3656">
        <w:t xml:space="preserve"> ja </w:t>
      </w:r>
      <w:proofErr w:type="spellStart"/>
      <w:r w:rsidRPr="00FB3656">
        <w:t>dimoksistrobiini</w:t>
      </w:r>
      <w:proofErr w:type="spellEnd"/>
      <w:r w:rsidRPr="00FB3656">
        <w:t>;</w:t>
      </w:r>
    </w:p>
    <w:p w14:paraId="3BC8A17B" w14:textId="77777777" w:rsidR="00EE6073" w:rsidRPr="00FB3656" w:rsidRDefault="002E1B72" w:rsidP="00EE6073">
      <w:pPr>
        <w:pStyle w:val="NormalHanging12a"/>
      </w:pPr>
      <w:r w:rsidRPr="00FB3656">
        <w:t>W.</w:t>
      </w:r>
      <w:r w:rsidRPr="00FB3656">
        <w:tab/>
        <w:t>toteaa, että Alankomaiden parlamentti on ilmaissut huolensa näistä hyväksynnän voimassaolon pidentämisistä ja vaatii lopettamaan sellaisten aineiden hyväksynnän voimassaolon pidentämisen, joiden tiedetään aiheuttavan merkittävän uhan biologiselle monimuotoisuudelle, erityisesti mehiläisille ja kimalaisille, tai jotka ovat syöpää aiheuttavia, perimää vaurioittavia, hormonitoimintaa häiritseviä tai lisääntymiselle vaarallisia</w:t>
      </w:r>
      <w:r w:rsidRPr="00FB3656">
        <w:rPr>
          <w:rStyle w:val="FootnoteReference"/>
          <w:color w:val="000000"/>
        </w:rPr>
        <w:footnoteReference w:id="15"/>
      </w:r>
      <w:r w:rsidRPr="00FB3656">
        <w:t>;</w:t>
      </w:r>
    </w:p>
    <w:p w14:paraId="1AE7B32B" w14:textId="77777777" w:rsidR="00EE6073" w:rsidRPr="00FB3656" w:rsidRDefault="002E1B72" w:rsidP="00EE6073">
      <w:pPr>
        <w:pStyle w:val="NormalHanging12a"/>
      </w:pPr>
      <w:r w:rsidRPr="00FB3656">
        <w:t>X.</w:t>
      </w:r>
      <w:r w:rsidRPr="00FB3656">
        <w:tab/>
        <w:t xml:space="preserve">ottaa huomioon, että Euroopan elintarviketurvallisuusviranomaisen </w:t>
      </w:r>
      <w:proofErr w:type="spellStart"/>
      <w:r w:rsidRPr="00FB3656">
        <w:t>mankotsebia</w:t>
      </w:r>
      <w:proofErr w:type="spellEnd"/>
      <w:r w:rsidRPr="00FB3656">
        <w:t xml:space="preserve"> koskevan julkisen kuulemisen määräaika oli 28. huhtikuuta 2018; ottaa huomioon, että unionin riskinarvioinnista tällä hetkellä saatavilla olevien tietojen perusteella Alankomaiden kasvinsuojeluaineiden ja </w:t>
      </w:r>
      <w:proofErr w:type="spellStart"/>
      <w:r w:rsidRPr="00FB3656">
        <w:t>biosidien</w:t>
      </w:r>
      <w:proofErr w:type="spellEnd"/>
      <w:r w:rsidRPr="00FB3656">
        <w:t xml:space="preserve"> lupalautakunta (</w:t>
      </w:r>
      <w:proofErr w:type="spellStart"/>
      <w:r w:rsidRPr="00FB3656">
        <w:t>Ctgb</w:t>
      </w:r>
      <w:proofErr w:type="spellEnd"/>
      <w:r w:rsidRPr="00FB3656">
        <w:t xml:space="preserve">) arvioi, että saatavilla on riittävästi tietoa, jotta </w:t>
      </w:r>
      <w:proofErr w:type="spellStart"/>
      <w:r w:rsidRPr="00FB3656">
        <w:t>mankotsebin</w:t>
      </w:r>
      <w:proofErr w:type="spellEnd"/>
      <w:r w:rsidRPr="00FB3656">
        <w:t xml:space="preserve"> hyväksynnän uusimisesta voidaan tehdä nopea päätös</w:t>
      </w:r>
      <w:r w:rsidRPr="00FB3656">
        <w:rPr>
          <w:rStyle w:val="FootnoteReference"/>
          <w:color w:val="000000"/>
        </w:rPr>
        <w:footnoteReference w:id="16"/>
      </w:r>
      <w:r w:rsidRPr="00FB3656">
        <w:t>;</w:t>
      </w:r>
    </w:p>
    <w:p w14:paraId="45D13709" w14:textId="450BA3CC" w:rsidR="002E1B72" w:rsidRPr="00FB3656" w:rsidRDefault="00F17D74" w:rsidP="002E1B72">
      <w:pPr>
        <w:pStyle w:val="NormalHanging12a"/>
      </w:pPr>
      <w:r w:rsidRPr="00FB3656">
        <w:t>1.</w:t>
      </w:r>
      <w:r w:rsidRPr="00FB3656">
        <w:tab/>
        <w:t xml:space="preserve">katsoo, että ehdotus komission täytäntöönpanoasetukseksi ylittää asetuksessa (EY) </w:t>
      </w:r>
      <w:proofErr w:type="gramStart"/>
      <w:r w:rsidRPr="00FB3656">
        <w:t>N:o</w:t>
      </w:r>
      <w:proofErr w:type="gramEnd"/>
      <w:r w:rsidRPr="00FB3656">
        <w:t xml:space="preserve"> 1107/2009 säädetyn täytäntöönpanovallan;</w:t>
      </w:r>
    </w:p>
    <w:p w14:paraId="063939E0" w14:textId="77777777" w:rsidR="002E1B72" w:rsidRPr="00FB3656" w:rsidRDefault="002E1B72" w:rsidP="002E1B72">
      <w:pPr>
        <w:pStyle w:val="NormalHanging12a"/>
        <w:rPr>
          <w:rFonts w:eastAsia="Calibri"/>
          <w:szCs w:val="32"/>
        </w:rPr>
      </w:pPr>
      <w:r w:rsidRPr="00FB3656">
        <w:t>2.</w:t>
      </w:r>
      <w:r w:rsidRPr="00FB3656">
        <w:tab/>
        <w:t>katsoo, että ehdotus komission täytäntöönpanoasetukseksi ei ole ennalta varautumisen periaatteen mukainen;</w:t>
      </w:r>
    </w:p>
    <w:p w14:paraId="5C6E058A" w14:textId="77777777" w:rsidR="002E1B72" w:rsidRPr="00FB3656" w:rsidRDefault="002E1B72" w:rsidP="002E1B72">
      <w:pPr>
        <w:pStyle w:val="NormalHanging12a"/>
        <w:rPr>
          <w:rFonts w:eastAsia="Calibri"/>
          <w:szCs w:val="32"/>
        </w:rPr>
      </w:pPr>
      <w:r w:rsidRPr="00FB3656">
        <w:t>3.</w:t>
      </w:r>
      <w:r w:rsidRPr="00FB3656">
        <w:tab/>
        <w:t xml:space="preserve">katsoo, että päätös pidentää </w:t>
      </w:r>
      <w:proofErr w:type="spellStart"/>
      <w:r w:rsidRPr="00FB3656">
        <w:t>dimoksistrobiinin</w:t>
      </w:r>
      <w:proofErr w:type="spellEnd"/>
      <w:r w:rsidRPr="00FB3656">
        <w:t xml:space="preserve"> ja </w:t>
      </w:r>
      <w:proofErr w:type="spellStart"/>
      <w:r w:rsidRPr="00FB3656">
        <w:t>mankotsebin</w:t>
      </w:r>
      <w:proofErr w:type="spellEnd"/>
      <w:r w:rsidRPr="00FB3656">
        <w:t xml:space="preserve"> hyväksynnän voimassaoloaikoja ei täytä asetuksessa (EY) </w:t>
      </w:r>
      <w:proofErr w:type="gramStart"/>
      <w:r w:rsidRPr="00FB3656">
        <w:t>N:o</w:t>
      </w:r>
      <w:proofErr w:type="gramEnd"/>
      <w:r w:rsidRPr="00FB3656">
        <w:t xml:space="preserve"> 1107/2009 vahvistettuja turvallisuusvaatimuksia, eikä se perustu näyttöön siitä, että kyseisiä aineita voidaan käyttää turvallisesti, eikä todistettuun kiireelliseen tarpeeseen käyttää niitä elintarviketuotannossa unionissa;</w:t>
      </w:r>
    </w:p>
    <w:p w14:paraId="03D75DB2" w14:textId="77777777" w:rsidR="002E1B72" w:rsidRPr="00FB3656" w:rsidRDefault="002E1B72" w:rsidP="002E1B72">
      <w:pPr>
        <w:pStyle w:val="NormalHanging12a"/>
        <w:rPr>
          <w:szCs w:val="32"/>
        </w:rPr>
      </w:pPr>
      <w:r w:rsidRPr="00FB3656">
        <w:t>4.</w:t>
      </w:r>
      <w:r w:rsidRPr="00FB3656">
        <w:tab/>
        <w:t xml:space="preserve">kehottaa komissiota peruuttamaan ehdotuksen täytäntöönpanoasetukseksi ja toimittamaan valiokunnalle uuden ehdotuksen, jossa otetaan huomioon kaikkien asianomaisten aineiden ja erityisesti </w:t>
      </w:r>
      <w:proofErr w:type="spellStart"/>
      <w:r w:rsidRPr="00FB3656">
        <w:t>dimoksistrobiinin</w:t>
      </w:r>
      <w:proofErr w:type="spellEnd"/>
      <w:r w:rsidRPr="00FB3656">
        <w:t xml:space="preserve"> ja </w:t>
      </w:r>
      <w:proofErr w:type="spellStart"/>
      <w:r w:rsidRPr="00FB3656">
        <w:t>mankotsebin</w:t>
      </w:r>
      <w:proofErr w:type="spellEnd"/>
      <w:r w:rsidRPr="00FB3656">
        <w:t xml:space="preserve"> haitallisia ominaisuuksia koskeva tieteellinen näyttö;</w:t>
      </w:r>
    </w:p>
    <w:p w14:paraId="783231FA" w14:textId="77777777" w:rsidR="002E1B72" w:rsidRPr="00FB3656" w:rsidRDefault="002E1B72" w:rsidP="002E1B72">
      <w:pPr>
        <w:pStyle w:val="NormalHanging12a"/>
        <w:rPr>
          <w:szCs w:val="32"/>
        </w:rPr>
      </w:pPr>
      <w:r w:rsidRPr="00FB3656">
        <w:t>5.</w:t>
      </w:r>
      <w:r w:rsidRPr="00FB3656">
        <w:tab/>
        <w:t xml:space="preserve">kehottaa komissiota esittämään ehdotuksia </w:t>
      </w:r>
      <w:proofErr w:type="spellStart"/>
      <w:r w:rsidRPr="00FB3656">
        <w:t>dimoksistrobiinin</w:t>
      </w:r>
      <w:proofErr w:type="spellEnd"/>
      <w:r w:rsidRPr="00FB3656">
        <w:t xml:space="preserve"> ja </w:t>
      </w:r>
      <w:proofErr w:type="spellStart"/>
      <w:r w:rsidRPr="00FB3656">
        <w:t>mankotsebin</w:t>
      </w:r>
      <w:proofErr w:type="spellEnd"/>
      <w:r w:rsidRPr="00FB3656">
        <w:t xml:space="preserve"> hyväksynnän uusimatta jättämiseksi pysyvän kasvi-, eläin-, elintarvike- ja rehukomitean seuraavassa kokouksessa;</w:t>
      </w:r>
    </w:p>
    <w:p w14:paraId="38B44C7E" w14:textId="77777777" w:rsidR="002E1B72" w:rsidRPr="00FB3656" w:rsidRDefault="002E1B72" w:rsidP="002E1B72">
      <w:pPr>
        <w:pStyle w:val="NormalHanging12a"/>
        <w:rPr>
          <w:rFonts w:eastAsia="Calibri"/>
          <w:szCs w:val="32"/>
        </w:rPr>
      </w:pPr>
      <w:r w:rsidRPr="00FB3656">
        <w:t>6.</w:t>
      </w:r>
      <w:r w:rsidRPr="00FB3656">
        <w:tab/>
        <w:t xml:space="preserve">kehottaa komissiota esittämään ehdotuksia täytäntöönpanoasetuksiksi, joilla pidennetään ainoastaan sellaisten aineiden hyväksynnän voimassaoloa, joiden ei tieteen nykykäsityksen mukaan odoteta johtavan komission ehdotukseen kyseisen tehoaineen </w:t>
      </w:r>
      <w:r w:rsidRPr="00FB3656">
        <w:lastRenderedPageBreak/>
        <w:t>hyväksynnän uusimatta jättämisestä;</w:t>
      </w:r>
    </w:p>
    <w:p w14:paraId="77E73D3C" w14:textId="77777777" w:rsidR="002E1B72" w:rsidRPr="00FB3656" w:rsidRDefault="002E1B72" w:rsidP="002E1B72">
      <w:pPr>
        <w:pStyle w:val="NormalHanging12a"/>
        <w:rPr>
          <w:rFonts w:eastAsia="Calibri"/>
          <w:szCs w:val="32"/>
        </w:rPr>
      </w:pPr>
      <w:r w:rsidRPr="00FB3656">
        <w:t>7.</w:t>
      </w:r>
      <w:r w:rsidRPr="00FB3656">
        <w:tab/>
        <w:t xml:space="preserve">kehottaa komissiota peruuttamaan aineita koskevat hyväksynnät, jos on todisteita tai perusteltuja epäilyjä siitä, etteivät ne täytä asetuksessa (EY) </w:t>
      </w:r>
      <w:proofErr w:type="gramStart"/>
      <w:r w:rsidRPr="00FB3656">
        <w:t>N:o</w:t>
      </w:r>
      <w:proofErr w:type="gramEnd"/>
      <w:r w:rsidRPr="00FB3656">
        <w:t xml:space="preserve"> 1107/2009 säädettyjä turvallisuusvaatimuksia;</w:t>
      </w:r>
    </w:p>
    <w:p w14:paraId="7D25213A" w14:textId="77777777" w:rsidR="002E1B72" w:rsidRPr="00FB3656" w:rsidRDefault="002E1B72" w:rsidP="002E1B72">
      <w:pPr>
        <w:pStyle w:val="NormalHanging12a"/>
        <w:rPr>
          <w:rFonts w:eastAsia="Calibri"/>
          <w:szCs w:val="32"/>
        </w:rPr>
      </w:pPr>
      <w:r w:rsidRPr="00FB3656">
        <w:t>8.</w:t>
      </w:r>
      <w:r w:rsidRPr="00FB3656">
        <w:tab/>
        <w:t xml:space="preserve">kehottaa jäsenvaltioita varmistamaan niitä tehoaineita koskevien </w:t>
      </w:r>
      <w:proofErr w:type="spellStart"/>
      <w:r w:rsidRPr="00FB3656">
        <w:t>hyväksyntien</w:t>
      </w:r>
      <w:proofErr w:type="spellEnd"/>
      <w:r w:rsidRPr="00FB3656">
        <w:t xml:space="preserve"> asianmukaisen ja oikea-aikaisen uudelleenarvioinnin, joiden osalta ne ovat raportoivia jäsenvaltioita, ja varmistamaan, että nykyiset viivytykset ratkaistaan tehokkaasti mahdollisimman pian;</w:t>
      </w:r>
    </w:p>
    <w:p w14:paraId="1478A6C8" w14:textId="77777777" w:rsidR="00021195" w:rsidRPr="00FB3656" w:rsidRDefault="002E1B72" w:rsidP="00EE6073">
      <w:pPr>
        <w:pStyle w:val="NormalHanging12a"/>
      </w:pPr>
      <w:r w:rsidRPr="00FB3656">
        <w:t>9.</w:t>
      </w:r>
      <w:r w:rsidRPr="00FB3656">
        <w:tab/>
        <w:t>kehottaa puhemiestä välittämään tämän päätöslauselman neuvostolle ja komissiolle sekä jäsenvaltioiden hallituksille ja parlamenteille.</w:t>
      </w:r>
    </w:p>
    <w:sectPr w:rsidR="00021195" w:rsidRPr="00FB3656" w:rsidSect="0012201F">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EC18C49" w14:textId="77777777" w:rsidR="00A8047F" w:rsidRPr="00FB3656" w:rsidRDefault="00A8047F">
      <w:r w:rsidRPr="00FB3656">
        <w:separator/>
      </w:r>
    </w:p>
  </w:endnote>
  <w:endnote w:type="continuationSeparator" w:id="0">
    <w:p w14:paraId="2A4FDA9C" w14:textId="77777777" w:rsidR="00A8047F" w:rsidRPr="00FB3656" w:rsidRDefault="00A8047F">
      <w:r w:rsidRPr="00FB36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okChampa">
    <w:charset w:val="00"/>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F1D40B" w14:textId="795E731F" w:rsidR="0012201F" w:rsidRPr="00FB3656" w:rsidRDefault="0012201F" w:rsidP="0012201F">
    <w:pPr>
      <w:pStyle w:val="EPFooter"/>
    </w:pPr>
    <w:r w:rsidRPr="00FB3656">
      <w:t>PE</w:t>
    </w:r>
    <w:r w:rsidRPr="00FB3656">
      <w:rPr>
        <w:rStyle w:val="HideTWBExt"/>
        <w:noProof w:val="0"/>
      </w:rPr>
      <w:t>&lt;NoPE&gt;</w:t>
    </w:r>
    <w:r w:rsidRPr="00FB3656">
      <w:t>643.400</w:t>
    </w:r>
    <w:r w:rsidRPr="00FB3656">
      <w:rPr>
        <w:rStyle w:val="HideTWBExt"/>
        <w:noProof w:val="0"/>
      </w:rPr>
      <w:t>&lt;/NoPE&gt;&lt;Version&gt;</w:t>
    </w:r>
    <w:r w:rsidRPr="00FB3656">
      <w:t>v01-00</w:t>
    </w:r>
    <w:r w:rsidRPr="00FB3656">
      <w:rPr>
        <w:rStyle w:val="HideTWBExt"/>
        <w:noProof w:val="0"/>
      </w:rPr>
      <w:t>&lt;/Version&gt;</w:t>
    </w:r>
    <w:r w:rsidRPr="00FB3656">
      <w:tab/>
    </w:r>
    <w:r w:rsidRPr="00FB3656">
      <w:fldChar w:fldCharType="begin"/>
    </w:r>
    <w:r w:rsidRPr="00FB3656">
      <w:instrText xml:space="preserve"> PAGE  \* MERGEFORMAT </w:instrText>
    </w:r>
    <w:r w:rsidRPr="00FB3656">
      <w:fldChar w:fldCharType="separate"/>
    </w:r>
    <w:r w:rsidR="00DB3936">
      <w:rPr>
        <w:noProof/>
      </w:rPr>
      <w:t>6</w:t>
    </w:r>
    <w:r w:rsidRPr="00FB3656">
      <w:fldChar w:fldCharType="end"/>
    </w:r>
    <w:r w:rsidRPr="00FB3656">
      <w:t>/</w:t>
    </w:r>
    <w:fldSimple w:instr=" NUMPAGES  \* MERGEFORMAT ">
      <w:r w:rsidR="00DB3936">
        <w:rPr>
          <w:noProof/>
        </w:rPr>
        <w:t>7</w:t>
      </w:r>
    </w:fldSimple>
    <w:r w:rsidRPr="00FB3656">
      <w:tab/>
    </w:r>
    <w:r w:rsidRPr="00FB3656">
      <w:rPr>
        <w:rStyle w:val="HideTWBExt"/>
        <w:noProof w:val="0"/>
      </w:rPr>
      <w:t>&lt;PathFdR&gt;</w:t>
    </w:r>
    <w:r w:rsidR="00FB3656" w:rsidRPr="00FB3656">
      <w:t>RE\1194585FI.docx</w:t>
    </w:r>
    <w:r w:rsidRPr="00FB3656">
      <w:rPr>
        <w:rStyle w:val="HideTWBExt"/>
        <w:noProof w:val="0"/>
      </w:rPr>
      <w:t>&lt;/PathFdR&gt;</w:t>
    </w:r>
  </w:p>
  <w:p w14:paraId="70B0E281" w14:textId="4692196F" w:rsidR="00F17D74" w:rsidRPr="00FB3656" w:rsidRDefault="0012201F" w:rsidP="0012201F">
    <w:pPr>
      <w:pStyle w:val="EPFooter2"/>
    </w:pPr>
    <w:r w:rsidRPr="00FB3656">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C0F54F8" w14:textId="7A1DBECA" w:rsidR="0012201F" w:rsidRPr="00FB3656" w:rsidRDefault="0012201F" w:rsidP="0012201F">
    <w:pPr>
      <w:pStyle w:val="EPFooter"/>
    </w:pPr>
    <w:r w:rsidRPr="00FB3656">
      <w:rPr>
        <w:rStyle w:val="HideTWBExt"/>
        <w:noProof w:val="0"/>
      </w:rPr>
      <w:t>&lt;PathFdR&gt;</w:t>
    </w:r>
    <w:r w:rsidR="00FB3656" w:rsidRPr="00FB3656">
      <w:t>RE\1194585FI.docx</w:t>
    </w:r>
    <w:r w:rsidRPr="00FB3656">
      <w:rPr>
        <w:rStyle w:val="HideTWBExt"/>
        <w:noProof w:val="0"/>
      </w:rPr>
      <w:t>&lt;/PathFdR&gt;</w:t>
    </w:r>
    <w:r w:rsidRPr="00FB3656">
      <w:tab/>
    </w:r>
    <w:r w:rsidRPr="00FB3656">
      <w:fldChar w:fldCharType="begin"/>
    </w:r>
    <w:r w:rsidRPr="00FB3656">
      <w:instrText xml:space="preserve"> PAGE  \* MERGEFORMAT </w:instrText>
    </w:r>
    <w:r w:rsidRPr="00FB3656">
      <w:fldChar w:fldCharType="separate"/>
    </w:r>
    <w:r w:rsidR="00DB3936">
      <w:rPr>
        <w:noProof/>
      </w:rPr>
      <w:t>7</w:t>
    </w:r>
    <w:r w:rsidRPr="00FB3656">
      <w:fldChar w:fldCharType="end"/>
    </w:r>
    <w:r w:rsidRPr="00FB3656">
      <w:t>/</w:t>
    </w:r>
    <w:fldSimple w:instr=" NUMPAGES  \* MERGEFORMAT ">
      <w:r w:rsidR="00DB3936">
        <w:rPr>
          <w:noProof/>
        </w:rPr>
        <w:t>7</w:t>
      </w:r>
    </w:fldSimple>
    <w:r w:rsidRPr="00FB3656">
      <w:tab/>
      <w:t>PE</w:t>
    </w:r>
    <w:r w:rsidRPr="00FB3656">
      <w:rPr>
        <w:rStyle w:val="HideTWBExt"/>
        <w:noProof w:val="0"/>
      </w:rPr>
      <w:t>&lt;NoPE&gt;</w:t>
    </w:r>
    <w:r w:rsidRPr="00FB3656">
      <w:t>643.400</w:t>
    </w:r>
    <w:r w:rsidRPr="00FB3656">
      <w:rPr>
        <w:rStyle w:val="HideTWBExt"/>
        <w:noProof w:val="0"/>
      </w:rPr>
      <w:t>&lt;/NoPE&gt;&lt;Version&gt;</w:t>
    </w:r>
    <w:r w:rsidRPr="00FB3656">
      <w:t>v01-00</w:t>
    </w:r>
    <w:r w:rsidRPr="00FB3656">
      <w:rPr>
        <w:rStyle w:val="HideTWBExt"/>
        <w:noProof w:val="0"/>
      </w:rPr>
      <w:t>&lt;/Version&gt;</w:t>
    </w:r>
  </w:p>
  <w:p w14:paraId="05A9DBF3" w14:textId="790251A4" w:rsidR="00F17D74" w:rsidRPr="00FB3656" w:rsidRDefault="0012201F" w:rsidP="0012201F">
    <w:pPr>
      <w:pStyle w:val="EPFooter2"/>
    </w:pPr>
    <w:r w:rsidRPr="00FB3656">
      <w:tab/>
    </w:r>
    <w:r w:rsidRPr="00FB3656">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E507CB" w14:textId="770D63AA" w:rsidR="0012201F" w:rsidRPr="00FB3656" w:rsidRDefault="0012201F" w:rsidP="0012201F">
    <w:pPr>
      <w:pStyle w:val="EPFooter"/>
    </w:pPr>
    <w:r w:rsidRPr="00FB3656">
      <w:rPr>
        <w:rStyle w:val="HideTWBExt"/>
        <w:noProof w:val="0"/>
      </w:rPr>
      <w:t>&lt;PathFdR&gt;</w:t>
    </w:r>
    <w:r w:rsidR="00FB3656" w:rsidRPr="00FB3656">
      <w:t>RE\1194585FI.docx</w:t>
    </w:r>
    <w:r w:rsidRPr="00FB3656">
      <w:rPr>
        <w:rStyle w:val="HideTWBExt"/>
        <w:noProof w:val="0"/>
      </w:rPr>
      <w:t>&lt;/PathFdR&gt;</w:t>
    </w:r>
    <w:r w:rsidRPr="00FB3656">
      <w:tab/>
    </w:r>
    <w:r w:rsidRPr="00FB3656">
      <w:tab/>
      <w:t>PE</w:t>
    </w:r>
    <w:r w:rsidRPr="00FB3656">
      <w:rPr>
        <w:rStyle w:val="HideTWBExt"/>
        <w:noProof w:val="0"/>
      </w:rPr>
      <w:t>&lt;NoPE&gt;</w:t>
    </w:r>
    <w:r w:rsidRPr="00FB3656">
      <w:t>643.400</w:t>
    </w:r>
    <w:r w:rsidRPr="00FB3656">
      <w:rPr>
        <w:rStyle w:val="HideTWBExt"/>
        <w:noProof w:val="0"/>
      </w:rPr>
      <w:t>&lt;/NoPE&gt;&lt;Version&gt;</w:t>
    </w:r>
    <w:r w:rsidRPr="00FB3656">
      <w:t>v01-00</w:t>
    </w:r>
    <w:r w:rsidRPr="00FB3656">
      <w:rPr>
        <w:rStyle w:val="HideTWBExt"/>
        <w:noProof w:val="0"/>
      </w:rPr>
      <w:t>&lt;/Version&gt;</w:t>
    </w:r>
  </w:p>
  <w:p w14:paraId="1B387F77" w14:textId="12D6EBDC" w:rsidR="00F17D74" w:rsidRPr="00FB3656" w:rsidRDefault="0012201F" w:rsidP="0012201F">
    <w:pPr>
      <w:pStyle w:val="EPFooter2"/>
    </w:pPr>
    <w:r w:rsidRPr="00FB3656">
      <w:t>FI</w:t>
    </w:r>
    <w:r w:rsidRPr="00FB3656">
      <w:tab/>
    </w:r>
    <w:r w:rsidRPr="00FB3656">
      <w:rPr>
        <w:b w:val="0"/>
        <w:i/>
        <w:color w:val="C0C0C0"/>
        <w:sz w:val="22"/>
      </w:rPr>
      <w:t>Moninaisuudessaan yhtenäinen</w:t>
    </w:r>
    <w:r w:rsidRPr="00FB3656">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3DAC4F" w14:textId="77777777" w:rsidR="00A8047F" w:rsidRPr="00FB3656" w:rsidRDefault="00A8047F">
      <w:r w:rsidRPr="00FB3656">
        <w:separator/>
      </w:r>
    </w:p>
  </w:footnote>
  <w:footnote w:type="continuationSeparator" w:id="0">
    <w:p w14:paraId="22F80EF2" w14:textId="77777777" w:rsidR="00A8047F" w:rsidRPr="00FB3656" w:rsidRDefault="00A8047F">
      <w:r w:rsidRPr="00FB3656">
        <w:continuationSeparator/>
      </w:r>
    </w:p>
  </w:footnote>
  <w:footnote w:id="1">
    <w:p w14:paraId="7BAABB67" w14:textId="77777777" w:rsidR="00B22707" w:rsidRPr="00FB3656" w:rsidRDefault="00B22707" w:rsidP="00EE6073">
      <w:pPr>
        <w:pStyle w:val="FootnoteText"/>
      </w:pPr>
      <w:r w:rsidRPr="00FB3656">
        <w:rPr>
          <w:rStyle w:val="FootnoteReference"/>
        </w:rPr>
        <w:footnoteRef/>
      </w:r>
      <w:r w:rsidRPr="00FB3656">
        <w:rPr>
          <w:rStyle w:val="FootnoteReference"/>
        </w:rPr>
        <w:t xml:space="preserve"> </w:t>
      </w:r>
      <w:r w:rsidRPr="00FB3656">
        <w:t>EUVL L 309, 24.</w:t>
      </w:r>
      <w:r w:rsidRPr="00FB3656">
        <w:rPr>
          <w:rStyle w:val="Style1Char"/>
          <w:sz w:val="20"/>
          <w:szCs w:val="20"/>
        </w:rPr>
        <w:t>11</w:t>
      </w:r>
      <w:r w:rsidRPr="00FB3656">
        <w:t>.2009, s. 1.</w:t>
      </w:r>
    </w:p>
  </w:footnote>
  <w:footnote w:id="2">
    <w:p w14:paraId="5FE46789" w14:textId="77777777" w:rsidR="00B22707" w:rsidRPr="00FB3656" w:rsidRDefault="00B22707" w:rsidP="00EE6073">
      <w:pPr>
        <w:pStyle w:val="FootnoteText"/>
      </w:pPr>
      <w:r w:rsidRPr="00FB3656">
        <w:rPr>
          <w:rStyle w:val="FootnoteReference"/>
        </w:rPr>
        <w:footnoteRef/>
      </w:r>
      <w:r w:rsidRPr="00FB3656">
        <w:rPr>
          <w:rStyle w:val="FootnoteReference"/>
        </w:rPr>
        <w:t xml:space="preserve"> </w:t>
      </w:r>
      <w:r w:rsidRPr="00FB3656">
        <w:t>EUVL L 67, 12.3.2015, s. 18.</w:t>
      </w:r>
    </w:p>
  </w:footnote>
  <w:footnote w:id="3">
    <w:p w14:paraId="5864DC31" w14:textId="77777777" w:rsidR="00B22707" w:rsidRPr="00FB3656" w:rsidRDefault="00B22707" w:rsidP="00EE6073">
      <w:pPr>
        <w:pStyle w:val="FootnoteText"/>
      </w:pPr>
      <w:r w:rsidRPr="00FB3656">
        <w:rPr>
          <w:rStyle w:val="FootnoteReference"/>
        </w:rPr>
        <w:footnoteRef/>
      </w:r>
      <w:r w:rsidRPr="00FB3656">
        <w:rPr>
          <w:rStyle w:val="FootnoteReference"/>
        </w:rPr>
        <w:t xml:space="preserve"> </w:t>
      </w:r>
      <w:r w:rsidRPr="00FB3656">
        <w:t>EUVL L 55, 28.2.2011, s. 13.</w:t>
      </w:r>
    </w:p>
  </w:footnote>
  <w:footnote w:id="4">
    <w:p w14:paraId="30603372" w14:textId="77777777" w:rsidR="00B22707" w:rsidRPr="00FB3656" w:rsidRDefault="00B22707" w:rsidP="00EE6073">
      <w:pPr>
        <w:pStyle w:val="FootnoteText"/>
      </w:pPr>
      <w:r w:rsidRPr="00FB3656">
        <w:rPr>
          <w:rStyle w:val="FootnoteReference"/>
        </w:rPr>
        <w:footnoteRef/>
      </w:r>
      <w:r w:rsidRPr="00FB3656">
        <w:rPr>
          <w:rStyle w:val="FootnoteReference"/>
        </w:rPr>
        <w:t xml:space="preserve"> </w:t>
      </w:r>
      <w:r w:rsidRPr="00FB3656">
        <w:t>Hyväksytyt tekstit, P8_</w:t>
      </w:r>
      <w:proofErr w:type="gramStart"/>
      <w:r w:rsidRPr="00FB3656">
        <w:t>TA(</w:t>
      </w:r>
      <w:proofErr w:type="gramEnd"/>
      <w:r w:rsidRPr="00FB3656">
        <w:t>2018)0356.</w:t>
      </w:r>
    </w:p>
  </w:footnote>
  <w:footnote w:id="5">
    <w:p w14:paraId="75A2689D"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Neuvoston direktiivi 91/414/ETY, annettu 15. heinäkuuta 1991, kasvinsuojeluaineiden markkinoille saattamisesta (EYVL L 230, 19.8.1991, s. 1).</w:t>
      </w:r>
    </w:p>
  </w:footnote>
  <w:footnote w:id="6">
    <w:p w14:paraId="729444D2"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 xml:space="preserve">Komission direktiivi 2006/75/EY, annettu 11. syyskuuta 2006, neuvoston direktiivin 91/414/ETY muuttamisesta </w:t>
      </w:r>
      <w:proofErr w:type="spellStart"/>
      <w:r w:rsidRPr="00FB3656">
        <w:t>dimoksistrobiinin</w:t>
      </w:r>
      <w:proofErr w:type="spellEnd"/>
      <w:r w:rsidRPr="00FB3656">
        <w:t xml:space="preserve"> sisällyttämiseksi siihen tehoaineena (EUVL L 248, 12.9.2006, s. 3.)</w:t>
      </w:r>
    </w:p>
  </w:footnote>
  <w:footnote w:id="7">
    <w:p w14:paraId="3D211ACF"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 xml:space="preserve">Komission täytäntöönpanoasetus (EU) </w:t>
      </w:r>
      <w:proofErr w:type="gramStart"/>
      <w:r w:rsidRPr="00FB3656">
        <w:t>N:o</w:t>
      </w:r>
      <w:proofErr w:type="gramEnd"/>
      <w:r w:rsidRPr="00FB3656">
        <w:t xml:space="preserve"> 844/2012, annettu 18. syyskuuta 2012, säännösten vahvistamisesta tehoaineiden uusimismenettelyn </w:t>
      </w:r>
      <w:proofErr w:type="spellStart"/>
      <w:r w:rsidRPr="00FB3656">
        <w:t>täytäntöönpanemiseksi</w:t>
      </w:r>
      <w:proofErr w:type="spellEnd"/>
      <w:r w:rsidRPr="00FB3656">
        <w:t xml:space="preserve"> kasvinsuojeluaineiden markkinoille saattamisesta annetun Euroopan parlamentin ja neuvoston asetuksen (EY) N:o 1107/2009 mukaisesti (EUVL L 252, 19.9.2012, s. 26).</w:t>
      </w:r>
    </w:p>
  </w:footnote>
  <w:footnote w:id="8">
    <w:p w14:paraId="3A0E4E0B"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 xml:space="preserve">Komission täytäntöönpanoasetus (EU) </w:t>
      </w:r>
      <w:proofErr w:type="gramStart"/>
      <w:r w:rsidRPr="00FB3656">
        <w:t>N:o</w:t>
      </w:r>
      <w:proofErr w:type="gramEnd"/>
      <w:r w:rsidRPr="00FB3656">
        <w:t xml:space="preserve"> 1136/2013, annettu 12. marraskuuta 2013, täytäntöönpanoasetuksen (EU) N:o 540/2011 muuttamisesta siltä osin kuin on kyse tehoaineiden </w:t>
      </w:r>
      <w:proofErr w:type="spellStart"/>
      <w:r w:rsidRPr="00FB3656">
        <w:t>klotianidiini</w:t>
      </w:r>
      <w:proofErr w:type="spellEnd"/>
      <w:r w:rsidRPr="00FB3656">
        <w:t xml:space="preserve">, </w:t>
      </w:r>
      <w:proofErr w:type="spellStart"/>
      <w:r w:rsidRPr="00FB3656">
        <w:t>dimoksistrobiini</w:t>
      </w:r>
      <w:proofErr w:type="spellEnd"/>
      <w:r w:rsidRPr="00FB3656">
        <w:t xml:space="preserve">, </w:t>
      </w:r>
      <w:proofErr w:type="spellStart"/>
      <w:r w:rsidRPr="00FB3656">
        <w:t>oksamyyli</w:t>
      </w:r>
      <w:proofErr w:type="spellEnd"/>
      <w:r w:rsidRPr="00FB3656">
        <w:t xml:space="preserve"> ja </w:t>
      </w:r>
      <w:proofErr w:type="spellStart"/>
      <w:r w:rsidRPr="00FB3656">
        <w:t>petoksamidi</w:t>
      </w:r>
      <w:proofErr w:type="spellEnd"/>
      <w:r w:rsidRPr="00FB3656">
        <w:t xml:space="preserve"> hyväksynnän voimassaoloajan pidentämisestä (EUVL L 302, 13.11.2013, s. 34).</w:t>
      </w:r>
    </w:p>
  </w:footnote>
  <w:footnote w:id="9">
    <w:p w14:paraId="51D4C37A"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 xml:space="preserve">Komission täytäntöönpanoasetus (EU) 2018/84, annettu 19. tammikuuta 2018, täytäntöönpanoasetuksen (EU) </w:t>
      </w:r>
      <w:proofErr w:type="gramStart"/>
      <w:r w:rsidRPr="00FB3656">
        <w:t>N:o</w:t>
      </w:r>
      <w:proofErr w:type="gramEnd"/>
      <w:r w:rsidRPr="00FB3656">
        <w:t xml:space="preserve"> 540/2011 muuttamisesta siltä osin kuin on kyse tehoaineiden </w:t>
      </w:r>
      <w:proofErr w:type="spellStart"/>
      <w:r w:rsidRPr="00FB3656">
        <w:t>klooripyrifossi</w:t>
      </w:r>
      <w:proofErr w:type="spellEnd"/>
      <w:r w:rsidRPr="00FB3656">
        <w:t xml:space="preserve">, </w:t>
      </w:r>
      <w:proofErr w:type="spellStart"/>
      <w:r w:rsidRPr="00FB3656">
        <w:t>klooripyrifossimetyyli</w:t>
      </w:r>
      <w:proofErr w:type="spellEnd"/>
      <w:r w:rsidRPr="00FB3656">
        <w:t xml:space="preserve">, </w:t>
      </w:r>
      <w:proofErr w:type="spellStart"/>
      <w:r w:rsidRPr="00FB3656">
        <w:t>klotianidiini</w:t>
      </w:r>
      <w:proofErr w:type="spellEnd"/>
      <w:r w:rsidRPr="00FB3656">
        <w:t xml:space="preserve">, kupariyhdisteet, </w:t>
      </w:r>
      <w:proofErr w:type="spellStart"/>
      <w:r w:rsidRPr="00FB3656">
        <w:t>dimoksistrobiini</w:t>
      </w:r>
      <w:proofErr w:type="spellEnd"/>
      <w:r w:rsidRPr="00FB3656">
        <w:t xml:space="preserve">, </w:t>
      </w:r>
      <w:proofErr w:type="spellStart"/>
      <w:r w:rsidRPr="00FB3656">
        <w:t>mankotsebi</w:t>
      </w:r>
      <w:proofErr w:type="spellEnd"/>
      <w:r w:rsidRPr="00FB3656">
        <w:t xml:space="preserve">, </w:t>
      </w:r>
      <w:proofErr w:type="spellStart"/>
      <w:r w:rsidRPr="00FB3656">
        <w:t>mekoproppi</w:t>
      </w:r>
      <w:proofErr w:type="spellEnd"/>
      <w:r w:rsidRPr="00FB3656">
        <w:t xml:space="preserve">-P, </w:t>
      </w:r>
      <w:proofErr w:type="spellStart"/>
      <w:r w:rsidRPr="00FB3656">
        <w:t>metiraami</w:t>
      </w:r>
      <w:proofErr w:type="spellEnd"/>
      <w:r w:rsidRPr="00FB3656">
        <w:t xml:space="preserve">, </w:t>
      </w:r>
      <w:proofErr w:type="spellStart"/>
      <w:r w:rsidRPr="00FB3656">
        <w:t>oksamyyli</w:t>
      </w:r>
      <w:proofErr w:type="spellEnd"/>
      <w:r w:rsidRPr="00FB3656">
        <w:t xml:space="preserve">, </w:t>
      </w:r>
      <w:proofErr w:type="spellStart"/>
      <w:r w:rsidRPr="00FB3656">
        <w:t>petoksamidi</w:t>
      </w:r>
      <w:proofErr w:type="spellEnd"/>
      <w:r w:rsidRPr="00FB3656">
        <w:t xml:space="preserve">, </w:t>
      </w:r>
      <w:proofErr w:type="spellStart"/>
      <w:r w:rsidRPr="00FB3656">
        <w:t>propikonatsoli</w:t>
      </w:r>
      <w:proofErr w:type="spellEnd"/>
      <w:r w:rsidRPr="00FB3656">
        <w:t xml:space="preserve">, </w:t>
      </w:r>
      <w:proofErr w:type="spellStart"/>
      <w:r w:rsidRPr="00FB3656">
        <w:t>propinebi</w:t>
      </w:r>
      <w:proofErr w:type="spellEnd"/>
      <w:r w:rsidRPr="00FB3656">
        <w:t xml:space="preserve">, </w:t>
      </w:r>
      <w:proofErr w:type="spellStart"/>
      <w:r w:rsidRPr="00FB3656">
        <w:t>propytsamidi</w:t>
      </w:r>
      <w:proofErr w:type="spellEnd"/>
      <w:r w:rsidRPr="00FB3656">
        <w:t xml:space="preserve">, </w:t>
      </w:r>
      <w:proofErr w:type="spellStart"/>
      <w:r w:rsidRPr="00FB3656">
        <w:t>pyraklostrobiini</w:t>
      </w:r>
      <w:proofErr w:type="spellEnd"/>
      <w:r w:rsidRPr="00FB3656">
        <w:t xml:space="preserve"> ja </w:t>
      </w:r>
      <w:proofErr w:type="spellStart"/>
      <w:r w:rsidRPr="00FB3656">
        <w:t>tsoksamidi</w:t>
      </w:r>
      <w:proofErr w:type="spellEnd"/>
      <w:r w:rsidRPr="00FB3656">
        <w:t xml:space="preserve"> hyväksynnän voimassaoloajan pidentämisestä (EUVL L 16, 20.1.2018, s. 8).</w:t>
      </w:r>
    </w:p>
  </w:footnote>
  <w:footnote w:id="10">
    <w:p w14:paraId="6A5C0419"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 xml:space="preserve">Komission täytäntöönpanoasetus (EU) 2018/1796, annettu 20. marraskuuta 2018, täytäntöönpanoasetuksen (EU) N:o 540/2011 muuttamisesta siltä osin kuin on kyse tehoaineiden </w:t>
      </w:r>
      <w:proofErr w:type="spellStart"/>
      <w:r w:rsidRPr="00FB3656">
        <w:t>amidosulfuroni</w:t>
      </w:r>
      <w:proofErr w:type="spellEnd"/>
      <w:r w:rsidRPr="00FB3656">
        <w:t xml:space="preserve">, </w:t>
      </w:r>
      <w:proofErr w:type="spellStart"/>
      <w:r w:rsidRPr="00FB3656">
        <w:t>bifenoksi</w:t>
      </w:r>
      <w:proofErr w:type="spellEnd"/>
      <w:r w:rsidRPr="00FB3656">
        <w:t xml:space="preserve">, </w:t>
      </w:r>
      <w:proofErr w:type="spellStart"/>
      <w:r w:rsidRPr="00FB3656">
        <w:t>klooripyrifossi</w:t>
      </w:r>
      <w:proofErr w:type="spellEnd"/>
      <w:r w:rsidRPr="00FB3656">
        <w:t xml:space="preserve">, </w:t>
      </w:r>
      <w:proofErr w:type="spellStart"/>
      <w:r w:rsidRPr="00FB3656">
        <w:t>klooripyrifossimetyyli</w:t>
      </w:r>
      <w:proofErr w:type="spellEnd"/>
      <w:r w:rsidRPr="00FB3656">
        <w:t xml:space="preserve">, </w:t>
      </w:r>
      <w:proofErr w:type="spellStart"/>
      <w:r w:rsidRPr="00FB3656">
        <w:t>klofentetsiini</w:t>
      </w:r>
      <w:proofErr w:type="spellEnd"/>
      <w:r w:rsidRPr="00FB3656">
        <w:t xml:space="preserve">, </w:t>
      </w:r>
      <w:proofErr w:type="spellStart"/>
      <w:r w:rsidRPr="00FB3656">
        <w:t>dikamba</w:t>
      </w:r>
      <w:proofErr w:type="spellEnd"/>
      <w:r w:rsidRPr="00FB3656">
        <w:t xml:space="preserve">, </w:t>
      </w:r>
      <w:proofErr w:type="spellStart"/>
      <w:r w:rsidRPr="00FB3656">
        <w:t>difenokonatsoli</w:t>
      </w:r>
      <w:proofErr w:type="spellEnd"/>
      <w:r w:rsidRPr="00FB3656">
        <w:t xml:space="preserve">, </w:t>
      </w:r>
      <w:proofErr w:type="spellStart"/>
      <w:r w:rsidRPr="00FB3656">
        <w:t>diflubentsuroni</w:t>
      </w:r>
      <w:proofErr w:type="spellEnd"/>
      <w:r w:rsidRPr="00FB3656">
        <w:t xml:space="preserve">, </w:t>
      </w:r>
      <w:proofErr w:type="spellStart"/>
      <w:r w:rsidRPr="00FB3656">
        <w:t>diflufenikaani</w:t>
      </w:r>
      <w:proofErr w:type="spellEnd"/>
      <w:r w:rsidRPr="00FB3656">
        <w:t xml:space="preserve">, </w:t>
      </w:r>
      <w:proofErr w:type="spellStart"/>
      <w:r w:rsidRPr="00FB3656">
        <w:t>dimoksistrobiini</w:t>
      </w:r>
      <w:proofErr w:type="spellEnd"/>
      <w:r w:rsidRPr="00FB3656">
        <w:t xml:space="preserve">, </w:t>
      </w:r>
      <w:proofErr w:type="spellStart"/>
      <w:r w:rsidRPr="00FB3656">
        <w:t>fenoksaproppi</w:t>
      </w:r>
      <w:proofErr w:type="spellEnd"/>
      <w:r w:rsidRPr="00FB3656">
        <w:t xml:space="preserve">-P, </w:t>
      </w:r>
      <w:proofErr w:type="spellStart"/>
      <w:r w:rsidRPr="00FB3656">
        <w:t>fenpropidiini</w:t>
      </w:r>
      <w:proofErr w:type="spellEnd"/>
      <w:r w:rsidRPr="00FB3656">
        <w:t xml:space="preserve">, </w:t>
      </w:r>
      <w:proofErr w:type="spellStart"/>
      <w:r w:rsidRPr="00FB3656">
        <w:t>lenasiili</w:t>
      </w:r>
      <w:proofErr w:type="spellEnd"/>
      <w:r w:rsidRPr="00FB3656">
        <w:t xml:space="preserve">, </w:t>
      </w:r>
      <w:proofErr w:type="spellStart"/>
      <w:r w:rsidRPr="00FB3656">
        <w:t>mankotsebi</w:t>
      </w:r>
      <w:proofErr w:type="spellEnd"/>
      <w:r w:rsidRPr="00FB3656">
        <w:t xml:space="preserve">, </w:t>
      </w:r>
      <w:proofErr w:type="spellStart"/>
      <w:r w:rsidRPr="00FB3656">
        <w:t>mekoproppi</w:t>
      </w:r>
      <w:proofErr w:type="spellEnd"/>
      <w:r w:rsidRPr="00FB3656">
        <w:t xml:space="preserve">-P, </w:t>
      </w:r>
      <w:proofErr w:type="spellStart"/>
      <w:r w:rsidRPr="00FB3656">
        <w:t>metiraami</w:t>
      </w:r>
      <w:proofErr w:type="spellEnd"/>
      <w:r w:rsidRPr="00FB3656">
        <w:t xml:space="preserve">, </w:t>
      </w:r>
      <w:proofErr w:type="spellStart"/>
      <w:r w:rsidRPr="00FB3656">
        <w:t>nikosulfuroni</w:t>
      </w:r>
      <w:proofErr w:type="spellEnd"/>
      <w:r w:rsidRPr="00FB3656">
        <w:t xml:space="preserve">, </w:t>
      </w:r>
      <w:proofErr w:type="spellStart"/>
      <w:r w:rsidRPr="00FB3656">
        <w:t>oksamyyli</w:t>
      </w:r>
      <w:proofErr w:type="spellEnd"/>
      <w:r w:rsidRPr="00FB3656">
        <w:t xml:space="preserve">, </w:t>
      </w:r>
      <w:proofErr w:type="spellStart"/>
      <w:r w:rsidRPr="00FB3656">
        <w:t>pikloraami</w:t>
      </w:r>
      <w:proofErr w:type="spellEnd"/>
      <w:r w:rsidRPr="00FB3656">
        <w:t xml:space="preserve">, </w:t>
      </w:r>
      <w:proofErr w:type="spellStart"/>
      <w:r w:rsidRPr="00FB3656">
        <w:t>pyraklostrobiini</w:t>
      </w:r>
      <w:proofErr w:type="spellEnd"/>
      <w:r w:rsidRPr="00FB3656">
        <w:t xml:space="preserve">, </w:t>
      </w:r>
      <w:proofErr w:type="spellStart"/>
      <w:r w:rsidRPr="00FB3656">
        <w:t>pyriproksifeeni</w:t>
      </w:r>
      <w:proofErr w:type="spellEnd"/>
      <w:r w:rsidRPr="00FB3656">
        <w:t xml:space="preserve"> ja </w:t>
      </w:r>
      <w:proofErr w:type="spellStart"/>
      <w:r w:rsidRPr="00FB3656">
        <w:t>tritosulfuroni</w:t>
      </w:r>
      <w:proofErr w:type="spellEnd"/>
      <w:r w:rsidRPr="00FB3656">
        <w:t xml:space="preserve"> hyväksynnän voimassaoloajan pidentämisestä (EUVL L 294, 21.11.2018, s. 15).</w:t>
      </w:r>
    </w:p>
  </w:footnote>
  <w:footnote w:id="11">
    <w:p w14:paraId="671618AF"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 xml:space="preserve">Komission direktiivi 2005/72/EY, annettu 21. lokakuuta 2005, neuvoston direktiivin 91/414/ETY muuttamisesta </w:t>
      </w:r>
      <w:proofErr w:type="spellStart"/>
      <w:r w:rsidRPr="00FB3656">
        <w:t>klooripyrifossin</w:t>
      </w:r>
      <w:proofErr w:type="spellEnd"/>
      <w:r w:rsidRPr="00FB3656">
        <w:t xml:space="preserve">, </w:t>
      </w:r>
      <w:proofErr w:type="spellStart"/>
      <w:r w:rsidRPr="00FB3656">
        <w:t>klooripyrifossimetyylin</w:t>
      </w:r>
      <w:proofErr w:type="spellEnd"/>
      <w:r w:rsidRPr="00FB3656">
        <w:t xml:space="preserve">, </w:t>
      </w:r>
      <w:proofErr w:type="spellStart"/>
      <w:r w:rsidRPr="00FB3656">
        <w:t>mankotsebin</w:t>
      </w:r>
      <w:proofErr w:type="spellEnd"/>
      <w:r w:rsidRPr="00FB3656">
        <w:t xml:space="preserve">, </w:t>
      </w:r>
      <w:proofErr w:type="spellStart"/>
      <w:r w:rsidRPr="00FB3656">
        <w:t>manebin</w:t>
      </w:r>
      <w:proofErr w:type="spellEnd"/>
      <w:r w:rsidRPr="00FB3656">
        <w:t xml:space="preserve"> ja </w:t>
      </w:r>
      <w:proofErr w:type="spellStart"/>
      <w:r w:rsidRPr="00FB3656">
        <w:t>metiraamin</w:t>
      </w:r>
      <w:proofErr w:type="spellEnd"/>
      <w:r w:rsidRPr="00FB3656">
        <w:t xml:space="preserve"> sisällyttämiseksi siihen tehoaineina (EUVL L 279, 22.10.2005, s. 63).</w:t>
      </w:r>
    </w:p>
  </w:footnote>
  <w:footnote w:id="12">
    <w:p w14:paraId="55BDD71A"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 xml:space="preserve">Komission täytäntöönpanoasetus (EU) </w:t>
      </w:r>
      <w:proofErr w:type="gramStart"/>
      <w:r w:rsidRPr="00FB3656">
        <w:t>N:o</w:t>
      </w:r>
      <w:proofErr w:type="gramEnd"/>
      <w:r w:rsidRPr="00FB3656">
        <w:t xml:space="preserve"> 762/2013, annettu 7. elokuuta 2013, täytäntöönpanoasetuksen (EU) N:o 540/2011 muuttamisesta tehoaineiden </w:t>
      </w:r>
      <w:proofErr w:type="spellStart"/>
      <w:r w:rsidRPr="00FB3656">
        <w:t>klooripyrifossi</w:t>
      </w:r>
      <w:proofErr w:type="spellEnd"/>
      <w:r w:rsidRPr="00FB3656">
        <w:t xml:space="preserve">, </w:t>
      </w:r>
      <w:proofErr w:type="spellStart"/>
      <w:r w:rsidRPr="00FB3656">
        <w:t>klooripyrifossimetyyli</w:t>
      </w:r>
      <w:proofErr w:type="spellEnd"/>
      <w:r w:rsidRPr="00FB3656">
        <w:t xml:space="preserve">, </w:t>
      </w:r>
      <w:proofErr w:type="spellStart"/>
      <w:r w:rsidRPr="00FB3656">
        <w:t>mankotsebi</w:t>
      </w:r>
      <w:proofErr w:type="spellEnd"/>
      <w:r w:rsidRPr="00FB3656">
        <w:t xml:space="preserve">, </w:t>
      </w:r>
      <w:proofErr w:type="spellStart"/>
      <w:r w:rsidRPr="00FB3656">
        <w:t>manebi</w:t>
      </w:r>
      <w:proofErr w:type="spellEnd"/>
      <w:r w:rsidRPr="00FB3656">
        <w:t xml:space="preserve">, MCPA, MCPB ja </w:t>
      </w:r>
      <w:proofErr w:type="spellStart"/>
      <w:r w:rsidRPr="00FB3656">
        <w:t>metiraami</w:t>
      </w:r>
      <w:proofErr w:type="spellEnd"/>
      <w:r w:rsidRPr="00FB3656">
        <w:t xml:space="preserve"> hyväksynnän voimassaoloajan pidentämisestä (EUVL L 213, 8.8.2013, s. 14).</w:t>
      </w:r>
    </w:p>
  </w:footnote>
  <w:footnote w:id="13">
    <w:p w14:paraId="6EF1DF01"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 xml:space="preserve">Euroopan parlamentin ja neuvoston asetus (EY) </w:t>
      </w:r>
      <w:proofErr w:type="gramStart"/>
      <w:r w:rsidRPr="00FB3656">
        <w:t>N:o</w:t>
      </w:r>
      <w:proofErr w:type="gramEnd"/>
      <w:r w:rsidRPr="00FB3656">
        <w:t xml:space="preserve"> 396/2005, annettu 23. helmikuuta 2005, torjunta-ainejäämien enimmäismääristä kasvi- ja eläinperäisissä elintarvikkeissa ja rehuissa tai niiden pinnalla sekä neuvoston direktiivin 91/414/ETY muuttamisesta (EUVL L 70, 16.3.2005, s. 1).</w:t>
      </w:r>
    </w:p>
  </w:footnote>
  <w:footnote w:id="14">
    <w:p w14:paraId="50050C0B" w14:textId="06759F62" w:rsidR="002E1B72" w:rsidRPr="00FB3656" w:rsidRDefault="002E1B72" w:rsidP="00EE6073">
      <w:pPr>
        <w:pStyle w:val="FootnoteText"/>
      </w:pPr>
      <w:r w:rsidRPr="00FB3656">
        <w:rPr>
          <w:rStyle w:val="FootnoteReference"/>
        </w:rPr>
        <w:footnoteRef/>
      </w:r>
      <w:r w:rsidRPr="00FB3656">
        <w:rPr>
          <w:rStyle w:val="FootnoteReference"/>
        </w:rPr>
        <w:t xml:space="preserve"> </w:t>
      </w:r>
      <w:hyperlink r:id="rId1" w:history="1">
        <w:r w:rsidRPr="00FB3656">
          <w:rPr>
            <w:rStyle w:val="Hyperlink"/>
          </w:rPr>
          <w:t>https://www.bnnvara.nl/zembla/artikelen/risico-op-ziekte-van-parkinson-bij-blootstelling-aan-landbouwgif</w:t>
        </w:r>
      </w:hyperlink>
      <w:r w:rsidRPr="00FB3656">
        <w:t xml:space="preserve">, </w:t>
      </w:r>
      <w:hyperlink r:id="rId2" w:history="1">
        <w:r w:rsidRPr="00FB3656">
          <w:rPr>
            <w:rStyle w:val="Hyperlink"/>
          </w:rPr>
          <w:t>https://www.ncbi.nlm.nih.gov/pubmed/23713084</w:t>
        </w:r>
      </w:hyperlink>
      <w:r w:rsidRPr="00FB3656">
        <w:t xml:space="preserve">, </w:t>
      </w:r>
      <w:hyperlink r:id="rId3" w:history="1">
        <w:r w:rsidRPr="00FB3656">
          <w:rPr>
            <w:rStyle w:val="Hyperlink"/>
          </w:rPr>
          <w:t>https://academic.oup.com/ije/article/47/1/299/4609336</w:t>
        </w:r>
      </w:hyperlink>
      <w:r w:rsidRPr="00FB3656">
        <w:rPr>
          <w:b/>
        </w:rPr>
        <w:t>.</w:t>
      </w:r>
    </w:p>
  </w:footnote>
  <w:footnote w:id="15">
    <w:p w14:paraId="6CABE460"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TK 21501–32, nro 1176.</w:t>
      </w:r>
    </w:p>
  </w:footnote>
  <w:footnote w:id="16">
    <w:p w14:paraId="196523AC" w14:textId="77777777" w:rsidR="002E1B72" w:rsidRPr="00FB3656" w:rsidRDefault="002E1B72" w:rsidP="00EE6073">
      <w:pPr>
        <w:pStyle w:val="FootnoteText"/>
      </w:pPr>
      <w:r w:rsidRPr="00FB3656">
        <w:rPr>
          <w:rStyle w:val="FootnoteReference"/>
        </w:rPr>
        <w:footnoteRef/>
      </w:r>
      <w:r w:rsidRPr="00FB3656">
        <w:rPr>
          <w:rStyle w:val="FootnoteReference"/>
        </w:rPr>
        <w:t xml:space="preserve"> </w:t>
      </w:r>
      <w:r w:rsidRPr="00FB3656">
        <w:t>TK 27858, nro 485.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FCEBB55" w14:textId="77777777" w:rsidR="007D5C88" w:rsidRDefault="007D5C8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D1DF12" w14:textId="77777777" w:rsidR="007D5C88" w:rsidRDefault="007D5C8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987D90" w14:textId="77777777" w:rsidR="007D5C88" w:rsidRDefault="007D5C8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1"/>
    <w:docVar w:name="AUTHORMNU" w:val=" 3"/>
    <w:docVar w:name="COMKEY" w:val="ENVI"/>
    <w:docVar w:name="DOCMNU" w:val=" 1"/>
    <w:docVar w:name="DOCTYPEMNU" w:val=" 2"/>
    <w:docVar w:name="INSTMNU" w:val=" 1"/>
    <w:docVar w:name="LastEditedSection" w:val=" 1"/>
    <w:docVar w:name="SERIALNRMNU" w:val=" 1"/>
    <w:docVar w:name="strSubDir" w:val="1194"/>
    <w:docVar w:name="TXTLANGUE" w:val="FI"/>
    <w:docVar w:name="TXTLANGUEMIN" w:val="fi"/>
    <w:docVar w:name="TXTNRB" w:val="0230/2019"/>
    <w:docVar w:name="TXTNRIMPLREG" w:val="(EU) No 540/2011"/>
    <w:docVar w:name="TXTNRPE" w:val="643.400"/>
    <w:docVar w:name="TXTNRREG" w:val="No 1107/2009"/>
    <w:docVar w:name="TXTNRRSP" w:val="2019/2925"/>
    <w:docVar w:name="TXTPEorAP" w:val="PE"/>
    <w:docVar w:name="TXTROUTE" w:val="RE\1194585FI.docx"/>
    <w:docVar w:name="TXTTITLE" w:val="on the extension of the approval periods of the active substances benfluralin, dimoxystrobin, fluazinam, flutolanil, mancozeb, mecoprop-P, mepiquat, metiram, oxamyl and pyraclostrobin"/>
    <w:docVar w:name="TXTVERSION" w:val="01-00"/>
  </w:docVars>
  <w:rsids>
    <w:rsidRoot w:val="00FA7FF4"/>
    <w:rsid w:val="00005AFD"/>
    <w:rsid w:val="00021195"/>
    <w:rsid w:val="000C7B89"/>
    <w:rsid w:val="000F53D7"/>
    <w:rsid w:val="00105F8B"/>
    <w:rsid w:val="0012201F"/>
    <w:rsid w:val="00135BD8"/>
    <w:rsid w:val="00152F37"/>
    <w:rsid w:val="00161525"/>
    <w:rsid w:val="00173927"/>
    <w:rsid w:val="00183C73"/>
    <w:rsid w:val="00184774"/>
    <w:rsid w:val="00191CBF"/>
    <w:rsid w:val="001B3282"/>
    <w:rsid w:val="001E693A"/>
    <w:rsid w:val="00211FEF"/>
    <w:rsid w:val="002307E3"/>
    <w:rsid w:val="00246D21"/>
    <w:rsid w:val="00271D36"/>
    <w:rsid w:val="002B4FCA"/>
    <w:rsid w:val="002E1B72"/>
    <w:rsid w:val="00356A3F"/>
    <w:rsid w:val="003C19D7"/>
    <w:rsid w:val="003F435F"/>
    <w:rsid w:val="00401F19"/>
    <w:rsid w:val="004412BE"/>
    <w:rsid w:val="00482070"/>
    <w:rsid w:val="00495DC8"/>
    <w:rsid w:val="004F5AFC"/>
    <w:rsid w:val="00534B1B"/>
    <w:rsid w:val="00541175"/>
    <w:rsid w:val="00560E87"/>
    <w:rsid w:val="005610C7"/>
    <w:rsid w:val="00561D84"/>
    <w:rsid w:val="00593EB0"/>
    <w:rsid w:val="00594254"/>
    <w:rsid w:val="005C346F"/>
    <w:rsid w:val="005E0A81"/>
    <w:rsid w:val="005E0BC3"/>
    <w:rsid w:val="006008EF"/>
    <w:rsid w:val="00601C85"/>
    <w:rsid w:val="006323E1"/>
    <w:rsid w:val="006438D3"/>
    <w:rsid w:val="00665C3C"/>
    <w:rsid w:val="00687220"/>
    <w:rsid w:val="006A51A8"/>
    <w:rsid w:val="006E3F57"/>
    <w:rsid w:val="00765B61"/>
    <w:rsid w:val="0079103B"/>
    <w:rsid w:val="007974DD"/>
    <w:rsid w:val="007B50DB"/>
    <w:rsid w:val="007C089B"/>
    <w:rsid w:val="007D5C88"/>
    <w:rsid w:val="007F11BE"/>
    <w:rsid w:val="00820E30"/>
    <w:rsid w:val="00824B90"/>
    <w:rsid w:val="00883BFE"/>
    <w:rsid w:val="00887625"/>
    <w:rsid w:val="00891B2F"/>
    <w:rsid w:val="008D776C"/>
    <w:rsid w:val="008E63E3"/>
    <w:rsid w:val="009424E5"/>
    <w:rsid w:val="00982585"/>
    <w:rsid w:val="00983DE7"/>
    <w:rsid w:val="009E0132"/>
    <w:rsid w:val="009F49C6"/>
    <w:rsid w:val="00A555B1"/>
    <w:rsid w:val="00A75662"/>
    <w:rsid w:val="00A8047F"/>
    <w:rsid w:val="00A93F71"/>
    <w:rsid w:val="00A964A4"/>
    <w:rsid w:val="00AA51F0"/>
    <w:rsid w:val="00B008C0"/>
    <w:rsid w:val="00B22707"/>
    <w:rsid w:val="00BB3326"/>
    <w:rsid w:val="00BE4D12"/>
    <w:rsid w:val="00C03AB9"/>
    <w:rsid w:val="00CF3E4E"/>
    <w:rsid w:val="00D025F2"/>
    <w:rsid w:val="00D26A07"/>
    <w:rsid w:val="00D44E5E"/>
    <w:rsid w:val="00D462E2"/>
    <w:rsid w:val="00D46D5C"/>
    <w:rsid w:val="00D60FF7"/>
    <w:rsid w:val="00D812AC"/>
    <w:rsid w:val="00D91ECA"/>
    <w:rsid w:val="00DA62AF"/>
    <w:rsid w:val="00DB3936"/>
    <w:rsid w:val="00DD39F6"/>
    <w:rsid w:val="00E323D6"/>
    <w:rsid w:val="00E32818"/>
    <w:rsid w:val="00E61519"/>
    <w:rsid w:val="00E663BC"/>
    <w:rsid w:val="00E9405E"/>
    <w:rsid w:val="00EC0D4C"/>
    <w:rsid w:val="00EE6073"/>
    <w:rsid w:val="00F05FB6"/>
    <w:rsid w:val="00F17D74"/>
    <w:rsid w:val="00F459B1"/>
    <w:rsid w:val="00F75D46"/>
    <w:rsid w:val="00F911FD"/>
    <w:rsid w:val="00F9151F"/>
    <w:rsid w:val="00FA15D2"/>
    <w:rsid w:val="00FA7FF4"/>
    <w:rsid w:val="00FB3656"/>
    <w:rsid w:val="00FC014F"/>
    <w:rsid w:val="00FC76E9"/>
    <w:rsid w:val="00FC7DBF"/>
    <w:rsid w:val="00FE6B0E"/>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0D84A09"/>
  <w15:chartTrackingRefBased/>
  <w15:docId w15:val="{F5238851-8CED-4532-B6E3-73602BDCE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3E3"/>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b w:val="0"/>
      <w:i w:val="0"/>
      <w:strike w:val="0"/>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87625"/>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CoverBold">
    <w:name w:val="CoverBold"/>
    <w:basedOn w:val="Normal"/>
    <w:rsid w:val="00824B90"/>
    <w:pPr>
      <w:ind w:left="1417"/>
    </w:pPr>
    <w:rPr>
      <w:b/>
    </w:rPr>
  </w:style>
  <w:style w:type="paragraph" w:customStyle="1" w:styleId="CoverNormal12a">
    <w:name w:val="CoverNormal12a"/>
    <w:basedOn w:val="Normal"/>
    <w:rsid w:val="00271D36"/>
    <w:pPr>
      <w:spacing w:after="240"/>
      <w:ind w:left="1418"/>
    </w:pPr>
  </w:style>
  <w:style w:type="paragraph" w:customStyle="1" w:styleId="CoverNormal24a">
    <w:name w:val="CoverNormal24a"/>
    <w:basedOn w:val="Normal"/>
    <w:rsid w:val="00271D36"/>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D44E5E"/>
    <w:pPr>
      <w:spacing w:before="1080"/>
      <w:jc w:val="right"/>
    </w:pPr>
    <w:rPr>
      <w:rFonts w:ascii="Arial" w:hAnsi="Arial" w:cs="Arial"/>
      <w:b/>
    </w:rPr>
  </w:style>
  <w:style w:type="paragraph" w:customStyle="1" w:styleId="CoverDocType24a">
    <w:name w:val="CoverDocType24a"/>
    <w:basedOn w:val="Normal"/>
    <w:rsid w:val="00E663BC"/>
    <w:pPr>
      <w:spacing w:after="480"/>
      <w:ind w:left="1418"/>
    </w:pPr>
    <w:rPr>
      <w:rFonts w:ascii="Arial" w:hAnsi="Arial"/>
      <w:b/>
      <w:sz w:val="48"/>
    </w:rPr>
  </w:style>
  <w:style w:type="paragraph" w:styleId="Header">
    <w:name w:val="header"/>
    <w:basedOn w:val="Normal"/>
    <w:link w:val="HeaderChar"/>
    <w:semiHidden/>
    <w:rsid w:val="00820E30"/>
    <w:pPr>
      <w:tabs>
        <w:tab w:val="center" w:pos="4513"/>
        <w:tab w:val="right" w:pos="9026"/>
      </w:tabs>
    </w:pPr>
  </w:style>
  <w:style w:type="table" w:styleId="TableGrid">
    <w:name w:val="Table Grid"/>
    <w:basedOn w:val="TableNormal"/>
    <w:rsid w:val="000C7B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C7B89"/>
    <w:pPr>
      <w:jc w:val="center"/>
    </w:pPr>
    <w:rPr>
      <w:rFonts w:ascii="Arial" w:hAnsi="Arial" w:cs="Arial"/>
      <w:i/>
      <w:sz w:val="22"/>
      <w:szCs w:val="22"/>
    </w:rPr>
  </w:style>
  <w:style w:type="paragraph" w:customStyle="1" w:styleId="LineTop">
    <w:name w:val="LineTop"/>
    <w:basedOn w:val="Normal"/>
    <w:next w:val="Normal"/>
    <w:rsid w:val="000C7B89"/>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D44E5E"/>
    <w:pPr>
      <w:pBdr>
        <w:bottom w:val="single" w:sz="4" w:space="1" w:color="auto"/>
      </w:pBdr>
      <w:spacing w:after="240"/>
      <w:jc w:val="center"/>
    </w:pPr>
    <w:rPr>
      <w:rFonts w:ascii="Arial" w:hAnsi="Arial" w:cs="Arial"/>
      <w:sz w:val="16"/>
      <w:szCs w:val="16"/>
    </w:rPr>
  </w:style>
  <w:style w:type="paragraph" w:customStyle="1" w:styleId="CoverBold24a">
    <w:name w:val="CoverBold24a"/>
    <w:basedOn w:val="Normal"/>
    <w:rsid w:val="00271D36"/>
    <w:pPr>
      <w:spacing w:after="480"/>
      <w:ind w:left="1418"/>
    </w:pPr>
    <w:rPr>
      <w:b/>
    </w:rPr>
  </w:style>
  <w:style w:type="paragraph" w:customStyle="1" w:styleId="EPName">
    <w:name w:val="EPName"/>
    <w:basedOn w:val="Normal"/>
    <w:rsid w:val="00FC76E9"/>
    <w:pPr>
      <w:spacing w:before="80" w:after="80"/>
    </w:pPr>
    <w:rPr>
      <w:rFonts w:ascii="Arial Narrow" w:hAnsi="Arial Narrow" w:cs="Arial"/>
      <w:b/>
      <w:sz w:val="32"/>
      <w:szCs w:val="22"/>
    </w:rPr>
  </w:style>
  <w:style w:type="paragraph" w:customStyle="1" w:styleId="EPTerm">
    <w:name w:val="EPTerm"/>
    <w:basedOn w:val="Normal"/>
    <w:next w:val="Normal"/>
    <w:rsid w:val="00FC76E9"/>
    <w:pPr>
      <w:spacing w:after="80"/>
    </w:pPr>
    <w:rPr>
      <w:rFonts w:ascii="Arial" w:hAnsi="Arial" w:cs="Arial"/>
      <w:sz w:val="20"/>
      <w:szCs w:val="22"/>
    </w:rPr>
  </w:style>
  <w:style w:type="paragraph" w:customStyle="1" w:styleId="EPLogo">
    <w:name w:val="EPLogo"/>
    <w:basedOn w:val="Normal"/>
    <w:qFormat/>
    <w:rsid w:val="00FC76E9"/>
    <w:pPr>
      <w:jc w:val="right"/>
    </w:pPr>
  </w:style>
  <w:style w:type="paragraph" w:customStyle="1" w:styleId="CoverDate">
    <w:name w:val="CoverDate"/>
    <w:basedOn w:val="Normal"/>
    <w:rsid w:val="00D44E5E"/>
    <w:pPr>
      <w:spacing w:before="240" w:after="1200"/>
    </w:pPr>
  </w:style>
  <w:style w:type="paragraph" w:customStyle="1" w:styleId="NormalBold">
    <w:name w:val="NormalBold"/>
    <w:basedOn w:val="Normal"/>
    <w:rsid w:val="00687220"/>
    <w:rPr>
      <w:b/>
    </w:rPr>
  </w:style>
  <w:style w:type="paragraph" w:customStyle="1" w:styleId="EPFooter">
    <w:name w:val="EPFooter"/>
    <w:basedOn w:val="Normal"/>
    <w:rsid w:val="00E663B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820E30"/>
    <w:rPr>
      <w:sz w:val="24"/>
    </w:rPr>
  </w:style>
  <w:style w:type="character" w:styleId="CommentReference">
    <w:name w:val="annotation reference"/>
    <w:basedOn w:val="DefaultParagraphFont"/>
    <w:rsid w:val="00B22707"/>
    <w:rPr>
      <w:sz w:val="16"/>
      <w:szCs w:val="16"/>
    </w:rPr>
  </w:style>
  <w:style w:type="paragraph" w:styleId="CommentText">
    <w:name w:val="annotation text"/>
    <w:basedOn w:val="Normal"/>
    <w:link w:val="CommentTextChar"/>
    <w:rsid w:val="00B22707"/>
    <w:rPr>
      <w:sz w:val="20"/>
    </w:rPr>
  </w:style>
  <w:style w:type="character" w:customStyle="1" w:styleId="CommentTextChar">
    <w:name w:val="Comment Text Char"/>
    <w:basedOn w:val="DefaultParagraphFont"/>
    <w:link w:val="CommentText"/>
    <w:rsid w:val="00B22707"/>
  </w:style>
  <w:style w:type="paragraph" w:styleId="CommentSubject">
    <w:name w:val="annotation subject"/>
    <w:basedOn w:val="CommentText"/>
    <w:next w:val="CommentText"/>
    <w:link w:val="CommentSubjectChar"/>
    <w:rsid w:val="00B22707"/>
    <w:rPr>
      <w:b/>
      <w:bCs/>
    </w:rPr>
  </w:style>
  <w:style w:type="character" w:customStyle="1" w:styleId="CommentSubjectChar">
    <w:name w:val="Comment Subject Char"/>
    <w:basedOn w:val="CommentTextChar"/>
    <w:link w:val="CommentSubject"/>
    <w:rsid w:val="00B22707"/>
    <w:rPr>
      <w:b/>
      <w:bCs/>
    </w:rPr>
  </w:style>
  <w:style w:type="paragraph" w:styleId="BalloonText">
    <w:name w:val="Balloon Text"/>
    <w:basedOn w:val="Normal"/>
    <w:link w:val="BalloonTextChar"/>
    <w:rsid w:val="00B22707"/>
    <w:rPr>
      <w:rFonts w:ascii="Segoe UI" w:hAnsi="Segoe UI" w:cs="Segoe UI"/>
      <w:sz w:val="18"/>
      <w:szCs w:val="18"/>
    </w:rPr>
  </w:style>
  <w:style w:type="character" w:customStyle="1" w:styleId="BalloonTextChar">
    <w:name w:val="Balloon Text Char"/>
    <w:basedOn w:val="DefaultParagraphFont"/>
    <w:link w:val="BalloonText"/>
    <w:rsid w:val="00B22707"/>
    <w:rPr>
      <w:rFonts w:ascii="Segoe UI" w:hAnsi="Segoe UI" w:cs="Segoe UI"/>
      <w:sz w:val="18"/>
      <w:szCs w:val="18"/>
    </w:rPr>
  </w:style>
  <w:style w:type="paragraph" w:styleId="FootnoteText">
    <w:name w:val="footnote text"/>
    <w:basedOn w:val="Normal"/>
    <w:link w:val="FootnoteTextChar"/>
    <w:uiPriority w:val="99"/>
    <w:rsid w:val="00B22707"/>
    <w:rPr>
      <w:sz w:val="20"/>
    </w:rPr>
  </w:style>
  <w:style w:type="character" w:customStyle="1" w:styleId="FootnoteTextChar">
    <w:name w:val="Footnote Text Char"/>
    <w:basedOn w:val="DefaultParagraphFont"/>
    <w:link w:val="FootnoteText"/>
    <w:uiPriority w:val="99"/>
    <w:rsid w:val="00B22707"/>
  </w:style>
  <w:style w:type="character" w:styleId="FootnoteReference">
    <w:name w:val="footnote reference"/>
    <w:basedOn w:val="DefaultParagraphFont"/>
    <w:uiPriority w:val="99"/>
    <w:rsid w:val="00B22707"/>
    <w:rPr>
      <w:vertAlign w:val="superscript"/>
    </w:rPr>
  </w:style>
  <w:style w:type="paragraph" w:customStyle="1" w:styleId="Normal12Hanging">
    <w:name w:val="Normal12Hanging"/>
    <w:basedOn w:val="Normal"/>
    <w:rsid w:val="00B22707"/>
    <w:pPr>
      <w:spacing w:after="240"/>
      <w:ind w:left="567" w:hanging="567"/>
    </w:pPr>
  </w:style>
  <w:style w:type="paragraph" w:styleId="NoSpacing">
    <w:name w:val="No Spacing"/>
    <w:basedOn w:val="Normal"/>
    <w:link w:val="NoSpacingChar"/>
    <w:uiPriority w:val="1"/>
    <w:qFormat/>
    <w:rsid w:val="00B22707"/>
    <w:pPr>
      <w:widowControl/>
      <w:jc w:val="both"/>
    </w:pPr>
    <w:rPr>
      <w:rFonts w:eastAsia="Calibri"/>
      <w:szCs w:val="32"/>
      <w:lang w:eastAsia="en-US"/>
    </w:rPr>
  </w:style>
  <w:style w:type="character" w:customStyle="1" w:styleId="NoSpacingChar">
    <w:name w:val="No Spacing Char"/>
    <w:basedOn w:val="DefaultParagraphFont"/>
    <w:link w:val="NoSpacing"/>
    <w:uiPriority w:val="1"/>
    <w:locked/>
    <w:rsid w:val="00B22707"/>
    <w:rPr>
      <w:rFonts w:eastAsia="Calibri"/>
      <w:sz w:val="24"/>
      <w:szCs w:val="32"/>
      <w:lang w:eastAsia="en-US"/>
    </w:rPr>
  </w:style>
  <w:style w:type="character" w:customStyle="1" w:styleId="Style1Char">
    <w:name w:val="Style1 Char"/>
    <w:basedOn w:val="NoSpacingChar"/>
    <w:link w:val="Style1"/>
    <w:locked/>
    <w:rsid w:val="00B22707"/>
    <w:rPr>
      <w:rFonts w:eastAsia="Calibri"/>
      <w:sz w:val="24"/>
      <w:szCs w:val="24"/>
      <w:lang w:val="fi-FI" w:eastAsia="en-US"/>
    </w:rPr>
  </w:style>
  <w:style w:type="paragraph" w:customStyle="1" w:styleId="Style1">
    <w:name w:val="Style1"/>
    <w:basedOn w:val="NoSpacing"/>
    <w:link w:val="Style1Char"/>
    <w:qFormat/>
    <w:rsid w:val="00B22707"/>
    <w:pPr>
      <w:ind w:left="794" w:hanging="567"/>
      <w:jc w:val="left"/>
    </w:pPr>
    <w:rPr>
      <w:szCs w:val="24"/>
    </w:rPr>
  </w:style>
  <w:style w:type="character" w:styleId="Hyperlink">
    <w:name w:val="Hyperlink"/>
    <w:basedOn w:val="DefaultParagraphFont"/>
    <w:rsid w:val="002E1B72"/>
    <w:rPr>
      <w:color w:val="0563C1" w:themeColor="hyperlink"/>
      <w:u w:val="single"/>
    </w:rPr>
  </w:style>
  <w:style w:type="paragraph" w:styleId="Footer">
    <w:name w:val="footer"/>
    <w:basedOn w:val="Normal"/>
    <w:link w:val="FooterChar"/>
    <w:rsid w:val="00EE6073"/>
    <w:pPr>
      <w:tabs>
        <w:tab w:val="center" w:pos="4513"/>
        <w:tab w:val="right" w:pos="9026"/>
      </w:tabs>
    </w:pPr>
  </w:style>
  <w:style w:type="character" w:customStyle="1" w:styleId="FooterChar">
    <w:name w:val="Footer Char"/>
    <w:basedOn w:val="DefaultParagraphFont"/>
    <w:link w:val="Footer"/>
    <w:rsid w:val="00EE607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35702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academic.oup.com/ije/article/47/1/299/4609336" TargetMode="External"/><Relationship Id="rId2" Type="http://schemas.openxmlformats.org/officeDocument/2006/relationships/hyperlink" Target="https://www.ncbi.nlm.nih.gov/pubmed/23713084" TargetMode="External"/><Relationship Id="rId1" Type="http://schemas.openxmlformats.org/officeDocument/2006/relationships/hyperlink" Target="https://www.bnnvara.nl/zembla/artikelen/risico-op-ziekte-van-parkinson-bij-blootstelling-aan-landbouwgi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2078</Words>
  <Characters>11847</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RE_RightScrutiny</vt:lpstr>
    </vt:vector>
  </TitlesOfParts>
  <Company/>
  <LinksUpToDate>false</LinksUpToDate>
  <CharactersWithSpaces>13898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RE_RightScrutiny</dc:title>
  <dc:subject/>
  <dc:creator>BROCCA Monica</dc:creator>
  <cp:keywords/>
  <dc:description/>
  <cp:lastModifiedBy>KLEIN Jean-Luc</cp:lastModifiedBy>
  <cp:revision>3</cp:revision>
  <cp:lastPrinted>2004-11-19T15:29:00Z</cp:lastPrinted>
  <dcterms:created xsi:type="dcterms:W3CDTF">2019-12-11T08:05:00Z</dcterms:created>
  <dcterms:modified xsi:type="dcterms:W3CDTF">2020-05-26T14:12:00Z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9.8.0 Build [20191010]</vt:lpwstr>
  </property>
  <property fmtid="{D5CDD505-2E9C-101B-9397-08002B2CF9AE}" pid="3" name="LastEdited with">
    <vt:lpwstr>9.8.0 Build [20191010]</vt:lpwstr>
  </property>
  <property fmtid="{D5CDD505-2E9C-101B-9397-08002B2CF9AE}" pid="4" name="&lt;FdR&gt;">
    <vt:lpwstr>1194585</vt:lpwstr>
  </property>
  <property fmtid="{D5CDD505-2E9C-101B-9397-08002B2CF9AE}" pid="5" name="&lt;Type&gt;">
    <vt:lpwstr>RE</vt:lpwstr>
  </property>
  <property fmtid="{D5CDD505-2E9C-101B-9397-08002B2CF9AE}" pid="6" name="&lt;ModelCod&gt;">
    <vt:lpwstr>\\eiciBRUpr1\pdocep$\DocEP\DOCS\General\RE\RE_ImplAct\RE_RightScrutiny.dotx(15/10/2019 06:18:27)</vt:lpwstr>
  </property>
  <property fmtid="{D5CDD505-2E9C-101B-9397-08002B2CF9AE}" pid="7" name="&lt;ModelTra&gt;">
    <vt:lpwstr>\\eiciBRUpr1\pdocep$\DocEP\TRANSFIL\EN\RE_RightScrutiny.EN(25/10/2019 10:35:00)</vt:lpwstr>
  </property>
  <property fmtid="{D5CDD505-2E9C-101B-9397-08002B2CF9AE}" pid="8" name="&lt;Model&gt;">
    <vt:lpwstr>RE_RightScrutiny</vt:lpwstr>
  </property>
  <property fmtid="{D5CDD505-2E9C-101B-9397-08002B2CF9AE}" pid="9" name="FooterPath">
    <vt:lpwstr>RE\1194585FI.docx</vt:lpwstr>
  </property>
  <property fmtid="{D5CDD505-2E9C-101B-9397-08002B2CF9AE}" pid="10" name="PE number">
    <vt:lpwstr>643.400</vt:lpwstr>
  </property>
  <property fmtid="{D5CDD505-2E9C-101B-9397-08002B2CF9AE}" pid="11" name="Bookout">
    <vt:lpwstr>OK - 2019/12/11 09:04</vt:lpwstr>
  </property>
  <property fmtid="{D5CDD505-2E9C-101B-9397-08002B2CF9AE}" pid="12" name="SubscribeElise">
    <vt:lpwstr/>
  </property>
  <property fmtid="{D5CDD505-2E9C-101B-9397-08002B2CF9AE}" pid="13" name="SDLStudio">
    <vt:lpwstr/>
  </property>
  <property fmtid="{D5CDD505-2E9C-101B-9397-08002B2CF9AE}" pid="14" name="&lt;Extension&gt;">
    <vt:lpwstr>FI</vt:lpwstr>
  </property>
</Properties>
</file>