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E0537" w:rsidRPr="002E761C" w:rsidTr="00C85D0F">
        <w:trPr>
          <w:trHeight w:hRule="exact" w:val="1418"/>
        </w:trPr>
        <w:tc>
          <w:tcPr>
            <w:tcW w:w="6804" w:type="dxa"/>
            <w:shd w:val="clear" w:color="auto" w:fill="auto"/>
            <w:vAlign w:val="center"/>
          </w:tcPr>
          <w:p w:rsidR="007E0537" w:rsidRPr="002E761C" w:rsidRDefault="002F47AD" w:rsidP="00C85D0F">
            <w:pPr>
              <w:pStyle w:val="EPName"/>
            </w:pPr>
            <w:bookmarkStart w:id="0" w:name="_GoBack"/>
            <w:bookmarkEnd w:id="0"/>
            <w:r>
              <w:t>Eiropas Parlaments</w:t>
            </w:r>
          </w:p>
          <w:p w:rsidR="007E0537" w:rsidRPr="002E761C" w:rsidRDefault="00BA40EF" w:rsidP="00BA40EF">
            <w:pPr>
              <w:pStyle w:val="EPTerm"/>
            </w:pPr>
            <w:r>
              <w:t>2019-2024</w:t>
            </w:r>
          </w:p>
        </w:tc>
        <w:tc>
          <w:tcPr>
            <w:tcW w:w="2268" w:type="dxa"/>
            <w:shd w:val="clear" w:color="auto" w:fill="auto"/>
          </w:tcPr>
          <w:p w:rsidR="007E0537" w:rsidRPr="002E761C" w:rsidRDefault="007E0537" w:rsidP="00C85D0F">
            <w:pPr>
              <w:pStyle w:val="EPLogo"/>
            </w:pPr>
            <w:r w:rsidRPr="002E761C">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C7B89" w:rsidRPr="002E761C" w:rsidRDefault="000C7B89" w:rsidP="000C7B89">
      <w:pPr>
        <w:pStyle w:val="LineTop"/>
      </w:pPr>
    </w:p>
    <w:p w:rsidR="000C7B89" w:rsidRPr="002E761C" w:rsidRDefault="00BA40EF" w:rsidP="000C7B89">
      <w:pPr>
        <w:pStyle w:val="EPBody"/>
      </w:pPr>
      <w:r>
        <w:t>Sesijas dokuments</w:t>
      </w:r>
    </w:p>
    <w:p w:rsidR="005C0AD2" w:rsidRPr="002E761C" w:rsidRDefault="005C0AD2" w:rsidP="005C0AD2">
      <w:pPr>
        <w:pStyle w:val="LineBottom"/>
      </w:pPr>
    </w:p>
    <w:p w:rsidR="005C0AD2" w:rsidRPr="002E761C" w:rsidRDefault="005C0AD2" w:rsidP="005C0AD2">
      <w:pPr>
        <w:pStyle w:val="CoverReference"/>
      </w:pPr>
      <w:r>
        <w:rPr>
          <w:rStyle w:val="HideTWBExt"/>
          <w:b w:val="0"/>
        </w:rPr>
        <w:t>&lt;NoDocSe&gt;</w:t>
      </w:r>
      <w:r>
        <w:t>B9-0420/2020</w:t>
      </w:r>
      <w:r>
        <w:rPr>
          <w:rStyle w:val="HideTWBExt"/>
          <w:b w:val="0"/>
        </w:rPr>
        <w:t>&lt;/NoDocSe&gt;</w:t>
      </w:r>
    </w:p>
    <w:p w:rsidR="005C0AD2" w:rsidRPr="002E761C" w:rsidRDefault="005C0AD2" w:rsidP="005C0AD2">
      <w:pPr>
        <w:pStyle w:val="CoverDate"/>
      </w:pPr>
      <w:r>
        <w:rPr>
          <w:rStyle w:val="HideTWBExt"/>
        </w:rPr>
        <w:t>&lt;Date&gt;</w:t>
      </w:r>
      <w:r>
        <w:rPr>
          <w:rStyle w:val="HideTWBInt"/>
        </w:rPr>
        <w:t>{09/12/2020}</w:t>
      </w:r>
      <w:r>
        <w:t>9.12.2020</w:t>
      </w:r>
      <w:r>
        <w:rPr>
          <w:rStyle w:val="HideTWBExt"/>
        </w:rPr>
        <w:t>&lt;/Date&gt;</w:t>
      </w:r>
    </w:p>
    <w:p w:rsidR="00A93F71" w:rsidRPr="002E761C" w:rsidRDefault="00A93F71" w:rsidP="00A93F71">
      <w:pPr>
        <w:pStyle w:val="CoverDocType24a"/>
      </w:pPr>
      <w:r>
        <w:rPr>
          <w:rStyle w:val="HideTWBExt"/>
          <w:b w:val="0"/>
        </w:rPr>
        <w:t>&lt;TitreType&gt;</w:t>
      </w:r>
      <w:r>
        <w:t>IETEIKUMS LĒMUMAM</w:t>
      </w:r>
      <w:r>
        <w:rPr>
          <w:rStyle w:val="HideTWBExt"/>
          <w:b w:val="0"/>
        </w:rPr>
        <w:t>&lt;/TitreType&gt;</w:t>
      </w:r>
    </w:p>
    <w:p w:rsidR="00A93F71" w:rsidRPr="002E761C" w:rsidRDefault="00A93F71" w:rsidP="00A93F71">
      <w:pPr>
        <w:pStyle w:val="CoverNormal12a"/>
      </w:pPr>
      <w:r>
        <w:rPr>
          <w:rStyle w:val="HideTWBExt"/>
        </w:rPr>
        <w:t>&lt;TitreRecueil&gt;</w:t>
      </w:r>
      <w:r>
        <w:t>iesniegts saskaņā ar Reglamenta 111. panta 6. punktu,</w:t>
      </w:r>
      <w:r>
        <w:rPr>
          <w:rStyle w:val="HideTWBExt"/>
        </w:rPr>
        <w:t>&lt;/TitreRecueil&gt;</w:t>
      </w:r>
    </w:p>
    <w:p w:rsidR="00BB7B04" w:rsidRPr="002E761C" w:rsidRDefault="00BB7B04" w:rsidP="00BB7B04">
      <w:pPr>
        <w:pStyle w:val="CoverNormal"/>
      </w:pPr>
      <w:r>
        <w:rPr>
          <w:rStyle w:val="HideTWBExt"/>
        </w:rPr>
        <w:t>&lt;Titre&gt;</w:t>
      </w:r>
      <w:r>
        <w:t>par iebildumu neizteikšanu pret Komisijas 2020. gada 29. oktobra deleģēto regulu, ar ko attiecībā uz oficiālajām kontrolēm robežkontroles punktā, no kura preces izved no Savienības, un dažiem noteikumiem par tranzītu un pārkraušanu groza Deleģēto regulu (ES) 2019/2124</w:t>
      </w:r>
      <w:r>
        <w:rPr>
          <w:rStyle w:val="HideTWBExt"/>
        </w:rPr>
        <w:t>&lt;/Titre&gt;</w:t>
      </w:r>
    </w:p>
    <w:p w:rsidR="00A66299" w:rsidRPr="002E761C" w:rsidRDefault="00BB7B04" w:rsidP="009D136C">
      <w:pPr>
        <w:pStyle w:val="CoverNormal24a"/>
      </w:pPr>
      <w:r>
        <w:rPr>
          <w:rStyle w:val="HideTWBExt"/>
        </w:rPr>
        <w:t>&lt;DocRef&gt;</w:t>
      </w:r>
      <w:r>
        <w:t>(C(2020)07418 – 2020/2855(DEA))</w:t>
      </w:r>
      <w:r>
        <w:rPr>
          <w:rStyle w:val="HideTWBExt"/>
        </w:rPr>
        <w:t>&lt;/DocRef&gt;</w:t>
      </w:r>
    </w:p>
    <w:p w:rsidR="0019441C" w:rsidRPr="002E761C" w:rsidRDefault="0019441C" w:rsidP="0019441C">
      <w:pPr>
        <w:pStyle w:val="CoverBold"/>
      </w:pPr>
      <w:r>
        <w:rPr>
          <w:rStyle w:val="HideTWBExt"/>
          <w:b w:val="0"/>
        </w:rPr>
        <w:t>&lt;Depute&gt;</w:t>
      </w:r>
      <w:r>
        <w:rPr>
          <w:i/>
        </w:rPr>
        <w:t>Pascal Canfin</w:t>
      </w:r>
      <w:r>
        <w:rPr>
          <w:rStyle w:val="HideTWBExt"/>
          <w:b w:val="0"/>
        </w:rPr>
        <w:t>&lt;/Depute&gt;</w:t>
      </w:r>
    </w:p>
    <w:p w:rsidR="00A93F71" w:rsidRPr="002E761C" w:rsidRDefault="0019441C" w:rsidP="004704C6">
      <w:pPr>
        <w:pStyle w:val="CoverNormal"/>
      </w:pPr>
      <w:r>
        <w:rPr>
          <w:rStyle w:val="HideTWBExt"/>
        </w:rPr>
        <w:t>&lt;Commission&gt;</w:t>
      </w:r>
      <w:r>
        <w:rPr>
          <w:rStyle w:val="HideTWBInt"/>
        </w:rPr>
        <w:t>{ENVI}</w:t>
      </w:r>
      <w:r>
        <w:t>Vides, sabiedrības veselības un pārtikas nekaitīguma komitejas vārdā</w:t>
      </w:r>
      <w:r>
        <w:rPr>
          <w:rStyle w:val="HideTWBExt"/>
        </w:rPr>
        <w:t>&lt;/Commission&gt;</w:t>
      </w:r>
    </w:p>
    <w:p w:rsidR="00A93F71" w:rsidRPr="002E761C" w:rsidRDefault="00A93F71" w:rsidP="00A93F71">
      <w:pPr>
        <w:pStyle w:val="NormalBold12a"/>
      </w:pPr>
      <w:r>
        <w:br w:type="page"/>
      </w:r>
      <w:r>
        <w:lastRenderedPageBreak/>
        <w:t>B9-0420/2020</w:t>
      </w:r>
    </w:p>
    <w:p w:rsidR="000E26D5" w:rsidRPr="002E761C" w:rsidRDefault="002F47AD" w:rsidP="000E26D5">
      <w:pPr>
        <w:pStyle w:val="NormalBold"/>
      </w:pPr>
      <w:r>
        <w:t>Projekts Eiropas Parlamenta lēmumam par iebildumu neizteikšanu pret Komisijas 2020. gada 29. oktobra deleģēto regulu, ar ko attiecībā uz oficiālajām kontrolēm robežkontroles punktā, no kura preces izved no Savienības, un dažiem noteikumiem par tranzītu un pārkraušanu groza Deleģēto regulu (ES) 2019/2124</w:t>
      </w:r>
    </w:p>
    <w:p w:rsidR="000E26D5" w:rsidRPr="002E761C" w:rsidRDefault="002F47AD" w:rsidP="000E26D5">
      <w:pPr>
        <w:pStyle w:val="NormalBold"/>
      </w:pPr>
      <w:r>
        <w:t>(C(2020)07418 – 2020/2855(DEA))</w:t>
      </w:r>
    </w:p>
    <w:p w:rsidR="00A93F71" w:rsidRPr="002E761C" w:rsidRDefault="002F47AD" w:rsidP="00A93F71">
      <w:pPr>
        <w:pStyle w:val="EPComma"/>
      </w:pPr>
      <w:r>
        <w:rPr>
          <w:i/>
        </w:rPr>
        <w:t>Eiropas Parlaments</w:t>
      </w:r>
      <w:r>
        <w:t>,</w:t>
      </w:r>
    </w:p>
    <w:p w:rsidR="00BA40EF" w:rsidRPr="002E761C" w:rsidRDefault="00A93F71" w:rsidP="00BA40EF">
      <w:pPr>
        <w:pStyle w:val="Normal12Hanging"/>
        <w:jc w:val="both"/>
      </w:pPr>
      <w:r>
        <w:t>–</w:t>
      </w:r>
      <w:r>
        <w:tab/>
        <w:t>ņemot vērā Komisijas 2020. gada 29. oktobra deleģēto regulu, ar ko attiecībā uz oficiālajām kontrolēm robežkontroles punktā, no kura preces izved no Savienības, un dažiem noteikumiem par tranzītu un pārkraušanu groza Deleģēto regulu (ES) 2019/2124,</w:t>
      </w:r>
    </w:p>
    <w:p w:rsidR="00BA40EF" w:rsidRPr="002E761C" w:rsidRDefault="00BA40EF" w:rsidP="00BA40EF">
      <w:pPr>
        <w:pStyle w:val="Normal12Hanging"/>
        <w:jc w:val="both"/>
        <w:rPr>
          <w:szCs w:val="24"/>
        </w:rPr>
      </w:pPr>
      <w:r>
        <w:t>–</w:t>
      </w:r>
      <w:r>
        <w:tab/>
        <w:t>ņemot vērā Komisijas 2020. gada 6. novembra vēstuli, kurā tā lūdz paziņot, ka Parlaments neizteiks iebildumus pret deleģēto regulu,</w:t>
      </w:r>
    </w:p>
    <w:p w:rsidR="00BA40EF" w:rsidRPr="002E761C" w:rsidRDefault="00BA40EF" w:rsidP="00BA40EF">
      <w:pPr>
        <w:pStyle w:val="Normal12Hanging"/>
        <w:jc w:val="both"/>
        <w:rPr>
          <w:szCs w:val="24"/>
        </w:rPr>
      </w:pPr>
      <w:r>
        <w:t>–</w:t>
      </w:r>
      <w:r>
        <w:tab/>
        <w:t>ņemot vērā Vides, sabiedrības veselības un pārtikas nekaitīguma komitejas 2020. gada 2. decembra vēstuli Komiteju priekšsēdētāju konferences priekšsēdētājam,</w:t>
      </w:r>
    </w:p>
    <w:p w:rsidR="00BA40EF" w:rsidRPr="002E761C" w:rsidRDefault="00BA40EF" w:rsidP="00BA40EF">
      <w:pPr>
        <w:pStyle w:val="Normal12Hanging"/>
        <w:jc w:val="both"/>
        <w:rPr>
          <w:szCs w:val="24"/>
        </w:rPr>
      </w:pPr>
      <w:r>
        <w:t>–</w:t>
      </w:r>
      <w:r>
        <w:tab/>
        <w:t>ņemot vērā Līguma par Eiropas Savienības darbību 290. pantu,</w:t>
      </w:r>
    </w:p>
    <w:p w:rsidR="00BA40EF" w:rsidRPr="002E761C" w:rsidRDefault="00BA40EF" w:rsidP="00BA40EF">
      <w:pPr>
        <w:pStyle w:val="Normal12Hanging"/>
        <w:jc w:val="both"/>
        <w:rPr>
          <w:szCs w:val="24"/>
        </w:rPr>
      </w:pPr>
      <w:r>
        <w:t>–</w:t>
      </w:r>
      <w:r>
        <w:tab/>
        <w:t>ņemot vērā Eiropas Parlamenta un Padomes 2017. gada 15. marta Regulu (ES)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 (Oficiālo kontroļu regula)</w:t>
      </w:r>
      <w:r w:rsidRPr="002E761C">
        <w:rPr>
          <w:rStyle w:val="FootnoteReference"/>
        </w:rPr>
        <w:footnoteReference w:id="1"/>
      </w:r>
      <w:r>
        <w:t>, un jo īpaši tās 51. panta 1. punkta b) un d) apakšpunktu un 144. panta 6. punktu,</w:t>
      </w:r>
    </w:p>
    <w:p w:rsidR="00BA40EF" w:rsidRPr="002E761C" w:rsidRDefault="00BA40EF" w:rsidP="00BA40EF">
      <w:pPr>
        <w:pStyle w:val="Normal12Hanging"/>
        <w:jc w:val="both"/>
      </w:pPr>
      <w:r>
        <w:t>–</w:t>
      </w:r>
      <w:r>
        <w:tab/>
        <w:t>ņemot vērā Reglamenta 111. panta 6. punktu,</w:t>
      </w:r>
    </w:p>
    <w:p w:rsidR="00BA40EF" w:rsidRPr="002E761C" w:rsidRDefault="00BA40EF" w:rsidP="00BA40EF">
      <w:pPr>
        <w:pStyle w:val="Normal12Hanging"/>
        <w:jc w:val="both"/>
      </w:pPr>
      <w:r>
        <w:t>–</w:t>
      </w:r>
      <w:r>
        <w:tab/>
        <w:t>ņemot vērā Vides, sabiedrības veselības un pārtikas nekaitīguma komitejas ieteikumu lēmumam,</w:t>
      </w:r>
    </w:p>
    <w:p w:rsidR="00BA40EF" w:rsidRPr="002E761C" w:rsidRDefault="00BA40EF" w:rsidP="00BA40EF">
      <w:pPr>
        <w:pStyle w:val="Normal12Hanging"/>
        <w:jc w:val="both"/>
      </w:pPr>
      <w:r>
        <w:t>A.</w:t>
      </w:r>
      <w:r>
        <w:tab/>
        <w:t>tā kā Komisijas Deleģētajā regulā (ES) 2019/2124</w:t>
      </w:r>
      <w:r w:rsidRPr="002E761C">
        <w:rPr>
          <w:rStyle w:val="FootnoteReference"/>
          <w:szCs w:val="24"/>
        </w:rPr>
        <w:footnoteReference w:id="2"/>
      </w:r>
      <w:r>
        <w:t xml:space="preserve"> ir paredzēti noteikumi par to, kā </w:t>
      </w:r>
      <w:r>
        <w:lastRenderedPageBreak/>
        <w:t>dalībvalstu</w:t>
      </w:r>
      <w:r w:rsidRPr="002E761C">
        <w:rPr>
          <w:rStyle w:val="FootnoteReference"/>
          <w:szCs w:val="24"/>
        </w:rPr>
        <w:footnoteReference w:id="3"/>
      </w:r>
      <w:r>
        <w:t xml:space="preserve"> kompetentās iestādes veic tādu dzīvnieku un preču sūtījumu oficiālās kontroles, kas ir tranzītā, pārkrauti un tālākā transportēšanā caur Savienību;</w:t>
      </w:r>
    </w:p>
    <w:p w:rsidR="00BA40EF" w:rsidRPr="002E761C" w:rsidRDefault="00BA40EF" w:rsidP="00BA40EF">
      <w:pPr>
        <w:pStyle w:val="Normal12Hanging"/>
        <w:jc w:val="both"/>
      </w:pPr>
      <w:r>
        <w:t>B.</w:t>
      </w:r>
      <w:r>
        <w:tab/>
        <w:t>tā kā Regulas (ES) 2017/625 51. panta 1. punkta b) un d) apakšpunkts pilnvaro Komisiju pieņemt deleģētos aktus par noteikumiem, ar kuriem nosaka termiņus un kārtību dokumentu kontrolpārbaužu un vajadzības gadījumā identitātes kontrolpārbaužu un fizisko kontrolpārbaužu veikšanai attiecībā uz tām dzīvnieku un preču kategorijām, kurām piemēro oficiālās kontroles, kas paredzētas minētās regulas 47. panta 1. punktā, un kuras tiek ievestas Savienībā pa jūru vai ar gaisa transportu no trešām valstīm, ja minētie dzīvnieki vai preces tiek pārvietotas no kuģa vai gaisa kuģa un muitas uzraudzībā pārvestas uz citu kuģi vai gaisa kuģi tajā pašā ostā vai lidostā, gatavojoties tālākai pārvietošanai (“pārkrauti sūtījumi”), kā arī par noteikumiem, kuros paredzēts, kādos gadījumos un ar kādiem nosacījumiem drīkst atļaut to dzīvnieku un preču kategoriju sūtījumu tranzītu, kuras noteiktas minētās regulas 47. panta 1. punktā, un šādiem sūtījumiem piemērot konkrētas oficiālās kontrolpārbaudes, tostarp kādos gadījumos un ar kādiem nosacījumiem preces drīkst glabāt īpaši apstiprinātās muitas noliktavās vai brīvajās zonās;</w:t>
      </w:r>
    </w:p>
    <w:p w:rsidR="00BA40EF" w:rsidRPr="002E761C" w:rsidRDefault="00BA40EF" w:rsidP="00BA40EF">
      <w:pPr>
        <w:pStyle w:val="Normal12Hanging"/>
        <w:jc w:val="both"/>
      </w:pPr>
      <w:r>
        <w:t>C.</w:t>
      </w:r>
      <w:r>
        <w:tab/>
        <w:t>tā kā Komisija šo deleģēto regulu Parlamentam nosūtīja 2020. gada 29. oktobrī, kad aizsākās divu mēnešu rūpīgo pārbaužu periods, kura laikā Parlaments var izteikt iebildumus pret minēto deleģēto regulu;</w:t>
      </w:r>
    </w:p>
    <w:p w:rsidR="00BA40EF" w:rsidRPr="002E761C" w:rsidRDefault="00BA40EF" w:rsidP="00BA40EF">
      <w:pPr>
        <w:pStyle w:val="Normal12Hanging"/>
        <w:jc w:val="both"/>
      </w:pPr>
      <w:r>
        <w:t>D.</w:t>
      </w:r>
      <w:r>
        <w:tab/>
        <w:t>tā kā ar šo deleģēto regulu cita starpā ievieš elastību to oficiālo kontroļu pārvaldībā, kuras attiecas uz sūtījumu transportēšanu no kādas dalībvalsts, šķērsojot Lielbritāniju, uz Īriju un otrādi (“</w:t>
      </w:r>
      <w:r>
        <w:rPr>
          <w:i/>
        </w:rPr>
        <w:t>landbridge</w:t>
      </w:r>
      <w:r>
        <w:t xml:space="preserve">”), ļaujot izmantot valstu informācijas pārvaldības sistēmas un tādējādi palīdzot samazināt administratīvo slogu attiecīgajām dalībvalstīm; </w:t>
      </w:r>
    </w:p>
    <w:p w:rsidR="00BA40EF" w:rsidRPr="002E761C" w:rsidRDefault="00BA40EF" w:rsidP="00BA40EF">
      <w:pPr>
        <w:pStyle w:val="Normal12Hanging"/>
        <w:jc w:val="both"/>
      </w:pPr>
      <w:r>
        <w:t>E.</w:t>
      </w:r>
      <w:r>
        <w:tab/>
        <w:t xml:space="preserve">tā kā šai deleģētajai regulai būtu jāstājas spēkā steidzamības kārtā un tā būtu jāpiemēro no 2021. gada 1. janvāra, lai nodrošinātu, ka minētajā regulā paredzētie pasākumi ir spēkā pēc pārejas perioda, kas paredzēts Līgumā par Lielbritānijas un Ziemeļīrijas Apvienotās Karalistes izstāšanos no Eiropas Savienības un Eiropas Atomenerģijas kopienas un beidzas 2020. gada 31. decembrī, </w:t>
      </w:r>
    </w:p>
    <w:p w:rsidR="00BA40EF" w:rsidRPr="002E761C" w:rsidRDefault="00BA40EF" w:rsidP="00BA40EF">
      <w:pPr>
        <w:pStyle w:val="Normal12Hanging"/>
        <w:jc w:val="both"/>
      </w:pPr>
      <w:r>
        <w:t>1.</w:t>
      </w:r>
      <w:r>
        <w:tab/>
        <w:t>paziņo, ka neizsaka iebildumus pret deleģēto regulu;</w:t>
      </w:r>
    </w:p>
    <w:p w:rsidR="00BA40EF" w:rsidRPr="002E761C" w:rsidRDefault="00BA40EF" w:rsidP="00BA40EF">
      <w:pPr>
        <w:pStyle w:val="Normal12Hanging"/>
        <w:jc w:val="both"/>
      </w:pPr>
      <w:r>
        <w:t>2.</w:t>
      </w:r>
      <w:r>
        <w:tab/>
        <w:t>uzdod priekšsēdētājam šo lēmumu nosūtīt Padomei un Komisijai.</w:t>
      </w:r>
    </w:p>
    <w:p w:rsidR="00387AC6" w:rsidRPr="002E761C" w:rsidRDefault="00387AC6" w:rsidP="00BA40EF">
      <w:pPr>
        <w:pStyle w:val="NormalHanging12a"/>
      </w:pPr>
    </w:p>
    <w:sectPr w:rsidR="00387AC6" w:rsidRPr="002E761C" w:rsidSect="000F0428">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47AD" w:rsidRPr="002E761C" w:rsidRDefault="002F47AD">
      <w:r w:rsidRPr="002E761C">
        <w:separator/>
      </w:r>
    </w:p>
  </w:endnote>
  <w:endnote w:type="continuationSeparator" w:id="0">
    <w:p w:rsidR="002F47AD" w:rsidRPr="002E761C" w:rsidRDefault="002F47AD">
      <w:r w:rsidRPr="002E76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428" w:rsidRPr="002E761C" w:rsidRDefault="000F0428" w:rsidP="000F0428">
    <w:pPr>
      <w:pStyle w:val="EPFooter"/>
    </w:pPr>
    <w:r w:rsidRPr="002E761C">
      <w:t>PE</w:t>
    </w:r>
    <w:r w:rsidRPr="002E761C">
      <w:rPr>
        <w:rStyle w:val="HideTWBExt"/>
        <w:noProof w:val="0"/>
      </w:rPr>
      <w:t>&lt;NoPE&gt;</w:t>
    </w:r>
    <w:r w:rsidRPr="002E761C">
      <w:t>661.550</w:t>
    </w:r>
    <w:r w:rsidRPr="002E761C">
      <w:rPr>
        <w:rStyle w:val="HideTWBExt"/>
        <w:noProof w:val="0"/>
      </w:rPr>
      <w:t>&lt;/NoPE&gt;&lt;Version&gt;</w:t>
    </w:r>
    <w:r w:rsidRPr="002E761C">
      <w:t>v01-00</w:t>
    </w:r>
    <w:r w:rsidRPr="002E761C">
      <w:rPr>
        <w:rStyle w:val="HideTWBExt"/>
        <w:noProof w:val="0"/>
      </w:rPr>
      <w:t>&lt;/Version&gt;</w:t>
    </w:r>
    <w:r w:rsidRPr="002E761C">
      <w:tab/>
    </w:r>
    <w:r w:rsidRPr="002E761C">
      <w:fldChar w:fldCharType="begin"/>
    </w:r>
    <w:r w:rsidRPr="002E761C">
      <w:instrText xml:space="preserve"> PAGE  \* MERGEFORMAT </w:instrText>
    </w:r>
    <w:r w:rsidRPr="002E761C">
      <w:fldChar w:fldCharType="separate"/>
    </w:r>
    <w:r w:rsidR="00AA7FB1">
      <w:rPr>
        <w:noProof/>
      </w:rPr>
      <w:t>2</w:t>
    </w:r>
    <w:r w:rsidRPr="002E761C">
      <w:fldChar w:fldCharType="end"/>
    </w:r>
    <w:r w:rsidRPr="002E761C">
      <w:t>/</w:t>
    </w:r>
    <w:fldSimple w:instr=" NUMPAGES  \* MERGEFORMAT ">
      <w:r w:rsidR="00AA7FB1">
        <w:rPr>
          <w:noProof/>
        </w:rPr>
        <w:t>3</w:t>
      </w:r>
    </w:fldSimple>
    <w:r w:rsidRPr="002E761C">
      <w:tab/>
    </w:r>
    <w:r w:rsidRPr="002E761C">
      <w:rPr>
        <w:rStyle w:val="HideTWBExt"/>
        <w:noProof w:val="0"/>
      </w:rPr>
      <w:t>&lt;PathFdR&gt;</w:t>
    </w:r>
    <w:r w:rsidRPr="002E761C">
      <w:t>RE\1220348LV.docx</w:t>
    </w:r>
    <w:r w:rsidRPr="002E761C">
      <w:rPr>
        <w:rStyle w:val="HideTWBExt"/>
        <w:noProof w:val="0"/>
      </w:rPr>
      <w:t>&lt;/PathFdR&gt;</w:t>
    </w:r>
  </w:p>
  <w:p w:rsidR="000C7B89" w:rsidRPr="002E761C" w:rsidRDefault="000F0428" w:rsidP="000F0428">
    <w:pPr>
      <w:pStyle w:val="EPFooter2"/>
    </w:pPr>
    <w:r w:rsidRPr="002E761C">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428" w:rsidRPr="002E761C" w:rsidRDefault="000F0428" w:rsidP="000F0428">
    <w:pPr>
      <w:pStyle w:val="EPFooter"/>
    </w:pPr>
    <w:r w:rsidRPr="002E761C">
      <w:rPr>
        <w:rStyle w:val="HideTWBExt"/>
        <w:noProof w:val="0"/>
      </w:rPr>
      <w:t>&lt;PathFdR&gt;</w:t>
    </w:r>
    <w:r w:rsidRPr="002E761C">
      <w:t>RE\1220348LV.docx</w:t>
    </w:r>
    <w:r w:rsidRPr="002E761C">
      <w:rPr>
        <w:rStyle w:val="HideTWBExt"/>
        <w:noProof w:val="0"/>
      </w:rPr>
      <w:t>&lt;/PathFdR&gt;</w:t>
    </w:r>
    <w:r w:rsidRPr="002E761C">
      <w:tab/>
    </w:r>
    <w:r w:rsidRPr="002E761C">
      <w:fldChar w:fldCharType="begin"/>
    </w:r>
    <w:r w:rsidRPr="002E761C">
      <w:instrText xml:space="preserve"> PAGE  \* MERGEFORMAT </w:instrText>
    </w:r>
    <w:r w:rsidRPr="002E761C">
      <w:fldChar w:fldCharType="separate"/>
    </w:r>
    <w:r w:rsidR="00AA7FB1">
      <w:rPr>
        <w:noProof/>
      </w:rPr>
      <w:t>3</w:t>
    </w:r>
    <w:r w:rsidRPr="002E761C">
      <w:fldChar w:fldCharType="end"/>
    </w:r>
    <w:r w:rsidRPr="002E761C">
      <w:t>/</w:t>
    </w:r>
    <w:fldSimple w:instr=" NUMPAGES  \* MERGEFORMAT ">
      <w:r w:rsidR="00AA7FB1">
        <w:rPr>
          <w:noProof/>
        </w:rPr>
        <w:t>3</w:t>
      </w:r>
    </w:fldSimple>
    <w:r w:rsidRPr="002E761C">
      <w:tab/>
      <w:t>PE</w:t>
    </w:r>
    <w:r w:rsidRPr="002E761C">
      <w:rPr>
        <w:rStyle w:val="HideTWBExt"/>
        <w:noProof w:val="0"/>
      </w:rPr>
      <w:t>&lt;NoPE&gt;</w:t>
    </w:r>
    <w:r w:rsidRPr="002E761C">
      <w:t>661.550</w:t>
    </w:r>
    <w:r w:rsidRPr="002E761C">
      <w:rPr>
        <w:rStyle w:val="HideTWBExt"/>
        <w:noProof w:val="0"/>
      </w:rPr>
      <w:t>&lt;/NoPE&gt;&lt;Version&gt;</w:t>
    </w:r>
    <w:r w:rsidRPr="002E761C">
      <w:t>v01-00</w:t>
    </w:r>
    <w:r w:rsidRPr="002E761C">
      <w:rPr>
        <w:rStyle w:val="HideTWBExt"/>
        <w:noProof w:val="0"/>
      </w:rPr>
      <w:t>&lt;/Version&gt;</w:t>
    </w:r>
  </w:p>
  <w:p w:rsidR="000C7B89" w:rsidRPr="002E761C" w:rsidRDefault="000F0428" w:rsidP="000F0428">
    <w:pPr>
      <w:pStyle w:val="EPFooter2"/>
    </w:pPr>
    <w:r w:rsidRPr="002E761C">
      <w:tab/>
    </w:r>
    <w:r w:rsidRPr="002E761C">
      <w:tab/>
      <w:t>LV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428" w:rsidRPr="002E761C" w:rsidRDefault="000F0428" w:rsidP="000F0428">
    <w:pPr>
      <w:pStyle w:val="EPFooter"/>
    </w:pPr>
    <w:r w:rsidRPr="002E761C">
      <w:rPr>
        <w:rStyle w:val="HideTWBExt"/>
        <w:noProof w:val="0"/>
      </w:rPr>
      <w:t>&lt;PathFdR&gt;</w:t>
    </w:r>
    <w:r w:rsidRPr="002E761C">
      <w:t>RE\1220348LV.docx</w:t>
    </w:r>
    <w:r w:rsidRPr="002E761C">
      <w:rPr>
        <w:rStyle w:val="HideTWBExt"/>
        <w:noProof w:val="0"/>
      </w:rPr>
      <w:t>&lt;/PathFdR&gt;</w:t>
    </w:r>
    <w:r w:rsidRPr="002E761C">
      <w:tab/>
    </w:r>
    <w:r w:rsidRPr="002E761C">
      <w:tab/>
      <w:t>PE</w:t>
    </w:r>
    <w:r w:rsidRPr="002E761C">
      <w:rPr>
        <w:rStyle w:val="HideTWBExt"/>
        <w:noProof w:val="0"/>
      </w:rPr>
      <w:t>&lt;NoPE&gt;</w:t>
    </w:r>
    <w:r w:rsidRPr="002E761C">
      <w:t>661.550</w:t>
    </w:r>
    <w:r w:rsidRPr="002E761C">
      <w:rPr>
        <w:rStyle w:val="HideTWBExt"/>
        <w:noProof w:val="0"/>
      </w:rPr>
      <w:t>&lt;/NoPE&gt;&lt;Version&gt;</w:t>
    </w:r>
    <w:r w:rsidRPr="002E761C">
      <w:t>v01-00</w:t>
    </w:r>
    <w:r w:rsidRPr="002E761C">
      <w:rPr>
        <w:rStyle w:val="HideTWBExt"/>
        <w:noProof w:val="0"/>
      </w:rPr>
      <w:t>&lt;/Version&gt;</w:t>
    </w:r>
  </w:p>
  <w:p w:rsidR="000C7B89" w:rsidRPr="002E761C" w:rsidRDefault="000F0428" w:rsidP="000F0428">
    <w:pPr>
      <w:pStyle w:val="EPFooter2"/>
    </w:pPr>
    <w:r w:rsidRPr="002E761C">
      <w:t>LV</w:t>
    </w:r>
    <w:r w:rsidRPr="002E761C">
      <w:tab/>
    </w:r>
    <w:r w:rsidRPr="002E761C">
      <w:rPr>
        <w:b w:val="0"/>
        <w:i/>
        <w:color w:val="C0C0C0"/>
        <w:sz w:val="22"/>
      </w:rPr>
      <w:t>Vienoti daudzveidībā</w:t>
    </w:r>
    <w:r w:rsidRPr="002E761C">
      <w:tab/>
      <w:t>LV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47AD" w:rsidRPr="002E761C" w:rsidRDefault="002F47AD">
      <w:r w:rsidRPr="002E761C">
        <w:separator/>
      </w:r>
    </w:p>
  </w:footnote>
  <w:footnote w:type="continuationSeparator" w:id="0">
    <w:p w:rsidR="002F47AD" w:rsidRPr="002E761C" w:rsidRDefault="002F47AD">
      <w:r w:rsidRPr="002E761C">
        <w:continuationSeparator/>
      </w:r>
    </w:p>
  </w:footnote>
  <w:footnote w:id="1">
    <w:p w:rsidR="00BA40EF" w:rsidRPr="002E761C" w:rsidRDefault="00BA40EF" w:rsidP="00BA40EF">
      <w:pPr>
        <w:pStyle w:val="FootnoteText"/>
        <w:tabs>
          <w:tab w:val="left" w:pos="567"/>
        </w:tabs>
        <w:ind w:left="567" w:hanging="567"/>
      </w:pPr>
      <w:r>
        <w:rPr>
          <w:rStyle w:val="FootnoteReference"/>
        </w:rPr>
        <w:footnoteRef/>
      </w:r>
      <w:r>
        <w:tab/>
        <w:t xml:space="preserve">OV L 95, 7.4.2017., 1. lpp. </w:t>
      </w:r>
    </w:p>
  </w:footnote>
  <w:footnote w:id="2">
    <w:p w:rsidR="00BA40EF" w:rsidRPr="002E761C" w:rsidRDefault="00BA40EF" w:rsidP="00BA40EF">
      <w:pPr>
        <w:pStyle w:val="FootnoteText"/>
        <w:tabs>
          <w:tab w:val="left" w:pos="567"/>
        </w:tabs>
        <w:ind w:left="567" w:hanging="567"/>
      </w:pPr>
      <w:r>
        <w:rPr>
          <w:rStyle w:val="FootnoteReference"/>
        </w:rPr>
        <w:footnoteRef/>
      </w:r>
      <w:r>
        <w:tab/>
        <w:t>Komisijas Deleģētā regula (ES) 2019/2124 (2019. gada 10. oktobris), ar ko attiecībā uz noteikumiem par tādu dzīvnieku un preču sūtījumu oficiālajām kontrolēm, kas ir tranzītā, pārkrauti un tālākā transportēšanā caur Savienību, papildina Eiropas Parlamenta un Padomes Regulu (ES) 2017/625 un groza Komisijas Regulu (EK) Nr. 798/2008, (EK) Nr. 1251/2008, (EK) Nr. 119/2009, (ES) Nr. 206/2010, (ES) Nr. 605/2010, (ES) Nr. 142/2011, (ES) Nr. 28/2012, Komisijas Īstenošanas regulu (ES) 2016/759 un Komisijas Lēmumu 2007/777/EK (OV L 321, 12.12.2019., 73. lpp.).</w:t>
      </w:r>
    </w:p>
  </w:footnote>
  <w:footnote w:id="3">
    <w:p w:rsidR="00BA40EF" w:rsidRPr="002E761C" w:rsidRDefault="00BA40EF" w:rsidP="00BA40EF">
      <w:pPr>
        <w:pStyle w:val="FootnoteText"/>
        <w:tabs>
          <w:tab w:val="left" w:pos="567"/>
        </w:tabs>
        <w:ind w:left="567" w:hanging="567"/>
      </w:pPr>
      <w:r>
        <w:rPr>
          <w:rStyle w:val="FootnoteReference"/>
        </w:rPr>
        <w:footnoteRef/>
      </w:r>
      <w:r>
        <w:tab/>
        <w:t>Saskaņā ar Līguma par Lielbritānijas un Ziemeļīrijas Apvienotās Karalistes izstāšanos no Eiropas Savienības un Eiropas Atomenerģijas kopienas un jo īpaši Protokola par Īriju/Ziemeļīriju 5. panta 4. punktu saistībā ar minētā protokola 2  pielikumu šo regulu piemēro Apvienotajai Karalistei un tās teritorijā attiecībā uz Ziemeļīriju.</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7C4" w:rsidRDefault="00C807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7C4" w:rsidRDefault="00C807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7C4" w:rsidRDefault="00C807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MNU" w:val=" 1"/>
    <w:docVar w:name="AUTHORMNU" w:val=" 3"/>
    <w:docVar w:name="COMKEY" w:val="ENVI"/>
    <w:docVar w:name="DELACTDT" w:val="09/12/2020"/>
    <w:docVar w:name="DOCMNU" w:val=" 1"/>
    <w:docVar w:name="DOCTYPEMNU" w:val=" 2"/>
    <w:docVar w:name="LastEditedSection" w:val=" 1"/>
    <w:docVar w:name="SERIALNRMNU" w:val=" 2"/>
    <w:docVar w:name="strSubDir" w:val="1220"/>
    <w:docVar w:name="TXTLANGUE" w:val="LV"/>
    <w:docVar w:name="TXTLANGUEMIN" w:val="lv"/>
    <w:docVar w:name="TXTNRB" w:val="0420/2020"/>
    <w:docVar w:name="TXTNRC" w:val="(2020)07418"/>
    <w:docVar w:name="TXTNRDEA" w:val="2020/2855"/>
    <w:docVar w:name="TXTNRDELREG" w:val="(EU) 2019/2124"/>
    <w:docVar w:name="TXTNRPE" w:val="661.550"/>
    <w:docVar w:name="TXTPEorAP" w:val="PE"/>
    <w:docVar w:name="TXTROUTE" w:val="RE\1220348LV.docx"/>
    <w:docVar w:name="TXTTITLE" w:val="WWW"/>
    <w:docVar w:name="TXTVERSION" w:val="01-00"/>
  </w:docVars>
  <w:rsids>
    <w:rsidRoot w:val="002F47AD"/>
    <w:rsid w:val="000218A8"/>
    <w:rsid w:val="0005254F"/>
    <w:rsid w:val="000C7B89"/>
    <w:rsid w:val="000D2165"/>
    <w:rsid w:val="000E26D5"/>
    <w:rsid w:val="000F0428"/>
    <w:rsid w:val="00105F8B"/>
    <w:rsid w:val="00152F37"/>
    <w:rsid w:val="0019441C"/>
    <w:rsid w:val="001E693A"/>
    <w:rsid w:val="00203F45"/>
    <w:rsid w:val="002821DF"/>
    <w:rsid w:val="00297CA5"/>
    <w:rsid w:val="002D0774"/>
    <w:rsid w:val="002E46A3"/>
    <w:rsid w:val="002E761C"/>
    <w:rsid w:val="002F47AD"/>
    <w:rsid w:val="002F6A7D"/>
    <w:rsid w:val="003760E3"/>
    <w:rsid w:val="00387AC6"/>
    <w:rsid w:val="003E59AA"/>
    <w:rsid w:val="00437AAB"/>
    <w:rsid w:val="00457FEA"/>
    <w:rsid w:val="004616E8"/>
    <w:rsid w:val="004704C6"/>
    <w:rsid w:val="004C625F"/>
    <w:rsid w:val="004D5C2F"/>
    <w:rsid w:val="00560E87"/>
    <w:rsid w:val="00564BEF"/>
    <w:rsid w:val="005874B7"/>
    <w:rsid w:val="00593010"/>
    <w:rsid w:val="005A5FB5"/>
    <w:rsid w:val="005A7BCF"/>
    <w:rsid w:val="005C0AD2"/>
    <w:rsid w:val="005E0BC3"/>
    <w:rsid w:val="0060003C"/>
    <w:rsid w:val="006008EF"/>
    <w:rsid w:val="00601580"/>
    <w:rsid w:val="00661750"/>
    <w:rsid w:val="006746EE"/>
    <w:rsid w:val="0071095F"/>
    <w:rsid w:val="00744B66"/>
    <w:rsid w:val="007471B2"/>
    <w:rsid w:val="00765B61"/>
    <w:rsid w:val="00772346"/>
    <w:rsid w:val="007974DD"/>
    <w:rsid w:val="007B06AA"/>
    <w:rsid w:val="007B50DB"/>
    <w:rsid w:val="007D6B34"/>
    <w:rsid w:val="007E0537"/>
    <w:rsid w:val="008020D5"/>
    <w:rsid w:val="00824B90"/>
    <w:rsid w:val="0084067E"/>
    <w:rsid w:val="00844BD4"/>
    <w:rsid w:val="0087374F"/>
    <w:rsid w:val="00875FFF"/>
    <w:rsid w:val="00880742"/>
    <w:rsid w:val="008835B3"/>
    <w:rsid w:val="008A0D48"/>
    <w:rsid w:val="008A3720"/>
    <w:rsid w:val="008C458A"/>
    <w:rsid w:val="008E662B"/>
    <w:rsid w:val="008F4DA0"/>
    <w:rsid w:val="00921886"/>
    <w:rsid w:val="00981D9B"/>
    <w:rsid w:val="009D136C"/>
    <w:rsid w:val="009F4868"/>
    <w:rsid w:val="009F7376"/>
    <w:rsid w:val="00A06D31"/>
    <w:rsid w:val="00A66299"/>
    <w:rsid w:val="00A93F71"/>
    <w:rsid w:val="00AA7FB1"/>
    <w:rsid w:val="00AD346E"/>
    <w:rsid w:val="00B60126"/>
    <w:rsid w:val="00B812C1"/>
    <w:rsid w:val="00BA40EF"/>
    <w:rsid w:val="00BB7B04"/>
    <w:rsid w:val="00BC77BD"/>
    <w:rsid w:val="00C03AB9"/>
    <w:rsid w:val="00C737BB"/>
    <w:rsid w:val="00C807C4"/>
    <w:rsid w:val="00C872E2"/>
    <w:rsid w:val="00CA3943"/>
    <w:rsid w:val="00CB405B"/>
    <w:rsid w:val="00D105CB"/>
    <w:rsid w:val="00D378DE"/>
    <w:rsid w:val="00D462E2"/>
    <w:rsid w:val="00D60FF7"/>
    <w:rsid w:val="00D70513"/>
    <w:rsid w:val="00E0413F"/>
    <w:rsid w:val="00E26562"/>
    <w:rsid w:val="00E323D6"/>
    <w:rsid w:val="00E60D8A"/>
    <w:rsid w:val="00E74B0B"/>
    <w:rsid w:val="00E808E4"/>
    <w:rsid w:val="00ED3C1E"/>
    <w:rsid w:val="00EE25C7"/>
    <w:rsid w:val="00F40068"/>
    <w:rsid w:val="00F601C7"/>
    <w:rsid w:val="00F70B36"/>
    <w:rsid w:val="00F75D46"/>
    <w:rsid w:val="00F9151F"/>
    <w:rsid w:val="00FA056B"/>
    <w:rsid w:val="00FF0AC3"/>
    <w:rsid w:val="00FF438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509A54D-2232-4786-9CF3-2E305049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20D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74B0B"/>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824B90"/>
    <w:pPr>
      <w:ind w:left="1417"/>
    </w:pPr>
    <w:rPr>
      <w:b/>
    </w:rPr>
  </w:style>
  <w:style w:type="paragraph" w:customStyle="1" w:styleId="CoverNormal12a">
    <w:name w:val="CoverNormal12a"/>
    <w:basedOn w:val="Normal"/>
    <w:rsid w:val="00E0413F"/>
    <w:pPr>
      <w:spacing w:after="240"/>
      <w:ind w:left="1418"/>
    </w:pPr>
  </w:style>
  <w:style w:type="paragraph" w:customStyle="1" w:styleId="CoverNormal24a">
    <w:name w:val="CoverNormal24a"/>
    <w:basedOn w:val="Normal"/>
    <w:rsid w:val="00E0413F"/>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E808E4"/>
    <w:pPr>
      <w:spacing w:after="480"/>
      <w:ind w:left="1418"/>
    </w:pPr>
    <w:rPr>
      <w:rFonts w:ascii="Arial" w:hAnsi="Arial"/>
      <w:b/>
      <w:sz w:val="48"/>
    </w:rPr>
  </w:style>
  <w:style w:type="paragraph" w:styleId="Header">
    <w:name w:val="header"/>
    <w:basedOn w:val="Normal"/>
    <w:link w:val="HeaderChar"/>
    <w:semiHidden/>
    <w:rsid w:val="004C625F"/>
    <w:pPr>
      <w:tabs>
        <w:tab w:val="center" w:pos="4513"/>
        <w:tab w:val="right" w:pos="9026"/>
      </w:tabs>
    </w:pPr>
  </w:style>
  <w:style w:type="table" w:styleId="TableGrid">
    <w:name w:val="Table Grid"/>
    <w:basedOn w:val="TableNormal"/>
    <w:rsid w:val="000C7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C7B89"/>
    <w:pPr>
      <w:jc w:val="center"/>
    </w:pPr>
    <w:rPr>
      <w:rFonts w:ascii="Arial" w:hAnsi="Arial" w:cs="Arial"/>
      <w:i/>
      <w:sz w:val="22"/>
      <w:szCs w:val="22"/>
    </w:rPr>
  </w:style>
  <w:style w:type="paragraph" w:customStyle="1" w:styleId="LineTop">
    <w:name w:val="LineTop"/>
    <w:basedOn w:val="Normal"/>
    <w:next w:val="Normal"/>
    <w:rsid w:val="000C7B8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5C0AD2"/>
    <w:pPr>
      <w:pBdr>
        <w:bottom w:val="single" w:sz="4" w:space="1" w:color="auto"/>
      </w:pBdr>
      <w:spacing w:after="240"/>
      <w:jc w:val="center"/>
    </w:pPr>
    <w:rPr>
      <w:rFonts w:ascii="Arial" w:hAnsi="Arial" w:cs="Arial"/>
      <w:sz w:val="16"/>
      <w:szCs w:val="16"/>
    </w:rPr>
  </w:style>
  <w:style w:type="paragraph" w:customStyle="1" w:styleId="CoverBold24a">
    <w:name w:val="CoverBold24a"/>
    <w:basedOn w:val="Normal"/>
    <w:rsid w:val="00437AAB"/>
    <w:pPr>
      <w:spacing w:after="480"/>
      <w:ind w:left="1418"/>
    </w:pPr>
    <w:rPr>
      <w:b/>
    </w:rPr>
  </w:style>
  <w:style w:type="paragraph" w:customStyle="1" w:styleId="EPName">
    <w:name w:val="EPName"/>
    <w:basedOn w:val="Normal"/>
    <w:rsid w:val="00CB405B"/>
    <w:pPr>
      <w:spacing w:before="80" w:after="80"/>
    </w:pPr>
    <w:rPr>
      <w:rFonts w:ascii="Arial Narrow" w:hAnsi="Arial Narrow" w:cs="Arial"/>
      <w:b/>
      <w:sz w:val="32"/>
      <w:szCs w:val="22"/>
    </w:rPr>
  </w:style>
  <w:style w:type="paragraph" w:customStyle="1" w:styleId="EPTerm">
    <w:name w:val="EPTerm"/>
    <w:basedOn w:val="Normal"/>
    <w:next w:val="Normal"/>
    <w:rsid w:val="00CB405B"/>
    <w:pPr>
      <w:spacing w:after="80"/>
    </w:pPr>
    <w:rPr>
      <w:rFonts w:ascii="Arial" w:hAnsi="Arial" w:cs="Arial"/>
      <w:sz w:val="20"/>
      <w:szCs w:val="22"/>
    </w:rPr>
  </w:style>
  <w:style w:type="paragraph" w:customStyle="1" w:styleId="EPLogo">
    <w:name w:val="EPLogo"/>
    <w:basedOn w:val="Normal"/>
    <w:qFormat/>
    <w:rsid w:val="00CB405B"/>
    <w:pPr>
      <w:jc w:val="right"/>
    </w:pPr>
  </w:style>
  <w:style w:type="paragraph" w:customStyle="1" w:styleId="CoverReference">
    <w:name w:val="CoverReference"/>
    <w:basedOn w:val="Normal"/>
    <w:rsid w:val="005C0AD2"/>
    <w:pPr>
      <w:spacing w:before="1080"/>
      <w:jc w:val="right"/>
    </w:pPr>
    <w:rPr>
      <w:rFonts w:ascii="Arial" w:hAnsi="Arial" w:cs="Arial"/>
      <w:b/>
    </w:rPr>
  </w:style>
  <w:style w:type="paragraph" w:customStyle="1" w:styleId="CoverDate">
    <w:name w:val="CoverDate"/>
    <w:basedOn w:val="Normal"/>
    <w:rsid w:val="005C0AD2"/>
    <w:pPr>
      <w:spacing w:before="240" w:after="1200"/>
    </w:pPr>
  </w:style>
  <w:style w:type="paragraph" w:customStyle="1" w:styleId="EPFooter">
    <w:name w:val="EPFooter"/>
    <w:basedOn w:val="Normal"/>
    <w:rsid w:val="00E808E4"/>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4C625F"/>
    <w:rPr>
      <w:sz w:val="24"/>
    </w:rPr>
  </w:style>
  <w:style w:type="paragraph" w:styleId="FootnoteText">
    <w:name w:val="footnote text"/>
    <w:basedOn w:val="Normal"/>
    <w:link w:val="FootnoteTextChar"/>
    <w:uiPriority w:val="99"/>
    <w:rsid w:val="00BA40EF"/>
    <w:rPr>
      <w:sz w:val="20"/>
    </w:rPr>
  </w:style>
  <w:style w:type="character" w:customStyle="1" w:styleId="FootnoteTextChar">
    <w:name w:val="Footnote Text Char"/>
    <w:basedOn w:val="DefaultParagraphFont"/>
    <w:link w:val="FootnoteText"/>
    <w:uiPriority w:val="99"/>
    <w:rsid w:val="00BA40EF"/>
  </w:style>
  <w:style w:type="character" w:styleId="FootnoteReference">
    <w:name w:val="footnote reference"/>
    <w:basedOn w:val="DefaultParagraphFont"/>
    <w:uiPriority w:val="99"/>
    <w:rsid w:val="00BA40EF"/>
    <w:rPr>
      <w:vertAlign w:val="superscript"/>
    </w:rPr>
  </w:style>
  <w:style w:type="paragraph" w:customStyle="1" w:styleId="Normal12Hanging">
    <w:name w:val="Normal12Hanging"/>
    <w:basedOn w:val="Normal"/>
    <w:rsid w:val="00BA40EF"/>
    <w:pPr>
      <w:spacing w:after="240"/>
      <w:ind w:left="567" w:hanging="567"/>
    </w:pPr>
  </w:style>
  <w:style w:type="paragraph" w:styleId="Footer">
    <w:name w:val="footer"/>
    <w:basedOn w:val="Normal"/>
    <w:link w:val="FooterChar"/>
    <w:rsid w:val="00BA40EF"/>
    <w:pPr>
      <w:tabs>
        <w:tab w:val="center" w:pos="4513"/>
        <w:tab w:val="right" w:pos="9026"/>
      </w:tabs>
    </w:pPr>
  </w:style>
  <w:style w:type="character" w:customStyle="1" w:styleId="FooterChar">
    <w:name w:val="Footer Char"/>
    <w:basedOn w:val="DefaultParagraphFont"/>
    <w:link w:val="Footer"/>
    <w:rsid w:val="00BA40E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691</Words>
  <Characters>4368</Characters>
  <Application>Microsoft Office Word</Application>
  <DocSecurity>0</DocSecurity>
  <Lines>80</Lines>
  <Paragraphs>29</Paragraphs>
  <ScaleCrop>false</ScaleCrop>
  <HeadingPairs>
    <vt:vector size="2" baseType="variant">
      <vt:variant>
        <vt:lpstr>Title</vt:lpstr>
      </vt:variant>
      <vt:variant>
        <vt:i4>1</vt:i4>
      </vt:variant>
    </vt:vector>
  </HeadingPairs>
  <TitlesOfParts>
    <vt:vector size="1" baseType="lpstr">
      <vt:lpstr>RE_DelAct_NoObjections</vt:lpstr>
    </vt:vector>
  </TitlesOfParts>
  <Company/>
  <LinksUpToDate>false</LinksUpToDate>
  <CharactersWithSpaces>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RE_DelAct_NoObjections</dc:title>
  <dc:subject/>
  <dc:creator>DE WILDE Alice</dc:creator>
  <cp:keywords/>
  <dc:description/>
  <cp:lastModifiedBy>BIRZE Kendisa</cp:lastModifiedBy>
  <cp:revision>2</cp:revision>
  <cp:lastPrinted>2004-11-19T15:29:00Z</cp:lastPrinted>
  <dcterms:created xsi:type="dcterms:W3CDTF">2020-12-10T16:12:00Z</dcterms:created>
  <dcterms:modified xsi:type="dcterms:W3CDTF">2020-12-10T16:12:00Z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9.9.1 Build [20200705]</vt:lpwstr>
  </property>
  <property fmtid="{D5CDD505-2E9C-101B-9397-08002B2CF9AE}" pid="3" name="LastEdited with">
    <vt:lpwstr>9.9.1 Build [20200705]</vt:lpwstr>
  </property>
  <property fmtid="{D5CDD505-2E9C-101B-9397-08002B2CF9AE}" pid="4" name="&lt;FdR&gt;">
    <vt:lpwstr>1220348</vt:lpwstr>
  </property>
  <property fmtid="{D5CDD505-2E9C-101B-9397-08002B2CF9AE}" pid="5" name="&lt;Type&gt;">
    <vt:lpwstr>RE</vt:lpwstr>
  </property>
  <property fmtid="{D5CDD505-2E9C-101B-9397-08002B2CF9AE}" pid="6" name="&lt;ModelCod&gt;">
    <vt:lpwstr>\\eiciLUXpr1\pdocep$\DocEP\DOCS\General\RE\RE_DelAct\RE_DelAct_NoObjections.dotx(17/04/2020 18:29:08)</vt:lpwstr>
  </property>
  <property fmtid="{D5CDD505-2E9C-101B-9397-08002B2CF9AE}" pid="7" name="&lt;ModelTra&gt;">
    <vt:lpwstr>\\eiciLUXpr1\pdocep$\DocEP\TRANSFIL\EN\RE_DelAct_NoObjections.EN(11/03/2020 09:31:01)</vt:lpwstr>
  </property>
  <property fmtid="{D5CDD505-2E9C-101B-9397-08002B2CF9AE}" pid="8" name="&lt;Model&gt;">
    <vt:lpwstr>RE_DelAct_NoObjections</vt:lpwstr>
  </property>
  <property fmtid="{D5CDD505-2E9C-101B-9397-08002B2CF9AE}" pid="9" name="FooterPath">
    <vt:lpwstr>RE\1220348LV.docx</vt:lpwstr>
  </property>
  <property fmtid="{D5CDD505-2E9C-101B-9397-08002B2CF9AE}" pid="10" name="PE number">
    <vt:lpwstr>661.550</vt:lpwstr>
  </property>
  <property fmtid="{D5CDD505-2E9C-101B-9397-08002B2CF9AE}" pid="11" name="Bookout">
    <vt:lpwstr>OK - 2020/12/10 17:12</vt:lpwstr>
  </property>
  <property fmtid="{D5CDD505-2E9C-101B-9397-08002B2CF9AE}" pid="12" name="SDLStudio">
    <vt:lpwstr/>
  </property>
  <property fmtid="{D5CDD505-2E9C-101B-9397-08002B2CF9AE}" pid="13" name="&lt;Extension&gt;">
    <vt:lpwstr>LV</vt:lpwstr>
  </property>
</Properties>
</file>