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5EFB" w:rsidRPr="00C121E3" w:rsidTr="00C85D0F">
        <w:trPr>
          <w:trHeight w:hRule="exact" w:val="1418"/>
        </w:trPr>
        <w:tc>
          <w:tcPr>
            <w:tcW w:w="6804" w:type="dxa"/>
            <w:shd w:val="clear" w:color="auto" w:fill="auto"/>
            <w:vAlign w:val="center"/>
          </w:tcPr>
          <w:p w:rsidR="008F5EFB" w:rsidRPr="00C121E3" w:rsidRDefault="003A3525" w:rsidP="00C85D0F">
            <w:pPr>
              <w:pStyle w:val="EPName"/>
            </w:pPr>
            <w:r w:rsidRPr="00C121E3">
              <w:t>European Parliament</w:t>
            </w:r>
          </w:p>
          <w:p w:rsidR="008F5EFB" w:rsidRPr="00C121E3" w:rsidRDefault="00280875" w:rsidP="00280875">
            <w:pPr>
              <w:pStyle w:val="EPTerm"/>
            </w:pPr>
            <w:r w:rsidRPr="00C121E3">
              <w:t>2019-2024</w:t>
            </w:r>
          </w:p>
        </w:tc>
        <w:tc>
          <w:tcPr>
            <w:tcW w:w="2268" w:type="dxa"/>
            <w:shd w:val="clear" w:color="auto" w:fill="auto"/>
          </w:tcPr>
          <w:p w:rsidR="008F5EFB" w:rsidRPr="00C121E3" w:rsidRDefault="008F5EFB" w:rsidP="00C85D0F">
            <w:pPr>
              <w:pStyle w:val="EPLogo"/>
            </w:pPr>
            <w:r w:rsidRPr="00C121E3">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53167" w:rsidRPr="00C121E3" w:rsidRDefault="00E53167" w:rsidP="00E53167">
      <w:pPr>
        <w:pStyle w:val="LineTop"/>
      </w:pPr>
    </w:p>
    <w:p w:rsidR="00E53167" w:rsidRPr="00C121E3" w:rsidRDefault="00280875" w:rsidP="00E53167">
      <w:pPr>
        <w:pStyle w:val="EPBody"/>
      </w:pPr>
      <w:r w:rsidRPr="00C121E3">
        <w:t>Plenary sitting</w:t>
      </w:r>
    </w:p>
    <w:p w:rsidR="00094DDA" w:rsidRPr="00C121E3" w:rsidRDefault="00094DDA" w:rsidP="00094DDA">
      <w:pPr>
        <w:pStyle w:val="LineBottom"/>
      </w:pPr>
    </w:p>
    <w:p w:rsidR="00094DDA" w:rsidRPr="00C121E3" w:rsidRDefault="00094DDA" w:rsidP="00094DDA">
      <w:pPr>
        <w:pStyle w:val="CoverReference"/>
      </w:pPr>
      <w:r w:rsidRPr="00C121E3">
        <w:rPr>
          <w:rStyle w:val="HideTWBExt"/>
          <w:b w:val="0"/>
        </w:rPr>
        <w:t>&lt;NoDocSe&gt;</w:t>
      </w:r>
      <w:r w:rsidR="00280875" w:rsidRPr="00C121E3">
        <w:t>B9</w:t>
      </w:r>
      <w:r w:rsidR="00280875" w:rsidRPr="00C121E3">
        <w:noBreakHyphen/>
        <w:t>0505/2023</w:t>
      </w:r>
      <w:r w:rsidRPr="00C121E3">
        <w:rPr>
          <w:rStyle w:val="HideTWBExt"/>
          <w:b w:val="0"/>
        </w:rPr>
        <w:t>&lt;/NoDocSe&gt;</w:t>
      </w:r>
    </w:p>
    <w:p w:rsidR="00094DDA" w:rsidRPr="00C121E3" w:rsidRDefault="00094DDA" w:rsidP="00094DDA">
      <w:pPr>
        <w:pStyle w:val="CoverDate"/>
      </w:pPr>
      <w:r w:rsidRPr="00C121E3">
        <w:rPr>
          <w:rStyle w:val="HideTWBExt"/>
        </w:rPr>
        <w:t>&lt;Date&gt;</w:t>
      </w:r>
      <w:r w:rsidR="00280875" w:rsidRPr="00C121E3">
        <w:rPr>
          <w:rStyle w:val="HideTWBInt"/>
        </w:rPr>
        <w:t>{08/12/2023}</w:t>
      </w:r>
      <w:r w:rsidR="00280875" w:rsidRPr="00C121E3">
        <w:t>8.12.2023</w:t>
      </w:r>
      <w:r w:rsidRPr="00C121E3">
        <w:rPr>
          <w:rStyle w:val="HideTWBExt"/>
        </w:rPr>
        <w:t>&lt;/Date&gt;</w:t>
      </w:r>
    </w:p>
    <w:p w:rsidR="00814BC6" w:rsidRPr="00C121E3" w:rsidRDefault="00814BC6">
      <w:pPr>
        <w:pStyle w:val="CoverDocType24a"/>
      </w:pPr>
      <w:r w:rsidRPr="00C121E3">
        <w:rPr>
          <w:rStyle w:val="HideTWBExt"/>
          <w:b w:val="0"/>
        </w:rPr>
        <w:t>&lt;TitreType&gt;</w:t>
      </w:r>
      <w:r w:rsidR="00280875" w:rsidRPr="00C121E3">
        <w:t>MOTION FOR A RESOLUTION</w:t>
      </w:r>
      <w:r w:rsidRPr="00C121E3">
        <w:rPr>
          <w:rStyle w:val="HideTWBExt"/>
          <w:b w:val="0"/>
        </w:rPr>
        <w:t>&lt;/TitreType&gt;</w:t>
      </w:r>
    </w:p>
    <w:p w:rsidR="00814BC6" w:rsidRPr="00C121E3" w:rsidRDefault="00814BC6">
      <w:pPr>
        <w:pStyle w:val="CoverNormal12a"/>
      </w:pPr>
      <w:r w:rsidRPr="00C121E3">
        <w:rPr>
          <w:rStyle w:val="HideTWBExt"/>
        </w:rPr>
        <w:t>&lt;TitreSuite&gt;</w:t>
      </w:r>
      <w:r w:rsidR="003A3525" w:rsidRPr="00C121E3">
        <w:t xml:space="preserve">to wind up the debate on </w:t>
      </w:r>
      <w:r w:rsidR="00280875" w:rsidRPr="00C121E3">
        <w:t>the statements by the Council and the Commission</w:t>
      </w:r>
      <w:r w:rsidRPr="00C121E3">
        <w:rPr>
          <w:rStyle w:val="HideTWBExt"/>
        </w:rPr>
        <w:t>&lt;/TitreSuite&gt;</w:t>
      </w:r>
    </w:p>
    <w:p w:rsidR="00814BC6" w:rsidRPr="00C121E3" w:rsidRDefault="00814BC6">
      <w:pPr>
        <w:pStyle w:val="CoverNormal12a"/>
      </w:pPr>
      <w:r w:rsidRPr="00C121E3">
        <w:rPr>
          <w:rStyle w:val="HideTWBExt"/>
        </w:rPr>
        <w:t>&lt;TitreRecueil&gt;</w:t>
      </w:r>
      <w:r w:rsidR="003A3525" w:rsidRPr="00C121E3">
        <w:t>pursuant to Rule 132(2) of the Rules of Procedure</w:t>
      </w:r>
      <w:r w:rsidRPr="00C121E3">
        <w:rPr>
          <w:rStyle w:val="HideTWBExt"/>
        </w:rPr>
        <w:t>&lt;/TitreRecueil&gt;</w:t>
      </w:r>
    </w:p>
    <w:p w:rsidR="00C23264" w:rsidRPr="00C121E3" w:rsidRDefault="00C23264" w:rsidP="00C23264">
      <w:pPr>
        <w:pStyle w:val="CoverNormal"/>
      </w:pPr>
      <w:r w:rsidRPr="00C121E3">
        <w:rPr>
          <w:rStyle w:val="HideTWBExt"/>
        </w:rPr>
        <w:t>&lt;Titre&gt;</w:t>
      </w:r>
      <w:r w:rsidR="003A3525" w:rsidRPr="00C121E3">
        <w:t xml:space="preserve">on </w:t>
      </w:r>
      <w:r w:rsidR="00280875" w:rsidRPr="00C121E3">
        <w:t xml:space="preserve">30 years of Copenhagen criteria </w:t>
      </w:r>
      <w:r w:rsidR="00344E71" w:rsidRPr="00C121E3">
        <w:t>–</w:t>
      </w:r>
      <w:r w:rsidR="00280875" w:rsidRPr="00C121E3">
        <w:t xml:space="preserve"> giving further impetus to EU enlargement policy</w:t>
      </w:r>
      <w:r w:rsidRPr="00C121E3">
        <w:rPr>
          <w:rStyle w:val="HideTWBExt"/>
        </w:rPr>
        <w:t>&lt;/Titre&gt;</w:t>
      </w:r>
    </w:p>
    <w:p w:rsidR="00C23264" w:rsidRPr="00C121E3" w:rsidRDefault="00C23264" w:rsidP="00C23264">
      <w:pPr>
        <w:pStyle w:val="CoverNormal24a"/>
      </w:pPr>
      <w:r w:rsidRPr="00C121E3">
        <w:rPr>
          <w:rStyle w:val="HideTWBExt"/>
        </w:rPr>
        <w:t>&lt;DocRef&gt;</w:t>
      </w:r>
      <w:r w:rsidR="003A3525" w:rsidRPr="00C121E3">
        <w:t>(</w:t>
      </w:r>
      <w:r w:rsidR="00280875" w:rsidRPr="00C121E3">
        <w:t>2023/2987</w:t>
      </w:r>
      <w:r w:rsidR="003A3525" w:rsidRPr="00C121E3">
        <w:t>(RSP))</w:t>
      </w:r>
      <w:r w:rsidRPr="00C121E3">
        <w:rPr>
          <w:rStyle w:val="HideTWBExt"/>
        </w:rPr>
        <w:t>&lt;/DocRef&gt;</w:t>
      </w:r>
    </w:p>
    <w:p w:rsidR="002574AA" w:rsidRPr="00C121E3" w:rsidRDefault="002574AA" w:rsidP="002574AA">
      <w:pPr>
        <w:pStyle w:val="CoverBold"/>
      </w:pPr>
      <w:r w:rsidRPr="00C121E3">
        <w:rPr>
          <w:rStyle w:val="HideTWBExt"/>
          <w:b w:val="0"/>
        </w:rPr>
        <w:t>&lt;RepeatBlock-By&gt;&lt;Depute&gt;</w:t>
      </w:r>
      <w:r w:rsidR="00280875" w:rsidRPr="00C121E3">
        <w:t>Anna Fotyga</w:t>
      </w:r>
      <w:r w:rsidRPr="00C121E3">
        <w:rPr>
          <w:rStyle w:val="HideTWBExt"/>
          <w:b w:val="0"/>
        </w:rPr>
        <w:t>&lt;/Depute&gt;</w:t>
      </w:r>
    </w:p>
    <w:p w:rsidR="002574AA" w:rsidRPr="00C121E3" w:rsidRDefault="002574AA" w:rsidP="002574AA">
      <w:pPr>
        <w:pStyle w:val="CoverNormal"/>
      </w:pPr>
      <w:r w:rsidRPr="00C121E3">
        <w:rPr>
          <w:rStyle w:val="HideTWBExt"/>
        </w:rPr>
        <w:t>&lt;Commission&gt;</w:t>
      </w:r>
      <w:r w:rsidR="00280875" w:rsidRPr="00C121E3">
        <w:rPr>
          <w:rStyle w:val="HideTWBInt"/>
        </w:rPr>
        <w:t>{ECR}</w:t>
      </w:r>
      <w:r w:rsidR="00280875" w:rsidRPr="00C121E3">
        <w:t>on behalf of the ECR Group</w:t>
      </w:r>
      <w:r w:rsidRPr="00C121E3">
        <w:rPr>
          <w:rStyle w:val="HideTWBExt"/>
        </w:rPr>
        <w:t>&lt;/Commission&gt;</w:t>
      </w:r>
    </w:p>
    <w:p w:rsidR="002574AA" w:rsidRPr="00C121E3" w:rsidRDefault="002574AA" w:rsidP="002574AA">
      <w:pPr>
        <w:pStyle w:val="CoverNormal"/>
      </w:pPr>
      <w:r w:rsidRPr="00C121E3">
        <w:rPr>
          <w:rStyle w:val="HideTWBExt"/>
        </w:rPr>
        <w:t>&lt;/RepeatBlock-By&gt;</w:t>
      </w:r>
    </w:p>
    <w:p w:rsidR="00814BC6" w:rsidRPr="00C121E3" w:rsidRDefault="00814BC6">
      <w:pPr>
        <w:pStyle w:val="NormalBold12a"/>
      </w:pPr>
      <w:r w:rsidRPr="00C121E3">
        <w:br w:type="page"/>
      </w:r>
      <w:r w:rsidR="00280875" w:rsidRPr="00C121E3">
        <w:lastRenderedPageBreak/>
        <w:t>B9</w:t>
      </w:r>
      <w:r w:rsidR="00280875" w:rsidRPr="00C121E3">
        <w:noBreakHyphen/>
        <w:t>0505/2023</w:t>
      </w:r>
    </w:p>
    <w:p w:rsidR="00C23264" w:rsidRPr="00C121E3" w:rsidRDefault="003A3525" w:rsidP="00C23264">
      <w:pPr>
        <w:pStyle w:val="NormalBold"/>
      </w:pPr>
      <w:r w:rsidRPr="00C121E3">
        <w:t xml:space="preserve">European Parliament resolution on </w:t>
      </w:r>
      <w:r w:rsidR="00280875" w:rsidRPr="00C121E3">
        <w:t xml:space="preserve">30 years of Copenhagen criteria </w:t>
      </w:r>
      <w:r w:rsidR="00344E71" w:rsidRPr="00C121E3">
        <w:t xml:space="preserve">– </w:t>
      </w:r>
      <w:r w:rsidR="00280875" w:rsidRPr="00C121E3">
        <w:t>giving further impetus to EU enlargement policy</w:t>
      </w:r>
    </w:p>
    <w:p w:rsidR="00C23264" w:rsidRPr="00C121E3" w:rsidRDefault="003A3525" w:rsidP="00DF7943">
      <w:pPr>
        <w:pStyle w:val="NormalBold"/>
        <w:rPr>
          <w:lang w:val="fr-FR"/>
        </w:rPr>
      </w:pPr>
      <w:r w:rsidRPr="00C121E3">
        <w:rPr>
          <w:lang w:val="fr-FR"/>
        </w:rPr>
        <w:t>(</w:t>
      </w:r>
      <w:r w:rsidR="00280875" w:rsidRPr="00C121E3">
        <w:rPr>
          <w:lang w:val="fr-FR"/>
        </w:rPr>
        <w:t>2023/2987</w:t>
      </w:r>
      <w:r w:rsidRPr="00C121E3">
        <w:rPr>
          <w:lang w:val="fr-FR"/>
        </w:rPr>
        <w:t>(RSP))</w:t>
      </w:r>
      <w:bookmarkStart w:id="0" w:name="_GoBack"/>
      <w:bookmarkEnd w:id="0"/>
    </w:p>
    <w:p w:rsidR="00344E71" w:rsidRPr="00C121E3" w:rsidRDefault="00344E71" w:rsidP="00344E71">
      <w:pPr>
        <w:pStyle w:val="EPComma"/>
      </w:pPr>
      <w:r w:rsidRPr="00C121E3">
        <w:rPr>
          <w:i/>
        </w:rPr>
        <w:t>The European Parliament</w:t>
      </w:r>
      <w:r w:rsidRPr="00C121E3">
        <w:t>,</w:t>
      </w:r>
    </w:p>
    <w:p w:rsidR="00344E71" w:rsidRPr="00C121E3" w:rsidRDefault="00344E71" w:rsidP="00344E71">
      <w:pPr>
        <w:pStyle w:val="NormalHanging12a"/>
      </w:pPr>
      <w:r w:rsidRPr="00C121E3">
        <w:t>–</w:t>
      </w:r>
      <w:r w:rsidRPr="00C121E3">
        <w:tab/>
        <w:t>having regard to Article 49 of the Treaty on European Union (TEU),</w:t>
      </w:r>
    </w:p>
    <w:p w:rsidR="00344E71" w:rsidRPr="00C121E3" w:rsidRDefault="00344E71" w:rsidP="00344E71">
      <w:pPr>
        <w:pStyle w:val="NormalHanging12a"/>
      </w:pPr>
      <w:r w:rsidRPr="00C121E3">
        <w:t>–</w:t>
      </w:r>
      <w:r w:rsidRPr="00C121E3">
        <w:tab/>
        <w:t>having regard to its recommendation of 23 November 2022 concerning the new EU strategy for enlargement</w:t>
      </w:r>
      <w:r w:rsidRPr="00C121E3">
        <w:rPr>
          <w:rStyle w:val="FootnoteReference"/>
        </w:rPr>
        <w:footnoteReference w:id="1"/>
      </w:r>
      <w:r w:rsidRPr="00C121E3">
        <w:t>,</w:t>
      </w:r>
    </w:p>
    <w:p w:rsidR="00344E71" w:rsidRPr="00C121E3" w:rsidRDefault="00344E71" w:rsidP="00344E71">
      <w:pPr>
        <w:pStyle w:val="NormalHanging12a"/>
      </w:pPr>
      <w:r w:rsidRPr="00C121E3">
        <w:t>–</w:t>
      </w:r>
      <w:r w:rsidRPr="00C121E3">
        <w:tab/>
        <w:t xml:space="preserve">having regard to the Commission communication of 8 November 2023 entitled </w:t>
      </w:r>
      <w:r w:rsidR="00C121E3">
        <w:t>‘</w:t>
      </w:r>
      <w:r w:rsidRPr="00C121E3">
        <w:t>2023 Communication on EU Enlargement Policy</w:t>
      </w:r>
      <w:r w:rsidR="00C121E3">
        <w:t>’</w:t>
      </w:r>
      <w:r w:rsidRPr="00C121E3">
        <w:t xml:space="preserve"> (COM(2023)0690),</w:t>
      </w:r>
    </w:p>
    <w:p w:rsidR="00344E71" w:rsidRPr="00C121E3" w:rsidRDefault="00344E71" w:rsidP="00344E71">
      <w:pPr>
        <w:pStyle w:val="NormalHanging12a"/>
      </w:pPr>
      <w:r w:rsidRPr="00C121E3">
        <w:t>–</w:t>
      </w:r>
      <w:r w:rsidRPr="00C121E3">
        <w:tab/>
        <w:t>having regard to the European Council conclusions of 21 and 22 June 1993 (the Copenhagen criteria),</w:t>
      </w:r>
    </w:p>
    <w:p w:rsidR="00344E71" w:rsidRPr="00C121E3" w:rsidRDefault="00344E71" w:rsidP="00344E71">
      <w:pPr>
        <w:pStyle w:val="NormalHanging12a"/>
      </w:pPr>
      <w:r w:rsidRPr="00C121E3">
        <w:t>–</w:t>
      </w:r>
      <w:r w:rsidRPr="00C121E3">
        <w:tab/>
        <w:t>having regard to the applications for EU membership submitted by Ukraine, Moldova, Georgia and the Western Balkan countries and the related favourable Commission opinions and European Council conclusions,</w:t>
      </w:r>
    </w:p>
    <w:p w:rsidR="00344E71" w:rsidRPr="00C121E3" w:rsidRDefault="00344E71" w:rsidP="00344E71">
      <w:pPr>
        <w:pStyle w:val="NormalHanging12a"/>
      </w:pPr>
      <w:r w:rsidRPr="00C121E3">
        <w:t>–</w:t>
      </w:r>
      <w:r w:rsidRPr="00C121E3">
        <w:tab/>
        <w:t>having regard to Rule 132(2) of its Rules of Procedure,</w:t>
      </w:r>
    </w:p>
    <w:p w:rsidR="00344E71" w:rsidRPr="00C121E3" w:rsidRDefault="00344E71" w:rsidP="00344E71">
      <w:pPr>
        <w:pStyle w:val="NormalHanging12a"/>
      </w:pPr>
      <w:r w:rsidRPr="00C121E3">
        <w:t>A.</w:t>
      </w:r>
      <w:r w:rsidRPr="00C121E3">
        <w:tab/>
        <w:t>whereas 2023 marks the 30th anniversary of the Copenhagen criteria, which are essential conditions that all candidate countries must satisfy in order to become EU Member States;</w:t>
      </w:r>
    </w:p>
    <w:p w:rsidR="00344E71" w:rsidRPr="00C121E3" w:rsidRDefault="00344E71" w:rsidP="00344E71">
      <w:pPr>
        <w:pStyle w:val="NormalHanging12a"/>
      </w:pPr>
      <w:r w:rsidRPr="00C121E3">
        <w:t>B.</w:t>
      </w:r>
      <w:r w:rsidRPr="00C121E3">
        <w:tab/>
        <w:t>whereas enlargement policy is an effective EU foreign policy instrument, remains a strategic, future-oriented geopolitical investment in peace, security, stability and prosperity on the European continent, and unites Europe;</w:t>
      </w:r>
    </w:p>
    <w:p w:rsidR="00344E71" w:rsidRPr="00C121E3" w:rsidRDefault="00344E71" w:rsidP="00344E71">
      <w:pPr>
        <w:pStyle w:val="NormalHanging12a"/>
      </w:pPr>
      <w:r w:rsidRPr="00C121E3">
        <w:t>C.</w:t>
      </w:r>
      <w:r w:rsidRPr="00C121E3">
        <w:tab/>
        <w:t>whereas an enhanced enlargement policy remains one of the strongest geopolitical tools at the EU</w:t>
      </w:r>
      <w:r w:rsidR="00C121E3">
        <w:t>’</w:t>
      </w:r>
      <w:r w:rsidRPr="00C121E3">
        <w:t>s disposal; whereas enlargement policy must be flexible, dynamic and rewarding, taking into consideration both the political realities and the new geopolitical context created by Russia</w:t>
      </w:r>
      <w:r w:rsidR="00C121E3">
        <w:t>’</w:t>
      </w:r>
      <w:r w:rsidRPr="00C121E3">
        <w:t>s war of aggression against Ukraine, while maintaining the merit-based accession process;</w:t>
      </w:r>
    </w:p>
    <w:p w:rsidR="00344E71" w:rsidRPr="00C121E3" w:rsidRDefault="00344E71" w:rsidP="00344E71">
      <w:pPr>
        <w:pStyle w:val="NormalHanging12a"/>
      </w:pPr>
      <w:r w:rsidRPr="00C121E3">
        <w:t>D.</w:t>
      </w:r>
      <w:r w:rsidRPr="00C121E3">
        <w:tab/>
        <w:t>whereas each enlargement country should be judged on its own merits, and advancement on the path to EU membership should depend on sustained and irreversible progress being made through the necessary EU-related reforms;</w:t>
      </w:r>
    </w:p>
    <w:p w:rsidR="00344E71" w:rsidRPr="00C121E3" w:rsidRDefault="00344E71" w:rsidP="00344E71">
      <w:pPr>
        <w:pStyle w:val="NormalHanging12a"/>
      </w:pPr>
      <w:r w:rsidRPr="00C121E3">
        <w:t>E.</w:t>
      </w:r>
      <w:r w:rsidRPr="00C121E3">
        <w:tab/>
        <w:t xml:space="preserve">whereas accession to the EU must take place in accordance with Article 49 TEU, based on respect for the relevant procedures and subject to the fulfilment of the established </w:t>
      </w:r>
      <w:r w:rsidRPr="00C121E3">
        <w:lastRenderedPageBreak/>
        <w:t>criteria; whereas the rule of law, the economy, the functioning of democratic institutions, public administration reform and foreign policy alignment continue to be the cornerstones of the EU</w:t>
      </w:r>
      <w:r w:rsidR="00C121E3">
        <w:t>’</w:t>
      </w:r>
      <w:r w:rsidRPr="00C121E3">
        <w:t>s enlargement policy;</w:t>
      </w:r>
    </w:p>
    <w:p w:rsidR="00344E71" w:rsidRPr="00C121E3" w:rsidRDefault="00344E71" w:rsidP="00344E71">
      <w:pPr>
        <w:pStyle w:val="NormalHanging12a"/>
      </w:pPr>
      <w:r w:rsidRPr="00C121E3">
        <w:t>F.</w:t>
      </w:r>
      <w:r w:rsidRPr="00C121E3">
        <w:tab/>
        <w:t>whereas the enlargement agenda gained new momentum in June 2022, when the European Council endorsed the Commission</w:t>
      </w:r>
      <w:r w:rsidR="00C121E3">
        <w:t>’</w:t>
      </w:r>
      <w:r w:rsidRPr="00C121E3">
        <w:t>s recommendations, recognising the European perspective of Ukraine, Moldova and Georgia and granting Ukraine and Moldova candidate country status;</w:t>
      </w:r>
    </w:p>
    <w:p w:rsidR="00344E71" w:rsidRPr="00C121E3" w:rsidRDefault="00344E71" w:rsidP="00344E71">
      <w:pPr>
        <w:pStyle w:val="NormalHanging12a"/>
      </w:pPr>
      <w:r w:rsidRPr="00C121E3">
        <w:t>G.</w:t>
      </w:r>
      <w:r w:rsidRPr="00C121E3">
        <w:tab/>
        <w:t>whereas in its 2023 Communication on EU Enlargement Policy, the Commission notes that the enlargement countries now have a historic window of opportunity to strongly bind their future to the European Union and that they will have to act with stronger determination to implement the necessary reforms and make tangible and irreversible progress on the fundamentals in order to make full use of the new momentum;</w:t>
      </w:r>
    </w:p>
    <w:p w:rsidR="00344E71" w:rsidRPr="00C121E3" w:rsidRDefault="00344E71" w:rsidP="00344E71">
      <w:pPr>
        <w:pStyle w:val="NormalHanging12a"/>
      </w:pPr>
      <w:r w:rsidRPr="00C121E3">
        <w:t>H.</w:t>
      </w:r>
      <w:r w:rsidRPr="00C121E3">
        <w:tab/>
        <w:t>whereas the Commission welcomes the significant reform efforts undertaken by Ukraine and Moldova since the European Council meeting of June 2022 and considers that Ukraine and Moldova have made substantial progress on the steps set out in its opinion of June 2022 and have taken additional measures to complement and sustain these achievements; whereas the Commission recommends that the Council open accession negotiations with Ukraine and Moldova and adopt the relevant negotiating frameworks once Ukraine and Moldova have implemented a further set of reforms;</w:t>
      </w:r>
    </w:p>
    <w:p w:rsidR="00344E71" w:rsidRPr="00C121E3" w:rsidRDefault="00344E71" w:rsidP="00344E71">
      <w:pPr>
        <w:pStyle w:val="NormalHanging12a"/>
      </w:pPr>
      <w:r w:rsidRPr="00C121E3">
        <w:t>I.</w:t>
      </w:r>
      <w:r w:rsidRPr="00C121E3">
        <w:tab/>
        <w:t>whereas the Commission welcomes the reform efforts undertaken by Georgia and recommends that the Council grant Georgia the status of candidate country, subject to certain conditions;</w:t>
      </w:r>
    </w:p>
    <w:p w:rsidR="00344E71" w:rsidRPr="00C121E3" w:rsidRDefault="00344E71" w:rsidP="00344E71">
      <w:pPr>
        <w:pStyle w:val="NormalHanging12a"/>
      </w:pPr>
      <w:r w:rsidRPr="00C121E3">
        <w:t>J.</w:t>
      </w:r>
      <w:r w:rsidRPr="00C121E3">
        <w:tab/>
        <w:t>whereas the first intergovernmental conferences with Albania and North Macedonia on accession negotiations took place in July 2022; whereas in December 2022, the European Council granted Bosnia and Herzegovina the status of EU candidate country on the understanding that the country will implement the 14 steps specified by the Commission; whereas Kosovo applied for EU membership in December 2022 and the EU agreed, in spring 2023, on visa liberalisation for Kosovo, which will take effect on 1 January 2024;</w:t>
      </w:r>
    </w:p>
    <w:p w:rsidR="00344E71" w:rsidRPr="00C121E3" w:rsidRDefault="00344E71" w:rsidP="00344E71">
      <w:pPr>
        <w:pStyle w:val="NormalHanging12a"/>
      </w:pPr>
      <w:r w:rsidRPr="00C121E3">
        <w:t>K.</w:t>
      </w:r>
      <w:r w:rsidRPr="00C121E3">
        <w:tab/>
        <w:t>whereas in November 2023, the Commission proposed a Growth Plan for the Western Balkans aimed at increasing integration with the EU</w:t>
      </w:r>
      <w:r w:rsidR="00C121E3">
        <w:t>’</w:t>
      </w:r>
      <w:r w:rsidRPr="00C121E3">
        <w:t>s single market, opening the markets to all Western Balkan neighbours and building a common regional market; whereas the plan aims to expedite economic reforms in the Western Balkan countries in return for increased financial assistance once the countries deliver on the reforms;</w:t>
      </w:r>
    </w:p>
    <w:p w:rsidR="00344E71" w:rsidRPr="00C121E3" w:rsidRDefault="00344E71" w:rsidP="00344E71">
      <w:pPr>
        <w:pStyle w:val="NormalHanging12a"/>
      </w:pPr>
      <w:r w:rsidRPr="00C121E3">
        <w:t>L.</w:t>
      </w:r>
      <w:r w:rsidRPr="00C121E3">
        <w:tab/>
        <w:t>whereas the European Council will discuss EU enlargement at its meeting on 14 and 15 December 2023;</w:t>
      </w:r>
    </w:p>
    <w:p w:rsidR="00344E71" w:rsidRPr="00C121E3" w:rsidRDefault="00344E71" w:rsidP="00344E71">
      <w:pPr>
        <w:pStyle w:val="NormalHanging12a"/>
      </w:pPr>
      <w:r w:rsidRPr="00C121E3">
        <w:t>1.</w:t>
      </w:r>
      <w:r w:rsidRPr="00C121E3">
        <w:tab/>
        <w:t>Reiterates the importance of advancing and re-energising the EU</w:t>
      </w:r>
      <w:r w:rsidR="00C121E3">
        <w:t>’</w:t>
      </w:r>
      <w:r w:rsidRPr="00C121E3">
        <w:t xml:space="preserve">s enlargement policy </w:t>
      </w:r>
      <w:r w:rsidRPr="00C121E3">
        <w:lastRenderedPageBreak/>
        <w:t>as an effective instrument for securing peace, prosperity, democracy, the rule of law and respect for fundamental rights on the European continent, while ensuring its continuity, consistency, credibility and impact, delivering tangible results in the countries that are part of the enlargement process by implementing concrete reforms and achieving the benchmarks of the new enlargement methodology;</w:t>
      </w:r>
    </w:p>
    <w:p w:rsidR="00344E71" w:rsidRPr="00C121E3" w:rsidRDefault="00344E71" w:rsidP="00344E71">
      <w:pPr>
        <w:pStyle w:val="NormalHanging12a"/>
      </w:pPr>
      <w:r w:rsidRPr="00C121E3">
        <w:t>2.</w:t>
      </w:r>
      <w:r w:rsidRPr="00C121E3">
        <w:tab/>
        <w:t>Reconfirms the validity of the Copenhagen criteria and the relevance of the EU</w:t>
      </w:r>
      <w:r w:rsidR="00C121E3">
        <w:t>’</w:t>
      </w:r>
      <w:r w:rsidRPr="00C121E3">
        <w:t>s integration capacity;</w:t>
      </w:r>
    </w:p>
    <w:p w:rsidR="00344E71" w:rsidRPr="00C121E3" w:rsidRDefault="00344E71" w:rsidP="00344E71">
      <w:pPr>
        <w:pStyle w:val="NormalHanging12a"/>
      </w:pPr>
      <w:r w:rsidRPr="00C121E3">
        <w:t>3.</w:t>
      </w:r>
      <w:r w:rsidRPr="00C121E3">
        <w:tab/>
        <w:t>Stresses that each country</w:t>
      </w:r>
      <w:r w:rsidR="00C121E3">
        <w:t>’</w:t>
      </w:r>
      <w:r w:rsidRPr="00C121E3">
        <w:t xml:space="preserve">s progress on the path to accession is assessed on its own merits and the extent to which it has adopted and implemented fundamental reforms and the EU </w:t>
      </w:r>
      <w:r w:rsidRPr="00C121E3">
        <w:rPr>
          <w:i/>
        </w:rPr>
        <w:t>acquis</w:t>
      </w:r>
      <w:r w:rsidRPr="00C121E3">
        <w:t>;</w:t>
      </w:r>
    </w:p>
    <w:p w:rsidR="00344E71" w:rsidRPr="00C121E3" w:rsidRDefault="00344E71" w:rsidP="00344E71">
      <w:pPr>
        <w:pStyle w:val="NormalHanging12a"/>
      </w:pPr>
      <w:r w:rsidRPr="00C121E3">
        <w:t>4.</w:t>
      </w:r>
      <w:r w:rsidRPr="00C121E3">
        <w:tab/>
        <w:t>Calls on all aspiring EU members to step up their reform efforts in line with the merit-based nature of the accession process and with the assistance of the EU;</w:t>
      </w:r>
    </w:p>
    <w:p w:rsidR="00344E71" w:rsidRPr="00C121E3" w:rsidRDefault="00344E71" w:rsidP="00344E71">
      <w:pPr>
        <w:pStyle w:val="NormalHanging12a"/>
      </w:pPr>
      <w:r w:rsidRPr="00C121E3">
        <w:t>5.</w:t>
      </w:r>
      <w:r w:rsidRPr="00C121E3">
        <w:tab/>
        <w:t>Welcomes the significant progress made by Ukraine, Moldova and Georgia since June 2022;</w:t>
      </w:r>
    </w:p>
    <w:p w:rsidR="00344E71" w:rsidRPr="00C121E3" w:rsidRDefault="00344E71" w:rsidP="00344E71">
      <w:pPr>
        <w:pStyle w:val="NormalHanging12a"/>
      </w:pPr>
      <w:r w:rsidRPr="00C121E3">
        <w:t>6.</w:t>
      </w:r>
      <w:r w:rsidRPr="00C121E3">
        <w:tab/>
        <w:t>Welcomes the Western Balkan countries</w:t>
      </w:r>
      <w:r w:rsidR="00C121E3">
        <w:t>’</w:t>
      </w:r>
      <w:r w:rsidRPr="00C121E3">
        <w:t xml:space="preserve"> steady progress on the path towards EU accession; stresses, however, that serious political commitment and the tangible implementation of the necessary reforms remain key priorities; expresses the hope that the new Growth Plan for the Western Balkans will encourage further economic reforms;</w:t>
      </w:r>
    </w:p>
    <w:p w:rsidR="00344E71" w:rsidRPr="00C121E3" w:rsidRDefault="00344E71" w:rsidP="00344E71">
      <w:pPr>
        <w:pStyle w:val="NormalHanging12a"/>
      </w:pPr>
      <w:r w:rsidRPr="00C121E3">
        <w:t>7.</w:t>
      </w:r>
      <w:r w:rsidRPr="00C121E3">
        <w:tab/>
        <w:t>Encourages the Government of Ukraine to swiftly implement additional reforms in the areas of anti-corruption, de-oligarchisation and the protection of national minorities, as outlined by the Commission;</w:t>
      </w:r>
    </w:p>
    <w:p w:rsidR="00344E71" w:rsidRPr="00C121E3" w:rsidRDefault="00344E71" w:rsidP="00344E71">
      <w:pPr>
        <w:pStyle w:val="NormalHanging12a"/>
      </w:pPr>
      <w:r w:rsidRPr="00C121E3">
        <w:t>8.</w:t>
      </w:r>
      <w:r w:rsidRPr="00C121E3">
        <w:tab/>
        <w:t>Encourages the Government of Moldova to swiftly implement additional reforms in the areas of anti-corruption, de-oligarchisation and the vetting process for the judiciary, as outlined by the Commission; further encourages the Government of Moldova to repair the injustices done to all religious denominations by the oppressive Soviet occupation;</w:t>
      </w:r>
    </w:p>
    <w:p w:rsidR="00344E71" w:rsidRPr="00C121E3" w:rsidRDefault="00344E71" w:rsidP="00344E71">
      <w:pPr>
        <w:pStyle w:val="NormalHanging12a"/>
      </w:pPr>
      <w:r w:rsidRPr="00C121E3">
        <w:t>9.</w:t>
      </w:r>
      <w:r w:rsidRPr="00C121E3">
        <w:tab/>
        <w:t>Encourages the Government of Georgia to show determination on its path towards the EU and to swiftly implement the necessary reforms and fulfil the conditions outlined by the Commission, particularly regarding de-oligarchisation and foreign policy alignment, including alignment with the EU sanctions against the Russian aggressor;</w:t>
      </w:r>
    </w:p>
    <w:p w:rsidR="00344E71" w:rsidRPr="00C121E3" w:rsidRDefault="00344E71" w:rsidP="00344E71">
      <w:pPr>
        <w:pStyle w:val="NormalHanging12a"/>
      </w:pPr>
      <w:r w:rsidRPr="00C121E3">
        <w:t>10.</w:t>
      </w:r>
      <w:r w:rsidRPr="00C121E3">
        <w:tab/>
        <w:t>Calls on the European Council, at its meeting on 14 and 15 December 2023, to endorse the Commission</w:t>
      </w:r>
      <w:r w:rsidR="00C121E3">
        <w:t>’</w:t>
      </w:r>
      <w:r w:rsidRPr="00C121E3">
        <w:t>s recommendations to open accession negotiations with Ukraine and Moldova, to commit to adopting the relevant negotiating frameworks once Ukraine and Moldova have implemented a further set of reforms as outlined by the Commission, and to grant Georgia the status of candidate country subject to the conditions set out by the Commission;</w:t>
      </w:r>
    </w:p>
    <w:p w:rsidR="00344E71" w:rsidRPr="00C121E3" w:rsidRDefault="00344E71" w:rsidP="00344E71">
      <w:pPr>
        <w:pStyle w:val="NormalHanging12a"/>
      </w:pPr>
      <w:r w:rsidRPr="00C121E3">
        <w:t>11.</w:t>
      </w:r>
      <w:r w:rsidRPr="00C121E3">
        <w:tab/>
        <w:t>Expresses deep concern about the growing Russian threat to Europe</w:t>
      </w:r>
      <w:r w:rsidR="00C121E3">
        <w:t>’</w:t>
      </w:r>
      <w:r w:rsidRPr="00C121E3">
        <w:t xml:space="preserve">s peace and </w:t>
      </w:r>
      <w:r w:rsidRPr="00C121E3">
        <w:lastRenderedPageBreak/>
        <w:t>stability; calls for the immediate withdrawal of Russian troops, military equipment and ammunition from the occupied territories of Moldova (Transnistria), Georgia (Abkhazia and South Ossetia) and Ukraine;</w:t>
      </w:r>
    </w:p>
    <w:p w:rsidR="00280875" w:rsidRPr="00C121E3" w:rsidRDefault="00344E71" w:rsidP="00344E71">
      <w:pPr>
        <w:pStyle w:val="NormalHanging12a"/>
      </w:pPr>
      <w:r w:rsidRPr="00C121E3">
        <w:t>12.</w:t>
      </w:r>
      <w:r w:rsidRPr="00C121E3">
        <w:tab/>
        <w:t>Instructs its President to forward this resolution to the Council, the Commission, the Vice-President of the Commission / High Representative of the Union for Foreign Affairs and Security Policy, and, for information, to the governments and parliaments of the accession countries.</w:t>
      </w:r>
    </w:p>
    <w:sectPr w:rsidR="00280875" w:rsidRPr="00C121E3" w:rsidSect="00910F7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525" w:rsidRPr="00C121E3" w:rsidRDefault="003A3525">
      <w:r w:rsidRPr="00C121E3">
        <w:separator/>
      </w:r>
    </w:p>
  </w:endnote>
  <w:endnote w:type="continuationSeparator" w:id="0">
    <w:p w:rsidR="003A3525" w:rsidRPr="00C121E3" w:rsidRDefault="003A3525">
      <w:r w:rsidRPr="00C121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875" w:rsidRPr="00C121E3" w:rsidRDefault="00280875" w:rsidP="00280875">
    <w:pPr>
      <w:pStyle w:val="EPFooter"/>
    </w:pPr>
    <w:r w:rsidRPr="00C121E3">
      <w:t>PE</w:t>
    </w:r>
    <w:r w:rsidRPr="00C121E3">
      <w:rPr>
        <w:rStyle w:val="HideTWBExt"/>
      </w:rPr>
      <w:t>&lt;NoPE&gt;</w:t>
    </w:r>
    <w:r w:rsidRPr="00C121E3">
      <w:t>756.687</w:t>
    </w:r>
    <w:r w:rsidRPr="00C121E3">
      <w:rPr>
        <w:rStyle w:val="HideTWBExt"/>
      </w:rPr>
      <w:t>&lt;/NoPE&gt;&lt;Version&gt;</w:t>
    </w:r>
    <w:r w:rsidRPr="00C121E3">
      <w:t>v01-00</w:t>
    </w:r>
    <w:r w:rsidRPr="00C121E3">
      <w:rPr>
        <w:rStyle w:val="HideTWBExt"/>
      </w:rPr>
      <w:t>&lt;/Version&gt;</w:t>
    </w:r>
    <w:r w:rsidRPr="00C121E3">
      <w:tab/>
    </w:r>
    <w:r w:rsidRPr="00C121E3">
      <w:fldChar w:fldCharType="begin"/>
    </w:r>
    <w:r w:rsidRPr="00C121E3">
      <w:instrText xml:space="preserve"> PAGE  \* MERGEFORMAT </w:instrText>
    </w:r>
    <w:r w:rsidRPr="00C121E3">
      <w:fldChar w:fldCharType="separate"/>
    </w:r>
    <w:r w:rsidR="00C121E3">
      <w:rPr>
        <w:noProof/>
      </w:rPr>
      <w:t>2</w:t>
    </w:r>
    <w:r w:rsidRPr="00C121E3">
      <w:fldChar w:fldCharType="end"/>
    </w:r>
    <w:r w:rsidRPr="00C121E3">
      <w:t>/</w:t>
    </w:r>
    <w:r w:rsidR="00FB0543" w:rsidRPr="00C121E3">
      <w:fldChar w:fldCharType="begin"/>
    </w:r>
    <w:r w:rsidR="00FB0543" w:rsidRPr="00C121E3">
      <w:instrText xml:space="preserve"> NUMPAGES  \* MERGEFORMAT </w:instrText>
    </w:r>
    <w:r w:rsidR="00FB0543" w:rsidRPr="00C121E3">
      <w:fldChar w:fldCharType="separate"/>
    </w:r>
    <w:r w:rsidR="00C121E3">
      <w:rPr>
        <w:noProof/>
      </w:rPr>
      <w:t>4</w:t>
    </w:r>
    <w:r w:rsidR="00FB0543" w:rsidRPr="00C121E3">
      <w:rPr>
        <w:noProof/>
      </w:rPr>
      <w:fldChar w:fldCharType="end"/>
    </w:r>
    <w:r w:rsidRPr="00C121E3">
      <w:tab/>
    </w:r>
    <w:r w:rsidRPr="00C121E3">
      <w:rPr>
        <w:rStyle w:val="HideTWBExt"/>
      </w:rPr>
      <w:t>&lt;PathFdR&gt;</w:t>
    </w:r>
    <w:r w:rsidRPr="00C121E3">
      <w:t>RE\1292589EN.docx</w:t>
    </w:r>
    <w:r w:rsidRPr="00C121E3">
      <w:rPr>
        <w:rStyle w:val="HideTWBExt"/>
      </w:rPr>
      <w:t>&lt;/PathFdR&gt;</w:t>
    </w:r>
  </w:p>
  <w:p w:rsidR="00A90219" w:rsidRPr="00C121E3" w:rsidRDefault="00280875" w:rsidP="00280875">
    <w:pPr>
      <w:pStyle w:val="EPFooter2"/>
    </w:pPr>
    <w:r w:rsidRPr="00C121E3">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875" w:rsidRPr="00C121E3" w:rsidRDefault="00280875" w:rsidP="00280875">
    <w:pPr>
      <w:pStyle w:val="EPFooter"/>
    </w:pPr>
    <w:r w:rsidRPr="00C121E3">
      <w:rPr>
        <w:rStyle w:val="HideTWBExt"/>
      </w:rPr>
      <w:t>&lt;PathFdR&gt;</w:t>
    </w:r>
    <w:r w:rsidRPr="00C121E3">
      <w:t>RE\1292589EN.docx</w:t>
    </w:r>
    <w:r w:rsidRPr="00C121E3">
      <w:rPr>
        <w:rStyle w:val="HideTWBExt"/>
      </w:rPr>
      <w:t>&lt;/PathFdR&gt;</w:t>
    </w:r>
    <w:r w:rsidRPr="00C121E3">
      <w:tab/>
    </w:r>
    <w:r w:rsidRPr="00C121E3">
      <w:fldChar w:fldCharType="begin"/>
    </w:r>
    <w:r w:rsidRPr="00C121E3">
      <w:instrText xml:space="preserve"> PAGE  \* MERGEFORMAT </w:instrText>
    </w:r>
    <w:r w:rsidRPr="00C121E3">
      <w:fldChar w:fldCharType="separate"/>
    </w:r>
    <w:r w:rsidR="00C121E3">
      <w:rPr>
        <w:noProof/>
      </w:rPr>
      <w:t>3</w:t>
    </w:r>
    <w:r w:rsidRPr="00C121E3">
      <w:fldChar w:fldCharType="end"/>
    </w:r>
    <w:r w:rsidRPr="00C121E3">
      <w:t>/</w:t>
    </w:r>
    <w:r w:rsidR="00FB0543" w:rsidRPr="00C121E3">
      <w:fldChar w:fldCharType="begin"/>
    </w:r>
    <w:r w:rsidR="00FB0543" w:rsidRPr="00C121E3">
      <w:instrText xml:space="preserve"> NUMPAGES  \* MERGEFORMAT </w:instrText>
    </w:r>
    <w:r w:rsidR="00FB0543" w:rsidRPr="00C121E3">
      <w:fldChar w:fldCharType="separate"/>
    </w:r>
    <w:r w:rsidR="00C121E3">
      <w:rPr>
        <w:noProof/>
      </w:rPr>
      <w:t>4</w:t>
    </w:r>
    <w:r w:rsidR="00FB0543" w:rsidRPr="00C121E3">
      <w:rPr>
        <w:noProof/>
      </w:rPr>
      <w:fldChar w:fldCharType="end"/>
    </w:r>
    <w:r w:rsidRPr="00C121E3">
      <w:tab/>
      <w:t>PE</w:t>
    </w:r>
    <w:r w:rsidRPr="00C121E3">
      <w:rPr>
        <w:rStyle w:val="HideTWBExt"/>
      </w:rPr>
      <w:t>&lt;NoPE&gt;</w:t>
    </w:r>
    <w:r w:rsidRPr="00C121E3">
      <w:t>756.687</w:t>
    </w:r>
    <w:r w:rsidRPr="00C121E3">
      <w:rPr>
        <w:rStyle w:val="HideTWBExt"/>
      </w:rPr>
      <w:t>&lt;/NoPE&gt;&lt;Version&gt;</w:t>
    </w:r>
    <w:r w:rsidRPr="00C121E3">
      <w:t>v01-00</w:t>
    </w:r>
    <w:r w:rsidRPr="00C121E3">
      <w:rPr>
        <w:rStyle w:val="HideTWBExt"/>
      </w:rPr>
      <w:t>&lt;/Version&gt;</w:t>
    </w:r>
  </w:p>
  <w:p w:rsidR="00A90219" w:rsidRPr="00C121E3" w:rsidRDefault="00280875" w:rsidP="00280875">
    <w:pPr>
      <w:pStyle w:val="EPFooter2"/>
    </w:pPr>
    <w:r w:rsidRPr="00C121E3">
      <w:tab/>
    </w:r>
    <w:r w:rsidRPr="00C121E3">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875" w:rsidRPr="00C121E3" w:rsidRDefault="00280875" w:rsidP="00280875">
    <w:pPr>
      <w:pStyle w:val="EPFooter"/>
    </w:pPr>
    <w:r w:rsidRPr="00C121E3">
      <w:rPr>
        <w:rStyle w:val="HideTWBExt"/>
      </w:rPr>
      <w:t>&lt;PathFdR&gt;</w:t>
    </w:r>
    <w:r w:rsidRPr="00C121E3">
      <w:t>RE\1292589EN.docx</w:t>
    </w:r>
    <w:r w:rsidRPr="00C121E3">
      <w:rPr>
        <w:rStyle w:val="HideTWBExt"/>
      </w:rPr>
      <w:t>&lt;/PathFdR&gt;</w:t>
    </w:r>
    <w:r w:rsidRPr="00C121E3">
      <w:tab/>
    </w:r>
    <w:r w:rsidRPr="00C121E3">
      <w:tab/>
      <w:t>PE</w:t>
    </w:r>
    <w:r w:rsidRPr="00C121E3">
      <w:rPr>
        <w:rStyle w:val="HideTWBExt"/>
      </w:rPr>
      <w:t>&lt;NoPE&gt;</w:t>
    </w:r>
    <w:r w:rsidRPr="00C121E3">
      <w:t>756.687</w:t>
    </w:r>
    <w:r w:rsidRPr="00C121E3">
      <w:rPr>
        <w:rStyle w:val="HideTWBExt"/>
      </w:rPr>
      <w:t>&lt;/NoPE&gt;&lt;Version&gt;</w:t>
    </w:r>
    <w:r w:rsidRPr="00C121E3">
      <w:t>v01-00</w:t>
    </w:r>
    <w:r w:rsidRPr="00C121E3">
      <w:rPr>
        <w:rStyle w:val="HideTWBExt"/>
      </w:rPr>
      <w:t>&lt;/Version&gt;</w:t>
    </w:r>
  </w:p>
  <w:p w:rsidR="00A90219" w:rsidRPr="00C121E3" w:rsidRDefault="00280875" w:rsidP="00280875">
    <w:pPr>
      <w:pStyle w:val="EPFooter2"/>
    </w:pPr>
    <w:r w:rsidRPr="00C121E3">
      <w:t>EN</w:t>
    </w:r>
    <w:r w:rsidRPr="00C121E3">
      <w:tab/>
    </w:r>
    <w:r w:rsidRPr="00C121E3">
      <w:rPr>
        <w:b w:val="0"/>
        <w:i/>
        <w:color w:val="C0C0C0"/>
        <w:sz w:val="22"/>
      </w:rPr>
      <w:t>United in diversity</w:t>
    </w:r>
    <w:r w:rsidRPr="00C121E3">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525" w:rsidRPr="00C121E3" w:rsidRDefault="003A3525">
      <w:r w:rsidRPr="00C121E3">
        <w:separator/>
      </w:r>
    </w:p>
  </w:footnote>
  <w:footnote w:type="continuationSeparator" w:id="0">
    <w:p w:rsidR="003A3525" w:rsidRPr="00C121E3" w:rsidRDefault="003A3525">
      <w:r w:rsidRPr="00C121E3">
        <w:continuationSeparator/>
      </w:r>
    </w:p>
  </w:footnote>
  <w:footnote w:id="1">
    <w:p w:rsidR="00344E71" w:rsidRPr="00C121E3" w:rsidRDefault="00344E71" w:rsidP="00344E71">
      <w:pPr>
        <w:pStyle w:val="FootnoteText"/>
      </w:pPr>
      <w:r w:rsidRPr="00C121E3">
        <w:rPr>
          <w:rStyle w:val="FootnoteReference"/>
        </w:rPr>
        <w:footnoteRef/>
      </w:r>
      <w:r w:rsidRPr="00C121E3">
        <w:t xml:space="preserve"> OJ C 167, 11.5.2023, p. 105.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E71" w:rsidRPr="00C121E3" w:rsidRDefault="00344E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E71" w:rsidRPr="00C121E3" w:rsidRDefault="00344E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E71" w:rsidRPr="00C121E3" w:rsidRDefault="00344E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MNU" w:val="2"/>
    <w:docVar w:name="LastEditedSection" w:val=" 1"/>
    <w:docVar w:name="STATMNU" w:val=" 7"/>
    <w:docVar w:name="strDocTypeID" w:val="RD_Statements"/>
    <w:docVar w:name="strSubDir" w:val="1292"/>
    <w:docVar w:name="TXTLANGUE" w:val="EN"/>
    <w:docVar w:name="TXTLANGUEMIN" w:val="en"/>
    <w:docVar w:name="TXTNRB" w:val="0505/2023"/>
    <w:docVar w:name="TXTNRRSP" w:val="2023/2987"/>
    <w:docVar w:name="TXTROUTE" w:val="RE\1292589EN.docx"/>
    <w:docVar w:name="TXTTITLE" w:val="30 years of Copenhagen criteria - giving further impetus to EU enlargement policy"/>
    <w:docVar w:name="TXTVERSION" w:val="01-00"/>
  </w:docVars>
  <w:rsids>
    <w:rsidRoot w:val="003A3525"/>
    <w:rsid w:val="00037F46"/>
    <w:rsid w:val="00094DDA"/>
    <w:rsid w:val="00117781"/>
    <w:rsid w:val="001B49A3"/>
    <w:rsid w:val="001B7CFB"/>
    <w:rsid w:val="001C16A7"/>
    <w:rsid w:val="001C62C5"/>
    <w:rsid w:val="001E2450"/>
    <w:rsid w:val="00222BBB"/>
    <w:rsid w:val="002574AA"/>
    <w:rsid w:val="00280875"/>
    <w:rsid w:val="002C7767"/>
    <w:rsid w:val="00303413"/>
    <w:rsid w:val="00344E71"/>
    <w:rsid w:val="003772FA"/>
    <w:rsid w:val="003A3525"/>
    <w:rsid w:val="00411D03"/>
    <w:rsid w:val="00412503"/>
    <w:rsid w:val="00471D62"/>
    <w:rsid w:val="00487C73"/>
    <w:rsid w:val="004B5166"/>
    <w:rsid w:val="00516BD3"/>
    <w:rsid w:val="0058312A"/>
    <w:rsid w:val="005D6861"/>
    <w:rsid w:val="00654CBD"/>
    <w:rsid w:val="006726A1"/>
    <w:rsid w:val="006A27B7"/>
    <w:rsid w:val="006F48B8"/>
    <w:rsid w:val="00706BC0"/>
    <w:rsid w:val="00723A0B"/>
    <w:rsid w:val="007275DF"/>
    <w:rsid w:val="007472DD"/>
    <w:rsid w:val="00753AD5"/>
    <w:rsid w:val="00780A7D"/>
    <w:rsid w:val="007E1E11"/>
    <w:rsid w:val="00814BC6"/>
    <w:rsid w:val="00817663"/>
    <w:rsid w:val="008278C0"/>
    <w:rsid w:val="00866D70"/>
    <w:rsid w:val="008A4052"/>
    <w:rsid w:val="008D7B31"/>
    <w:rsid w:val="008F5EFB"/>
    <w:rsid w:val="00907285"/>
    <w:rsid w:val="00910F7E"/>
    <w:rsid w:val="00981ED6"/>
    <w:rsid w:val="009D24DE"/>
    <w:rsid w:val="00A32337"/>
    <w:rsid w:val="00A4763A"/>
    <w:rsid w:val="00A516B8"/>
    <w:rsid w:val="00A90219"/>
    <w:rsid w:val="00B34A46"/>
    <w:rsid w:val="00B90331"/>
    <w:rsid w:val="00BC3002"/>
    <w:rsid w:val="00BF2C2D"/>
    <w:rsid w:val="00C121E3"/>
    <w:rsid w:val="00C23264"/>
    <w:rsid w:val="00CC09D8"/>
    <w:rsid w:val="00D12F64"/>
    <w:rsid w:val="00D44718"/>
    <w:rsid w:val="00D90D37"/>
    <w:rsid w:val="00DF7943"/>
    <w:rsid w:val="00E53167"/>
    <w:rsid w:val="00EA43FB"/>
    <w:rsid w:val="00EC05E9"/>
    <w:rsid w:val="00ED22B8"/>
    <w:rsid w:val="00F02A2C"/>
    <w:rsid w:val="00F26DE8"/>
    <w:rsid w:val="00F4455A"/>
    <w:rsid w:val="00F7050A"/>
    <w:rsid w:val="00F959BA"/>
    <w:rsid w:val="00FB054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10BB538D-CB96-4868-A73D-F9BF31881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BalloonText">
    <w:name w:val="Balloon Text"/>
    <w:basedOn w:val="Normal"/>
    <w:link w:val="BalloonTextChar"/>
    <w:semiHidden/>
    <w:unhideWhenUsed/>
    <w:rsid w:val="003A3525"/>
    <w:rPr>
      <w:rFonts w:ascii="Segoe UI" w:hAnsi="Segoe UI" w:cs="Segoe UI"/>
      <w:sz w:val="18"/>
      <w:szCs w:val="18"/>
    </w:rPr>
  </w:style>
  <w:style w:type="character" w:customStyle="1" w:styleId="BalloonTextChar">
    <w:name w:val="Balloon Text Char"/>
    <w:basedOn w:val="DefaultParagraphFont"/>
    <w:link w:val="BalloonText"/>
    <w:semiHidden/>
    <w:rsid w:val="003A3525"/>
    <w:rPr>
      <w:rFonts w:ascii="Segoe UI" w:hAnsi="Segoe UI" w:cs="Segoe UI"/>
      <w:sz w:val="18"/>
      <w:szCs w:val="18"/>
    </w:rPr>
  </w:style>
  <w:style w:type="paragraph" w:styleId="FootnoteText">
    <w:name w:val="footnote text"/>
    <w:basedOn w:val="Normal"/>
    <w:link w:val="FootnoteTextChar"/>
    <w:rsid w:val="00344E71"/>
    <w:rPr>
      <w:sz w:val="20"/>
    </w:rPr>
  </w:style>
  <w:style w:type="character" w:customStyle="1" w:styleId="FootnoteTextChar">
    <w:name w:val="Footnote Text Char"/>
    <w:basedOn w:val="DefaultParagraphFont"/>
    <w:link w:val="FootnoteText"/>
    <w:rsid w:val="00344E71"/>
  </w:style>
  <w:style w:type="character" w:styleId="FootnoteReference">
    <w:name w:val="footnote reference"/>
    <w:basedOn w:val="DefaultParagraphFont"/>
    <w:rsid w:val="00344E71"/>
    <w:rPr>
      <w:vertAlign w:val="superscript"/>
    </w:rPr>
  </w:style>
  <w:style w:type="character" w:styleId="CommentReference">
    <w:name w:val="annotation reference"/>
    <w:basedOn w:val="DefaultParagraphFont"/>
    <w:rsid w:val="00344E71"/>
    <w:rPr>
      <w:sz w:val="16"/>
      <w:szCs w:val="16"/>
    </w:rPr>
  </w:style>
  <w:style w:type="paragraph" w:styleId="CommentText">
    <w:name w:val="annotation text"/>
    <w:basedOn w:val="Normal"/>
    <w:link w:val="CommentTextChar"/>
    <w:rsid w:val="00344E71"/>
    <w:rPr>
      <w:sz w:val="20"/>
    </w:rPr>
  </w:style>
  <w:style w:type="character" w:customStyle="1" w:styleId="CommentTextChar">
    <w:name w:val="Comment Text Char"/>
    <w:basedOn w:val="DefaultParagraphFont"/>
    <w:link w:val="CommentText"/>
    <w:rsid w:val="00344E71"/>
  </w:style>
  <w:style w:type="paragraph" w:styleId="CommentSubject">
    <w:name w:val="annotation subject"/>
    <w:basedOn w:val="CommentText"/>
    <w:next w:val="CommentText"/>
    <w:link w:val="CommentSubjectChar"/>
    <w:semiHidden/>
    <w:unhideWhenUsed/>
    <w:rsid w:val="00344E71"/>
    <w:rPr>
      <w:b/>
      <w:bCs/>
    </w:rPr>
  </w:style>
  <w:style w:type="character" w:customStyle="1" w:styleId="CommentSubjectChar">
    <w:name w:val="Comment Subject Char"/>
    <w:basedOn w:val="CommentTextChar"/>
    <w:link w:val="CommentSubject"/>
    <w:semiHidden/>
    <w:rsid w:val="00344E71"/>
    <w:rPr>
      <w:b/>
      <w:bCs/>
    </w:rPr>
  </w:style>
  <w:style w:type="paragraph" w:styleId="Footer">
    <w:name w:val="footer"/>
    <w:basedOn w:val="Normal"/>
    <w:link w:val="FooterChar"/>
    <w:semiHidden/>
    <w:rsid w:val="00C121E3"/>
    <w:pPr>
      <w:tabs>
        <w:tab w:val="center" w:pos="4513"/>
        <w:tab w:val="right" w:pos="9026"/>
      </w:tabs>
    </w:pPr>
  </w:style>
  <w:style w:type="character" w:customStyle="1" w:styleId="FooterChar">
    <w:name w:val="Footer Char"/>
    <w:basedOn w:val="DefaultParagraphFont"/>
    <w:link w:val="Footer"/>
    <w:semiHidden/>
    <w:rsid w:val="00C121E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1244</Words>
  <Characters>7097</Characters>
  <Application>Microsoft Office Word</Application>
  <DocSecurity>0</DocSecurity>
  <Lines>130</Lines>
  <Paragraphs>46</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subject/>
  <dc:creator>DERMIGNY Leslie Caroline</dc:creator>
  <cp:keywords/>
  <dc:description/>
  <cp:lastModifiedBy>KERR Susan Elizabeth</cp:lastModifiedBy>
  <cp:revision>2</cp:revision>
  <cp:lastPrinted>2023-12-08T16:20:00Z</cp:lastPrinted>
  <dcterms:created xsi:type="dcterms:W3CDTF">2023-12-08T16:58:00Z</dcterms:created>
  <dcterms:modified xsi:type="dcterms:W3CDTF">2023-12-08T16:58:00Z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1292589</vt:lpwstr>
  </property>
  <property fmtid="{D5CDD505-2E9C-101B-9397-08002B2CF9AE}" pid="6" name="&lt;Type&gt;">
    <vt:lpwstr>RE</vt:lpwstr>
  </property>
  <property fmtid="{D5CDD505-2E9C-101B-9397-08002B2CF9AE}" pid="7" name="&lt;ModelCod&gt;">
    <vt:lpwstr>\\eiciBRUpr1\pdocep$\DocEP\DOCS\General\RD\\RD_Statements.dotx(11/04/2022 08:43:13)</vt:lpwstr>
  </property>
  <property fmtid="{D5CDD505-2E9C-101B-9397-08002B2CF9AE}" pid="8" name="&lt;ModelTra&gt;">
    <vt:lpwstr>\\eiciBRUpr1\pdocep$\DocEP\TRANSFIL\EN\RD_Statements.EN(28/03/2022 06:11:45)</vt:lpwstr>
  </property>
  <property fmtid="{D5CDD505-2E9C-101B-9397-08002B2CF9AE}" pid="9" name="&lt;Model&gt;">
    <vt:lpwstr>RD_Statements</vt:lpwstr>
  </property>
  <property fmtid="{D5CDD505-2E9C-101B-9397-08002B2CF9AE}" pid="10" name="FooterPath">
    <vt:lpwstr>RE\1292589EN.docx</vt:lpwstr>
  </property>
  <property fmtid="{D5CDD505-2E9C-101B-9397-08002B2CF9AE}" pid="11" name="PE number">
    <vt:lpwstr>756.687</vt:lpwstr>
  </property>
  <property fmtid="{D5CDD505-2E9C-101B-9397-08002B2CF9AE}" pid="12" name="Bookout">
    <vt:lpwstr>OK - 2023/12/08 17:57</vt:lpwstr>
  </property>
</Properties>
</file>