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C07BA" w:rsidTr="00C85D0F">
        <w:trPr>
          <w:trHeight w:hRule="exact" w:val="1418"/>
        </w:trPr>
        <w:tc>
          <w:tcPr>
            <w:tcW w:w="6804" w:type="dxa"/>
            <w:shd w:val="clear" w:color="auto" w:fill="auto"/>
            <w:vAlign w:val="center"/>
          </w:tcPr>
          <w:p w:rsidR="00C05DD8" w:rsidRPr="00F85DE8" w:rsidRDefault="00B30C80" w:rsidP="00755546">
            <w:pPr>
              <w:pStyle w:val="EPName"/>
              <w:widowControl/>
            </w:pPr>
            <w:bookmarkStart w:id="0" w:name="_GoBack"/>
            <w:bookmarkEnd w:id="0"/>
            <w:r>
              <w:t>Parlement européen</w:t>
            </w:r>
          </w:p>
          <w:p w:rsidR="00C05DD8" w:rsidRPr="00F85DE8" w:rsidRDefault="00B30C80" w:rsidP="00755546">
            <w:pPr>
              <w:pStyle w:val="EPTerm"/>
              <w:widowControl/>
            </w:pPr>
            <w:r>
              <w:t>2024-2029</w:t>
            </w:r>
          </w:p>
        </w:tc>
        <w:tc>
          <w:tcPr>
            <w:tcW w:w="2268" w:type="dxa"/>
            <w:shd w:val="clear" w:color="auto" w:fill="auto"/>
          </w:tcPr>
          <w:p w:rsidR="00C05DD8" w:rsidRPr="00F85DE8" w:rsidRDefault="00B30C80" w:rsidP="00755546">
            <w:pPr>
              <w:pStyle w:val="EPLogo"/>
              <w:widowControl/>
            </w:pPr>
            <w:r w:rsidRPr="00F85DE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F85DE8" w:rsidRDefault="009612AA" w:rsidP="00755546">
      <w:pPr>
        <w:pStyle w:val="LineTop"/>
        <w:widowControl/>
      </w:pPr>
    </w:p>
    <w:p w:rsidR="009612AA" w:rsidRPr="00755546" w:rsidRDefault="00B30C80" w:rsidP="00755546">
      <w:pPr>
        <w:pStyle w:val="EPBody"/>
        <w:widowControl/>
      </w:pPr>
      <w:r>
        <w:t>Document de séance</w:t>
      </w:r>
    </w:p>
    <w:p w:rsidR="009612AA" w:rsidRPr="00B30C80" w:rsidRDefault="009612AA" w:rsidP="00755546">
      <w:pPr>
        <w:pStyle w:val="LineBottom"/>
        <w:widowControl/>
      </w:pPr>
    </w:p>
    <w:p w:rsidR="00363B94" w:rsidRPr="00755546" w:rsidRDefault="00B30C80" w:rsidP="00755546">
      <w:pPr>
        <w:pStyle w:val="CoverReference"/>
        <w:widowControl/>
      </w:pPr>
      <w:r w:rsidRPr="00B30C80">
        <w:rPr>
          <w:rStyle w:val="HideTWBExt"/>
        </w:rPr>
        <w:t>&lt;NoDocSe&gt;</w:t>
      </w:r>
      <w:r>
        <w:t>A10-0013/2025</w:t>
      </w:r>
      <w:r w:rsidRPr="00B30C80">
        <w:rPr>
          <w:rStyle w:val="HideTWBExt"/>
        </w:rPr>
        <w:t>&lt;/NoDocSe&gt;</w:t>
      </w:r>
    </w:p>
    <w:p w:rsidR="00363B94" w:rsidRPr="00755546" w:rsidRDefault="00B30C80" w:rsidP="00755546">
      <w:pPr>
        <w:pStyle w:val="CoverDate"/>
        <w:widowControl/>
      </w:pPr>
      <w:r>
        <w:rPr>
          <w:rStyle w:val="HideTWBExt"/>
        </w:rPr>
        <w:t>&lt;Date&gt;</w:t>
      </w:r>
      <w:r>
        <w:rPr>
          <w:rStyle w:val="HideTWBInt"/>
          <w:color w:val="auto"/>
        </w:rPr>
        <w:t>{20/02/2025}</w:t>
      </w:r>
      <w:r>
        <w:t>20.2.2025</w:t>
      </w:r>
      <w:r>
        <w:rPr>
          <w:rStyle w:val="HideTWBExt"/>
        </w:rPr>
        <w:t>&lt;/Date&gt;</w:t>
      </w:r>
    </w:p>
    <w:p w:rsidR="00363B94" w:rsidRPr="00755546" w:rsidRDefault="00B30C80" w:rsidP="00755546">
      <w:pPr>
        <w:pStyle w:val="CoverDocType"/>
        <w:widowControl/>
      </w:pPr>
      <w:r>
        <w:rPr>
          <w:rStyle w:val="HideTWBExt"/>
          <w:b w:val="0"/>
        </w:rPr>
        <w:t>&lt;RefProcLect&gt;</w:t>
      </w:r>
      <w:r>
        <w:t>***</w:t>
      </w:r>
      <w:r>
        <w:rPr>
          <w:rStyle w:val="HideTWBExt"/>
          <w:b w:val="0"/>
        </w:rPr>
        <w:t>&lt;/RefProcLect&gt;</w:t>
      </w:r>
    </w:p>
    <w:p w:rsidR="00363B94" w:rsidRPr="00755546" w:rsidRDefault="00B30C80" w:rsidP="00755546">
      <w:pPr>
        <w:pStyle w:val="CoverDocType24a"/>
        <w:widowControl/>
      </w:pPr>
      <w:r>
        <w:rPr>
          <w:rStyle w:val="HideTWBExt"/>
          <w:b w:val="0"/>
        </w:rPr>
        <w:t>&lt;TitreType&gt;</w:t>
      </w:r>
      <w:r>
        <w:t>RECOMMANDATION</w:t>
      </w:r>
      <w:r>
        <w:rPr>
          <w:rStyle w:val="HideTWBExt"/>
          <w:b w:val="0"/>
        </w:rPr>
        <w:t>&lt;/TitreType&gt;</w:t>
      </w:r>
    </w:p>
    <w:p w:rsidR="00363B94" w:rsidRPr="00755546" w:rsidRDefault="00B30C80" w:rsidP="00755546">
      <w:pPr>
        <w:pStyle w:val="CoverNormal"/>
        <w:widowControl/>
      </w:pPr>
      <w:r w:rsidRPr="00B30C80">
        <w:rPr>
          <w:rStyle w:val="HideTWBExt"/>
        </w:rPr>
        <w:t>&lt;Titre&gt;</w:t>
      </w:r>
      <w:r>
        <w:t>sur le projet de décision du Conseil relative à la conclusion, au nom de l’Union, de l’accord entre le Canada et l’Union européenne sur le transfert et le traitement de données des dossiers passagers</w:t>
      </w:r>
      <w:r w:rsidRPr="00B30C80">
        <w:rPr>
          <w:rStyle w:val="HideTWBExt"/>
        </w:rPr>
        <w:t>&lt;/Titre&gt;</w:t>
      </w:r>
    </w:p>
    <w:p w:rsidR="00363B94" w:rsidRPr="00755546" w:rsidRDefault="00B30C80" w:rsidP="00755546">
      <w:pPr>
        <w:pStyle w:val="CoverNormal24a"/>
        <w:widowControl/>
      </w:pPr>
      <w:r w:rsidRPr="00B30C80">
        <w:rPr>
          <w:rStyle w:val="HideTWBExt"/>
        </w:rPr>
        <w:t>&lt;DocRef&gt;</w:t>
      </w:r>
      <w:r>
        <w:t>(08897/2024 – C10</w:t>
      </w:r>
      <w:r>
        <w:noBreakHyphen/>
        <w:t>0125/2024 – 2024/0051(NLE))</w:t>
      </w:r>
      <w:r w:rsidRPr="00B30C80">
        <w:rPr>
          <w:rStyle w:val="HideTWBExt"/>
        </w:rPr>
        <w:t>&lt;/DocRef&gt;</w:t>
      </w:r>
    </w:p>
    <w:p w:rsidR="00363B94" w:rsidRPr="00755546" w:rsidRDefault="00B30C80" w:rsidP="00755546">
      <w:pPr>
        <w:pStyle w:val="CoverNormal24a"/>
        <w:widowControl/>
      </w:pPr>
      <w:r w:rsidRPr="00B30C80">
        <w:rPr>
          <w:rStyle w:val="HideTWBExt"/>
        </w:rPr>
        <w:t>&lt;Commission&gt;</w:t>
      </w:r>
      <w:r w:rsidRPr="00B30C80">
        <w:rPr>
          <w:rStyle w:val="HideTWBInt"/>
          <w:color w:val="auto"/>
        </w:rPr>
        <w:t>{LIBE}</w:t>
      </w:r>
      <w:r>
        <w:t>Commission des libertés civiles, de la justice et des affaires intérieures</w:t>
      </w:r>
      <w:r w:rsidRPr="00B30C80">
        <w:rPr>
          <w:rStyle w:val="HideTWBExt"/>
        </w:rPr>
        <w:t>&lt;/Commission&gt;</w:t>
      </w:r>
    </w:p>
    <w:p w:rsidR="00363B94" w:rsidRPr="00F85DE8" w:rsidRDefault="00B30C80" w:rsidP="00755546">
      <w:pPr>
        <w:pStyle w:val="CoverNormal24a"/>
        <w:widowControl/>
      </w:pPr>
      <w:r>
        <w:t xml:space="preserve">Rapporteur: </w:t>
      </w:r>
      <w:r>
        <w:rPr>
          <w:rStyle w:val="HideTWBExt"/>
        </w:rPr>
        <w:t>&lt;Depute&gt;</w:t>
      </w:r>
      <w:r>
        <w:t>Nikola Minchev</w:t>
      </w:r>
      <w:r>
        <w:rPr>
          <w:rStyle w:val="HideTWBExt"/>
        </w:rPr>
        <w:t>&lt;/Depute&gt;</w:t>
      </w:r>
    </w:p>
    <w:p w:rsidR="00B42885" w:rsidRPr="00F85DE8" w:rsidRDefault="00B42885" w:rsidP="00755546">
      <w:pPr>
        <w:pStyle w:val="CoverNormal"/>
        <w:widowControl/>
      </w:pPr>
    </w:p>
    <w:p w:rsidR="007A5315" w:rsidRPr="00F85DE8" w:rsidRDefault="00B30C80" w:rsidP="00755546">
      <w:pPr>
        <w:widowControl/>
      </w:pPr>
      <w:r>
        <w:br w:type="page"/>
      </w:r>
      <w:r w:rsidR="00755546">
        <w:lastRenderedPageBreak/>
        <w:fldChar w:fldCharType="begin"/>
      </w:r>
      <w:r>
        <w:instrText xml:space="preserve"> TITLE  \* MERGEFORMAT </w:instrText>
      </w:r>
      <w:r w:rsidR="00755546">
        <w:fldChar w:fldCharType="separate"/>
      </w:r>
      <w:r w:rsidR="00711826">
        <w:t>PR_NLE-AP_Agreement</w:t>
      </w:r>
      <w:r w:rsidR="00755546">
        <w:fldChar w:fldCharType="end"/>
      </w:r>
    </w:p>
    <w:p w:rsidR="007A5315" w:rsidRDefault="007A5315" w:rsidP="00755546">
      <w:pPr>
        <w:widowControl/>
      </w:pPr>
    </w:p>
    <w:p w:rsidR="00755546" w:rsidRPr="00F85DE8" w:rsidRDefault="00755546" w:rsidP="00755546">
      <w:pPr>
        <w:widowControl/>
      </w:pPr>
    </w:p>
    <w:p w:rsidR="007A5315" w:rsidRPr="00F85DE8" w:rsidRDefault="007A5315" w:rsidP="00755546">
      <w:pPr>
        <w:widowControl/>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C07BA" w:rsidTr="00510AAE">
        <w:tc>
          <w:tcPr>
            <w:tcW w:w="5811" w:type="dxa"/>
          </w:tcPr>
          <w:p w:rsidR="00755546" w:rsidRPr="00BF1BE1" w:rsidRDefault="00B30C80" w:rsidP="00755546">
            <w:pPr>
              <w:pStyle w:val="Lgendetitre"/>
              <w:widowControl/>
            </w:pPr>
            <w:r>
              <w:t>Légende des signes utilisés</w:t>
            </w:r>
          </w:p>
        </w:tc>
      </w:tr>
      <w:tr w:rsidR="000C07BA" w:rsidTr="00510AAE">
        <w:trPr>
          <w:cantSplit/>
          <w:trHeight w:val="2170"/>
        </w:trPr>
        <w:tc>
          <w:tcPr>
            <w:tcW w:w="5811" w:type="dxa"/>
            <w:tcBorders>
              <w:bottom w:val="single" w:sz="4" w:space="0" w:color="auto"/>
            </w:tcBorders>
          </w:tcPr>
          <w:p w:rsidR="00755546" w:rsidRPr="00BF1BE1" w:rsidRDefault="00B30C80" w:rsidP="00755546">
            <w:pPr>
              <w:pStyle w:val="Lgendesigne"/>
              <w:widowControl/>
            </w:pPr>
            <w:r>
              <w:tab/>
              <w:t>*</w:t>
            </w:r>
            <w:r>
              <w:tab/>
              <w:t>Procédure de consultation</w:t>
            </w:r>
          </w:p>
          <w:p w:rsidR="00755546" w:rsidRPr="00BF1BE1" w:rsidRDefault="00B30C80" w:rsidP="00755546">
            <w:pPr>
              <w:pStyle w:val="Lgendesigne"/>
              <w:widowControl/>
            </w:pPr>
            <w:r>
              <w:tab/>
              <w:t>***</w:t>
            </w:r>
            <w:r>
              <w:tab/>
              <w:t>Procédure d’approbation</w:t>
            </w:r>
          </w:p>
          <w:p w:rsidR="00755546" w:rsidRPr="00BF1BE1" w:rsidRDefault="00B30C80" w:rsidP="00755546">
            <w:pPr>
              <w:pStyle w:val="Lgendesigne"/>
              <w:widowControl/>
            </w:pPr>
            <w:r>
              <w:tab/>
              <w:t>***I</w:t>
            </w:r>
            <w:r>
              <w:tab/>
              <w:t>Procédure législative ordinaire (première lecture)</w:t>
            </w:r>
          </w:p>
          <w:p w:rsidR="00755546" w:rsidRPr="00BF1BE1" w:rsidRDefault="00B30C80" w:rsidP="00755546">
            <w:pPr>
              <w:pStyle w:val="Lgendesigne"/>
              <w:widowControl/>
            </w:pPr>
            <w:r>
              <w:tab/>
              <w:t>***II</w:t>
            </w:r>
            <w:r>
              <w:tab/>
              <w:t>Procédure législative ordinaire (deuxième lecture)</w:t>
            </w:r>
          </w:p>
          <w:p w:rsidR="00755546" w:rsidRPr="00BF1BE1" w:rsidRDefault="00B30C80" w:rsidP="00755546">
            <w:pPr>
              <w:pStyle w:val="Lgendesigne"/>
              <w:widowControl/>
            </w:pPr>
            <w:r>
              <w:tab/>
              <w:t>***III</w:t>
            </w:r>
            <w:r>
              <w:tab/>
              <w:t>Procédure législative ordinaire (troisième lecture)</w:t>
            </w:r>
            <w:r>
              <w:br/>
            </w:r>
          </w:p>
          <w:p w:rsidR="00755546" w:rsidRPr="00BF1BE1" w:rsidRDefault="00B30C80" w:rsidP="00755546">
            <w:pPr>
              <w:pStyle w:val="Lgendestandard"/>
              <w:widowControl/>
            </w:pPr>
            <w:r>
              <w:t>(La procédure indiquée est fondée sur la base juridique proposée par le projet d’acte.)</w:t>
            </w:r>
          </w:p>
          <w:p w:rsidR="00755546" w:rsidRPr="00BF1BE1" w:rsidRDefault="00755546" w:rsidP="00755546">
            <w:pPr>
              <w:pStyle w:val="Lgendestandard"/>
              <w:widowControl/>
            </w:pPr>
          </w:p>
        </w:tc>
      </w:tr>
    </w:tbl>
    <w:p w:rsidR="007A5315" w:rsidRPr="00755546" w:rsidRDefault="007A5315" w:rsidP="00755546">
      <w:pPr>
        <w:widowControl/>
      </w:pPr>
    </w:p>
    <w:p w:rsidR="00363B94" w:rsidRPr="00755546" w:rsidRDefault="00363B94" w:rsidP="00755546">
      <w:pPr>
        <w:widowControl/>
        <w:tabs>
          <w:tab w:val="center" w:pos="4677"/>
        </w:tabs>
      </w:pPr>
    </w:p>
    <w:p w:rsidR="00363B94" w:rsidRPr="00F85DE8" w:rsidRDefault="00B30C80" w:rsidP="00755546">
      <w:pPr>
        <w:pStyle w:val="TOCHeading"/>
        <w:widowControl/>
      </w:pPr>
      <w:r>
        <w:br w:type="page"/>
      </w:r>
      <w:r>
        <w:lastRenderedPageBreak/>
        <w:t>SOMMAIRE</w:t>
      </w:r>
    </w:p>
    <w:p w:rsidR="00363B94" w:rsidRPr="00F85DE8" w:rsidRDefault="00B30C80" w:rsidP="00755546">
      <w:pPr>
        <w:pStyle w:val="TOCPage"/>
        <w:widowControl/>
      </w:pPr>
      <w:r>
        <w:t>Page</w:t>
      </w:r>
    </w:p>
    <w:p w:rsidR="00711826" w:rsidRDefault="00B30C80">
      <w:pPr>
        <w:pStyle w:val="TOC1"/>
        <w:tabs>
          <w:tab w:val="right" w:leader="dot" w:pos="9060"/>
        </w:tabs>
        <w:rPr>
          <w:rFonts w:asciiTheme="minorHAnsi" w:eastAsiaTheme="minorEastAsia" w:hAnsiTheme="minorHAnsi" w:cstheme="minorBidi"/>
          <w:noProof/>
          <w:sz w:val="22"/>
          <w:szCs w:val="22"/>
          <w:lang w:val="en-GB"/>
        </w:rPr>
      </w:pPr>
      <w:r w:rsidRPr="00F85DE8">
        <w:fldChar w:fldCharType="begin"/>
      </w:r>
      <w:r w:rsidRPr="00755546">
        <w:instrText xml:space="preserve"> TOC \t "PageHeading</w:instrText>
      </w:r>
      <w:r w:rsidR="00711826">
        <w:instrText>;</w:instrText>
      </w:r>
      <w:r w:rsidRPr="00755546">
        <w:instrText xml:space="preserve">1" </w:instrText>
      </w:r>
      <w:r w:rsidRPr="00F85DE8">
        <w:fldChar w:fldCharType="separate"/>
      </w:r>
      <w:r w:rsidR="00711826">
        <w:rPr>
          <w:noProof/>
        </w:rPr>
        <w:t>PROJET DE RÉSOLUTION LÉGISLATIVE DU PARLEMENT EUROPÉEN</w:t>
      </w:r>
      <w:r w:rsidR="00711826">
        <w:rPr>
          <w:noProof/>
        </w:rPr>
        <w:tab/>
      </w:r>
      <w:r w:rsidR="00711826">
        <w:rPr>
          <w:noProof/>
        </w:rPr>
        <w:fldChar w:fldCharType="begin"/>
      </w:r>
      <w:r w:rsidR="00711826">
        <w:rPr>
          <w:noProof/>
        </w:rPr>
        <w:instrText xml:space="preserve"> PAGEREF _Toc192070509 \h </w:instrText>
      </w:r>
      <w:r w:rsidR="00711826">
        <w:rPr>
          <w:noProof/>
        </w:rPr>
      </w:r>
      <w:r w:rsidR="00711826">
        <w:rPr>
          <w:noProof/>
        </w:rPr>
        <w:fldChar w:fldCharType="separate"/>
      </w:r>
      <w:r w:rsidR="00711826">
        <w:rPr>
          <w:noProof/>
        </w:rPr>
        <w:t>4</w:t>
      </w:r>
      <w:r w:rsidR="00711826">
        <w:rPr>
          <w:noProof/>
        </w:rPr>
        <w:fldChar w:fldCharType="end"/>
      </w:r>
    </w:p>
    <w:p w:rsidR="00711826" w:rsidRDefault="00711826">
      <w:pPr>
        <w:pStyle w:val="TOC1"/>
        <w:tabs>
          <w:tab w:val="right" w:leader="dot" w:pos="9060"/>
        </w:tabs>
        <w:rPr>
          <w:rFonts w:asciiTheme="minorHAnsi" w:eastAsiaTheme="minorEastAsia" w:hAnsiTheme="minorHAnsi" w:cstheme="minorBidi"/>
          <w:noProof/>
          <w:sz w:val="22"/>
          <w:szCs w:val="22"/>
          <w:lang w:val="en-GB"/>
        </w:rPr>
      </w:pPr>
      <w:r>
        <w:rPr>
          <w:noProof/>
        </w:rPr>
        <w:t>EXPOSÉ DES MOTIFS</w:t>
      </w:r>
      <w:r>
        <w:rPr>
          <w:noProof/>
        </w:rPr>
        <w:tab/>
      </w:r>
      <w:r>
        <w:rPr>
          <w:noProof/>
        </w:rPr>
        <w:fldChar w:fldCharType="begin"/>
      </w:r>
      <w:r>
        <w:rPr>
          <w:noProof/>
        </w:rPr>
        <w:instrText xml:space="preserve"> PAGEREF _Toc192070510 \h </w:instrText>
      </w:r>
      <w:r>
        <w:rPr>
          <w:noProof/>
        </w:rPr>
      </w:r>
      <w:r>
        <w:rPr>
          <w:noProof/>
        </w:rPr>
        <w:fldChar w:fldCharType="separate"/>
      </w:r>
      <w:r>
        <w:rPr>
          <w:noProof/>
        </w:rPr>
        <w:t>5</w:t>
      </w:r>
      <w:r>
        <w:rPr>
          <w:noProof/>
        </w:rPr>
        <w:fldChar w:fldCharType="end"/>
      </w:r>
    </w:p>
    <w:p w:rsidR="00711826" w:rsidRDefault="00711826">
      <w:pPr>
        <w:pStyle w:val="TOC1"/>
        <w:tabs>
          <w:tab w:val="right" w:leader="dot" w:pos="9060"/>
        </w:tabs>
        <w:rPr>
          <w:rFonts w:asciiTheme="minorHAnsi" w:eastAsiaTheme="minorEastAsia" w:hAnsiTheme="minorHAnsi" w:cstheme="minorBidi"/>
          <w:noProof/>
          <w:sz w:val="22"/>
          <w:szCs w:val="22"/>
          <w:lang w:val="en-GB"/>
        </w:rPr>
      </w:pPr>
      <w:r>
        <w:rPr>
          <w:noProof/>
        </w:rPr>
        <w:t>ANNEXE: ENTITÉS OU PERSONNES DONT LE RAPPORTEUR A REÇU DES CONTRIBUTIONS</w:t>
      </w:r>
      <w:r>
        <w:rPr>
          <w:noProof/>
        </w:rPr>
        <w:tab/>
      </w:r>
      <w:r>
        <w:rPr>
          <w:noProof/>
        </w:rPr>
        <w:fldChar w:fldCharType="begin"/>
      </w:r>
      <w:r>
        <w:rPr>
          <w:noProof/>
        </w:rPr>
        <w:instrText xml:space="preserve"> PAGEREF _Toc192070511 \h </w:instrText>
      </w:r>
      <w:r>
        <w:rPr>
          <w:noProof/>
        </w:rPr>
      </w:r>
      <w:r>
        <w:rPr>
          <w:noProof/>
        </w:rPr>
        <w:fldChar w:fldCharType="separate"/>
      </w:r>
      <w:r>
        <w:rPr>
          <w:noProof/>
        </w:rPr>
        <w:t>7</w:t>
      </w:r>
      <w:r>
        <w:rPr>
          <w:noProof/>
        </w:rPr>
        <w:fldChar w:fldCharType="end"/>
      </w:r>
    </w:p>
    <w:p w:rsidR="00711826" w:rsidRDefault="00711826">
      <w:pPr>
        <w:pStyle w:val="TOC1"/>
        <w:tabs>
          <w:tab w:val="right" w:leader="dot" w:pos="9060"/>
        </w:tabs>
        <w:rPr>
          <w:rFonts w:asciiTheme="minorHAnsi" w:eastAsiaTheme="minorEastAsia" w:hAnsiTheme="minorHAnsi" w:cstheme="minorBidi"/>
          <w:noProof/>
          <w:sz w:val="22"/>
          <w:szCs w:val="22"/>
          <w:lang w:val="en-GB"/>
        </w:rPr>
      </w:pPr>
      <w:r>
        <w:rPr>
          <w:noProof/>
        </w:rPr>
        <w:t>PROCÉDURE DE LA COMMISSION COMPÉTENTE AU FOND</w:t>
      </w:r>
      <w:r>
        <w:rPr>
          <w:noProof/>
        </w:rPr>
        <w:tab/>
      </w:r>
      <w:r>
        <w:rPr>
          <w:noProof/>
        </w:rPr>
        <w:fldChar w:fldCharType="begin"/>
      </w:r>
      <w:r>
        <w:rPr>
          <w:noProof/>
        </w:rPr>
        <w:instrText xml:space="preserve"> PAGEREF _Toc192070512 \h </w:instrText>
      </w:r>
      <w:r>
        <w:rPr>
          <w:noProof/>
        </w:rPr>
      </w:r>
      <w:r>
        <w:rPr>
          <w:noProof/>
        </w:rPr>
        <w:fldChar w:fldCharType="separate"/>
      </w:r>
      <w:r>
        <w:rPr>
          <w:noProof/>
        </w:rPr>
        <w:t>8</w:t>
      </w:r>
      <w:r>
        <w:rPr>
          <w:noProof/>
        </w:rPr>
        <w:fldChar w:fldCharType="end"/>
      </w:r>
    </w:p>
    <w:p w:rsidR="00711826" w:rsidRDefault="00711826">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PAR LA COMMISSION COMPÉTENTE AU FOND</w:t>
      </w:r>
      <w:r>
        <w:rPr>
          <w:noProof/>
        </w:rPr>
        <w:tab/>
      </w:r>
      <w:r>
        <w:rPr>
          <w:noProof/>
        </w:rPr>
        <w:fldChar w:fldCharType="begin"/>
      </w:r>
      <w:r>
        <w:rPr>
          <w:noProof/>
        </w:rPr>
        <w:instrText xml:space="preserve"> PAGEREF _Toc192070513 \h </w:instrText>
      </w:r>
      <w:r>
        <w:rPr>
          <w:noProof/>
        </w:rPr>
      </w:r>
      <w:r>
        <w:rPr>
          <w:noProof/>
        </w:rPr>
        <w:fldChar w:fldCharType="separate"/>
      </w:r>
      <w:r>
        <w:rPr>
          <w:noProof/>
        </w:rPr>
        <w:t>9</w:t>
      </w:r>
      <w:r>
        <w:rPr>
          <w:noProof/>
        </w:rPr>
        <w:fldChar w:fldCharType="end"/>
      </w:r>
    </w:p>
    <w:p w:rsidR="004E1650" w:rsidRPr="00755546" w:rsidRDefault="00B30C80" w:rsidP="00755546">
      <w:pPr>
        <w:widowControl/>
      </w:pPr>
      <w:r w:rsidRPr="00F85DE8">
        <w:fldChar w:fldCharType="end"/>
      </w:r>
    </w:p>
    <w:p w:rsidR="00363B94" w:rsidRPr="00755546" w:rsidRDefault="00B30C80" w:rsidP="00755546">
      <w:pPr>
        <w:pStyle w:val="PageHeading"/>
        <w:widowControl/>
      </w:pPr>
      <w:r>
        <w:br w:type="page"/>
      </w:r>
      <w:bookmarkStart w:id="1" w:name="_Toc192070509"/>
      <w:r>
        <w:t>PROJET DE RÉSOLUTION LÉGISLATIVE DU PARLEMENT EUROPÉEN</w:t>
      </w:r>
      <w:bookmarkEnd w:id="1"/>
    </w:p>
    <w:p w:rsidR="00363B94" w:rsidRPr="00755546" w:rsidRDefault="00B30C80" w:rsidP="00755546">
      <w:pPr>
        <w:pStyle w:val="NormalBold"/>
        <w:widowControl/>
      </w:pPr>
      <w:r>
        <w:t>sur le projet de décision du Conseil relative à la conclusion, au nom de l’Union, de l’accord entre le Canada et l’Union européenne sur le transfert et le traitement de données des dossiers passagers</w:t>
      </w:r>
    </w:p>
    <w:p w:rsidR="00363B94" w:rsidRPr="00755546" w:rsidRDefault="00B30C80" w:rsidP="00755546">
      <w:pPr>
        <w:pStyle w:val="NormalBold12a"/>
        <w:widowControl/>
      </w:pPr>
      <w:r>
        <w:t>(08897/2024 – C10</w:t>
      </w:r>
      <w:r>
        <w:noBreakHyphen/>
        <w:t>0125/2024 – 2024/0051(NLE))</w:t>
      </w:r>
    </w:p>
    <w:p w:rsidR="00363B94" w:rsidRPr="00755546" w:rsidRDefault="00B30C80" w:rsidP="00755546">
      <w:pPr>
        <w:pStyle w:val="NormalBold"/>
        <w:widowControl/>
      </w:pPr>
      <w:r>
        <w:t>(Approbation)</w:t>
      </w:r>
    </w:p>
    <w:p w:rsidR="00363B94" w:rsidRPr="00755546" w:rsidRDefault="00B30C80" w:rsidP="00755546">
      <w:pPr>
        <w:pStyle w:val="EPComma"/>
        <w:widowControl/>
      </w:pPr>
      <w:r>
        <w:rPr>
          <w:i/>
        </w:rPr>
        <w:t>Le Parlement européen</w:t>
      </w:r>
      <w:r>
        <w:t>,</w:t>
      </w:r>
    </w:p>
    <w:p w:rsidR="00BF7F55" w:rsidRPr="00755546" w:rsidRDefault="00B30C80" w:rsidP="00755546">
      <w:pPr>
        <w:pStyle w:val="NormalHanging12a"/>
        <w:widowControl/>
      </w:pPr>
      <w:r>
        <w:t>–</w:t>
      </w:r>
      <w:r>
        <w:tab/>
        <w:t>vu le projet de décision du Conseil (08897/2024),</w:t>
      </w:r>
    </w:p>
    <w:p w:rsidR="00363B94" w:rsidRPr="00755546" w:rsidRDefault="00B30C80" w:rsidP="00755546">
      <w:pPr>
        <w:pStyle w:val="NormalHanging12a"/>
        <w:widowControl/>
      </w:pPr>
      <w:r>
        <w:t>–</w:t>
      </w:r>
      <w:r>
        <w:tab/>
        <w:t>vu le projet d’accord entre le Canada et l’Union européenne sur le transfert et le traitement de données des dossiers passagers (08896/2024),</w:t>
      </w:r>
    </w:p>
    <w:p w:rsidR="00363B94" w:rsidRPr="00755546" w:rsidRDefault="00B30C80" w:rsidP="00755546">
      <w:pPr>
        <w:pStyle w:val="NormalHanging12a"/>
        <w:widowControl/>
      </w:pPr>
      <w:r>
        <w:t>–</w:t>
      </w:r>
      <w:r>
        <w:tab/>
        <w:t>vu la demande d’approbation présentée par le Conseil conformément à l’article 16, paragraphe 2, à l’article 87, paragraphe 2, point a), et à l’article 218, paragraphe 6, deuxième alinéa, point a) v), du traité sur le fonctionnement de l’Union européenne (C10-0125/2024),</w:t>
      </w:r>
    </w:p>
    <w:p w:rsidR="00363B94" w:rsidRPr="00755546" w:rsidRDefault="00B30C80" w:rsidP="00755546">
      <w:pPr>
        <w:pStyle w:val="NormalHanging12a"/>
        <w:widowControl/>
      </w:pPr>
      <w:r>
        <w:t>–</w:t>
      </w:r>
      <w:r>
        <w:tab/>
        <w:t>vu l’article 107, paragraphes 1 et 4, ainsi que l’article 117, paragraphe 7, de son règlement intérieur,</w:t>
      </w:r>
    </w:p>
    <w:p w:rsidR="00C35D01" w:rsidRPr="00755546" w:rsidRDefault="00B30C80" w:rsidP="00755546">
      <w:pPr>
        <w:pStyle w:val="NormalHanging12a"/>
        <w:widowControl/>
      </w:pPr>
      <w:r>
        <w:t>–</w:t>
      </w:r>
      <w:r>
        <w:tab/>
        <w:t>vu la recommandation de la commission des libertés civiles, de la justice et des affaires intérieures (A10-0013/2025),</w:t>
      </w:r>
    </w:p>
    <w:p w:rsidR="00363B94" w:rsidRPr="00755546" w:rsidRDefault="00B30C80" w:rsidP="00755546">
      <w:pPr>
        <w:pStyle w:val="NormalHanging12a"/>
        <w:widowControl/>
      </w:pPr>
      <w:r>
        <w:t>1.</w:t>
      </w:r>
      <w:r>
        <w:tab/>
        <w:t>donne son approbation à la conclusion de l’accord;</w:t>
      </w:r>
    </w:p>
    <w:p w:rsidR="00EF48F2" w:rsidRPr="00755546" w:rsidRDefault="00B30C80" w:rsidP="00755546">
      <w:pPr>
        <w:pStyle w:val="NormalHanging12a"/>
        <w:widowControl/>
      </w:pPr>
      <w:r>
        <w:t>2.</w:t>
      </w:r>
      <w:r>
        <w:tab/>
        <w:t>charge sa Présidente de transmettre la position du Parlement au Conseil et à la Commission, ainsi qu’aux gouvernements et aux parlements des États membres et du Canada.</w:t>
      </w:r>
    </w:p>
    <w:p w:rsidR="009B0205" w:rsidRPr="00B30C80" w:rsidRDefault="009B0205" w:rsidP="00755546">
      <w:pPr>
        <w:widowControl/>
        <w:sectPr w:rsidR="009B0205" w:rsidRPr="00B30C80" w:rsidSect="007555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9B0205" w:rsidRPr="00755546" w:rsidRDefault="00B30C80" w:rsidP="00755546">
      <w:pPr>
        <w:pStyle w:val="PageHeading"/>
        <w:widowControl/>
      </w:pPr>
      <w:bookmarkStart w:id="2" w:name="_Toc192070510"/>
      <w:r>
        <w:t>EXPOSÉ DES MOTIFS</w:t>
      </w:r>
      <w:bookmarkEnd w:id="2"/>
    </w:p>
    <w:p w:rsidR="009B0205" w:rsidRPr="00755546" w:rsidRDefault="00B30C80" w:rsidP="00755546">
      <w:pPr>
        <w:widowControl/>
      </w:pPr>
      <w:r>
        <w:rPr>
          <w:b/>
        </w:rPr>
        <w:t>a. Contexte</w:t>
      </w:r>
    </w:p>
    <w:p w:rsidR="009B0205" w:rsidRPr="00755546" w:rsidRDefault="00B30C80" w:rsidP="00755546">
      <w:pPr>
        <w:widowControl/>
        <w:spacing w:before="240" w:after="240"/>
        <w:jc w:val="both"/>
      </w:pPr>
      <w:r>
        <w:t xml:space="preserve">La présente procédure d’approbation porte sur le projet de décision du Conseil relative à l’accord entre le Canada et l’Union européenne sur le transfert et le traitement de données des dossiers passagers (PNR). </w:t>
      </w:r>
    </w:p>
    <w:p w:rsidR="009B0205" w:rsidRPr="00755546" w:rsidRDefault="00B30C80" w:rsidP="00755546">
      <w:pPr>
        <w:widowControl/>
        <w:jc w:val="both"/>
      </w:pPr>
      <w:r>
        <w:t>Le Parlement européen a sollicité l’avis de la Cour de justice de l’Union européenne (ci-après la «Cour de justice») sur le point de savoir si le précédent accord PNR avec le Canada en vigueur depuis 2014 était compatible avec les traités de l’Union et la charte des droits fondamentaux de l’Union européenne. Le 26 juillet 2017, la Cour de justice a rendu l’avis 1/15 dans lequel elle concluait que l’accord PNR envisagé entre le Canada et l’UE ne pouvait pas être conclu sous la forme qui était la sienne étant donné que plusieurs de ses dispositions étaient incompatibles avec les droits fondamentaux reconnus par l’Union européenne. À la suite de la publication de cet avis, l’Union et le Canada ont rouvert des négociations afin de signer un nouvel accord conforme aux exigences formulées par la Cour de justice.</w:t>
      </w:r>
    </w:p>
    <w:p w:rsidR="009B0205" w:rsidRPr="00755546" w:rsidRDefault="00B30C80" w:rsidP="00755546">
      <w:pPr>
        <w:widowControl/>
        <w:spacing w:before="240" w:after="240"/>
        <w:jc w:val="both"/>
      </w:pPr>
      <w:r>
        <w:t>Les négociations sur cette version de l’accord ont commencé en 2018 et, à la suite de la conclusion des négociations en 2023, le projet de texte final a été communiqué au Conseil et au Parlement européen. Le 4 mars 2024, la Commission a publié deux propositions de décisions du Conseil relatives à la signature et à la conclusion, au nom de l’Union européenne, d’un accord entre le Canada et l’Union européenne sur le transfert et le traitement de données des dossiers passagers (données PNR).</w:t>
      </w:r>
    </w:p>
    <w:p w:rsidR="009B0205" w:rsidRPr="00755546" w:rsidRDefault="00B30C80" w:rsidP="00755546">
      <w:pPr>
        <w:widowControl/>
        <w:spacing w:after="240"/>
        <w:jc w:val="both"/>
      </w:pPr>
      <w:r>
        <w:t xml:space="preserve">Le Contrôleur européen de la protection des données (CEPD) a été consulté et a rendu l’avis 15/2024 le 29 avril 2024, dans lequel il est parvenu à la conclusion selon laquelle le projet d’accord contenait les garanties nécessaires pour être compatible avec la charte des droits fondamentaux, conformément à l’avis 1/15 de la Cour de justice. L’avis contenait également un certain nombre de recommandations concernant la mise en œuvre du futur accord. </w:t>
      </w:r>
    </w:p>
    <w:p w:rsidR="009B0205" w:rsidRPr="00755546" w:rsidRDefault="00B30C80" w:rsidP="00755546">
      <w:pPr>
        <w:widowControl/>
        <w:spacing w:before="240" w:after="240"/>
      </w:pPr>
      <w:r>
        <w:rPr>
          <w:b/>
        </w:rPr>
        <w:t>b. Position du rapporteur</w:t>
      </w:r>
    </w:p>
    <w:p w:rsidR="009B0205" w:rsidRPr="00755546" w:rsidRDefault="00B30C80" w:rsidP="00755546">
      <w:pPr>
        <w:widowControl/>
        <w:jc w:val="both"/>
      </w:pPr>
      <w:r>
        <w:t xml:space="preserve">Votre rapporteur estime que la conclusion d’un accord international établissant un cadre juridique clair pour l’échange de données PNR avec le Canada constitue une avancée importante dans les efforts de l’Union en matière de prévention et de détection des formes graves de criminalité et de terrorisme, ainsi que d’enquêtes et de poursuites en la matière. </w:t>
      </w:r>
    </w:p>
    <w:p w:rsidR="009B0205" w:rsidRPr="00755546" w:rsidRDefault="00B30C80" w:rsidP="00755546">
      <w:pPr>
        <w:widowControl/>
        <w:spacing w:before="240" w:after="240"/>
        <w:jc w:val="both"/>
      </w:pPr>
      <w:r>
        <w:t>Il tient également à saluer le travail important accompli par le Parlement européen dans le passé, y compris par son ancienne rapporteure pour cette procédure, M</w:t>
      </w:r>
      <w:r>
        <w:rPr>
          <w:vertAlign w:val="superscript"/>
        </w:rPr>
        <w:t>me</w:t>
      </w:r>
      <w:r>
        <w:t> Sophie In ‘t Veld, pour garantir la conformité de cet accord avec les normes de l’Union en matière de respect des traités, de la charte des droits fondamentaux de l’Union européenne, ainsi que des arrêts récents de la Cour de justice.</w:t>
      </w:r>
    </w:p>
    <w:p w:rsidR="009B0205" w:rsidRPr="00755546" w:rsidRDefault="00B30C80" w:rsidP="00755546">
      <w:pPr>
        <w:widowControl/>
        <w:spacing w:after="240"/>
        <w:jc w:val="both"/>
      </w:pPr>
      <w:r>
        <w:t>Selon les derniers rapports d’Europol</w:t>
      </w:r>
      <w:r>
        <w:rPr>
          <w:rStyle w:val="FootnoteReference"/>
        </w:rPr>
        <w:footnoteReference w:id="1"/>
      </w:r>
      <w:r>
        <w:t>, cent vingt attentats terroristes ont été perpétrés dans les États membres de l’Union pour la seule année 2023. C’est dire l’ampleur du phénomène dans l’Union aujourd’hui et combien il est nécessaire de veiller à ce que les autorités chargées de lutter contre ce fléau soient dotées de tous les outils disponibles pour empêcher de tels attentats. Le recueil et l’analyse des données PNR peuvent fournir aux autorités des éléments importants qui leur permettent de détecter les schémas de déplacement suspects et d’identifier les complices de criminels et de terroristes, et de soutenir les enquêtes et les poursuites relatives à des affaires portant sur des activités illégales. Votre rapporteur est convaincu qu’il faut pouvoir mettre en place une coopération policière et judiciaire internationale, en particulier avec le Canada, qui est un partenaire international fiable et de confiance pour l’Union.</w:t>
      </w:r>
    </w:p>
    <w:p w:rsidR="009B0205" w:rsidRPr="00755546" w:rsidRDefault="00B30C80" w:rsidP="00755546">
      <w:pPr>
        <w:widowControl/>
        <w:jc w:val="both"/>
      </w:pPr>
      <w:r>
        <w:t xml:space="preserve">Même s’il est vrai que le traitement des données relatives aux noms des passagers constitue une ingérence dans la vie privée et les droits des passagers en matière de données, votre rapporteur estime que cette intervention limitée et strictement réglementée par les services répressifs est nécessaire et proportionnée compte tenu du rôle important que l’échange et l’analyse internationaux des données PNR peuvent jouer dans la lutte contre les formes graves de criminalité transnationale et le terrorisme. </w:t>
      </w:r>
    </w:p>
    <w:p w:rsidR="009B0205" w:rsidRPr="00755546" w:rsidRDefault="00B30C80" w:rsidP="00755546">
      <w:pPr>
        <w:widowControl/>
        <w:spacing w:before="240"/>
        <w:jc w:val="both"/>
      </w:pPr>
      <w:r>
        <w:t xml:space="preserve">À la lumière de l’avis favorable du CEPD et compte tenu également de l’arrêt de la Cour de justice de 2022 qui valide le cadre juridique de l’Union relatif au traitement des données PNR, votre rapporteur est convaincu par les objectifs et les garanties du présent accord. En particulier, il se félicite que l’accord prévoie des garanties relatives à la non-discrimination, à la conservation et à la sécurité des données, à la surveillance, à la transparence et à l’information des passagers, à l’accès individuel aux données PNR et à leur correction, ainsi qu’aux recours administratifs et judiciaires. </w:t>
      </w:r>
    </w:p>
    <w:p w:rsidR="009B0205" w:rsidRPr="00755546" w:rsidRDefault="00B30C80" w:rsidP="00755546">
      <w:pPr>
        <w:widowControl/>
        <w:spacing w:before="240"/>
        <w:jc w:val="both"/>
      </w:pPr>
      <w:r>
        <w:t xml:space="preserve">Votre rapporteur espère vivement que cet accord sera appliqué dans le strict respect de ces garanties, de la jurisprudence de la Cour de justice et des recommandations formulées par le CEPD. Il se permet donc d’insister auprès de la Commission pour qu’elle accorde une attention toute particulière à ces questions ainsi qu’à l’exercice des droits des personnes concernées lors des examens prévus par l’accord. </w:t>
      </w:r>
    </w:p>
    <w:p w:rsidR="009B0205" w:rsidRPr="00755546" w:rsidRDefault="00B30C80" w:rsidP="00755546">
      <w:pPr>
        <w:widowControl/>
        <w:spacing w:before="240"/>
        <w:jc w:val="both"/>
      </w:pPr>
      <w:r>
        <w:t xml:space="preserve">En conclusion, selon votre rapporteur, la conclusion de cet accord constitue une évolution positive dans la lutte contre les formes graves de criminalité et le terrorisme, tout en maintenant les limites et les garanties nécessaires pour assurer le respect des droits fondamentaux des passagers. </w:t>
      </w:r>
    </w:p>
    <w:p w:rsidR="004644D4" w:rsidRPr="00755546" w:rsidRDefault="00B30C80" w:rsidP="00755546">
      <w:pPr>
        <w:widowControl/>
        <w:spacing w:before="240"/>
      </w:pPr>
      <w:r>
        <w:t>Au vu de ce qui précède, votre rapporteur recommande au Parlement d’approuver le texte du projet de décision du Conseil.</w:t>
      </w:r>
    </w:p>
    <w:p w:rsidR="00755546" w:rsidRPr="00B30C80" w:rsidRDefault="00755546" w:rsidP="00755546">
      <w:pPr>
        <w:widowControl/>
        <w:sectPr w:rsidR="00755546" w:rsidRPr="00B30C80" w:rsidSect="0075554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B3349" w:rsidRPr="00755546" w:rsidRDefault="00B30C80" w:rsidP="00755546">
      <w:pPr>
        <w:pStyle w:val="PageHeading"/>
        <w:widowControl/>
        <w:rPr>
          <w:noProof/>
        </w:rPr>
      </w:pPr>
      <w:bookmarkStart w:id="3" w:name="FootprintPageRR"/>
      <w:bookmarkStart w:id="4" w:name="_Toc192070511"/>
      <w:r>
        <w:t>ANNEXE: ENTITÉS OU PERSONNES</w:t>
      </w:r>
      <w:r>
        <w:br/>
        <w:t>DONT LE RAPPORTEUR A REÇU DES CONTRIBUTIONS</w:t>
      </w:r>
      <w:bookmarkEnd w:id="4"/>
    </w:p>
    <w:p w:rsidR="00CB3349" w:rsidRPr="00755546" w:rsidRDefault="00B30C80" w:rsidP="00755546">
      <w:pPr>
        <w:pStyle w:val="Normal24a"/>
        <w:widowControl/>
        <w:spacing w:after="240"/>
      </w:pPr>
      <w:r w:rsidRPr="00B30C80">
        <w:rPr>
          <w:rStyle w:val="HideTWBExt"/>
        </w:rPr>
        <w:t>&lt;FootprintIntro&gt;</w:t>
      </w:r>
      <w:r>
        <w:t>Conformément à l’article 8 de l’annexe I du règlement intérieur, le rapporteur déclare avoir reçu des contributions des entités ou personnes suivantes pour l’élaboration du rapport, préalablement à son adoption en commission:</w:t>
      </w:r>
      <w:r w:rsidRPr="00B30C80">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C07BA" w:rsidTr="00A81CDF">
        <w:tc>
          <w:tcPr>
            <w:tcW w:w="9060" w:type="dxa"/>
            <w:shd w:val="clear" w:color="auto" w:fill="auto"/>
          </w:tcPr>
          <w:p w:rsidR="00CB3349" w:rsidRPr="00F85DE8" w:rsidRDefault="00B30C80" w:rsidP="00755546">
            <w:pPr>
              <w:pStyle w:val="NormalBoldCenter"/>
              <w:widowControl/>
            </w:pPr>
            <w:r>
              <w:t>Entité et/ou personne</w:t>
            </w:r>
          </w:p>
        </w:tc>
      </w:tr>
      <w:tr w:rsidR="000C07BA" w:rsidTr="00A81CDF">
        <w:tc>
          <w:tcPr>
            <w:tcW w:w="9060" w:type="dxa"/>
            <w:shd w:val="clear" w:color="auto" w:fill="auto"/>
          </w:tcPr>
          <w:p w:rsidR="00CB3349" w:rsidRPr="00F85DE8" w:rsidRDefault="00B30C80" w:rsidP="00755546">
            <w:pPr>
              <w:pStyle w:val="NormalSingle"/>
              <w:widowControl/>
            </w:pPr>
            <w:r>
              <w:t>European Data Protection Supervisor</w:t>
            </w:r>
          </w:p>
        </w:tc>
      </w:tr>
      <w:tr w:rsidR="000C07BA" w:rsidRPr="00711826" w:rsidTr="00A81CDF">
        <w:tc>
          <w:tcPr>
            <w:tcW w:w="9060" w:type="dxa"/>
            <w:shd w:val="clear" w:color="auto" w:fill="auto"/>
          </w:tcPr>
          <w:p w:rsidR="00CB3349" w:rsidRPr="00B30C80" w:rsidRDefault="00B30C80" w:rsidP="00755546">
            <w:pPr>
              <w:pStyle w:val="NormalSingle"/>
              <w:widowControl/>
              <w:rPr>
                <w:rStyle w:val="HideTWBExt"/>
                <w:lang w:val="en-GB"/>
              </w:rPr>
            </w:pPr>
            <w:r w:rsidRPr="00B30C80">
              <w:rPr>
                <w:lang w:val="en-GB"/>
              </w:rPr>
              <w:t>European Commission, Directorate-General for Migration and Home Affairs</w:t>
            </w:r>
          </w:p>
        </w:tc>
      </w:tr>
      <w:tr w:rsidR="000C07BA" w:rsidTr="00A81CDF">
        <w:tc>
          <w:tcPr>
            <w:tcW w:w="9060" w:type="dxa"/>
            <w:shd w:val="clear" w:color="auto" w:fill="auto"/>
          </w:tcPr>
          <w:p w:rsidR="00CB3349" w:rsidRPr="00F85DE8" w:rsidRDefault="00B30C80" w:rsidP="00755546">
            <w:pPr>
              <w:pStyle w:val="NormalSingle"/>
              <w:widowControl/>
              <w:rPr>
                <w:rStyle w:val="HideTWBExt"/>
              </w:rPr>
            </w:pPr>
            <w:r>
              <w:t>European Parliament Research Service</w:t>
            </w:r>
          </w:p>
        </w:tc>
      </w:tr>
    </w:tbl>
    <w:p w:rsidR="00CB3349" w:rsidRPr="00755546" w:rsidRDefault="00B30C80" w:rsidP="00755546">
      <w:pPr>
        <w:pStyle w:val="Footprint12b"/>
        <w:widowControl/>
      </w:pPr>
      <w:r>
        <w:t>La liste ci-dessus est établie sous la responsabilité exclusive du rapporteur.</w:t>
      </w:r>
    </w:p>
    <w:p w:rsidR="00BA4FA3" w:rsidRPr="00755546" w:rsidRDefault="00B30C80" w:rsidP="00755546">
      <w:pPr>
        <w:pStyle w:val="Footprint12b"/>
        <w:widowControl/>
      </w:pPr>
      <w:r>
        <w:t>Lorsque des personnes physiques sont identifiées dans la liste par leur nom, leur fonction ou les deux, le rapporteur déclare avoir soumis aux personnes physiques concernées l’avis du Parlement européen relatif à la protection des données nº 484 (</w:t>
      </w:r>
      <w:hyperlink r:id="rId15" w:history="1">
        <w:r>
          <w:rPr>
            <w:rStyle w:val="Hyperlink"/>
          </w:rPr>
          <w:t>https://www.europarl.europa.eu/data-protect/index.do</w:t>
        </w:r>
      </w:hyperlink>
      <w:r>
        <w:t>), qui définit les conditions applicables au traitement de leurs données à caractère personnel et les droits liés à ce traitement.</w:t>
      </w:r>
      <w:bookmarkEnd w:id="3"/>
    </w:p>
    <w:p w:rsidR="00CB3349" w:rsidRPr="00B30C80" w:rsidRDefault="00CB3349" w:rsidP="00755546">
      <w:pPr>
        <w:widowControl/>
      </w:pPr>
    </w:p>
    <w:p w:rsidR="008C05C9" w:rsidRPr="00755546" w:rsidRDefault="00B30C80" w:rsidP="00755546">
      <w:pPr>
        <w:widowControl/>
      </w:pPr>
      <w:r>
        <w:br w:type="page"/>
      </w:r>
    </w:p>
    <w:p w:rsidR="00755546" w:rsidRDefault="00B30C80" w:rsidP="00755546">
      <w:pPr>
        <w:pStyle w:val="PageHeading"/>
        <w:widowControl/>
      </w:pPr>
      <w:bookmarkStart w:id="5" w:name="ProcPageRR"/>
      <w:bookmarkStart w:id="6" w:name="_Toc192070512"/>
      <w:r>
        <w:t>PROCÉDURE DE LA COMMISSION COMPÉTENTE AU FOND</w:t>
      </w:r>
      <w:bookmarkEnd w:id="6"/>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C07B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55546" w:rsidRDefault="00B30C80" w:rsidP="00755546">
            <w:pPr>
              <w:widowControl/>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55546" w:rsidRDefault="00B30C80" w:rsidP="00755546">
            <w:pPr>
              <w:widowControl/>
              <w:autoSpaceDE w:val="0"/>
              <w:autoSpaceDN w:val="0"/>
              <w:adjustRightInd w:val="0"/>
              <w:rPr>
                <w:color w:val="000000"/>
                <w:sz w:val="20"/>
              </w:rPr>
            </w:pPr>
            <w:r>
              <w:rPr>
                <w:color w:val="000000"/>
                <w:sz w:val="20"/>
              </w:rPr>
              <w:t>Accord entre le Canada et l’Union européenne sur le transfert et le traitement de données des dossiers passagers (données PNR)</w:t>
            </w:r>
          </w:p>
        </w:tc>
      </w:tr>
      <w:tr w:rsidR="000C07B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55546" w:rsidRDefault="00B30C80" w:rsidP="00755546">
            <w:pPr>
              <w:widowControl/>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55546" w:rsidRDefault="00B30C80" w:rsidP="00755546">
            <w:pPr>
              <w:widowControl/>
              <w:autoSpaceDE w:val="0"/>
              <w:autoSpaceDN w:val="0"/>
              <w:adjustRightInd w:val="0"/>
              <w:rPr>
                <w:color w:val="000000"/>
                <w:sz w:val="20"/>
              </w:rPr>
            </w:pPr>
            <w:r>
              <w:rPr>
                <w:color w:val="000000"/>
                <w:sz w:val="20"/>
              </w:rPr>
              <w:t>08897/2024 – C10-0125/2024 – 2024/0051(NLE)</w:t>
            </w:r>
          </w:p>
        </w:tc>
      </w:tr>
      <w:tr w:rsidR="000C07B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55546" w:rsidRDefault="00B30C80" w:rsidP="00755546">
            <w:pPr>
              <w:widowControl/>
              <w:autoSpaceDE w:val="0"/>
              <w:autoSpaceDN w:val="0"/>
              <w:adjustRightInd w:val="0"/>
              <w:rPr>
                <w:b/>
                <w:bCs/>
                <w:color w:val="000000"/>
                <w:sz w:val="20"/>
              </w:rPr>
            </w:pPr>
            <w:r>
              <w:rPr>
                <w:b/>
                <w:color w:val="000000"/>
                <w:sz w:val="20"/>
              </w:rPr>
              <w:t>Date de la consultation ou de la demande d’approbation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55546" w:rsidRDefault="00B30C80" w:rsidP="00755546">
            <w:pPr>
              <w:widowControl/>
              <w:autoSpaceDE w:val="0"/>
              <w:autoSpaceDN w:val="0"/>
              <w:adjustRightInd w:val="0"/>
              <w:rPr>
                <w:color w:val="000000"/>
                <w:sz w:val="20"/>
              </w:rPr>
            </w:pPr>
            <w:r>
              <w:rPr>
                <w:color w:val="000000"/>
                <w:sz w:val="20"/>
              </w:rPr>
              <w:t>10.10.2024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55546" w:rsidRDefault="00755546" w:rsidP="00755546">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55546" w:rsidRDefault="00755546" w:rsidP="00755546">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55546" w:rsidRDefault="00755546" w:rsidP="00755546">
            <w:pPr>
              <w:widowControl/>
              <w:autoSpaceDE w:val="0"/>
              <w:autoSpaceDN w:val="0"/>
              <w:adjustRightInd w:val="0"/>
              <w:rPr>
                <w:rFonts w:ascii="sans-serif" w:hAnsi="sans-serif" w:cs="sans-serif"/>
                <w:color w:val="000000"/>
                <w:szCs w:val="24"/>
              </w:rPr>
            </w:pPr>
          </w:p>
        </w:tc>
      </w:tr>
      <w:tr w:rsidR="000C07B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55546" w:rsidRDefault="00B30C80" w:rsidP="00755546">
            <w:pPr>
              <w:widowControl/>
              <w:autoSpaceDE w:val="0"/>
              <w:autoSpaceDN w:val="0"/>
              <w:adjustRightInd w:val="0"/>
              <w:rPr>
                <w:b/>
                <w:bCs/>
                <w:color w:val="000000"/>
                <w:sz w:val="20"/>
              </w:rPr>
            </w:pPr>
            <w:r>
              <w:rPr>
                <w:b/>
                <w:color w:val="000000"/>
                <w:sz w:val="20"/>
              </w:rPr>
              <w:t>Commission(s) compétente(s) au fond</w:t>
            </w:r>
          </w:p>
        </w:tc>
        <w:tc>
          <w:tcPr>
            <w:tcW w:w="1530" w:type="dxa"/>
            <w:tcBorders>
              <w:top w:val="nil"/>
              <w:left w:val="nil"/>
              <w:bottom w:val="single" w:sz="8" w:space="0" w:color="000000"/>
              <w:right w:val="nil"/>
            </w:tcBorders>
            <w:tcMar>
              <w:top w:w="79" w:type="dxa"/>
              <w:left w:w="79" w:type="dxa"/>
              <w:bottom w:w="79" w:type="dxa"/>
              <w:right w:w="79" w:type="dxa"/>
            </w:tcMar>
          </w:tcPr>
          <w:p w:rsidR="00755546" w:rsidRDefault="00B30C80" w:rsidP="00755546">
            <w:pPr>
              <w:widowControl/>
              <w:autoSpaceDE w:val="0"/>
              <w:autoSpaceDN w:val="0"/>
              <w:adjustRightInd w:val="0"/>
              <w:rPr>
                <w:color w:val="000000"/>
                <w:sz w:val="20"/>
              </w:rPr>
            </w:pPr>
            <w:r>
              <w:rPr>
                <w:color w:val="000000"/>
                <w:sz w:val="20"/>
              </w:rPr>
              <w:t>LIBE</w:t>
            </w:r>
          </w:p>
        </w:tc>
        <w:tc>
          <w:tcPr>
            <w:tcW w:w="1474" w:type="dxa"/>
            <w:tcBorders>
              <w:top w:val="nil"/>
              <w:left w:val="nil"/>
              <w:bottom w:val="single" w:sz="8" w:space="0" w:color="000000"/>
              <w:right w:val="nil"/>
            </w:tcBorders>
            <w:tcMar>
              <w:top w:w="79" w:type="dxa"/>
              <w:left w:w="79" w:type="dxa"/>
              <w:bottom w:w="79" w:type="dxa"/>
              <w:right w:w="79" w:type="dxa"/>
            </w:tcMar>
          </w:tcPr>
          <w:p w:rsidR="00755546" w:rsidRDefault="00755546" w:rsidP="00755546">
            <w:pPr>
              <w:widowControl/>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755546" w:rsidRDefault="00755546" w:rsidP="00755546">
            <w:pPr>
              <w:widowControl/>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755546" w:rsidRDefault="00755546" w:rsidP="00755546">
            <w:pPr>
              <w:widowControl/>
              <w:autoSpaceDE w:val="0"/>
              <w:autoSpaceDN w:val="0"/>
              <w:adjustRightInd w:val="0"/>
              <w:rPr>
                <w:rFonts w:ascii="sans-serif" w:hAnsi="sans-serif" w:cs="sans-serif"/>
                <w:color w:val="000000"/>
                <w:szCs w:val="24"/>
              </w:rPr>
            </w:pPr>
          </w:p>
        </w:tc>
      </w:tr>
      <w:tr w:rsidR="000C07B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55546" w:rsidRDefault="00B30C80" w:rsidP="00755546">
            <w:pPr>
              <w:widowControl/>
              <w:autoSpaceDE w:val="0"/>
              <w:autoSpaceDN w:val="0"/>
              <w:adjustRightInd w:val="0"/>
              <w:rPr>
                <w:b/>
                <w:bCs/>
                <w:color w:val="000000"/>
                <w:sz w:val="20"/>
              </w:rPr>
            </w:pPr>
            <w:r>
              <w:rPr>
                <w:b/>
                <w:color w:val="000000"/>
                <w:sz w:val="20"/>
              </w:rPr>
              <w:t>Commissions saisies pour avis</w:t>
            </w:r>
          </w:p>
          <w:p w:rsidR="00755546" w:rsidRDefault="00B30C80" w:rsidP="00755546">
            <w:pPr>
              <w:widowControl/>
              <w:autoSpaceDE w:val="0"/>
              <w:autoSpaceDN w:val="0"/>
              <w:adjustRightInd w:val="0"/>
              <w:rPr>
                <w:color w:val="000000"/>
                <w:sz w:val="20"/>
              </w:rPr>
            </w:pPr>
            <w:r>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55546" w:rsidRDefault="00B30C80" w:rsidP="00755546">
            <w:pPr>
              <w:widowControl/>
              <w:autoSpaceDE w:val="0"/>
              <w:autoSpaceDN w:val="0"/>
              <w:adjustRightInd w:val="0"/>
              <w:rPr>
                <w:color w:val="000000"/>
                <w:sz w:val="20"/>
              </w:rPr>
            </w:pPr>
            <w:r>
              <w:rPr>
                <w:color w:val="000000"/>
                <w:sz w:val="20"/>
              </w:rPr>
              <w:t>TRAN</w:t>
            </w:r>
          </w:p>
          <w:p w:rsidR="00755546" w:rsidRDefault="00B30C80" w:rsidP="00755546">
            <w:pPr>
              <w:widowControl/>
              <w:autoSpaceDE w:val="0"/>
              <w:autoSpaceDN w:val="0"/>
              <w:adjustRightInd w:val="0"/>
              <w:rPr>
                <w:color w:val="000000"/>
                <w:sz w:val="20"/>
              </w:rPr>
            </w:pPr>
            <w:r>
              <w:rPr>
                <w:color w:val="000000"/>
                <w:sz w:val="20"/>
              </w:rPr>
              <w:t>25.11.2024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55546" w:rsidRDefault="00755546" w:rsidP="00755546">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55546" w:rsidRDefault="00755546" w:rsidP="00755546">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55546" w:rsidRDefault="00755546" w:rsidP="00755546">
            <w:pPr>
              <w:widowControl/>
              <w:autoSpaceDE w:val="0"/>
              <w:autoSpaceDN w:val="0"/>
              <w:adjustRightInd w:val="0"/>
              <w:rPr>
                <w:rFonts w:ascii="sans-serif" w:hAnsi="sans-serif" w:cs="sans-serif"/>
                <w:color w:val="000000"/>
                <w:szCs w:val="24"/>
              </w:rPr>
            </w:pPr>
          </w:p>
        </w:tc>
      </w:tr>
      <w:tr w:rsidR="000C07B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55546" w:rsidRDefault="00B30C80" w:rsidP="00755546">
            <w:pPr>
              <w:widowControl/>
              <w:autoSpaceDE w:val="0"/>
              <w:autoSpaceDN w:val="0"/>
              <w:adjustRightInd w:val="0"/>
              <w:rPr>
                <w:b/>
                <w:bCs/>
                <w:color w:val="000000"/>
                <w:sz w:val="20"/>
              </w:rPr>
            </w:pPr>
            <w:r>
              <w:rPr>
                <w:b/>
                <w:color w:val="000000"/>
                <w:sz w:val="20"/>
              </w:rPr>
              <w:t>Avis non émis</w:t>
            </w:r>
          </w:p>
          <w:p w:rsidR="00755546" w:rsidRDefault="00B30C80" w:rsidP="00755546">
            <w:pPr>
              <w:widowControl/>
              <w:autoSpaceDE w:val="0"/>
              <w:autoSpaceDN w:val="0"/>
              <w:adjustRightInd w:val="0"/>
              <w:rPr>
                <w:color w:val="000000"/>
                <w:sz w:val="20"/>
              </w:rPr>
            </w:pPr>
            <w:r>
              <w:rPr>
                <w:color w:val="000000"/>
                <w:sz w:val="20"/>
              </w:rPr>
              <w:t>       Date de la décision</w:t>
            </w:r>
          </w:p>
        </w:tc>
        <w:tc>
          <w:tcPr>
            <w:tcW w:w="1530" w:type="dxa"/>
            <w:tcBorders>
              <w:top w:val="nil"/>
              <w:left w:val="nil"/>
              <w:bottom w:val="single" w:sz="8" w:space="0" w:color="000000"/>
              <w:right w:val="nil"/>
            </w:tcBorders>
            <w:tcMar>
              <w:top w:w="79" w:type="dxa"/>
              <w:left w:w="79" w:type="dxa"/>
              <w:bottom w:w="79" w:type="dxa"/>
              <w:right w:w="79" w:type="dxa"/>
            </w:tcMar>
          </w:tcPr>
          <w:p w:rsidR="00755546" w:rsidRDefault="00B30C80" w:rsidP="00755546">
            <w:pPr>
              <w:widowControl/>
              <w:autoSpaceDE w:val="0"/>
              <w:autoSpaceDN w:val="0"/>
              <w:adjustRightInd w:val="0"/>
              <w:rPr>
                <w:color w:val="000000"/>
                <w:sz w:val="20"/>
              </w:rPr>
            </w:pPr>
            <w:r>
              <w:rPr>
                <w:color w:val="000000"/>
                <w:sz w:val="20"/>
              </w:rPr>
              <w:t>TRAN</w:t>
            </w:r>
          </w:p>
          <w:p w:rsidR="00755546" w:rsidRDefault="00B30C80" w:rsidP="00755546">
            <w:pPr>
              <w:widowControl/>
              <w:autoSpaceDE w:val="0"/>
              <w:autoSpaceDN w:val="0"/>
              <w:adjustRightInd w:val="0"/>
              <w:rPr>
                <w:color w:val="000000"/>
                <w:sz w:val="20"/>
              </w:rPr>
            </w:pPr>
            <w:r>
              <w:rPr>
                <w:color w:val="000000"/>
                <w:sz w:val="20"/>
              </w:rPr>
              <w:t>4.12.2024</w:t>
            </w:r>
          </w:p>
        </w:tc>
        <w:tc>
          <w:tcPr>
            <w:tcW w:w="1474" w:type="dxa"/>
            <w:tcBorders>
              <w:top w:val="nil"/>
              <w:left w:val="nil"/>
              <w:bottom w:val="single" w:sz="8" w:space="0" w:color="000000"/>
              <w:right w:val="nil"/>
            </w:tcBorders>
            <w:tcMar>
              <w:top w:w="79" w:type="dxa"/>
              <w:left w:w="79" w:type="dxa"/>
              <w:bottom w:w="79" w:type="dxa"/>
              <w:right w:w="79" w:type="dxa"/>
            </w:tcMar>
          </w:tcPr>
          <w:p w:rsidR="00755546" w:rsidRDefault="00755546" w:rsidP="00755546">
            <w:pPr>
              <w:widowControl/>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755546" w:rsidRDefault="00755546" w:rsidP="00755546">
            <w:pPr>
              <w:widowControl/>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755546" w:rsidRDefault="00755546" w:rsidP="00755546">
            <w:pPr>
              <w:widowControl/>
              <w:autoSpaceDE w:val="0"/>
              <w:autoSpaceDN w:val="0"/>
              <w:adjustRightInd w:val="0"/>
              <w:rPr>
                <w:rFonts w:ascii="sans-serif" w:hAnsi="sans-serif" w:cs="sans-serif"/>
                <w:color w:val="000000"/>
                <w:szCs w:val="24"/>
              </w:rPr>
            </w:pPr>
          </w:p>
        </w:tc>
      </w:tr>
      <w:tr w:rsidR="000C07B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55546" w:rsidRDefault="00B30C80" w:rsidP="00755546">
            <w:pPr>
              <w:widowControl/>
              <w:autoSpaceDE w:val="0"/>
              <w:autoSpaceDN w:val="0"/>
              <w:adjustRightInd w:val="0"/>
              <w:rPr>
                <w:b/>
                <w:bCs/>
                <w:color w:val="000000"/>
                <w:sz w:val="20"/>
              </w:rPr>
            </w:pPr>
            <w:r>
              <w:rPr>
                <w:b/>
                <w:color w:val="000000"/>
                <w:sz w:val="20"/>
              </w:rPr>
              <w:t>Rapporteurs</w:t>
            </w:r>
          </w:p>
          <w:p w:rsidR="00755546" w:rsidRDefault="00B30C80" w:rsidP="00755546">
            <w:pPr>
              <w:widowControl/>
              <w:autoSpaceDE w:val="0"/>
              <w:autoSpaceDN w:val="0"/>
              <w:adjustRightInd w:val="0"/>
              <w:rPr>
                <w:color w:val="000000"/>
                <w:sz w:val="20"/>
              </w:rPr>
            </w:pPr>
            <w:r>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55546" w:rsidRDefault="00B30C80" w:rsidP="00755546">
            <w:pPr>
              <w:widowControl/>
              <w:autoSpaceDE w:val="0"/>
              <w:autoSpaceDN w:val="0"/>
              <w:adjustRightInd w:val="0"/>
              <w:rPr>
                <w:color w:val="000000"/>
                <w:sz w:val="20"/>
              </w:rPr>
            </w:pPr>
            <w:r>
              <w:rPr>
                <w:color w:val="000000"/>
                <w:sz w:val="20"/>
              </w:rPr>
              <w:t>Nikola Minchev</w:t>
            </w:r>
          </w:p>
          <w:p w:rsidR="00755546" w:rsidRDefault="00B30C80" w:rsidP="00755546">
            <w:pPr>
              <w:widowControl/>
              <w:autoSpaceDE w:val="0"/>
              <w:autoSpaceDN w:val="0"/>
              <w:adjustRightInd w:val="0"/>
              <w:rPr>
                <w:color w:val="000000"/>
                <w:sz w:val="20"/>
              </w:rPr>
            </w:pPr>
            <w:r>
              <w:rPr>
                <w:color w:val="000000"/>
                <w:sz w:val="20"/>
              </w:rPr>
              <w:t>5.12.2024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55546" w:rsidRDefault="00755546" w:rsidP="00755546">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55546" w:rsidRDefault="00755546" w:rsidP="00755546">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55546" w:rsidRDefault="00755546" w:rsidP="00755546">
            <w:pPr>
              <w:widowControl/>
              <w:autoSpaceDE w:val="0"/>
              <w:autoSpaceDN w:val="0"/>
              <w:adjustRightInd w:val="0"/>
              <w:rPr>
                <w:rFonts w:ascii="sans-serif" w:hAnsi="sans-serif" w:cs="sans-serif"/>
                <w:color w:val="000000"/>
                <w:szCs w:val="24"/>
              </w:rPr>
            </w:pPr>
          </w:p>
        </w:tc>
      </w:tr>
      <w:tr w:rsidR="000C07B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55546" w:rsidRDefault="00B30C80" w:rsidP="00755546">
            <w:pPr>
              <w:widowControl/>
              <w:autoSpaceDE w:val="0"/>
              <w:autoSpaceDN w:val="0"/>
              <w:adjustRightInd w:val="0"/>
              <w:rPr>
                <w:b/>
                <w:bCs/>
                <w:color w:val="000000"/>
                <w:sz w:val="20"/>
              </w:rPr>
            </w:pPr>
            <w:r>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55546" w:rsidRDefault="00B30C80" w:rsidP="00755546">
            <w:pPr>
              <w:widowControl/>
              <w:autoSpaceDE w:val="0"/>
              <w:autoSpaceDN w:val="0"/>
              <w:adjustRightInd w:val="0"/>
              <w:rPr>
                <w:color w:val="000000"/>
                <w:sz w:val="20"/>
              </w:rPr>
            </w:pPr>
            <w:r>
              <w:rPr>
                <w:color w:val="000000"/>
                <w:sz w:val="20"/>
              </w:rPr>
              <w:t>28.1.2025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55546" w:rsidRDefault="00755546" w:rsidP="00755546">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55546" w:rsidRDefault="00755546" w:rsidP="00755546">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55546" w:rsidRDefault="00755546" w:rsidP="00755546">
            <w:pPr>
              <w:widowControl/>
              <w:autoSpaceDE w:val="0"/>
              <w:autoSpaceDN w:val="0"/>
              <w:adjustRightInd w:val="0"/>
              <w:rPr>
                <w:rFonts w:ascii="sans-serif" w:hAnsi="sans-serif" w:cs="sans-serif"/>
                <w:color w:val="000000"/>
                <w:szCs w:val="24"/>
              </w:rPr>
            </w:pPr>
          </w:p>
        </w:tc>
      </w:tr>
      <w:tr w:rsidR="000C07B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55546" w:rsidRDefault="00B30C80" w:rsidP="00755546">
            <w:pPr>
              <w:widowControl/>
              <w:autoSpaceDE w:val="0"/>
              <w:autoSpaceDN w:val="0"/>
              <w:adjustRightInd w:val="0"/>
              <w:rPr>
                <w:b/>
                <w:bCs/>
                <w:color w:val="000000"/>
                <w:sz w:val="20"/>
              </w:rPr>
            </w:pPr>
            <w:r>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755546" w:rsidRDefault="00B30C80" w:rsidP="00755546">
            <w:pPr>
              <w:widowControl/>
              <w:autoSpaceDE w:val="0"/>
              <w:autoSpaceDN w:val="0"/>
              <w:adjustRightInd w:val="0"/>
              <w:rPr>
                <w:color w:val="000000"/>
                <w:sz w:val="20"/>
              </w:rPr>
            </w:pPr>
            <w:r>
              <w:rPr>
                <w:color w:val="000000"/>
                <w:sz w:val="20"/>
              </w:rPr>
              <w:t>18.2.2025</w:t>
            </w:r>
          </w:p>
        </w:tc>
        <w:tc>
          <w:tcPr>
            <w:tcW w:w="1474" w:type="dxa"/>
            <w:tcBorders>
              <w:top w:val="nil"/>
              <w:left w:val="nil"/>
              <w:bottom w:val="single" w:sz="8" w:space="0" w:color="000000"/>
              <w:right w:val="nil"/>
            </w:tcBorders>
            <w:tcMar>
              <w:top w:w="79" w:type="dxa"/>
              <w:left w:w="79" w:type="dxa"/>
              <w:bottom w:w="79" w:type="dxa"/>
              <w:right w:w="79" w:type="dxa"/>
            </w:tcMar>
          </w:tcPr>
          <w:p w:rsidR="00755546" w:rsidRDefault="00755546" w:rsidP="00755546">
            <w:pPr>
              <w:widowControl/>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755546" w:rsidRDefault="00755546" w:rsidP="00755546">
            <w:pPr>
              <w:widowControl/>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755546" w:rsidRDefault="00755546" w:rsidP="00755546">
            <w:pPr>
              <w:widowControl/>
              <w:autoSpaceDE w:val="0"/>
              <w:autoSpaceDN w:val="0"/>
              <w:adjustRightInd w:val="0"/>
              <w:rPr>
                <w:rFonts w:ascii="sans-serif" w:hAnsi="sans-serif" w:cs="sans-serif"/>
                <w:color w:val="000000"/>
                <w:szCs w:val="24"/>
              </w:rPr>
            </w:pPr>
          </w:p>
        </w:tc>
      </w:tr>
      <w:tr w:rsidR="000C07B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55546" w:rsidRDefault="00B30C80" w:rsidP="00755546">
            <w:pPr>
              <w:widowControl/>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55546" w:rsidRDefault="00B30C80" w:rsidP="00755546">
            <w:pPr>
              <w:widowControl/>
              <w:autoSpaceDE w:val="0"/>
              <w:autoSpaceDN w:val="0"/>
              <w:adjustRightInd w:val="0"/>
              <w:rPr>
                <w:color w:val="000000"/>
                <w:sz w:val="20"/>
              </w:rPr>
            </w:pPr>
            <w:r>
              <w:rPr>
                <w:color w:val="000000"/>
                <w:sz w:val="20"/>
              </w:rPr>
              <w:t>+:</w:t>
            </w:r>
          </w:p>
          <w:p w:rsidR="00755546" w:rsidRDefault="00B30C80" w:rsidP="00755546">
            <w:pPr>
              <w:widowControl/>
              <w:autoSpaceDE w:val="0"/>
              <w:autoSpaceDN w:val="0"/>
              <w:adjustRightInd w:val="0"/>
              <w:rPr>
                <w:color w:val="000000"/>
                <w:sz w:val="20"/>
              </w:rPr>
            </w:pPr>
            <w:r>
              <w:rPr>
                <w:color w:val="000000"/>
                <w:sz w:val="20"/>
              </w:rPr>
              <w:t>–:</w:t>
            </w:r>
          </w:p>
          <w:p w:rsidR="00755546" w:rsidRDefault="00B30C80" w:rsidP="00755546">
            <w:pPr>
              <w:widowControl/>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55546" w:rsidRDefault="00B30C80" w:rsidP="00755546">
            <w:pPr>
              <w:widowControl/>
              <w:autoSpaceDE w:val="0"/>
              <w:autoSpaceDN w:val="0"/>
              <w:adjustRightInd w:val="0"/>
              <w:rPr>
                <w:color w:val="000000"/>
                <w:sz w:val="20"/>
              </w:rPr>
            </w:pPr>
            <w:r>
              <w:rPr>
                <w:color w:val="000000"/>
                <w:sz w:val="20"/>
              </w:rPr>
              <w:t>54</w:t>
            </w:r>
          </w:p>
          <w:p w:rsidR="00755546" w:rsidRDefault="00B30C80" w:rsidP="00755546">
            <w:pPr>
              <w:widowControl/>
              <w:autoSpaceDE w:val="0"/>
              <w:autoSpaceDN w:val="0"/>
              <w:adjustRightInd w:val="0"/>
              <w:rPr>
                <w:color w:val="000000"/>
                <w:sz w:val="20"/>
              </w:rPr>
            </w:pPr>
            <w:r>
              <w:rPr>
                <w:color w:val="000000"/>
                <w:sz w:val="20"/>
              </w:rPr>
              <w:t>10</w:t>
            </w:r>
          </w:p>
          <w:p w:rsidR="00755546" w:rsidRDefault="00B30C80" w:rsidP="00755546">
            <w:pPr>
              <w:widowControl/>
              <w:autoSpaceDE w:val="0"/>
              <w:autoSpaceDN w:val="0"/>
              <w:adjustRightInd w:val="0"/>
              <w:rPr>
                <w:color w:val="000000"/>
                <w:sz w:val="20"/>
              </w:rPr>
            </w:pPr>
            <w:r>
              <w:rPr>
                <w:color w:val="000000"/>
                <w:sz w:val="20"/>
              </w:rPr>
              <w:t>4</w:t>
            </w:r>
          </w:p>
        </w:tc>
      </w:tr>
      <w:tr w:rsidR="000C07B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55546" w:rsidRDefault="00B30C80" w:rsidP="00755546">
            <w:pPr>
              <w:widowControl/>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55546" w:rsidRDefault="00B30C80" w:rsidP="00755546">
            <w:pPr>
              <w:widowControl/>
              <w:autoSpaceDE w:val="0"/>
              <w:autoSpaceDN w:val="0"/>
              <w:adjustRightInd w:val="0"/>
              <w:rPr>
                <w:color w:val="000000"/>
                <w:sz w:val="20"/>
              </w:rPr>
            </w:pPr>
            <w:r>
              <w:rPr>
                <w:color w:val="000000"/>
                <w:sz w:val="20"/>
              </w:rPr>
              <w:t>Giuseppe Antoci, Jaume Asens Llodrà, Francisco Assis, Pernando Barrena Arza, Nikola Bartůšek, Nicolas Bay, François-Xavier Bellamy, Ioan-Rareş Bogdan, Krzysztof Brejza, Saskia Bricmont, Jaroslav Bžoch, Mélissa Camara, Damien Carême, Susanna Ceccardi, Caterina Chinnici, Veronika Cifrová Ostrihoňová, Alessandro Ciriani, Paulo Cunha, Lena Düpont, Marieke Ehlers, Estrella Galán, Paolo Inselvini, Irena Joveva, Erik Kaliňák, Marina Kaljurand, Mariusz Kamiński, Assita Kanko, Fabienne Keller, Mary Khan, Alice Kuhnke, Murielle Laurent, Fabrice Leggeri, Jeroen Lenaers, Erik Marquardt, Ana Catarina Mendes, Verena Mertens, Matjaž Nemec, Birgit Sippel, Krzysztof Śmiszek, Petra Steger, Cecilia Strada, Tineke Strik, Alice Teodorescu Måwe, Tomas Tobé, Tom Vandendriessche, Jadwiga Wiśniewska, Ewa Zajączkowska-Hernik, Alessandro Zan, Tomáš Zdechovský</w:t>
            </w:r>
          </w:p>
        </w:tc>
      </w:tr>
      <w:tr w:rsidR="000C07B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55546" w:rsidRDefault="00B30C80" w:rsidP="00755546">
            <w:pPr>
              <w:widowControl/>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55546" w:rsidRDefault="00B30C80" w:rsidP="00755546">
            <w:pPr>
              <w:widowControl/>
              <w:autoSpaceDE w:val="0"/>
              <w:autoSpaceDN w:val="0"/>
              <w:adjustRightInd w:val="0"/>
              <w:rPr>
                <w:color w:val="000000"/>
                <w:sz w:val="20"/>
              </w:rPr>
            </w:pPr>
            <w:r>
              <w:rPr>
                <w:color w:val="000000"/>
                <w:sz w:val="20"/>
              </w:rPr>
              <w:t>Fredis Beleris, David Casa, Loucas Fourlas, Anna-Maja Henriksson, Nikola Minchev, Gaetano Pedulla’, Emma Rafowicz, Malika Sorel, António Tânger Corrêa, Marco Tarquinio, Hilde Vautmans, Petar Volgin, Axel Voss, Michał Wawrykiewicz, Lucia Yar, Juan Ignacio Zoido Álvarez</w:t>
            </w:r>
          </w:p>
        </w:tc>
      </w:tr>
      <w:tr w:rsidR="000C07BA" w:rsidRPr="0071182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55546" w:rsidRDefault="00B30C80" w:rsidP="00755546">
            <w:pPr>
              <w:widowControl/>
              <w:autoSpaceDE w:val="0"/>
              <w:autoSpaceDN w:val="0"/>
              <w:adjustRightInd w:val="0"/>
              <w:rPr>
                <w:b/>
                <w:bCs/>
                <w:color w:val="000000"/>
                <w:sz w:val="20"/>
              </w:rPr>
            </w:pPr>
            <w:r>
              <w:rPr>
                <w:b/>
                <w:color w:val="000000"/>
                <w:sz w:val="20"/>
              </w:rPr>
              <w:t>Députés visés à l’art. 216, par. 7, du règlement intérieur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55546" w:rsidRPr="00B30C80" w:rsidRDefault="00B30C80" w:rsidP="00755546">
            <w:pPr>
              <w:widowControl/>
              <w:autoSpaceDE w:val="0"/>
              <w:autoSpaceDN w:val="0"/>
              <w:adjustRightInd w:val="0"/>
              <w:rPr>
                <w:color w:val="000000"/>
                <w:sz w:val="20"/>
                <w:lang w:val="pt-PT"/>
              </w:rPr>
            </w:pPr>
            <w:r w:rsidRPr="00B30C80">
              <w:rPr>
                <w:color w:val="000000"/>
                <w:sz w:val="20"/>
                <w:lang w:val="pt-PT"/>
              </w:rPr>
              <w:t>Sebastião Bugalho, Ciaran Mullooly, Hristo Petrov</w:t>
            </w:r>
          </w:p>
        </w:tc>
      </w:tr>
      <w:tr w:rsidR="000C07B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55546" w:rsidRDefault="00B30C80" w:rsidP="00755546">
            <w:pPr>
              <w:widowControl/>
              <w:autoSpaceDE w:val="0"/>
              <w:autoSpaceDN w:val="0"/>
              <w:adjustRightInd w:val="0"/>
              <w:rPr>
                <w:b/>
                <w:bCs/>
                <w:color w:val="000000"/>
                <w:sz w:val="20"/>
              </w:rPr>
            </w:pPr>
            <w:r>
              <w:rPr>
                <w:b/>
                <w:color w:val="000000"/>
                <w:sz w:val="20"/>
              </w:rPr>
              <w:t>Date du dépôt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55546" w:rsidRDefault="00B30C80" w:rsidP="00755546">
            <w:pPr>
              <w:widowControl/>
              <w:autoSpaceDE w:val="0"/>
              <w:autoSpaceDN w:val="0"/>
              <w:adjustRightInd w:val="0"/>
              <w:rPr>
                <w:color w:val="000000"/>
                <w:sz w:val="20"/>
              </w:rPr>
            </w:pPr>
            <w:r>
              <w:rPr>
                <w:color w:val="000000"/>
                <w:sz w:val="20"/>
              </w:rPr>
              <w:t>20.2.2025</w:t>
            </w:r>
          </w:p>
        </w:tc>
      </w:tr>
    </w:tbl>
    <w:p w:rsidR="00755546" w:rsidRPr="00755546" w:rsidRDefault="00755546" w:rsidP="00755546">
      <w:pPr>
        <w:widowControl/>
      </w:pPr>
    </w:p>
    <w:bookmarkEnd w:id="5"/>
    <w:p w:rsidR="00755546" w:rsidRDefault="00755546" w:rsidP="00755546">
      <w:pPr>
        <w:widowControl/>
        <w:sectPr w:rsidR="00755546" w:rsidSect="0075554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55546" w:rsidRPr="0099178F" w:rsidRDefault="00B30C80" w:rsidP="00755546">
      <w:pPr>
        <w:pStyle w:val="PageHeading"/>
        <w:widowControl/>
      </w:pPr>
      <w:bookmarkStart w:id="7" w:name="RollCallPageRR"/>
      <w:bookmarkStart w:id="8" w:name="RollCallPageAD"/>
      <w:bookmarkStart w:id="9" w:name="_Toc192070513"/>
      <w:r>
        <w:t>VOTE FINAL PAR APPEL NOMINAL</w:t>
      </w:r>
      <w:r>
        <w:br/>
        <w:t>PAR LA COMMISSION COMPÉTENTE AU FOND</w:t>
      </w:r>
      <w:bookmarkEnd w:id="9"/>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C07BA" w:rsidTr="00510AAE">
        <w:trPr>
          <w:cantSplit/>
        </w:trPr>
        <w:tc>
          <w:tcPr>
            <w:tcW w:w="1701" w:type="dxa"/>
            <w:shd w:val="pct10" w:color="000000" w:fill="FFFFFF"/>
            <w:vAlign w:val="center"/>
          </w:tcPr>
          <w:p w:rsidR="00755546" w:rsidRPr="00F85DE8" w:rsidRDefault="00B30C80" w:rsidP="00755546">
            <w:pPr>
              <w:pStyle w:val="RollCallVotes"/>
              <w:widowControl/>
            </w:pPr>
            <w:r>
              <w:t>54</w:t>
            </w:r>
          </w:p>
        </w:tc>
        <w:tc>
          <w:tcPr>
            <w:tcW w:w="7371" w:type="dxa"/>
            <w:shd w:val="pct10" w:color="000000" w:fill="FFFFFF"/>
          </w:tcPr>
          <w:p w:rsidR="00755546" w:rsidRPr="00F85DE8" w:rsidRDefault="00B30C80" w:rsidP="00755546">
            <w:pPr>
              <w:pStyle w:val="RollCallSymbols14pt"/>
              <w:widowControl/>
            </w:pPr>
            <w:r>
              <w:t>+</w:t>
            </w:r>
          </w:p>
        </w:tc>
      </w:tr>
      <w:tr w:rsidR="000C07BA" w:rsidTr="00510AAE">
        <w:trPr>
          <w:cantSplit/>
        </w:trPr>
        <w:tc>
          <w:tcPr>
            <w:tcW w:w="1701" w:type="dxa"/>
            <w:shd w:val="clear" w:color="auto" w:fill="FFFFFF"/>
          </w:tcPr>
          <w:p w:rsidR="00755546" w:rsidRPr="00F85DE8" w:rsidRDefault="00B30C80" w:rsidP="00755546">
            <w:pPr>
              <w:pStyle w:val="RollCallTable"/>
              <w:widowControl/>
            </w:pPr>
            <w:r>
              <w:t>ECR</w:t>
            </w:r>
          </w:p>
        </w:tc>
        <w:tc>
          <w:tcPr>
            <w:tcW w:w="7371" w:type="dxa"/>
            <w:shd w:val="clear" w:color="auto" w:fill="FFFFFF"/>
          </w:tcPr>
          <w:p w:rsidR="00755546" w:rsidRPr="00F85DE8" w:rsidRDefault="00B30C80" w:rsidP="00755546">
            <w:pPr>
              <w:pStyle w:val="RollCallTable"/>
              <w:widowControl/>
            </w:pPr>
            <w:r>
              <w:t>Nicolas Bay, Alessandro Ciriani, Paolo Inselvini, Mariusz Kamiński, Assita Kanko, Jadwiga Wiśniewska</w:t>
            </w:r>
          </w:p>
        </w:tc>
      </w:tr>
      <w:tr w:rsidR="000C07BA" w:rsidTr="00510AAE">
        <w:trPr>
          <w:cantSplit/>
        </w:trPr>
        <w:tc>
          <w:tcPr>
            <w:tcW w:w="1701" w:type="dxa"/>
            <w:shd w:val="clear" w:color="auto" w:fill="FFFFFF"/>
          </w:tcPr>
          <w:p w:rsidR="00755546" w:rsidRPr="00F85DE8" w:rsidRDefault="00B30C80" w:rsidP="00755546">
            <w:pPr>
              <w:pStyle w:val="RollCallTable"/>
              <w:widowControl/>
            </w:pPr>
            <w:r>
              <w:t>PPE</w:t>
            </w:r>
          </w:p>
        </w:tc>
        <w:tc>
          <w:tcPr>
            <w:tcW w:w="7371" w:type="dxa"/>
            <w:shd w:val="clear" w:color="auto" w:fill="FFFFFF"/>
          </w:tcPr>
          <w:p w:rsidR="00755546" w:rsidRPr="00F85DE8" w:rsidRDefault="00B30C80" w:rsidP="00755546">
            <w:pPr>
              <w:pStyle w:val="RollCallTable"/>
              <w:widowControl/>
            </w:pPr>
            <w:r>
              <w:t>Fredis Beleris, François-Xavier Bellamy, Ioan-Rareş Bogdan, Krzysztof Brejza, Sebastião Bugalho, David Casa, Caterina Chinnici, Paulo Cunha, Lena Düpont, Loucas Fourlas, Jeroen Lenaers, Verena Mertens, Alice Teodorescu Måwe, Tomas Tobé, Axel Voss, Michał Wawrykiewicz, Tomáš Zdechovský, Juan Ignacio Zoido Álvarez</w:t>
            </w:r>
          </w:p>
        </w:tc>
      </w:tr>
      <w:tr w:rsidR="000C07BA" w:rsidTr="00510AAE">
        <w:trPr>
          <w:cantSplit/>
        </w:trPr>
        <w:tc>
          <w:tcPr>
            <w:tcW w:w="1701" w:type="dxa"/>
            <w:shd w:val="clear" w:color="auto" w:fill="FFFFFF"/>
          </w:tcPr>
          <w:p w:rsidR="00755546" w:rsidRPr="00F85DE8" w:rsidRDefault="00B30C80" w:rsidP="00755546">
            <w:pPr>
              <w:pStyle w:val="RollCallTable"/>
              <w:widowControl/>
            </w:pPr>
            <w:r>
              <w:t>PfE</w:t>
            </w:r>
          </w:p>
        </w:tc>
        <w:tc>
          <w:tcPr>
            <w:tcW w:w="7371" w:type="dxa"/>
            <w:shd w:val="clear" w:color="auto" w:fill="FFFFFF"/>
          </w:tcPr>
          <w:p w:rsidR="00755546" w:rsidRPr="00F85DE8" w:rsidRDefault="00B30C80" w:rsidP="00755546">
            <w:pPr>
              <w:pStyle w:val="RollCallTable"/>
              <w:widowControl/>
            </w:pPr>
            <w:r>
              <w:t>Nikola Bartůšek, Jaroslav Bžoch, Susanna Ceccardi, Marieke Ehlers, Fabrice Leggeri, Malika Sorel, Petra Steger, António Tânger Corrêa, Tom Vandendriessche</w:t>
            </w:r>
          </w:p>
        </w:tc>
      </w:tr>
      <w:tr w:rsidR="000C07BA" w:rsidTr="00510AAE">
        <w:trPr>
          <w:cantSplit/>
        </w:trPr>
        <w:tc>
          <w:tcPr>
            <w:tcW w:w="1701" w:type="dxa"/>
            <w:shd w:val="clear" w:color="auto" w:fill="FFFFFF"/>
          </w:tcPr>
          <w:p w:rsidR="00755546" w:rsidRPr="00F85DE8" w:rsidRDefault="00B30C80" w:rsidP="00755546">
            <w:pPr>
              <w:pStyle w:val="RollCallTable"/>
              <w:widowControl/>
            </w:pPr>
            <w:r>
              <w:t>Renew</w:t>
            </w:r>
          </w:p>
        </w:tc>
        <w:tc>
          <w:tcPr>
            <w:tcW w:w="7371" w:type="dxa"/>
            <w:shd w:val="clear" w:color="auto" w:fill="FFFFFF"/>
          </w:tcPr>
          <w:p w:rsidR="00755546" w:rsidRPr="00F85DE8" w:rsidRDefault="00B30C80" w:rsidP="00755546">
            <w:pPr>
              <w:pStyle w:val="RollCallTable"/>
              <w:widowControl/>
            </w:pPr>
            <w:r>
              <w:t>Veronika Cifrová Ostrihoňová, Anna-Maja Henriksson, Irena Joveva, Fabienne Keller, Nikola Minchev, Ciaran Mullooly, Hristo Petrov, Hilde Vautmans, Lucia Yar</w:t>
            </w:r>
          </w:p>
        </w:tc>
      </w:tr>
      <w:tr w:rsidR="000C07BA" w:rsidTr="00510AAE">
        <w:trPr>
          <w:cantSplit/>
        </w:trPr>
        <w:tc>
          <w:tcPr>
            <w:tcW w:w="1701" w:type="dxa"/>
            <w:shd w:val="clear" w:color="auto" w:fill="FFFFFF"/>
          </w:tcPr>
          <w:p w:rsidR="00755546" w:rsidRPr="00F85DE8" w:rsidRDefault="00B30C80" w:rsidP="00755546">
            <w:pPr>
              <w:pStyle w:val="RollCallTable"/>
              <w:widowControl/>
            </w:pPr>
            <w:r>
              <w:t>S&amp;D</w:t>
            </w:r>
          </w:p>
        </w:tc>
        <w:tc>
          <w:tcPr>
            <w:tcW w:w="7371" w:type="dxa"/>
            <w:shd w:val="clear" w:color="auto" w:fill="FFFFFF"/>
          </w:tcPr>
          <w:p w:rsidR="00755546" w:rsidRPr="00F85DE8" w:rsidRDefault="00B30C80" w:rsidP="00755546">
            <w:pPr>
              <w:pStyle w:val="RollCallTable"/>
              <w:widowControl/>
            </w:pPr>
            <w:r>
              <w:t>Francisco Assis, Marina Kaljurand, Murielle Laurent, Ana Catarina Mendes, Matjaž Nemec, Emma Rafowicz, Birgit Sippel, Krzysztof Śmiszek, Cecilia Strada, Marco Tarquinio, Alessandro Zan</w:t>
            </w:r>
          </w:p>
        </w:tc>
      </w:tr>
      <w:tr w:rsidR="000C07BA" w:rsidTr="00510AAE">
        <w:trPr>
          <w:cantSplit/>
        </w:trPr>
        <w:tc>
          <w:tcPr>
            <w:tcW w:w="1701" w:type="dxa"/>
            <w:shd w:val="clear" w:color="auto" w:fill="FFFFFF"/>
          </w:tcPr>
          <w:p w:rsidR="00755546" w:rsidRPr="00F85DE8" w:rsidRDefault="00B30C80" w:rsidP="00755546">
            <w:pPr>
              <w:pStyle w:val="RollCallTable"/>
              <w:widowControl/>
            </w:pPr>
            <w:r>
              <w:t>The Left</w:t>
            </w:r>
          </w:p>
        </w:tc>
        <w:tc>
          <w:tcPr>
            <w:tcW w:w="7371" w:type="dxa"/>
            <w:shd w:val="clear" w:color="auto" w:fill="FFFFFF"/>
          </w:tcPr>
          <w:p w:rsidR="00755546" w:rsidRPr="00F85DE8" w:rsidRDefault="00B30C80" w:rsidP="00755546">
            <w:pPr>
              <w:pStyle w:val="RollCallTable"/>
              <w:widowControl/>
            </w:pPr>
            <w:r>
              <w:t>Giuseppe Antoci</w:t>
            </w:r>
          </w:p>
        </w:tc>
      </w:tr>
    </w:tbl>
    <w:p w:rsidR="00755546" w:rsidRPr="00F85DE8" w:rsidRDefault="00755546" w:rsidP="00755546">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C07BA" w:rsidTr="00510AAE">
        <w:trPr>
          <w:cantSplit/>
        </w:trPr>
        <w:tc>
          <w:tcPr>
            <w:tcW w:w="1701" w:type="dxa"/>
            <w:shd w:val="pct10" w:color="000000" w:fill="FFFFFF"/>
            <w:vAlign w:val="center"/>
          </w:tcPr>
          <w:p w:rsidR="00755546" w:rsidRPr="00F85DE8" w:rsidRDefault="00B30C80" w:rsidP="00755546">
            <w:pPr>
              <w:pStyle w:val="RollCallVotes"/>
              <w:widowControl/>
            </w:pPr>
            <w:r>
              <w:t>10</w:t>
            </w:r>
          </w:p>
        </w:tc>
        <w:tc>
          <w:tcPr>
            <w:tcW w:w="7371" w:type="dxa"/>
            <w:shd w:val="pct10" w:color="000000" w:fill="FFFFFF"/>
          </w:tcPr>
          <w:p w:rsidR="00755546" w:rsidRPr="00F85DE8" w:rsidRDefault="00B30C80" w:rsidP="00755546">
            <w:pPr>
              <w:pStyle w:val="RollCallSymbols14pt"/>
              <w:widowControl/>
            </w:pPr>
            <w:r>
              <w:t>-</w:t>
            </w:r>
          </w:p>
        </w:tc>
      </w:tr>
      <w:tr w:rsidR="000C07BA" w:rsidTr="00510AAE">
        <w:trPr>
          <w:cantSplit/>
        </w:trPr>
        <w:tc>
          <w:tcPr>
            <w:tcW w:w="1701" w:type="dxa"/>
            <w:shd w:val="clear" w:color="auto" w:fill="FFFFFF"/>
          </w:tcPr>
          <w:p w:rsidR="00755546" w:rsidRPr="00F85DE8" w:rsidRDefault="00B30C80" w:rsidP="00755546">
            <w:pPr>
              <w:pStyle w:val="RollCallTable"/>
              <w:widowControl/>
            </w:pPr>
            <w:r>
              <w:t>ESN</w:t>
            </w:r>
          </w:p>
        </w:tc>
        <w:tc>
          <w:tcPr>
            <w:tcW w:w="7371" w:type="dxa"/>
            <w:shd w:val="clear" w:color="auto" w:fill="FFFFFF"/>
          </w:tcPr>
          <w:p w:rsidR="00755546" w:rsidRPr="00F85DE8" w:rsidRDefault="00B30C80" w:rsidP="00755546">
            <w:pPr>
              <w:pStyle w:val="RollCallTable"/>
              <w:widowControl/>
            </w:pPr>
            <w:r>
              <w:t>Petar Volgin</w:t>
            </w:r>
          </w:p>
        </w:tc>
      </w:tr>
      <w:tr w:rsidR="000C07BA" w:rsidTr="00510AAE">
        <w:trPr>
          <w:cantSplit/>
        </w:trPr>
        <w:tc>
          <w:tcPr>
            <w:tcW w:w="1701" w:type="dxa"/>
            <w:shd w:val="clear" w:color="auto" w:fill="FFFFFF"/>
          </w:tcPr>
          <w:p w:rsidR="00755546" w:rsidRPr="00F85DE8" w:rsidRDefault="00B30C80" w:rsidP="00755546">
            <w:pPr>
              <w:pStyle w:val="RollCallTable"/>
              <w:widowControl/>
            </w:pPr>
            <w:r>
              <w:t>The Left</w:t>
            </w:r>
          </w:p>
        </w:tc>
        <w:tc>
          <w:tcPr>
            <w:tcW w:w="7371" w:type="dxa"/>
            <w:shd w:val="clear" w:color="auto" w:fill="FFFFFF"/>
          </w:tcPr>
          <w:p w:rsidR="00755546" w:rsidRPr="00F85DE8" w:rsidRDefault="00B30C80" w:rsidP="00755546">
            <w:pPr>
              <w:pStyle w:val="RollCallTable"/>
              <w:widowControl/>
            </w:pPr>
            <w:r>
              <w:t>Pernando Barrena Arza, Damien Carême, Estrella Galán</w:t>
            </w:r>
          </w:p>
        </w:tc>
      </w:tr>
      <w:tr w:rsidR="000C07BA" w:rsidTr="00510AAE">
        <w:trPr>
          <w:cantSplit/>
        </w:trPr>
        <w:tc>
          <w:tcPr>
            <w:tcW w:w="1701" w:type="dxa"/>
            <w:shd w:val="clear" w:color="auto" w:fill="FFFFFF"/>
          </w:tcPr>
          <w:p w:rsidR="00755546" w:rsidRPr="00F85DE8" w:rsidRDefault="00B30C80" w:rsidP="00755546">
            <w:pPr>
              <w:pStyle w:val="RollCallTable"/>
              <w:widowControl/>
            </w:pPr>
            <w:r>
              <w:t>Verts/ALE</w:t>
            </w:r>
          </w:p>
        </w:tc>
        <w:tc>
          <w:tcPr>
            <w:tcW w:w="7371" w:type="dxa"/>
            <w:shd w:val="clear" w:color="auto" w:fill="FFFFFF"/>
          </w:tcPr>
          <w:p w:rsidR="00755546" w:rsidRPr="00F85DE8" w:rsidRDefault="00B30C80" w:rsidP="00755546">
            <w:pPr>
              <w:pStyle w:val="RollCallTable"/>
              <w:widowControl/>
            </w:pPr>
            <w:r>
              <w:t>Jaume Asens Llodrà, Saskia Bricmont, Mélissa Camara, Alice Kuhnke, Erik Marquardt, Tineke Strik</w:t>
            </w:r>
          </w:p>
        </w:tc>
      </w:tr>
    </w:tbl>
    <w:p w:rsidR="00755546" w:rsidRPr="00F85DE8" w:rsidRDefault="00755546" w:rsidP="00755546">
      <w:pPr>
        <w:widowControl/>
      </w:pP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C07BA" w:rsidTr="00510AAE">
        <w:trPr>
          <w:cantSplit/>
        </w:trPr>
        <w:tc>
          <w:tcPr>
            <w:tcW w:w="1701" w:type="dxa"/>
            <w:shd w:val="pct10" w:color="000000" w:fill="FFFFFF"/>
            <w:vAlign w:val="center"/>
          </w:tcPr>
          <w:p w:rsidR="00755546" w:rsidRPr="00F85DE8" w:rsidRDefault="00B30C80" w:rsidP="00755546">
            <w:pPr>
              <w:pStyle w:val="RollCallVotes"/>
              <w:widowControl/>
            </w:pPr>
            <w:r>
              <w:t>4</w:t>
            </w:r>
          </w:p>
        </w:tc>
        <w:tc>
          <w:tcPr>
            <w:tcW w:w="7371" w:type="dxa"/>
            <w:shd w:val="pct10" w:color="000000" w:fill="FFFFFF"/>
          </w:tcPr>
          <w:p w:rsidR="00755546" w:rsidRPr="00F85DE8" w:rsidRDefault="00B30C80" w:rsidP="00755546">
            <w:pPr>
              <w:pStyle w:val="RollCallSymbols14pt"/>
              <w:widowControl/>
            </w:pPr>
            <w:r>
              <w:t>0</w:t>
            </w:r>
          </w:p>
        </w:tc>
      </w:tr>
      <w:tr w:rsidR="000C07BA" w:rsidRPr="00711826" w:rsidTr="00510AAE">
        <w:trPr>
          <w:cantSplit/>
        </w:trPr>
        <w:tc>
          <w:tcPr>
            <w:tcW w:w="1701" w:type="dxa"/>
            <w:shd w:val="clear" w:color="auto" w:fill="FFFFFF"/>
          </w:tcPr>
          <w:p w:rsidR="00755546" w:rsidRPr="00F85DE8" w:rsidRDefault="00B30C80" w:rsidP="00755546">
            <w:pPr>
              <w:pStyle w:val="RollCallTable"/>
              <w:widowControl/>
            </w:pPr>
            <w:r>
              <w:t>ESN</w:t>
            </w:r>
          </w:p>
        </w:tc>
        <w:tc>
          <w:tcPr>
            <w:tcW w:w="7371" w:type="dxa"/>
            <w:shd w:val="clear" w:color="auto" w:fill="FFFFFF"/>
          </w:tcPr>
          <w:p w:rsidR="00755546" w:rsidRPr="00B30C80" w:rsidRDefault="00B30C80" w:rsidP="00755546">
            <w:pPr>
              <w:pStyle w:val="RollCallTable"/>
              <w:widowControl/>
              <w:rPr>
                <w:lang w:val="pl-PL"/>
              </w:rPr>
            </w:pPr>
            <w:r w:rsidRPr="00B30C80">
              <w:rPr>
                <w:lang w:val="pl-PL"/>
              </w:rPr>
              <w:t>Mary Khan, Ewa Zajączkowska-Hernik</w:t>
            </w:r>
          </w:p>
        </w:tc>
      </w:tr>
      <w:tr w:rsidR="000C07BA" w:rsidTr="00510AAE">
        <w:trPr>
          <w:cantSplit/>
        </w:trPr>
        <w:tc>
          <w:tcPr>
            <w:tcW w:w="1701" w:type="dxa"/>
            <w:shd w:val="clear" w:color="auto" w:fill="FFFFFF"/>
          </w:tcPr>
          <w:p w:rsidR="00755546" w:rsidRPr="00F85DE8" w:rsidRDefault="00B30C80" w:rsidP="00755546">
            <w:pPr>
              <w:pStyle w:val="RollCallTable"/>
              <w:widowControl/>
            </w:pPr>
            <w:r>
              <w:t>NI</w:t>
            </w:r>
          </w:p>
        </w:tc>
        <w:tc>
          <w:tcPr>
            <w:tcW w:w="7371" w:type="dxa"/>
            <w:shd w:val="clear" w:color="auto" w:fill="FFFFFF"/>
          </w:tcPr>
          <w:p w:rsidR="00755546" w:rsidRPr="00F85DE8" w:rsidRDefault="00B30C80" w:rsidP="00755546">
            <w:pPr>
              <w:pStyle w:val="RollCallTable"/>
              <w:widowControl/>
            </w:pPr>
            <w:r>
              <w:t>Erik Kaliňák</w:t>
            </w:r>
          </w:p>
        </w:tc>
      </w:tr>
      <w:tr w:rsidR="000C07BA" w:rsidTr="00510AAE">
        <w:trPr>
          <w:cantSplit/>
        </w:trPr>
        <w:tc>
          <w:tcPr>
            <w:tcW w:w="1701" w:type="dxa"/>
            <w:shd w:val="clear" w:color="auto" w:fill="FFFFFF"/>
          </w:tcPr>
          <w:p w:rsidR="00755546" w:rsidRPr="00F85DE8" w:rsidRDefault="00B30C80" w:rsidP="00755546">
            <w:pPr>
              <w:pStyle w:val="RollCallTable"/>
              <w:widowControl/>
            </w:pPr>
            <w:r>
              <w:t>The Left</w:t>
            </w:r>
          </w:p>
        </w:tc>
        <w:tc>
          <w:tcPr>
            <w:tcW w:w="7371" w:type="dxa"/>
            <w:shd w:val="clear" w:color="auto" w:fill="FFFFFF"/>
          </w:tcPr>
          <w:p w:rsidR="00755546" w:rsidRPr="00F85DE8" w:rsidRDefault="00B30C80" w:rsidP="00755546">
            <w:pPr>
              <w:pStyle w:val="RollCallTable"/>
              <w:widowControl/>
            </w:pPr>
            <w:r>
              <w:t>Gaetano Pedulla'</w:t>
            </w:r>
          </w:p>
        </w:tc>
      </w:tr>
    </w:tbl>
    <w:p w:rsidR="00755546" w:rsidRDefault="00755546" w:rsidP="00755546">
      <w:pPr>
        <w:pStyle w:val="Normal12a"/>
        <w:widowControl/>
      </w:pPr>
    </w:p>
    <w:p w:rsidR="00755546" w:rsidRDefault="00B30C80" w:rsidP="00755546">
      <w:pPr>
        <w:widowControl/>
      </w:pPr>
      <w:r>
        <w:t>Légende des signes utilisés:</w:t>
      </w:r>
    </w:p>
    <w:p w:rsidR="00755546" w:rsidRDefault="00B30C80" w:rsidP="00755546">
      <w:pPr>
        <w:pStyle w:val="RollCallTabs"/>
        <w:widowControl/>
      </w:pPr>
      <w:r>
        <w:t>+</w:t>
      </w:r>
      <w:r>
        <w:tab/>
        <w:t>:</w:t>
      </w:r>
      <w:r>
        <w:tab/>
        <w:t>pour</w:t>
      </w:r>
    </w:p>
    <w:p w:rsidR="00755546" w:rsidRDefault="00B30C80" w:rsidP="00755546">
      <w:pPr>
        <w:pStyle w:val="RollCallTabs"/>
        <w:widowControl/>
      </w:pPr>
      <w:r>
        <w:t>-</w:t>
      </w:r>
      <w:r>
        <w:tab/>
        <w:t>:</w:t>
      </w:r>
      <w:r>
        <w:tab/>
        <w:t>contre</w:t>
      </w:r>
    </w:p>
    <w:p w:rsidR="00755546" w:rsidRDefault="00B30C80" w:rsidP="00755546">
      <w:pPr>
        <w:pStyle w:val="RollCallTabs"/>
        <w:widowControl/>
      </w:pPr>
      <w:r>
        <w:t>0</w:t>
      </w:r>
      <w:r>
        <w:tab/>
        <w:t>:</w:t>
      </w:r>
      <w:r>
        <w:tab/>
        <w:t>abstention</w:t>
      </w:r>
    </w:p>
    <w:p w:rsidR="00755546" w:rsidRDefault="00755546" w:rsidP="00755546">
      <w:pPr>
        <w:widowControl/>
      </w:pPr>
    </w:p>
    <w:bookmarkEnd w:id="7"/>
    <w:bookmarkEnd w:id="8"/>
    <w:p w:rsidR="00363B94" w:rsidRPr="00755546" w:rsidRDefault="00363B94" w:rsidP="00755546">
      <w:pPr>
        <w:widowControl/>
      </w:pPr>
    </w:p>
    <w:sectPr w:rsidR="00363B94" w:rsidRPr="00755546" w:rsidSect="0075554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705" w:rsidRDefault="00B30C80">
      <w:r>
        <w:separator/>
      </w:r>
    </w:p>
  </w:endnote>
  <w:endnote w:type="continuationSeparator" w:id="0">
    <w:p w:rsidR="00E94705" w:rsidRDefault="00B30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8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284" w:rsidRPr="00F85DE8" w:rsidRDefault="00B30C80" w:rsidP="00696284">
    <w:pPr>
      <w:pStyle w:val="EPFooter"/>
    </w:pPr>
    <w:r w:rsidRPr="00F85DE8">
      <w:t>PE</w:t>
    </w:r>
    <w:r w:rsidRPr="00F85DE8">
      <w:rPr>
        <w:rStyle w:val="HideTWBExt"/>
      </w:rPr>
      <w:t>&lt;NoPE&gt;</w:t>
    </w:r>
    <w:r w:rsidRPr="00F85DE8">
      <w:t>767.911</w:t>
    </w:r>
    <w:r w:rsidRPr="00F85DE8">
      <w:rPr>
        <w:rStyle w:val="HideTWBExt"/>
      </w:rPr>
      <w:t>&lt;/NoPE&gt;&lt;Version&gt;</w:t>
    </w:r>
    <w:r w:rsidRPr="00F85DE8">
      <w:t>v02-00</w:t>
    </w:r>
    <w:r w:rsidRPr="00F85DE8">
      <w:rPr>
        <w:rStyle w:val="HideTWBExt"/>
      </w:rPr>
      <w:t>&lt;/Version&gt;</w:t>
    </w:r>
    <w:r w:rsidRPr="00F85DE8">
      <w:tab/>
    </w:r>
    <w:r w:rsidRPr="00F85DE8">
      <w:fldChar w:fldCharType="begin"/>
    </w:r>
    <w:r w:rsidRPr="00F85DE8">
      <w:instrText xml:space="preserve"> PAGE  \* MERGEFORMAT </w:instrText>
    </w:r>
    <w:r w:rsidRPr="00F85DE8">
      <w:fldChar w:fldCharType="separate"/>
    </w:r>
    <w:r w:rsidR="00711826">
      <w:rPr>
        <w:noProof/>
      </w:rPr>
      <w:t>2</w:t>
    </w:r>
    <w:r w:rsidRPr="00F85DE8">
      <w:fldChar w:fldCharType="end"/>
    </w:r>
    <w:r w:rsidRPr="00F85DE8">
      <w:t>/</w:t>
    </w:r>
    <w:r w:rsidR="00755546">
      <w:fldChar w:fldCharType="begin"/>
    </w:r>
    <w:r>
      <w:instrText xml:space="preserve"> NUMPAGES  \* MERGEFORMAT </w:instrText>
    </w:r>
    <w:r w:rsidR="00755546">
      <w:fldChar w:fldCharType="separate"/>
    </w:r>
    <w:r w:rsidR="00711826">
      <w:rPr>
        <w:noProof/>
      </w:rPr>
      <w:t>9</w:t>
    </w:r>
    <w:r w:rsidR="00755546">
      <w:rPr>
        <w:noProof/>
      </w:rPr>
      <w:fldChar w:fldCharType="end"/>
    </w:r>
    <w:r w:rsidRPr="00F85DE8">
      <w:tab/>
    </w:r>
    <w:r w:rsidRPr="00F85DE8">
      <w:rPr>
        <w:rStyle w:val="HideTWBExt"/>
      </w:rPr>
      <w:t>&lt;PathFdR&gt;</w:t>
    </w:r>
    <w:r w:rsidRPr="00F85DE8">
      <w:t>RR\1315760FR.docx</w:t>
    </w:r>
    <w:r w:rsidRPr="00F85DE8">
      <w:rPr>
        <w:rStyle w:val="HideTWBExt"/>
      </w:rPr>
      <w:t>&lt;/PathFdR&gt;</w:t>
    </w:r>
  </w:p>
  <w:p w:rsidR="0085501C" w:rsidRPr="00F85DE8" w:rsidRDefault="00B30C80" w:rsidP="00696284">
    <w:pPr>
      <w:pStyle w:val="EPFooter2"/>
    </w:pPr>
    <w:r w:rsidRPr="00F85DE8">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284" w:rsidRPr="00F85DE8" w:rsidRDefault="00B30C80" w:rsidP="00696284">
    <w:pPr>
      <w:pStyle w:val="EPFooter"/>
    </w:pPr>
    <w:r w:rsidRPr="00F85DE8">
      <w:rPr>
        <w:rStyle w:val="HideTWBExt"/>
      </w:rPr>
      <w:t>&lt;PathFdR&gt;</w:t>
    </w:r>
    <w:r w:rsidRPr="00F85DE8">
      <w:t>RR\1315760FR.docx</w:t>
    </w:r>
    <w:r w:rsidRPr="00F85DE8">
      <w:rPr>
        <w:rStyle w:val="HideTWBExt"/>
      </w:rPr>
      <w:t>&lt;/PathFdR&gt;</w:t>
    </w:r>
    <w:r w:rsidRPr="00F85DE8">
      <w:tab/>
    </w:r>
    <w:r w:rsidRPr="00F85DE8">
      <w:fldChar w:fldCharType="begin"/>
    </w:r>
    <w:r w:rsidRPr="00F85DE8">
      <w:instrText xml:space="preserve"> PAGE  \* MERGEFORMAT </w:instrText>
    </w:r>
    <w:r w:rsidRPr="00F85DE8">
      <w:fldChar w:fldCharType="separate"/>
    </w:r>
    <w:r w:rsidR="00711826">
      <w:rPr>
        <w:noProof/>
      </w:rPr>
      <w:t>3</w:t>
    </w:r>
    <w:r w:rsidRPr="00F85DE8">
      <w:fldChar w:fldCharType="end"/>
    </w:r>
    <w:r w:rsidRPr="00F85DE8">
      <w:t>/</w:t>
    </w:r>
    <w:r w:rsidR="00755546">
      <w:fldChar w:fldCharType="begin"/>
    </w:r>
    <w:r>
      <w:instrText xml:space="preserve"> NUMPAGES  \* MERGEFORMAT </w:instrText>
    </w:r>
    <w:r w:rsidR="00755546">
      <w:fldChar w:fldCharType="separate"/>
    </w:r>
    <w:r w:rsidR="00711826">
      <w:rPr>
        <w:noProof/>
      </w:rPr>
      <w:t>9</w:t>
    </w:r>
    <w:r w:rsidR="00755546">
      <w:rPr>
        <w:noProof/>
      </w:rPr>
      <w:fldChar w:fldCharType="end"/>
    </w:r>
    <w:r w:rsidRPr="00F85DE8">
      <w:tab/>
      <w:t>PE</w:t>
    </w:r>
    <w:r w:rsidRPr="00F85DE8">
      <w:rPr>
        <w:rStyle w:val="HideTWBExt"/>
      </w:rPr>
      <w:t>&lt;NoPE&gt;</w:t>
    </w:r>
    <w:r w:rsidRPr="00F85DE8">
      <w:t>767.911</w:t>
    </w:r>
    <w:r w:rsidRPr="00F85DE8">
      <w:rPr>
        <w:rStyle w:val="HideTWBExt"/>
      </w:rPr>
      <w:t>&lt;/NoPE&gt;&lt;Version&gt;</w:t>
    </w:r>
    <w:r w:rsidRPr="00F85DE8">
      <w:t>v02-00</w:t>
    </w:r>
    <w:r w:rsidRPr="00F85DE8">
      <w:rPr>
        <w:rStyle w:val="HideTWBExt"/>
      </w:rPr>
      <w:t>&lt;/Version&gt;</w:t>
    </w:r>
  </w:p>
  <w:p w:rsidR="0085501C" w:rsidRPr="00F85DE8" w:rsidRDefault="00B30C80" w:rsidP="00696284">
    <w:pPr>
      <w:pStyle w:val="EPFooter2"/>
    </w:pPr>
    <w:r w:rsidRPr="00F85DE8">
      <w:tab/>
    </w:r>
    <w:r w:rsidRPr="00F85DE8">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284" w:rsidRPr="00F85DE8" w:rsidRDefault="00B30C80" w:rsidP="00696284">
    <w:pPr>
      <w:pStyle w:val="EPFooter"/>
    </w:pPr>
    <w:r w:rsidRPr="00F85DE8">
      <w:rPr>
        <w:rStyle w:val="HideTWBExt"/>
      </w:rPr>
      <w:t>&lt;PathFdR&gt;</w:t>
    </w:r>
    <w:r w:rsidRPr="00F85DE8">
      <w:t>RR\1315760FR.docx</w:t>
    </w:r>
    <w:r w:rsidRPr="00F85DE8">
      <w:rPr>
        <w:rStyle w:val="HideTWBExt"/>
      </w:rPr>
      <w:t>&lt;/PathFdR&gt;</w:t>
    </w:r>
    <w:r w:rsidRPr="00F85DE8">
      <w:tab/>
    </w:r>
    <w:r w:rsidRPr="00F85DE8">
      <w:tab/>
      <w:t>PE</w:t>
    </w:r>
    <w:r w:rsidRPr="00F85DE8">
      <w:rPr>
        <w:rStyle w:val="HideTWBExt"/>
      </w:rPr>
      <w:t>&lt;NoPE&gt;</w:t>
    </w:r>
    <w:r w:rsidRPr="00F85DE8">
      <w:t>767.911</w:t>
    </w:r>
    <w:r w:rsidRPr="00F85DE8">
      <w:rPr>
        <w:rStyle w:val="HideTWBExt"/>
      </w:rPr>
      <w:t>&lt;/NoPE&gt;&lt;Version&gt;</w:t>
    </w:r>
    <w:r w:rsidRPr="00F85DE8">
      <w:t>v02-00</w:t>
    </w:r>
    <w:r w:rsidRPr="00F85DE8">
      <w:rPr>
        <w:rStyle w:val="HideTWBExt"/>
      </w:rPr>
      <w:t>&lt;/Version&gt;</w:t>
    </w:r>
  </w:p>
  <w:p w:rsidR="0085501C" w:rsidRPr="00F85DE8" w:rsidRDefault="00B30C80" w:rsidP="00696284">
    <w:pPr>
      <w:pStyle w:val="EPFooter2"/>
    </w:pPr>
    <w:r w:rsidRPr="00F85DE8">
      <w:t>FR</w:t>
    </w:r>
    <w:r w:rsidRPr="00F85DE8">
      <w:tab/>
    </w:r>
    <w:r w:rsidRPr="00F85DE8">
      <w:rPr>
        <w:b w:val="0"/>
        <w:i/>
        <w:color w:val="C0C0C0"/>
        <w:sz w:val="22"/>
      </w:rPr>
      <w:t>Unie dans la diversité</w:t>
    </w:r>
    <w:r w:rsidRPr="00F85DE8">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39A" w:rsidRPr="00F85DE8" w:rsidRDefault="00B30C80">
      <w:r w:rsidRPr="00F85DE8">
        <w:separator/>
      </w:r>
    </w:p>
  </w:footnote>
  <w:footnote w:type="continuationSeparator" w:id="0">
    <w:p w:rsidR="0097039A" w:rsidRPr="00F85DE8" w:rsidRDefault="00B30C80">
      <w:r w:rsidRPr="00F85DE8">
        <w:continuationSeparator/>
      </w:r>
    </w:p>
  </w:footnote>
  <w:footnote w:id="1">
    <w:p w:rsidR="009B0205" w:rsidRPr="00F85DE8" w:rsidRDefault="00B30C80" w:rsidP="009B0205">
      <w:pPr>
        <w:pStyle w:val="FootnoteText"/>
      </w:pPr>
      <w:r>
        <w:rPr>
          <w:rStyle w:val="FootnoteReference"/>
        </w:rPr>
        <w:footnoteRef/>
      </w:r>
      <w:r>
        <w:t xml:space="preserve"> Rapport 2024 d’Europol sur la situation et les tendances du terrorisme en Europe.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546" w:rsidRDefault="007555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546" w:rsidRDefault="007555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546" w:rsidRDefault="007555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1"/>
    <w:docVar w:name="CIT1MNU" w:val=" 4"/>
    <w:docVar w:name="CIT2MNU" w:val=" 4"/>
    <w:docVar w:name="CIT3MNU" w:val=" 4"/>
    <w:docVar w:name="COMKEY" w:val="LIBE"/>
    <w:docVar w:name="CONTRIBUTIONMNU" w:val=" 1"/>
    <w:docVar w:name="CopyToNetwork" w:val="-1"/>
    <w:docVar w:name="DOCDT" w:val="20/02/2025"/>
    <w:docVar w:name="LastEditedSection" w:val=" 1"/>
    <w:docVar w:name="NVAR1" w:val="0"/>
    <w:docVar w:name="strDocTypeID" w:val="PR_NLE-AP_Agreement"/>
    <w:docVar w:name="strSubDir" w:val="1315"/>
    <w:docVar w:name="TITLEMNU" w:val=" 2"/>
    <w:docVar w:name="TXTAUTHOR" w:val="Nikola Minchev"/>
    <w:docVar w:name="TXTLANGUE" w:val="FR"/>
    <w:docVar w:name="TXTLANGUEMIN" w:val="fr"/>
    <w:docVar w:name="TXTNRC" w:val="0125/2024"/>
    <w:docVar w:name="TXTNRCOUNC" w:val="08897/2024"/>
    <w:docVar w:name="TXTNRNLE" w:val="2024/0051"/>
    <w:docVar w:name="TXTNRPE" w:val="767.911"/>
    <w:docVar w:name="TXTPEorAP" w:val="PE"/>
    <w:docVar w:name="TXTROUTE" w:val="RR\1315760FR.docx"/>
    <w:docVar w:name="TXTTITLE" w:val="on the conclusion, on behalf of the Union, of the Agreement between Canada and the European Union on the transfer and processing of Passenger Name Record (PNR) data"/>
    <w:docVar w:name="TXTVERSION" w:val="02-00"/>
  </w:docVars>
  <w:rsids>
    <w:rsidRoot w:val="0097039A"/>
    <w:rsid w:val="00001D52"/>
    <w:rsid w:val="0000443F"/>
    <w:rsid w:val="000053E3"/>
    <w:rsid w:val="0006167F"/>
    <w:rsid w:val="00061EFE"/>
    <w:rsid w:val="00095D8B"/>
    <w:rsid w:val="000A2F73"/>
    <w:rsid w:val="000C05AC"/>
    <w:rsid w:val="000C07BA"/>
    <w:rsid w:val="000C123D"/>
    <w:rsid w:val="000D24C7"/>
    <w:rsid w:val="000D78AF"/>
    <w:rsid w:val="00126550"/>
    <w:rsid w:val="00180664"/>
    <w:rsid w:val="001874D8"/>
    <w:rsid w:val="001D02E3"/>
    <w:rsid w:val="001F7BBE"/>
    <w:rsid w:val="0021049A"/>
    <w:rsid w:val="0022685A"/>
    <w:rsid w:val="002E2E20"/>
    <w:rsid w:val="002F5A83"/>
    <w:rsid w:val="003072BE"/>
    <w:rsid w:val="00337C92"/>
    <w:rsid w:val="00353BDC"/>
    <w:rsid w:val="00363B94"/>
    <w:rsid w:val="00377CA9"/>
    <w:rsid w:val="003B598C"/>
    <w:rsid w:val="004174FC"/>
    <w:rsid w:val="00460BD6"/>
    <w:rsid w:val="004644D4"/>
    <w:rsid w:val="004667C7"/>
    <w:rsid w:val="0048511B"/>
    <w:rsid w:val="004859B3"/>
    <w:rsid w:val="004B6ED4"/>
    <w:rsid w:val="004C083C"/>
    <w:rsid w:val="004E1650"/>
    <w:rsid w:val="00501118"/>
    <w:rsid w:val="005027B1"/>
    <w:rsid w:val="005243ED"/>
    <w:rsid w:val="0053367A"/>
    <w:rsid w:val="00544D48"/>
    <w:rsid w:val="005877C0"/>
    <w:rsid w:val="005A6B14"/>
    <w:rsid w:val="005D0B97"/>
    <w:rsid w:val="005F5D6C"/>
    <w:rsid w:val="006132CE"/>
    <w:rsid w:val="00613F2E"/>
    <w:rsid w:val="00696284"/>
    <w:rsid w:val="006A1A75"/>
    <w:rsid w:val="006A2CF5"/>
    <w:rsid w:val="006C4FDE"/>
    <w:rsid w:val="006F1B6F"/>
    <w:rsid w:val="00711826"/>
    <w:rsid w:val="00754FDE"/>
    <w:rsid w:val="00755546"/>
    <w:rsid w:val="00787F73"/>
    <w:rsid w:val="00791637"/>
    <w:rsid w:val="007A5315"/>
    <w:rsid w:val="0080122F"/>
    <w:rsid w:val="00807B2C"/>
    <w:rsid w:val="00822206"/>
    <w:rsid w:val="00832B00"/>
    <w:rsid w:val="008368CB"/>
    <w:rsid w:val="0085501C"/>
    <w:rsid w:val="00893FBD"/>
    <w:rsid w:val="008B75A4"/>
    <w:rsid w:val="008C05C9"/>
    <w:rsid w:val="008D23C6"/>
    <w:rsid w:val="008D3030"/>
    <w:rsid w:val="008E3848"/>
    <w:rsid w:val="00924EE0"/>
    <w:rsid w:val="00925F6A"/>
    <w:rsid w:val="009612AA"/>
    <w:rsid w:val="0097039A"/>
    <w:rsid w:val="0099178F"/>
    <w:rsid w:val="009B0205"/>
    <w:rsid w:val="009E39A7"/>
    <w:rsid w:val="00A415B7"/>
    <w:rsid w:val="00AD5D0C"/>
    <w:rsid w:val="00B30C80"/>
    <w:rsid w:val="00B31D18"/>
    <w:rsid w:val="00B33E4D"/>
    <w:rsid w:val="00B42885"/>
    <w:rsid w:val="00B50C20"/>
    <w:rsid w:val="00B6769C"/>
    <w:rsid w:val="00B83B0D"/>
    <w:rsid w:val="00BA4FA3"/>
    <w:rsid w:val="00BB22CC"/>
    <w:rsid w:val="00BB41C8"/>
    <w:rsid w:val="00BD2B2D"/>
    <w:rsid w:val="00BE5E72"/>
    <w:rsid w:val="00BF0A0F"/>
    <w:rsid w:val="00BF1BE1"/>
    <w:rsid w:val="00BF2E15"/>
    <w:rsid w:val="00BF7F55"/>
    <w:rsid w:val="00C05DD8"/>
    <w:rsid w:val="00C15447"/>
    <w:rsid w:val="00C35D01"/>
    <w:rsid w:val="00C565C8"/>
    <w:rsid w:val="00C94CE5"/>
    <w:rsid w:val="00CB3349"/>
    <w:rsid w:val="00CB5651"/>
    <w:rsid w:val="00CC1235"/>
    <w:rsid w:val="00CC20CB"/>
    <w:rsid w:val="00CF44DF"/>
    <w:rsid w:val="00D04E0B"/>
    <w:rsid w:val="00D62DA0"/>
    <w:rsid w:val="00D6543C"/>
    <w:rsid w:val="00DA089A"/>
    <w:rsid w:val="00DB4F82"/>
    <w:rsid w:val="00DF594D"/>
    <w:rsid w:val="00E14FEE"/>
    <w:rsid w:val="00E71368"/>
    <w:rsid w:val="00E93816"/>
    <w:rsid w:val="00E94705"/>
    <w:rsid w:val="00EA59ED"/>
    <w:rsid w:val="00EF48F2"/>
    <w:rsid w:val="00F04010"/>
    <w:rsid w:val="00F42A22"/>
    <w:rsid w:val="00F85DE8"/>
    <w:rsid w:val="00FB2AEA"/>
    <w:rsid w:val="00FC699E"/>
    <w:rsid w:val="00FD177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16CDDC"/>
  <w15:chartTrackingRefBased/>
  <w15:docId w15:val="{52BBB0F3-F287-4430-ABE3-C57BF0B03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7A5315"/>
    <w:pPr>
      <w:tabs>
        <w:tab w:val="right" w:pos="454"/>
        <w:tab w:val="left" w:pos="737"/>
      </w:tabs>
      <w:ind w:left="737" w:hanging="737"/>
    </w:pPr>
    <w:rPr>
      <w:snapToGrid w:val="0"/>
      <w:sz w:val="18"/>
      <w:lang w:eastAsia="en-US"/>
    </w:rPr>
  </w:style>
  <w:style w:type="paragraph" w:customStyle="1" w:styleId="Lgendetitre">
    <w:name w:val="Légende titre"/>
    <w:basedOn w:val="Normal"/>
    <w:rsid w:val="007A5315"/>
    <w:pPr>
      <w:spacing w:before="240" w:after="240"/>
    </w:pPr>
    <w:rPr>
      <w:b/>
      <w:i/>
      <w:snapToGrid w:val="0"/>
      <w:lang w:eastAsia="en-US"/>
    </w:rPr>
  </w:style>
  <w:style w:type="paragraph" w:customStyle="1" w:styleId="Lgendestandard">
    <w:name w:val="Légende standard"/>
    <w:basedOn w:val="Normal"/>
    <w:rsid w:val="007A5315"/>
    <w:rPr>
      <w:sz w:val="18"/>
    </w:rPr>
  </w:style>
  <w:style w:type="paragraph" w:styleId="FootnoteText">
    <w:name w:val="footnote text"/>
    <w:basedOn w:val="Normal"/>
    <w:link w:val="FootnoteTextChar"/>
    <w:rsid w:val="009B0205"/>
    <w:rPr>
      <w:sz w:val="20"/>
    </w:rPr>
  </w:style>
  <w:style w:type="character" w:customStyle="1" w:styleId="FootnoteTextChar">
    <w:name w:val="Footnote Text Char"/>
    <w:basedOn w:val="DefaultParagraphFont"/>
    <w:link w:val="FootnoteText"/>
    <w:rsid w:val="009B0205"/>
  </w:style>
  <w:style w:type="character" w:styleId="FootnoteReference">
    <w:name w:val="footnote reference"/>
    <w:basedOn w:val="DefaultParagraphFont"/>
    <w:rsid w:val="009B0205"/>
    <w:rPr>
      <w:vertAlign w:val="superscript"/>
    </w:rPr>
  </w:style>
  <w:style w:type="paragraph" w:styleId="Footer">
    <w:name w:val="footer"/>
    <w:basedOn w:val="Normal"/>
    <w:link w:val="FooterChar"/>
    <w:semiHidden/>
    <w:rsid w:val="009B0205"/>
    <w:pPr>
      <w:tabs>
        <w:tab w:val="center" w:pos="4513"/>
        <w:tab w:val="right" w:pos="9026"/>
      </w:tabs>
    </w:pPr>
  </w:style>
  <w:style w:type="character" w:customStyle="1" w:styleId="FooterChar">
    <w:name w:val="Footer Char"/>
    <w:basedOn w:val="DefaultParagraphFont"/>
    <w:link w:val="Footer"/>
    <w:semiHidden/>
    <w:rsid w:val="009B0205"/>
    <w:rPr>
      <w:sz w:val="24"/>
    </w:rPr>
  </w:style>
  <w:style w:type="paragraph" w:styleId="BalloonText">
    <w:name w:val="Balloon Text"/>
    <w:basedOn w:val="Normal"/>
    <w:link w:val="BalloonTextChar"/>
    <w:semiHidden/>
    <w:unhideWhenUsed/>
    <w:rsid w:val="000D24C7"/>
    <w:rPr>
      <w:rFonts w:ascii="Segoe UI" w:hAnsi="Segoe UI" w:cs="Segoe UI"/>
      <w:sz w:val="18"/>
      <w:szCs w:val="18"/>
    </w:rPr>
  </w:style>
  <w:style w:type="character" w:customStyle="1" w:styleId="BalloonTextChar">
    <w:name w:val="Balloon Text Char"/>
    <w:basedOn w:val="DefaultParagraphFont"/>
    <w:link w:val="BalloonText"/>
    <w:semiHidden/>
    <w:rsid w:val="000D24C7"/>
    <w:rPr>
      <w:rFonts w:ascii="Segoe UI" w:hAnsi="Segoe UI" w:cs="Segoe UI"/>
      <w:sz w:val="18"/>
      <w:szCs w:val="18"/>
    </w:rPr>
  </w:style>
  <w:style w:type="paragraph" w:customStyle="1" w:styleId="Normal12a">
    <w:name w:val="Normal12a"/>
    <w:basedOn w:val="Normal"/>
    <w:rsid w:val="00BA4FA3"/>
    <w:pPr>
      <w:spacing w:after="240"/>
    </w:pPr>
  </w:style>
  <w:style w:type="paragraph" w:customStyle="1" w:styleId="RollCallVotes">
    <w:name w:val="RollCallVotes"/>
    <w:basedOn w:val="Normal"/>
    <w:rsid w:val="00BA4FA3"/>
    <w:pPr>
      <w:spacing w:before="120" w:after="120"/>
      <w:jc w:val="center"/>
    </w:pPr>
    <w:rPr>
      <w:b/>
      <w:bCs/>
      <w:snapToGrid w:val="0"/>
      <w:sz w:val="16"/>
      <w:lang w:eastAsia="en-US"/>
    </w:rPr>
  </w:style>
  <w:style w:type="paragraph" w:customStyle="1" w:styleId="RollCallTabs">
    <w:name w:val="RollCallTabs"/>
    <w:basedOn w:val="Normal"/>
    <w:qFormat/>
    <w:rsid w:val="00BA4FA3"/>
    <w:pPr>
      <w:tabs>
        <w:tab w:val="center" w:pos="284"/>
        <w:tab w:val="left" w:pos="426"/>
      </w:tabs>
    </w:pPr>
    <w:rPr>
      <w:snapToGrid w:val="0"/>
      <w:lang w:eastAsia="en-US"/>
    </w:rPr>
  </w:style>
  <w:style w:type="paragraph" w:customStyle="1" w:styleId="RollCallSymbols14pt">
    <w:name w:val="RollCallSymbols14pt"/>
    <w:basedOn w:val="Normal"/>
    <w:rsid w:val="00BA4FA3"/>
    <w:pPr>
      <w:spacing w:before="120" w:after="120"/>
      <w:jc w:val="center"/>
    </w:pPr>
    <w:rPr>
      <w:rFonts w:ascii="Arial" w:hAnsi="Arial"/>
      <w:b/>
      <w:bCs/>
      <w:snapToGrid w:val="0"/>
      <w:sz w:val="28"/>
      <w:lang w:eastAsia="en-US"/>
    </w:rPr>
  </w:style>
  <w:style w:type="paragraph" w:customStyle="1" w:styleId="RollCallTable">
    <w:name w:val="RollCallTable"/>
    <w:basedOn w:val="Normal"/>
    <w:rsid w:val="00BA4FA3"/>
    <w:pPr>
      <w:spacing w:before="120" w:after="120"/>
    </w:pPr>
    <w:rPr>
      <w:snapToGrid w:val="0"/>
      <w:sz w:val="16"/>
      <w:lang w:eastAsia="en-US"/>
    </w:rPr>
  </w:style>
  <w:style w:type="paragraph" w:customStyle="1" w:styleId="Normal24a">
    <w:name w:val="Normal24a"/>
    <w:basedOn w:val="Normal"/>
    <w:rsid w:val="00CB3349"/>
    <w:pPr>
      <w:spacing w:after="480"/>
    </w:pPr>
  </w:style>
  <w:style w:type="paragraph" w:customStyle="1" w:styleId="NormalBoldCenter">
    <w:name w:val="NormalBoldCenter"/>
    <w:basedOn w:val="Normal"/>
    <w:rsid w:val="00CB3349"/>
    <w:pPr>
      <w:jc w:val="center"/>
    </w:pPr>
    <w:rPr>
      <w:b/>
    </w:rPr>
  </w:style>
  <w:style w:type="paragraph" w:customStyle="1" w:styleId="Footprint12b">
    <w:name w:val="Footprint12b"/>
    <w:basedOn w:val="Normal"/>
    <w:rsid w:val="00CB3349"/>
    <w:pPr>
      <w:spacing w:before="240"/>
    </w:pPr>
    <w:rPr>
      <w:szCs w:val="24"/>
    </w:rPr>
  </w:style>
  <w:style w:type="paragraph" w:customStyle="1" w:styleId="NormalSingle">
    <w:name w:val="NormalSingle"/>
    <w:basedOn w:val="Normal"/>
    <w:qFormat/>
    <w:rsid w:val="00CB3349"/>
    <w:rPr>
      <w:szCs w:val="24"/>
    </w:rPr>
  </w:style>
  <w:style w:type="character" w:styleId="Hyperlink">
    <w:name w:val="Hyperlink"/>
    <w:basedOn w:val="DefaultParagraphFont"/>
    <w:rsid w:val="005011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2D7FC-A3F6-4C88-A350-AEC47D545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1928</Words>
  <Characters>11014</Characters>
  <Application>Microsoft Office Word</Application>
  <DocSecurity>0</DocSecurity>
  <Lines>305</Lines>
  <Paragraphs>165</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FERNANDEZ PLAZA Remedios</dc:creator>
  <cp:lastModifiedBy>MASSON Heloise</cp:lastModifiedBy>
  <cp:revision>2</cp:revision>
  <cp:lastPrinted>2002-12-11T09:25:00Z</cp:lastPrinted>
  <dcterms:created xsi:type="dcterms:W3CDTF">2025-03-05T11:36:00Z</dcterms:created>
  <dcterms:modified xsi:type="dcterms:W3CDTF">2025-03-05T11:36:00Z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1315760</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16:05:00)</vt:lpwstr>
  </property>
  <property fmtid="{D5CDD505-2E9C-101B-9397-08002B2CF9AE}" pid="6" name="&lt;ModelTra&gt;">
    <vt:lpwstr>\\eiciBRUpr1\pdocep$\DocEP\TRANSFIL\EN\PR_NLE-AP_Agreement.EN(04/10/2024 11:39:01)</vt:lpwstr>
  </property>
  <property fmtid="{D5CDD505-2E9C-101B-9397-08002B2CF9AE}" pid="7" name="&lt;Type&gt;">
    <vt:lpwstr>RR</vt:lpwstr>
  </property>
  <property fmtid="{D5CDD505-2E9C-101B-9397-08002B2CF9AE}" pid="8" name="Bookout">
    <vt:lpwstr>OK - 2025/03/05 12:34</vt:lpwstr>
  </property>
  <property fmtid="{D5CDD505-2E9C-101B-9397-08002B2CF9AE}" pid="9" name="Created with">
    <vt:lpwstr>10.0.0 Build [20241202]</vt:lpwstr>
  </property>
  <property fmtid="{D5CDD505-2E9C-101B-9397-08002B2CF9AE}" pid="10" name="FooterPath">
    <vt:lpwstr>RR\1315760FR.docx</vt:lpwstr>
  </property>
  <property fmtid="{D5CDD505-2E9C-101B-9397-08002B2CF9AE}" pid="11" name="LastEdited with">
    <vt:lpwstr>10.0.1 Build [20250114]</vt:lpwstr>
  </property>
  <property fmtid="{D5CDD505-2E9C-101B-9397-08002B2CF9AE}" pid="12" name="PE number">
    <vt:lpwstr>767.911</vt:lpwstr>
  </property>
  <property fmtid="{D5CDD505-2E9C-101B-9397-08002B2CF9AE}" pid="13" name="SDLStudio">
    <vt:lpwstr/>
  </property>
  <property fmtid="{D5CDD505-2E9C-101B-9397-08002B2CF9AE}" pid="14" name="SendToEpades">
    <vt:lpwstr/>
  </property>
</Properties>
</file>