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A5E84" w:rsidRPr="007D55C0" w14:paraId="6E225BF5" w14:textId="77777777" w:rsidTr="00C85D0F">
        <w:trPr>
          <w:trHeight w:hRule="exact" w:val="1418"/>
        </w:trPr>
        <w:tc>
          <w:tcPr>
            <w:tcW w:w="6804" w:type="dxa"/>
            <w:shd w:val="clear" w:color="auto" w:fill="auto"/>
            <w:vAlign w:val="center"/>
          </w:tcPr>
          <w:p w14:paraId="00CB3D31" w14:textId="725716B9" w:rsidR="006A5E84" w:rsidRPr="007D55C0" w:rsidRDefault="006E64DB" w:rsidP="00C85D0F">
            <w:pPr>
              <w:pStyle w:val="EPName"/>
            </w:pPr>
            <w:r>
              <w:t>Parlement européen</w:t>
            </w:r>
          </w:p>
          <w:p w14:paraId="0FF728BE" w14:textId="4B28F565" w:rsidR="006A5E84" w:rsidRPr="007D55C0" w:rsidRDefault="00443303" w:rsidP="00C85D0F">
            <w:pPr>
              <w:pStyle w:val="EPTerm"/>
            </w:pPr>
            <w:r>
              <w:t>2024-2029</w:t>
            </w:r>
          </w:p>
        </w:tc>
        <w:tc>
          <w:tcPr>
            <w:tcW w:w="2268" w:type="dxa"/>
            <w:shd w:val="clear" w:color="auto" w:fill="auto"/>
          </w:tcPr>
          <w:p w14:paraId="17E2AD63" w14:textId="77777777" w:rsidR="006A5E84" w:rsidRPr="007D55C0" w:rsidRDefault="006A5E84" w:rsidP="00C85D0F">
            <w:pPr>
              <w:pStyle w:val="EPLogo"/>
            </w:pPr>
            <w:r w:rsidRPr="007D55C0">
              <w:rPr>
                <w:noProof/>
                <w:lang w:eastAsia="ja-JP"/>
              </w:rPr>
              <w:drawing>
                <wp:inline distT="0" distB="0" distL="0" distR="0" wp14:anchorId="0F3C5725" wp14:editId="18E7D9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2EB5E9" w14:textId="77777777" w:rsidR="009612AA" w:rsidRPr="007D55C0" w:rsidRDefault="009612AA" w:rsidP="009612AA">
      <w:pPr>
        <w:pStyle w:val="LineTop"/>
      </w:pPr>
    </w:p>
    <w:p w14:paraId="16057D18" w14:textId="011E6EF7" w:rsidR="009612AA" w:rsidRPr="00BA0C11" w:rsidRDefault="00443303" w:rsidP="009612AA">
      <w:pPr>
        <w:pStyle w:val="EPBody"/>
      </w:pPr>
      <w:r>
        <w:t>Document de séance</w:t>
      </w:r>
    </w:p>
    <w:p w14:paraId="6B9CC633" w14:textId="77777777" w:rsidR="009612AA" w:rsidRPr="002E4F93" w:rsidRDefault="009612AA" w:rsidP="009612AA">
      <w:pPr>
        <w:pStyle w:val="LineBottom"/>
      </w:pPr>
    </w:p>
    <w:p w14:paraId="786C937A" w14:textId="646DF3F7" w:rsidR="00363B94" w:rsidRPr="00BA0C11" w:rsidRDefault="00443303">
      <w:pPr>
        <w:pStyle w:val="CoverReference"/>
      </w:pPr>
      <w:r w:rsidRPr="002E4F93">
        <w:rPr>
          <w:rStyle w:val="HideTWBExt"/>
        </w:rPr>
        <w:t>&lt;NoDocSe&gt;</w:t>
      </w:r>
      <w:r>
        <w:t>A10-0198/2025</w:t>
      </w:r>
      <w:r w:rsidRPr="002E4F93">
        <w:rPr>
          <w:rStyle w:val="HideTWBExt"/>
        </w:rPr>
        <w:t>&lt;/NoDocSe&gt;</w:t>
      </w:r>
    </w:p>
    <w:p w14:paraId="7862A062" w14:textId="0425E9D3" w:rsidR="00363B94" w:rsidRPr="00214F54" w:rsidRDefault="00363B94">
      <w:pPr>
        <w:pStyle w:val="CoverDate"/>
      </w:pPr>
      <w:r>
        <w:rPr>
          <w:rStyle w:val="HideTWBExt"/>
          <w:lang w:val="fr-BE"/>
        </w:rPr>
        <w:t>&lt;Date&gt;</w:t>
      </w:r>
      <w:r>
        <w:rPr>
          <w:rStyle w:val="HideTWBInt"/>
          <w:lang w:val="fr-BE"/>
        </w:rPr>
        <w:t>{20/10/2025}</w:t>
      </w:r>
      <w:r>
        <w:t>20.10.2025</w:t>
      </w:r>
      <w:r>
        <w:rPr>
          <w:rStyle w:val="HideTWBExt"/>
          <w:lang w:val="fr-BE"/>
        </w:rPr>
        <w:t>&lt;/Date&gt;</w:t>
      </w:r>
    </w:p>
    <w:p w14:paraId="7AAFD38C" w14:textId="77777777" w:rsidR="00363B94" w:rsidRPr="00214F54" w:rsidRDefault="00363B94">
      <w:pPr>
        <w:pStyle w:val="CoverDocType"/>
      </w:pPr>
      <w:r>
        <w:rPr>
          <w:rStyle w:val="HideTWBExt"/>
          <w:b w:val="0"/>
          <w:lang w:val="fr-BE"/>
        </w:rPr>
        <w:t>&lt;RefProcLect&gt;</w:t>
      </w:r>
      <w:r>
        <w:t>*</w:t>
      </w:r>
      <w:r>
        <w:rPr>
          <w:rStyle w:val="HideTWBExt"/>
          <w:b w:val="0"/>
          <w:lang w:val="fr-BE"/>
        </w:rPr>
        <w:t>&lt;/RefProcLect&gt;</w:t>
      </w:r>
    </w:p>
    <w:p w14:paraId="46539D1E" w14:textId="717EAEDA" w:rsidR="00363B94" w:rsidRPr="00214F54" w:rsidRDefault="00363B94">
      <w:pPr>
        <w:pStyle w:val="CoverDocType24a"/>
      </w:pPr>
      <w:r>
        <w:rPr>
          <w:rStyle w:val="HideTWBExt"/>
          <w:b w:val="0"/>
          <w:lang w:val="fr-BE"/>
        </w:rPr>
        <w:t>&lt;TitreType&gt;</w:t>
      </w:r>
      <w:r>
        <w:t>RAPPORT</w:t>
      </w:r>
      <w:r>
        <w:rPr>
          <w:rStyle w:val="HideTWBExt"/>
          <w:b w:val="0"/>
          <w:lang w:val="fr-BE"/>
        </w:rPr>
        <w:t>&lt;/TitreType&gt;</w:t>
      </w:r>
    </w:p>
    <w:p w14:paraId="10BF5A19" w14:textId="3ED8354C" w:rsidR="00363B94" w:rsidRPr="00BA0C11" w:rsidRDefault="00363B94">
      <w:pPr>
        <w:pStyle w:val="CoverNormal"/>
      </w:pPr>
      <w:r w:rsidRPr="002E4F93">
        <w:rPr>
          <w:rStyle w:val="HideTWBExt"/>
        </w:rPr>
        <w:t>&lt;Titre&gt;</w:t>
      </w:r>
      <w:r>
        <w:t>sur la proposition de décision du Conseil relative à la conclusion, au nom de l’Union, du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w:t>
      </w:r>
      <w:r w:rsidRPr="002E4F93">
        <w:rPr>
          <w:rStyle w:val="HideTWBExt"/>
        </w:rPr>
        <w:t>&lt;/Titre&gt;</w:t>
      </w:r>
    </w:p>
    <w:p w14:paraId="17F02E87" w14:textId="07B4949F" w:rsidR="00363B94" w:rsidRPr="002E4F93" w:rsidRDefault="00363B94">
      <w:pPr>
        <w:pStyle w:val="CoverNormal24a"/>
        <w:rPr>
          <w:lang w:val="pt-PT"/>
        </w:rPr>
      </w:pPr>
      <w:r>
        <w:rPr>
          <w:rStyle w:val="HideTWBExt"/>
          <w:lang w:val="pt-PT"/>
        </w:rPr>
        <w:t>&lt;DocRef&gt;</w:t>
      </w:r>
      <w:r w:rsidRPr="002E4F93">
        <w:rPr>
          <w:lang w:val="pt-PT"/>
        </w:rPr>
        <w:t>(COM(2025)0404 – C10</w:t>
      </w:r>
      <w:r w:rsidRPr="002E4F93">
        <w:rPr>
          <w:lang w:val="pt-PT"/>
        </w:rPr>
        <w:noBreakHyphen/>
        <w:t>0202/2025 – 2025/0219(NLE))</w:t>
      </w:r>
      <w:r>
        <w:rPr>
          <w:rStyle w:val="HideTWBExt"/>
          <w:lang w:val="pt-PT"/>
        </w:rPr>
        <w:t>&lt;/DocRef&gt;</w:t>
      </w:r>
    </w:p>
    <w:p w14:paraId="7435A26B" w14:textId="16CDEE01" w:rsidR="00363B94" w:rsidRPr="00BA0C11" w:rsidRDefault="00363B94">
      <w:pPr>
        <w:pStyle w:val="CoverNormal24a"/>
      </w:pPr>
      <w:r w:rsidRPr="002E4F93">
        <w:rPr>
          <w:rStyle w:val="HideTWBExt"/>
        </w:rPr>
        <w:t>&lt;Commission&gt;</w:t>
      </w:r>
      <w:r w:rsidRPr="002E4F93">
        <w:rPr>
          <w:rStyle w:val="HideTWBInt"/>
        </w:rPr>
        <w:t>{ECON}</w:t>
      </w:r>
      <w:r>
        <w:t>Commission des affaires économiques et monétaires</w:t>
      </w:r>
      <w:r w:rsidRPr="002E4F93">
        <w:rPr>
          <w:rStyle w:val="HideTWBExt"/>
        </w:rPr>
        <w:t>&lt;/Commission&gt;</w:t>
      </w:r>
    </w:p>
    <w:p w14:paraId="48A4D79C" w14:textId="6BDA2436" w:rsidR="00363B94" w:rsidRPr="00BA0C11" w:rsidRDefault="006E64DB">
      <w:pPr>
        <w:pStyle w:val="CoverNormal24a"/>
      </w:pPr>
      <w:r>
        <w:t xml:space="preserve">Rapporteure: </w:t>
      </w:r>
      <w:r w:rsidRPr="002E4F93">
        <w:rPr>
          <w:rStyle w:val="HideTWBExt"/>
        </w:rPr>
        <w:t>&lt;Depute&gt;</w:t>
      </w:r>
      <w:r>
        <w:t>Kinga Kollár</w:t>
      </w:r>
      <w:bookmarkStart w:id="0" w:name="DocEPLastPosition"/>
      <w:bookmarkEnd w:id="0"/>
      <w:r w:rsidRPr="002E4F93">
        <w:rPr>
          <w:rStyle w:val="HideTWBExt"/>
        </w:rPr>
        <w:t>&lt;/Depute&gt;</w:t>
      </w:r>
    </w:p>
    <w:p w14:paraId="12022B1F" w14:textId="77777777" w:rsidR="008244C3" w:rsidRPr="002E4F93" w:rsidRDefault="008244C3">
      <w:pPr>
        <w:pStyle w:val="CoverNormal24a"/>
      </w:pPr>
    </w:p>
    <w:p w14:paraId="7336A024" w14:textId="77777777" w:rsidR="008244C3" w:rsidRPr="00BA0C11" w:rsidRDefault="008244C3" w:rsidP="008244C3">
      <w:pPr>
        <w:pStyle w:val="CoverNormal24a"/>
      </w:pPr>
      <w:r>
        <w:t>(Procédure simplifiée – conformément à l’article 52, paragraphe 1, du règlement intérieur)</w:t>
      </w:r>
    </w:p>
    <w:p w14:paraId="28CF3E7A" w14:textId="77777777" w:rsidR="008244C3" w:rsidRPr="002E4F93" w:rsidRDefault="008244C3">
      <w:pPr>
        <w:pStyle w:val="CoverNormal24a"/>
      </w:pPr>
    </w:p>
    <w:p w14:paraId="76F05582" w14:textId="77777777" w:rsidR="00B42885" w:rsidRPr="002E4F93" w:rsidRDefault="00B42885" w:rsidP="00B42885">
      <w:pPr>
        <w:pStyle w:val="CoverNormal"/>
      </w:pPr>
    </w:p>
    <w:p w14:paraId="3695294E" w14:textId="7D0DAEC8" w:rsidR="00443303" w:rsidRPr="007D55C0" w:rsidRDefault="00363B94" w:rsidP="00894923">
      <w:r>
        <w:br w:type="page"/>
      </w:r>
      <w:fldSimple w:instr=" TITLE  \* MERGEFORMAT ">
        <w:r w:rsidR="00511E04">
          <w:t>PR_NLE-CN_Agreement_app</w:t>
        </w:r>
      </w:fldSimple>
    </w:p>
    <w:p w14:paraId="135E6656" w14:textId="77777777" w:rsidR="00443303" w:rsidRPr="007D55C0" w:rsidRDefault="00443303" w:rsidP="00894923"/>
    <w:p w14:paraId="2788B248" w14:textId="77777777" w:rsidR="00443303" w:rsidRPr="007D55C0" w:rsidRDefault="0044330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A0C11" w:rsidRPr="007D55C0" w14:paraId="36CA978E" w14:textId="77777777">
        <w:tc>
          <w:tcPr>
            <w:tcW w:w="5811" w:type="dxa"/>
          </w:tcPr>
          <w:p w14:paraId="422C411C" w14:textId="41A78D5A" w:rsidR="00BA0C11" w:rsidRPr="007D55C0" w:rsidRDefault="00BA0C11" w:rsidP="00BA0C11">
            <w:pPr>
              <w:pStyle w:val="Lgendetitre"/>
            </w:pPr>
            <w:r>
              <w:t>Légende des signes utilisés</w:t>
            </w:r>
          </w:p>
        </w:tc>
      </w:tr>
      <w:tr w:rsidR="00BA0C11" w:rsidRPr="00BA0C11" w14:paraId="50C0885F" w14:textId="77777777" w:rsidTr="007452CB">
        <w:trPr>
          <w:cantSplit/>
          <w:trHeight w:val="1807"/>
        </w:trPr>
        <w:tc>
          <w:tcPr>
            <w:tcW w:w="5811" w:type="dxa"/>
            <w:tcBorders>
              <w:bottom w:val="single" w:sz="4" w:space="0" w:color="auto"/>
            </w:tcBorders>
          </w:tcPr>
          <w:p w14:paraId="12E6A44E" w14:textId="77777777" w:rsidR="00BA0C11" w:rsidRDefault="00BA0C11" w:rsidP="00BA0C11">
            <w:pPr>
              <w:pStyle w:val="Lgendesigne"/>
              <w:rPr>
                <w:szCs w:val="24"/>
              </w:rPr>
            </w:pPr>
            <w:r>
              <w:tab/>
              <w:t>*</w:t>
            </w:r>
            <w:r>
              <w:tab/>
              <w:t>Procédure de consultation</w:t>
            </w:r>
          </w:p>
          <w:p w14:paraId="3539EEAC" w14:textId="77777777" w:rsidR="00BA0C11" w:rsidRDefault="00BA0C11" w:rsidP="00BA0C11">
            <w:pPr>
              <w:pStyle w:val="Lgendesigne"/>
              <w:rPr>
                <w:szCs w:val="24"/>
              </w:rPr>
            </w:pPr>
            <w:r>
              <w:tab/>
              <w:t>***</w:t>
            </w:r>
            <w:r>
              <w:tab/>
              <w:t>Procédure d’approbation</w:t>
            </w:r>
          </w:p>
          <w:p w14:paraId="0A860804" w14:textId="77777777" w:rsidR="00BA0C11" w:rsidRDefault="00BA0C11" w:rsidP="00BA0C11">
            <w:pPr>
              <w:pStyle w:val="Lgendesigne"/>
              <w:rPr>
                <w:szCs w:val="24"/>
              </w:rPr>
            </w:pPr>
            <w:r>
              <w:tab/>
              <w:t>***I</w:t>
            </w:r>
            <w:r>
              <w:tab/>
              <w:t>Procédure législative ordinaire (première lecture)</w:t>
            </w:r>
          </w:p>
          <w:p w14:paraId="52EE3886" w14:textId="77777777" w:rsidR="00BA0C11" w:rsidRDefault="00BA0C11" w:rsidP="00BA0C11">
            <w:pPr>
              <w:pStyle w:val="Lgendesigne"/>
              <w:rPr>
                <w:szCs w:val="24"/>
              </w:rPr>
            </w:pPr>
            <w:r>
              <w:tab/>
              <w:t>***II</w:t>
            </w:r>
            <w:r>
              <w:tab/>
              <w:t>Procédure législative ordinaire (deuxième lecture)</w:t>
            </w:r>
          </w:p>
          <w:p w14:paraId="17FB59EE" w14:textId="77777777" w:rsidR="00BA0C11" w:rsidRDefault="00BA0C11" w:rsidP="00BA0C11">
            <w:pPr>
              <w:pStyle w:val="Lgendesigne"/>
              <w:rPr>
                <w:szCs w:val="24"/>
              </w:rPr>
            </w:pPr>
            <w:r>
              <w:tab/>
              <w:t>***III</w:t>
            </w:r>
            <w:r>
              <w:tab/>
              <w:t>Procédure législative ordinaire (troisième lecture)</w:t>
            </w:r>
            <w:r>
              <w:br/>
            </w:r>
          </w:p>
          <w:p w14:paraId="20B5AC7F" w14:textId="77777777" w:rsidR="00BA0C11" w:rsidRPr="00F935DE" w:rsidRDefault="00BA0C11" w:rsidP="00BA0C11">
            <w:pPr>
              <w:pStyle w:val="Lgendestandard"/>
              <w:rPr>
                <w:szCs w:val="24"/>
              </w:rPr>
            </w:pPr>
            <w:r>
              <w:t>(La procédure indiquée est fondée sur la base juridique proposée par le projet d’acte.)</w:t>
            </w:r>
          </w:p>
          <w:p w14:paraId="74A73DFA" w14:textId="77777777" w:rsidR="00BA0C11" w:rsidRPr="00F935DE" w:rsidRDefault="00BA0C11" w:rsidP="00BA0C11">
            <w:pPr>
              <w:pStyle w:val="Lgendestandard"/>
            </w:pPr>
          </w:p>
          <w:p w14:paraId="5497706A" w14:textId="77777777" w:rsidR="00BA0C11" w:rsidRPr="00BA0C11" w:rsidRDefault="00BA0C11" w:rsidP="00BA0C11">
            <w:pPr>
              <w:pStyle w:val="Lgendestandard"/>
              <w:rPr>
                <w:lang w:val="fr-BE"/>
              </w:rPr>
            </w:pPr>
          </w:p>
        </w:tc>
      </w:tr>
    </w:tbl>
    <w:p w14:paraId="053C73A4" w14:textId="77777777" w:rsidR="00443303" w:rsidRPr="00BA0C11" w:rsidRDefault="00443303" w:rsidP="00894923">
      <w:pPr>
        <w:rPr>
          <w:lang w:val="fr-BE"/>
        </w:rPr>
      </w:pPr>
    </w:p>
    <w:p w14:paraId="7B2D06DC" w14:textId="77777777" w:rsidR="00443303" w:rsidRPr="00BA0C11" w:rsidRDefault="00443303" w:rsidP="00894923">
      <w:pPr>
        <w:rPr>
          <w:lang w:val="fr-BE"/>
        </w:rPr>
      </w:pPr>
    </w:p>
    <w:p w14:paraId="096D0D2D" w14:textId="77777777" w:rsidR="00443303" w:rsidRPr="00BA0C11" w:rsidRDefault="00443303" w:rsidP="00894923">
      <w:pPr>
        <w:rPr>
          <w:lang w:val="fr-BE"/>
        </w:rPr>
      </w:pPr>
    </w:p>
    <w:p w14:paraId="379F3683" w14:textId="77777777" w:rsidR="00443303" w:rsidRPr="00BA0C11" w:rsidRDefault="00443303" w:rsidP="00894923">
      <w:pPr>
        <w:rPr>
          <w:lang w:val="fr-BE"/>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A0C11" w:rsidRPr="00BA0C11" w14:paraId="49C07A7C" w14:textId="77777777">
        <w:tc>
          <w:tcPr>
            <w:tcW w:w="5811" w:type="dxa"/>
          </w:tcPr>
          <w:p w14:paraId="71FB1E26" w14:textId="6962C222" w:rsidR="00BA0C11" w:rsidRPr="00BA0C11" w:rsidRDefault="00BA0C11" w:rsidP="00BA0C11">
            <w:pPr>
              <w:pStyle w:val="Lgendetitre"/>
            </w:pPr>
            <w:r>
              <w:t>Amendements à un projet d’acte</w:t>
            </w:r>
          </w:p>
        </w:tc>
      </w:tr>
      <w:tr w:rsidR="00BA0C11" w:rsidRPr="00BA0C11" w14:paraId="4E8974D5" w14:textId="77777777" w:rsidTr="00554250">
        <w:trPr>
          <w:trHeight w:val="4496"/>
        </w:trPr>
        <w:tc>
          <w:tcPr>
            <w:tcW w:w="5811" w:type="dxa"/>
          </w:tcPr>
          <w:p w14:paraId="6C9E41BC" w14:textId="77777777" w:rsidR="00BA0C11" w:rsidRDefault="00BA0C11" w:rsidP="00BA0C11">
            <w:pPr>
              <w:pStyle w:val="Lgendestandard"/>
            </w:pPr>
          </w:p>
          <w:p w14:paraId="0E4CB127" w14:textId="77777777" w:rsidR="00BA0C11" w:rsidRDefault="00BA0C11" w:rsidP="00BA0C11">
            <w:pPr>
              <w:pStyle w:val="Lgendestandard"/>
              <w:rPr>
                <w:szCs w:val="18"/>
              </w:rPr>
            </w:pPr>
            <w:r>
              <w:rPr>
                <w:b/>
              </w:rPr>
              <w:t>Amendements du Parlement présentés en deux colonnes</w:t>
            </w:r>
          </w:p>
          <w:p w14:paraId="2F34CF5B" w14:textId="77777777" w:rsidR="00BA0C11" w:rsidRDefault="00BA0C11" w:rsidP="00BA0C11">
            <w:pPr>
              <w:pStyle w:val="Lgendestandard"/>
              <w:rPr>
                <w:szCs w:val="18"/>
              </w:rPr>
            </w:pPr>
          </w:p>
          <w:p w14:paraId="180393A7" w14:textId="77777777" w:rsidR="00BA0C11" w:rsidRDefault="00BA0C11" w:rsidP="00BA0C11">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5C442CFB" w14:textId="77777777" w:rsidR="00BA0C11" w:rsidRPr="0078703C" w:rsidRDefault="00BA0C11" w:rsidP="00BA0C11">
            <w:pPr>
              <w:pStyle w:val="Lgendestandard"/>
            </w:pPr>
          </w:p>
          <w:p w14:paraId="3E7E85AE" w14:textId="77777777" w:rsidR="00BA0C11" w:rsidRDefault="00BA0C11" w:rsidP="00BA0C11">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16DB3EA7" w14:textId="77777777" w:rsidR="00BA0C11" w:rsidRDefault="00BA0C11" w:rsidP="00BA0C11">
            <w:pPr>
              <w:pStyle w:val="Lgendestandard"/>
            </w:pPr>
          </w:p>
          <w:p w14:paraId="73FF495B" w14:textId="77777777" w:rsidR="00BA0C11" w:rsidRPr="00DF243B" w:rsidRDefault="00BA0C11" w:rsidP="00BA0C11">
            <w:pPr>
              <w:pStyle w:val="Lgendestandard"/>
              <w:rPr>
                <w:b/>
                <w:szCs w:val="18"/>
              </w:rPr>
            </w:pPr>
            <w:r>
              <w:rPr>
                <w:b/>
              </w:rPr>
              <w:t>Amendements du Parlement prenant la forme d’un texte consolidé</w:t>
            </w:r>
          </w:p>
          <w:p w14:paraId="23AE2D35" w14:textId="77777777" w:rsidR="00BA0C11" w:rsidRDefault="00BA0C11" w:rsidP="00BA0C11">
            <w:pPr>
              <w:pStyle w:val="Lgendestandard"/>
              <w:rPr>
                <w:szCs w:val="18"/>
              </w:rPr>
            </w:pPr>
          </w:p>
          <w:p w14:paraId="6C091B8C" w14:textId="77777777" w:rsidR="00BA0C11" w:rsidRDefault="00BA0C11" w:rsidP="00BA0C11">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3472CD23" w14:textId="77777777" w:rsidR="00BA0C11" w:rsidRPr="0078703C" w:rsidRDefault="00BA0C11" w:rsidP="00BA0C11">
            <w:pPr>
              <w:pStyle w:val="Lgendestandard"/>
            </w:pPr>
            <w:r>
              <w:t>Par exception, les modifications de nature strictement technique apportées par les services en vue de l’élaboration du texte final ne sont pas marquées.</w:t>
            </w:r>
          </w:p>
          <w:p w14:paraId="7EBA5CDD" w14:textId="77777777" w:rsidR="00BA0C11" w:rsidRPr="00BA0C11" w:rsidRDefault="00BA0C11" w:rsidP="00BA0C11">
            <w:pPr>
              <w:pStyle w:val="Lgendestandard"/>
              <w:rPr>
                <w:lang w:val="fr-BE"/>
              </w:rPr>
            </w:pPr>
          </w:p>
        </w:tc>
      </w:tr>
    </w:tbl>
    <w:p w14:paraId="0A53F49C" w14:textId="77777777" w:rsidR="00443303" w:rsidRPr="00BA0C11" w:rsidRDefault="00443303" w:rsidP="00894923">
      <w:pPr>
        <w:rPr>
          <w:lang w:val="fr-BE"/>
        </w:rPr>
      </w:pPr>
    </w:p>
    <w:p w14:paraId="7D0D5442" w14:textId="51DBC75B" w:rsidR="00363B94" w:rsidRPr="00BA0C11" w:rsidRDefault="00363B94" w:rsidP="00CF3A87">
      <w:pPr>
        <w:widowControl/>
        <w:tabs>
          <w:tab w:val="center" w:pos="4677"/>
        </w:tabs>
        <w:rPr>
          <w:lang w:val="fr-BE"/>
        </w:rPr>
      </w:pPr>
    </w:p>
    <w:p w14:paraId="36E4F745" w14:textId="77777777" w:rsidR="00443303" w:rsidRPr="007D55C0" w:rsidRDefault="00363B94" w:rsidP="00443303">
      <w:pPr>
        <w:pStyle w:val="TOCHeading"/>
      </w:pPr>
      <w:r>
        <w:br w:type="page"/>
        <w:t>SOMMAIRE</w:t>
      </w:r>
    </w:p>
    <w:p w14:paraId="08EEEDA2" w14:textId="77777777" w:rsidR="00443303" w:rsidRPr="007D55C0" w:rsidRDefault="00443303" w:rsidP="00443303">
      <w:pPr>
        <w:pStyle w:val="TOCPage"/>
      </w:pPr>
      <w:r>
        <w:t>Page</w:t>
      </w:r>
    </w:p>
    <w:p w14:paraId="60852A48" w14:textId="750FC834" w:rsidR="00511E04" w:rsidRDefault="0044330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D55C0">
        <w:fldChar w:fldCharType="begin"/>
      </w:r>
      <w:r w:rsidRPr="00214F54">
        <w:instrText xml:space="preserve"> TOC \t "PageHeading</w:instrText>
      </w:r>
      <w:r w:rsidR="00511E04">
        <w:instrText>;</w:instrText>
      </w:r>
      <w:r w:rsidRPr="00214F54">
        <w:instrText xml:space="preserve">1" </w:instrText>
      </w:r>
      <w:r w:rsidRPr="007D55C0">
        <w:fldChar w:fldCharType="separate"/>
      </w:r>
      <w:r w:rsidR="00511E04">
        <w:rPr>
          <w:noProof/>
        </w:rPr>
        <w:t>PROJET DE RÉSOLUTION LÉGISLATIVE DU PARLEMENT EUROPÉEN</w:t>
      </w:r>
      <w:r w:rsidR="00511E04">
        <w:rPr>
          <w:noProof/>
        </w:rPr>
        <w:tab/>
      </w:r>
      <w:r w:rsidR="00511E04">
        <w:rPr>
          <w:noProof/>
        </w:rPr>
        <w:fldChar w:fldCharType="begin"/>
      </w:r>
      <w:r w:rsidR="00511E04">
        <w:rPr>
          <w:noProof/>
        </w:rPr>
        <w:instrText xml:space="preserve"> PAGEREF _Toc213149208 \h </w:instrText>
      </w:r>
      <w:r w:rsidR="00511E04">
        <w:rPr>
          <w:noProof/>
        </w:rPr>
      </w:r>
      <w:r w:rsidR="00511E04">
        <w:rPr>
          <w:noProof/>
        </w:rPr>
        <w:fldChar w:fldCharType="separate"/>
      </w:r>
      <w:r w:rsidR="00511E04">
        <w:rPr>
          <w:noProof/>
        </w:rPr>
        <w:t>6</w:t>
      </w:r>
      <w:r w:rsidR="00511E04">
        <w:rPr>
          <w:noProof/>
        </w:rPr>
        <w:fldChar w:fldCharType="end"/>
      </w:r>
    </w:p>
    <w:p w14:paraId="6FB3F3DB" w14:textId="4B8AC268" w:rsidR="00511E04" w:rsidRDefault="00511E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_Toc213149209 \h </w:instrText>
      </w:r>
      <w:r>
        <w:rPr>
          <w:noProof/>
        </w:rPr>
      </w:r>
      <w:r>
        <w:rPr>
          <w:noProof/>
        </w:rPr>
        <w:fldChar w:fldCharType="separate"/>
      </w:r>
      <w:r>
        <w:rPr>
          <w:noProof/>
        </w:rPr>
        <w:t>7</w:t>
      </w:r>
      <w:r>
        <w:rPr>
          <w:noProof/>
        </w:rPr>
        <w:fldChar w:fldCharType="end"/>
      </w:r>
    </w:p>
    <w:p w14:paraId="659F0162" w14:textId="2A6A5E18" w:rsidR="00511E04" w:rsidRDefault="00511E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_Toc213149210 \h </w:instrText>
      </w:r>
      <w:r>
        <w:rPr>
          <w:noProof/>
        </w:rPr>
      </w:r>
      <w:r>
        <w:rPr>
          <w:noProof/>
        </w:rPr>
        <w:fldChar w:fldCharType="separate"/>
      </w:r>
      <w:r>
        <w:rPr>
          <w:noProof/>
        </w:rPr>
        <w:t>9</w:t>
      </w:r>
      <w:r>
        <w:rPr>
          <w:noProof/>
        </w:rPr>
        <w:fldChar w:fldCharType="end"/>
      </w:r>
    </w:p>
    <w:p w14:paraId="2004EAF0" w14:textId="540364E2" w:rsidR="00511E04" w:rsidRDefault="00511E0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_Toc213149211 \h </w:instrText>
      </w:r>
      <w:r>
        <w:rPr>
          <w:noProof/>
        </w:rPr>
      </w:r>
      <w:r>
        <w:rPr>
          <w:noProof/>
        </w:rPr>
        <w:fldChar w:fldCharType="separate"/>
      </w:r>
      <w:r>
        <w:rPr>
          <w:noProof/>
        </w:rPr>
        <w:t>10</w:t>
      </w:r>
      <w:r>
        <w:rPr>
          <w:noProof/>
        </w:rPr>
        <w:fldChar w:fldCharType="end"/>
      </w:r>
    </w:p>
    <w:p w14:paraId="58AABDA2" w14:textId="77B5C6F6" w:rsidR="00443303" w:rsidRPr="00BA0C11" w:rsidRDefault="00443303" w:rsidP="00443303">
      <w:r w:rsidRPr="007D55C0">
        <w:fldChar w:fldCharType="end"/>
      </w:r>
    </w:p>
    <w:p w14:paraId="2939D575" w14:textId="77777777" w:rsidR="00443303" w:rsidRPr="00BA0C11" w:rsidRDefault="00443303" w:rsidP="00443303">
      <w:pPr>
        <w:pStyle w:val="PageHeading"/>
      </w:pPr>
      <w:r>
        <w:br w:type="page"/>
      </w:r>
      <w:r>
        <w:br w:type="page"/>
      </w:r>
      <w:bookmarkStart w:id="1" w:name="_Toc213149208"/>
      <w:r>
        <w:t>PROJET DE RÉSOLUTION LÉGISLATIVE DU PARLEMENT EUROPÉEN</w:t>
      </w:r>
      <w:bookmarkEnd w:id="1"/>
    </w:p>
    <w:p w14:paraId="2ABEA8AC" w14:textId="7F03CB87" w:rsidR="00443303" w:rsidRPr="00BA0C11" w:rsidRDefault="00443303" w:rsidP="00443303">
      <w:pPr>
        <w:pStyle w:val="NormalBold"/>
      </w:pPr>
      <w:r>
        <w:t>sur la proposition de décision du Conseil relative à la conclusion, au nom de l’Union, du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w:t>
      </w:r>
    </w:p>
    <w:p w14:paraId="6F5986AE" w14:textId="65C441E2" w:rsidR="00443303" w:rsidRPr="00BA0C11" w:rsidRDefault="00443303" w:rsidP="00443303">
      <w:pPr>
        <w:pStyle w:val="NormalBold12a"/>
      </w:pPr>
      <w:r>
        <w:t>(COM(2025)0404 – C10</w:t>
      </w:r>
      <w:r>
        <w:noBreakHyphen/>
        <w:t>2025/0219 – 2025/0219(NLE))</w:t>
      </w:r>
    </w:p>
    <w:p w14:paraId="5890A3E4" w14:textId="77777777" w:rsidR="00443303" w:rsidRPr="00BA0C11" w:rsidRDefault="00443303" w:rsidP="00443303">
      <w:pPr>
        <w:pStyle w:val="NormalBold"/>
      </w:pPr>
      <w:r>
        <w:t>(Consultation)</w:t>
      </w:r>
    </w:p>
    <w:p w14:paraId="3FEC4436" w14:textId="77777777" w:rsidR="00443303" w:rsidRPr="00BA0C11" w:rsidRDefault="00443303" w:rsidP="00443303">
      <w:pPr>
        <w:pStyle w:val="EPComma"/>
      </w:pPr>
      <w:r>
        <w:rPr>
          <w:i/>
        </w:rPr>
        <w:t>Le Parlement européen</w:t>
      </w:r>
      <w:r>
        <w:t>,</w:t>
      </w:r>
    </w:p>
    <w:p w14:paraId="6601920C" w14:textId="70E4FDD4" w:rsidR="00443303" w:rsidRPr="00BA0C11" w:rsidRDefault="00443303" w:rsidP="00443303">
      <w:pPr>
        <w:pStyle w:val="NormalHanging12a"/>
      </w:pPr>
      <w:r>
        <w:t>–</w:t>
      </w:r>
      <w:r>
        <w:tab/>
        <w:t>vu la proposition de décision du Conseil (COM(2025)0404),</w:t>
      </w:r>
    </w:p>
    <w:p w14:paraId="654CCCAB" w14:textId="7AC11F3E" w:rsidR="00443303" w:rsidRPr="00BA0C11" w:rsidRDefault="00443303" w:rsidP="00443303">
      <w:pPr>
        <w:pStyle w:val="NormalHanging12a"/>
      </w:pPr>
      <w:r>
        <w:t>–</w:t>
      </w:r>
      <w:r>
        <w:tab/>
        <w:t>vu le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(OCDE) (COM(2025)0404),</w:t>
      </w:r>
    </w:p>
    <w:p w14:paraId="4E54B50E" w14:textId="60406141" w:rsidR="00443303" w:rsidRPr="00BA0C11" w:rsidRDefault="00443303" w:rsidP="00443303">
      <w:pPr>
        <w:pStyle w:val="NormalHanging12a"/>
      </w:pPr>
      <w:r>
        <w:t>–</w:t>
      </w:r>
      <w:r>
        <w:tab/>
        <w:t>vu l’article 115, l’article 2018, paragraphe 6, deuxième alinéa, point b), l’article 218, paragraphe 8, du traité sur le fonctionnement de l’Union européenne, conformément auquel il a été consulté par le Conseil (C10</w:t>
      </w:r>
      <w:r>
        <w:noBreakHyphen/>
        <w:t>0202/2025),</w:t>
      </w:r>
    </w:p>
    <w:p w14:paraId="22B2BA5F" w14:textId="1B397602" w:rsidR="00443303" w:rsidRPr="00BA0C11" w:rsidRDefault="00443303" w:rsidP="00443303">
      <w:pPr>
        <w:pStyle w:val="NormalHanging12a"/>
      </w:pPr>
      <w:r>
        <w:t>–</w:t>
      </w:r>
      <w:r>
        <w:tab/>
        <w:t>vu l’article 84 et l’article 117, paragraphe 8, de son règlement intérieur,</w:t>
      </w:r>
    </w:p>
    <w:p w14:paraId="3DA491A6" w14:textId="37024420" w:rsidR="00443303" w:rsidRPr="00BA0C11" w:rsidRDefault="00443303" w:rsidP="00443303">
      <w:pPr>
        <w:pStyle w:val="NormalHanging12a"/>
      </w:pPr>
      <w:r>
        <w:t>–</w:t>
      </w:r>
      <w:r>
        <w:tab/>
        <w:t>vu le rapport de la commission des affaires économiques et monétaires (A10-0198/2025),</w:t>
      </w:r>
    </w:p>
    <w:p w14:paraId="6D745D8D" w14:textId="5D154744" w:rsidR="00443303" w:rsidRPr="00BA0C11" w:rsidRDefault="00443303" w:rsidP="00443303">
      <w:pPr>
        <w:pStyle w:val="NormalHanging12a"/>
      </w:pPr>
      <w:r>
        <w:t>1.</w:t>
      </w:r>
      <w:r>
        <w:tab/>
        <w:t>approuve la conclusion du protocole de modification de l’accord;</w:t>
      </w:r>
    </w:p>
    <w:p w14:paraId="2435D8AB" w14:textId="77777777" w:rsidR="00443303" w:rsidRPr="00BA0C11" w:rsidRDefault="00443303" w:rsidP="00443303">
      <w:pPr>
        <w:pStyle w:val="NormalHanging12a"/>
      </w:pPr>
      <w:r>
        <w:t>2.</w:t>
      </w:r>
      <w:r>
        <w:tab/>
        <w:t>charge sa Présidente de transmettre la position du Parlement au Conseil et à la Commission ainsi qu'aux gouvernements et aux parlements des États membres et de la Principauté de Monaco.</w:t>
      </w:r>
    </w:p>
    <w:p w14:paraId="40C5E812" w14:textId="77777777" w:rsidR="00443303" w:rsidRPr="002E4F93" w:rsidRDefault="00443303" w:rsidP="00443303">
      <w:pPr>
        <w:widowControl/>
        <w:sectPr w:rsidR="00443303" w:rsidRPr="002E4F93" w:rsidSect="00C2585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0364CD1D" w14:textId="77777777" w:rsidR="00443303" w:rsidRPr="00BA0C11" w:rsidRDefault="00443303" w:rsidP="00443303">
      <w:pPr>
        <w:pStyle w:val="PageHeading"/>
      </w:pPr>
      <w:bookmarkStart w:id="2" w:name="_Toc213149209"/>
      <w:r>
        <w:t>EXPOSÉ DES MOTIFS</w:t>
      </w:r>
      <w:bookmarkEnd w:id="2"/>
    </w:p>
    <w:p w14:paraId="4D1D8B74" w14:textId="77777777" w:rsidR="00443303" w:rsidRPr="00BA0C11" w:rsidRDefault="00443303" w:rsidP="00443303">
      <w:r>
        <w:t>La proposition consiste en un avis sur le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en matière fiscale élaborée par l’Organisation de coopération et de développement économiques, conclu en 2016.</w:t>
      </w:r>
    </w:p>
    <w:p w14:paraId="017BCAA5" w14:textId="77777777" w:rsidR="00443303" w:rsidRPr="002E4F93" w:rsidRDefault="00443303" w:rsidP="00443303"/>
    <w:p w14:paraId="0519C5D5" w14:textId="77777777" w:rsidR="00443303" w:rsidRPr="00BA0C11" w:rsidRDefault="00443303" w:rsidP="00443303">
      <w:r>
        <w:t>L’accord constitue la base juridique de l’échange automatique réciproque d’informations relatives aux comptes financiers entre les États membres et la Principauté de Monaco. L’objectif principal du protocole de modification est d’améliorer la coopération administrative dans le domaine fiscal au moyen des méthodes suivantes:</w:t>
      </w:r>
    </w:p>
    <w:p w14:paraId="48C71E19" w14:textId="77777777" w:rsidR="00443303" w:rsidRPr="00BA0C11" w:rsidRDefault="00443303" w:rsidP="00443303">
      <w:pPr>
        <w:widowControl/>
        <w:spacing w:before="240" w:after="240"/>
        <w:ind w:left="714" w:hanging="357"/>
      </w:pPr>
      <w:r>
        <w:rPr>
          <w:rFonts w:ascii="Noto Sans Symbols" w:hAnsi="Noto Sans Symbols"/>
        </w:rPr>
        <w:t>●</w:t>
      </w:r>
      <w:r>
        <w:rPr>
          <w:rFonts w:ascii="Noto Sans Symbols" w:hAnsi="Noto Sans Symbols"/>
        </w:rPr>
        <w:tab/>
      </w:r>
      <w:r>
        <w:rPr>
          <w:color w:val="000000"/>
        </w:rPr>
        <w:t xml:space="preserve">en veillant à ce que l’échange automatique d’informations relatives aux comptes financiers soit conforme à la norme commune de déclaration (NCD) mise à jour, élaborée par l’OCDE et aux règles correspondantes de l’UE, à savoir la directive (UE) 2023/226 du Conseil (DAC 8), qui a mis en œuvre les dernières modifications de la NCD au sein de l’Union. Il convient de relever qu’à la suite de la récente mise à jour de la NCD, son champ d’application a été étendu aux produits de monnaie électronique et aux monnaies numériques de banque centrale. </w:t>
      </w:r>
      <w:r>
        <w:t>De plus, les modifications introduisent également des dispositions qui visent à garantir une interaction efficace entre la NCD et le cadre distinct de déclaration des crypto-actifs (CDC) élaboré par l’OCDE. Il est à noter que Monaco mettra en œuvre le CDC à l’avenir, de sorte que l’application des dispositions relatives au CDC est reportée à l’avenir;</w:t>
      </w:r>
    </w:p>
    <w:p w14:paraId="19DA8061" w14:textId="77777777" w:rsidR="00443303" w:rsidRPr="00BA0C11" w:rsidRDefault="00443303" w:rsidP="00443303">
      <w:pPr>
        <w:widowControl/>
        <w:spacing w:after="240"/>
        <w:ind w:left="714" w:hanging="357"/>
      </w:pPr>
      <w:r>
        <w:rPr>
          <w:rFonts w:ascii="Noto Sans Symbols" w:hAnsi="Noto Sans Symbols"/>
        </w:rPr>
        <w:t>●</w:t>
      </w:r>
      <w:r>
        <w:rPr>
          <w:rFonts w:ascii="Noto Sans Symbols" w:hAnsi="Noto Sans Symbols"/>
        </w:rPr>
        <w:tab/>
      </w:r>
      <w:r>
        <w:t>en actualisant la référence juridique relative à la législation en matière de protection des données du point de vue tant de l’UE que de Monaco:</w:t>
      </w:r>
      <w:r>
        <w:rPr>
          <w:color w:val="000000"/>
        </w:rPr>
        <w:t xml:space="preserve"> </w:t>
      </w:r>
      <w:r>
        <w:t>toutes les références à la directive 95/46/CE abrogée ont été supprimées et remplacées par des références au RGPD [c’est-à-dire le règlement (UE) 2016/679].</w:t>
      </w:r>
      <w:r>
        <w:rPr>
          <w:color w:val="000000"/>
        </w:rPr>
        <w:t xml:space="preserve"> </w:t>
      </w:r>
      <w:r>
        <w:t>En outre, étant donné que Monaco ne dispose pas d’une décision d’adéquation, des modifications ont été ajoutées pour garantir la protection des données à caractère personnel conformément au RGPD.</w:t>
      </w:r>
    </w:p>
    <w:p w14:paraId="6E7BD4EA" w14:textId="77777777" w:rsidR="00443303" w:rsidRPr="00BA0C11" w:rsidRDefault="00443303" w:rsidP="00443303">
      <w:pPr>
        <w:spacing w:after="240"/>
      </w:pPr>
      <w:bookmarkStart w:id="3" w:name="_heading=h.ptaz37fgvs0y"/>
      <w:bookmarkEnd w:id="3"/>
      <w:r>
        <w:t>L’inclusion des modifications de l’accord énumérées ci-dessus permettrait une meilleure coopération fondée sur des règles communes et renforcerait la lutte contre la fraude fiscale et le blanchiment de capitaux, ce qui profiterait tant aux États membres qu’à Monaco. Les modifications de la NCD s’appliqueront à partir du 1</w:t>
      </w:r>
      <w:r>
        <w:rPr>
          <w:vertAlign w:val="superscript"/>
        </w:rPr>
        <w:t>er</w:t>
      </w:r>
      <w:r>
        <w:t xml:space="preserve"> janvier 2026 et, de ce fait, les dispositions respectives de la DAC 8 s’appliqueront dans l’UE à partir de cette date. </w:t>
      </w:r>
    </w:p>
    <w:p w14:paraId="1FA40062" w14:textId="77777777" w:rsidR="00443303" w:rsidRPr="00BA0C11" w:rsidRDefault="00443303" w:rsidP="00443303">
      <w:pPr>
        <w:spacing w:after="240"/>
      </w:pPr>
      <w:r>
        <w:t>Conformément à l’article 218, paragraphe 6, point b), du traité FUE, le Conseil ne peut adopter la décision portant conclusion de l’accord qu’après avis du Parlement européen.</w:t>
      </w:r>
    </w:p>
    <w:p w14:paraId="71AF6E50" w14:textId="77777777" w:rsidR="00443303" w:rsidRPr="00BA0C11" w:rsidRDefault="00443303" w:rsidP="00443303">
      <w:pPr>
        <w:spacing w:after="240"/>
      </w:pPr>
      <w:r>
        <w:t>Votre rapporteure se félicite de la conclusion du protocole de modification de l’accord entre l’Union européenne et la Principauté de Monaco sur l’échange d’informations relatives aux comptes financiers en vue d’améliorer le respect des obligations fiscales au niveau international conformément à la norme d’échange automatique de renseignements relatifs aux comptes financiers élaborée par l’Organisation de coopération et de développement économiques (OCDE) puisqu’elle constitue une étape importante pour la poursuite et l’approfondissement de la coopération administrative dans le domaine fiscal entre les parties. Le protocole de modification garantit que l’accord existant reste aligné sur la législation pertinente de l’Union.</w:t>
      </w:r>
    </w:p>
    <w:p w14:paraId="7227F489" w14:textId="77777777" w:rsidR="00443303" w:rsidRPr="00BA0C11" w:rsidRDefault="00443303" w:rsidP="00443303">
      <w:pPr>
        <w:spacing w:after="240"/>
      </w:pPr>
      <w:r>
        <w:t>Compte tenu de la nature technique de la proposition et de l’urgence de son adoption, votre rapporteure propose que le Parlement approuve la proposition sans amendements selon une procédure simplifiée sans amendements (article 52 du règlement intérieur). Toutefois, votre rapporteure tient à souligner que le Parlement devrait être associé à un stade plus précoce du processus et disposer de plus de temps pour préparer son avis la prochaine fois.</w:t>
      </w:r>
    </w:p>
    <w:p w14:paraId="01DD272E" w14:textId="77777777" w:rsidR="00443303" w:rsidRPr="002E4F93" w:rsidRDefault="00443303" w:rsidP="00443303"/>
    <w:p w14:paraId="1C34C97C" w14:textId="77777777" w:rsidR="00443303" w:rsidRPr="002E4F93" w:rsidRDefault="00443303" w:rsidP="00443303">
      <w:pPr>
        <w:widowControl/>
        <w:sectPr w:rsidR="00443303" w:rsidRPr="002E4F93" w:rsidSect="00443303">
          <w:footnotePr>
            <w:numRestart w:val="eachSect"/>
          </w:footnotePr>
          <w:endnotePr>
            <w:numFmt w:val="decimal"/>
          </w:endnotePr>
          <w:pgSz w:w="11906" w:h="16838"/>
          <w:pgMar w:top="1134" w:right="1418" w:bottom="1418" w:left="1418" w:header="1134" w:footer="567" w:gutter="0"/>
          <w:cols w:space="720"/>
        </w:sectPr>
      </w:pPr>
    </w:p>
    <w:p w14:paraId="30224F40" w14:textId="77777777" w:rsidR="00443303" w:rsidRPr="00BA0C11" w:rsidRDefault="00443303" w:rsidP="00443303">
      <w:pPr>
        <w:pStyle w:val="PageHeading"/>
      </w:pPr>
      <w:bookmarkStart w:id="4" w:name="_Toc213149210"/>
      <w:r>
        <w:t xml:space="preserve">ANNEXE: </w:t>
      </w:r>
      <w:bookmarkStart w:id="5" w:name="iEnd"/>
      <w:bookmarkEnd w:id="5"/>
      <w:r>
        <w:t>DÉCLARATION DES CONTRIBUTIONS</w:t>
      </w:r>
      <w:bookmarkEnd w:id="4"/>
    </w:p>
    <w:p w14:paraId="2AE48B99" w14:textId="77777777" w:rsidR="001123EB" w:rsidRPr="00BA0C11" w:rsidRDefault="001123EB" w:rsidP="00BA0C11">
      <w:r>
        <w:t>La rapporteure déclare, sous sa responsabilité exclusive, n’avoir inclus dans son rapport aucune contribution de représentants d’intérêts relevant du champ d’application de l’accord interinstitutionnel sur un registre de transparence obligatoire</w:t>
      </w:r>
      <w:r w:rsidRPr="007D55C0">
        <w:rPr>
          <w:vertAlign w:val="superscript"/>
          <w:lang w:bidi="en-GB"/>
        </w:rPr>
        <w:footnoteReference w:id="1"/>
      </w:r>
      <w:r>
        <w:t>, ou de représentants des autorités publiques de pays tiers, y compris leurs missions diplomatiques et ambassades, devant être énumérés dans la présente annexe en vertu de l’article 8 de l’annexe I du règlement intérieur.</w:t>
      </w:r>
    </w:p>
    <w:p w14:paraId="4B27A050" w14:textId="77777777" w:rsidR="00443303" w:rsidRPr="002E4F93" w:rsidRDefault="00443303" w:rsidP="00BA0C11">
      <w:pPr>
        <w:sectPr w:rsidR="00443303" w:rsidRPr="002E4F93" w:rsidSect="00443303">
          <w:footnotePr>
            <w:numRestart w:val="eachSect"/>
          </w:footnotePr>
          <w:endnotePr>
            <w:numFmt w:val="decimal"/>
          </w:endnotePr>
          <w:pgSz w:w="11906" w:h="16838"/>
          <w:pgMar w:top="1134" w:right="1418" w:bottom="1418" w:left="1418" w:header="1134" w:footer="567" w:gutter="0"/>
          <w:cols w:space="720"/>
        </w:sectPr>
      </w:pPr>
    </w:p>
    <w:p w14:paraId="735D5C4C" w14:textId="6421928C" w:rsidR="00BA0C11" w:rsidRDefault="00BA0C11" w:rsidP="00BA0C11">
      <w:pPr>
        <w:pStyle w:val="PageHeading"/>
      </w:pPr>
      <w:bookmarkStart w:id="6" w:name="ProcPageRR"/>
      <w:bookmarkStart w:id="7" w:name="_Toc213149211"/>
      <w:r>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A0C11" w14:paraId="63CCCB9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AACB3D" w14:textId="77777777" w:rsidR="00BA0C11" w:rsidRDefault="00BA0C11">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43D846" w14:textId="77777777" w:rsidR="00BA0C11" w:rsidRDefault="00BA0C11">
            <w:pPr>
              <w:autoSpaceDE w:val="0"/>
              <w:autoSpaceDN w:val="0"/>
              <w:adjustRightInd w:val="0"/>
              <w:rPr>
                <w:color w:val="000000"/>
                <w:sz w:val="20"/>
              </w:rPr>
            </w:pPr>
            <w:r>
              <w:rPr>
                <w:color w:val="000000"/>
                <w:sz w:val="20"/>
              </w:rPr>
              <w:t>Protocole de modification de l’accord entre l’Union européenne et la Principauté de Monaco sur l’échange d’informations relatives aux comptes financiers en vue d’améliorer le respect des obligations fiscales à l’échelle internationale, en conformité avec la norme d’échange automatique de renseignements relatifs aux comptes financiers établie par l’Organisation de coopération et de développement économiques (OCDE)</w:t>
            </w:r>
          </w:p>
        </w:tc>
      </w:tr>
      <w:tr w:rsidR="00BA0C11" w14:paraId="3B5ED60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2AB8213" w14:textId="77777777" w:rsidR="00BA0C11" w:rsidRDefault="00BA0C11">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8A9F668" w14:textId="77777777" w:rsidR="00BA0C11" w:rsidRDefault="00BA0C11">
            <w:pPr>
              <w:autoSpaceDE w:val="0"/>
              <w:autoSpaceDN w:val="0"/>
              <w:adjustRightInd w:val="0"/>
              <w:rPr>
                <w:color w:val="000000"/>
                <w:sz w:val="20"/>
              </w:rPr>
            </w:pPr>
            <w:r>
              <w:rPr>
                <w:color w:val="000000"/>
                <w:sz w:val="20"/>
              </w:rPr>
              <w:t>COM(2025)0404 – C10-0202/2025 – 2025/0219(NLE)</w:t>
            </w:r>
          </w:p>
        </w:tc>
      </w:tr>
      <w:tr w:rsidR="00BA0C11" w14:paraId="5FD83DF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450FF3" w14:textId="77777777" w:rsidR="00BA0C11" w:rsidRDefault="00BA0C11">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81B578" w14:textId="77777777" w:rsidR="00BA0C11" w:rsidRDefault="00BA0C11">
            <w:pPr>
              <w:autoSpaceDE w:val="0"/>
              <w:autoSpaceDN w:val="0"/>
              <w:adjustRightInd w:val="0"/>
              <w:rPr>
                <w:color w:val="000000"/>
                <w:sz w:val="20"/>
              </w:rPr>
            </w:pPr>
            <w:r>
              <w:rPr>
                <w:color w:val="000000"/>
                <w:sz w:val="20"/>
              </w:rPr>
              <w:t>3.9.2025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1B8E6A"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335FD6"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F05ACD" w14:textId="77777777" w:rsidR="00BA0C11" w:rsidRDefault="00BA0C11">
            <w:pPr>
              <w:autoSpaceDE w:val="0"/>
              <w:autoSpaceDN w:val="0"/>
              <w:adjustRightInd w:val="0"/>
              <w:rPr>
                <w:rFonts w:ascii="sans-serif" w:hAnsi="sans-serif" w:cs="sans-serif"/>
                <w:color w:val="000000"/>
              </w:rPr>
            </w:pPr>
          </w:p>
        </w:tc>
      </w:tr>
      <w:tr w:rsidR="00BA0C11" w14:paraId="07A8EDE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5CD2DBB" w14:textId="77777777" w:rsidR="00BA0C11" w:rsidRDefault="00BA0C11">
            <w:pPr>
              <w:autoSpaceDE w:val="0"/>
              <w:autoSpaceDN w:val="0"/>
              <w:adjustRightInd w:val="0"/>
              <w:rPr>
                <w:b/>
                <w:bCs/>
                <w:color w:val="000000"/>
                <w:sz w:val="20"/>
              </w:rPr>
            </w:pPr>
            <w:r>
              <w:rPr>
                <w:b/>
                <w:color w:val="000000"/>
                <w:sz w:val="20"/>
              </w:rPr>
              <w:t>Commission(s) compétente(s) au fond</w:t>
            </w:r>
          </w:p>
          <w:p w14:paraId="2B6016FB" w14:textId="77777777" w:rsidR="00BA0C11" w:rsidRDefault="00BA0C11">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14:paraId="205E6FEE" w14:textId="77777777" w:rsidR="00BA0C11" w:rsidRDefault="00BA0C11">
            <w:pPr>
              <w:autoSpaceDE w:val="0"/>
              <w:autoSpaceDN w:val="0"/>
              <w:adjustRightInd w:val="0"/>
              <w:rPr>
                <w:color w:val="000000"/>
                <w:sz w:val="20"/>
              </w:rPr>
            </w:pPr>
            <w:r>
              <w:rPr>
                <w:color w:val="000000"/>
                <w:sz w:val="20"/>
              </w:rPr>
              <w:t>ECON</w:t>
            </w:r>
          </w:p>
          <w:p w14:paraId="61F8C1A5" w14:textId="77777777" w:rsidR="00BA0C11" w:rsidRDefault="00BA0C11">
            <w:pPr>
              <w:autoSpaceDE w:val="0"/>
              <w:autoSpaceDN w:val="0"/>
              <w:adjustRightInd w:val="0"/>
              <w:rPr>
                <w:color w:val="000000"/>
                <w:sz w:val="20"/>
              </w:rPr>
            </w:pPr>
            <w:r>
              <w:rPr>
                <w:color w:val="000000"/>
                <w:sz w:val="20"/>
              </w:rPr>
              <w:t>6.10.2025</w:t>
            </w:r>
          </w:p>
        </w:tc>
        <w:tc>
          <w:tcPr>
            <w:tcW w:w="1474" w:type="dxa"/>
            <w:tcBorders>
              <w:top w:val="nil"/>
              <w:left w:val="nil"/>
              <w:bottom w:val="single" w:sz="8" w:space="0" w:color="000000"/>
              <w:right w:val="nil"/>
            </w:tcBorders>
            <w:tcMar>
              <w:top w:w="79" w:type="dxa"/>
              <w:left w:w="79" w:type="dxa"/>
              <w:bottom w:w="79" w:type="dxa"/>
              <w:right w:w="79" w:type="dxa"/>
            </w:tcMar>
          </w:tcPr>
          <w:p w14:paraId="1F29BC06" w14:textId="77777777" w:rsidR="00BA0C11" w:rsidRDefault="00BA0C1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F1EE6EE" w14:textId="77777777" w:rsidR="00BA0C11" w:rsidRDefault="00BA0C1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F8E0D80" w14:textId="77777777" w:rsidR="00BA0C11" w:rsidRDefault="00BA0C11">
            <w:pPr>
              <w:autoSpaceDE w:val="0"/>
              <w:autoSpaceDN w:val="0"/>
              <w:adjustRightInd w:val="0"/>
              <w:rPr>
                <w:rFonts w:ascii="sans-serif" w:hAnsi="sans-serif" w:cs="sans-serif"/>
                <w:color w:val="000000"/>
              </w:rPr>
            </w:pPr>
          </w:p>
        </w:tc>
      </w:tr>
      <w:tr w:rsidR="00BA0C11" w14:paraId="2962BD9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BC4B7A" w14:textId="77777777" w:rsidR="00BA0C11" w:rsidRDefault="00BA0C11">
            <w:pPr>
              <w:autoSpaceDE w:val="0"/>
              <w:autoSpaceDN w:val="0"/>
              <w:adjustRightInd w:val="0"/>
              <w:rPr>
                <w:b/>
                <w:bCs/>
                <w:color w:val="000000"/>
                <w:sz w:val="20"/>
              </w:rPr>
            </w:pPr>
            <w:r>
              <w:rPr>
                <w:b/>
                <w:color w:val="000000"/>
                <w:sz w:val="20"/>
              </w:rPr>
              <w:t>Rapporteurs</w:t>
            </w:r>
          </w:p>
          <w:p w14:paraId="30A871DF" w14:textId="77777777" w:rsidR="00BA0C11" w:rsidRDefault="00BA0C11">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92536E0" w14:textId="77777777" w:rsidR="00BA0C11" w:rsidRDefault="00BA0C11">
            <w:pPr>
              <w:autoSpaceDE w:val="0"/>
              <w:autoSpaceDN w:val="0"/>
              <w:adjustRightInd w:val="0"/>
              <w:rPr>
                <w:color w:val="000000"/>
                <w:sz w:val="20"/>
              </w:rPr>
            </w:pPr>
            <w:r>
              <w:rPr>
                <w:color w:val="000000"/>
                <w:sz w:val="20"/>
              </w:rPr>
              <w:t>Kinga Kollár</w:t>
            </w:r>
          </w:p>
          <w:p w14:paraId="33B7186D" w14:textId="77777777" w:rsidR="00BA0C11" w:rsidRDefault="00BA0C11">
            <w:pPr>
              <w:autoSpaceDE w:val="0"/>
              <w:autoSpaceDN w:val="0"/>
              <w:adjustRightInd w:val="0"/>
              <w:rPr>
                <w:color w:val="000000"/>
                <w:sz w:val="20"/>
              </w:rPr>
            </w:pPr>
            <w:r>
              <w:rPr>
                <w:color w:val="000000"/>
                <w:sz w:val="20"/>
              </w:rPr>
              <w:t>11.9.2025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30DA67"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7375BDC"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CBFAD7" w14:textId="77777777" w:rsidR="00BA0C11" w:rsidRDefault="00BA0C11">
            <w:pPr>
              <w:autoSpaceDE w:val="0"/>
              <w:autoSpaceDN w:val="0"/>
              <w:adjustRightInd w:val="0"/>
              <w:rPr>
                <w:rFonts w:ascii="sans-serif" w:hAnsi="sans-serif" w:cs="sans-serif"/>
                <w:color w:val="000000"/>
              </w:rPr>
            </w:pPr>
          </w:p>
        </w:tc>
      </w:tr>
      <w:tr w:rsidR="00BA0C11" w14:paraId="0706578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0FCECD" w14:textId="77777777" w:rsidR="00BA0C11" w:rsidRDefault="00BA0C11">
            <w:pPr>
              <w:autoSpaceDE w:val="0"/>
              <w:autoSpaceDN w:val="0"/>
              <w:adjustRightInd w:val="0"/>
              <w:rPr>
                <w:b/>
                <w:bCs/>
                <w:color w:val="000000"/>
                <w:sz w:val="20"/>
              </w:rPr>
            </w:pPr>
            <w:r>
              <w:rPr>
                <w:b/>
                <w:color w:val="000000"/>
                <w:sz w:val="20"/>
              </w:rPr>
              <w:t>Procédure simplifiée - date de la décision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7D67DD" w14:textId="77777777" w:rsidR="00BA0C11" w:rsidRDefault="00BA0C11">
            <w:pPr>
              <w:autoSpaceDE w:val="0"/>
              <w:autoSpaceDN w:val="0"/>
              <w:adjustRightInd w:val="0"/>
              <w:rPr>
                <w:color w:val="000000"/>
                <w:sz w:val="20"/>
              </w:rPr>
            </w:pPr>
            <w:r>
              <w:rPr>
                <w:color w:val="000000"/>
                <w:sz w:val="20"/>
              </w:rPr>
              <w:t>13.10.2025</w:t>
            </w:r>
          </w:p>
        </w:tc>
      </w:tr>
      <w:tr w:rsidR="00BA0C11" w14:paraId="060C5E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580858" w14:textId="77777777" w:rsidR="00BA0C11" w:rsidRDefault="00BA0C11">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144E3F2" w14:textId="77777777" w:rsidR="00BA0C11" w:rsidRDefault="00BA0C11">
            <w:pPr>
              <w:autoSpaceDE w:val="0"/>
              <w:autoSpaceDN w:val="0"/>
              <w:adjustRightInd w:val="0"/>
              <w:rPr>
                <w:color w:val="000000"/>
                <w:sz w:val="20"/>
              </w:rPr>
            </w:pPr>
            <w:r>
              <w:rPr>
                <w:color w:val="000000"/>
                <w:sz w:val="20"/>
              </w:rPr>
              <w:t>13.10.2025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E99BCC"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0AB5A0" w14:textId="77777777" w:rsidR="00BA0C11" w:rsidRDefault="00BA0C1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E6B722" w14:textId="77777777" w:rsidR="00BA0C11" w:rsidRDefault="00BA0C11">
            <w:pPr>
              <w:autoSpaceDE w:val="0"/>
              <w:autoSpaceDN w:val="0"/>
              <w:adjustRightInd w:val="0"/>
              <w:rPr>
                <w:rFonts w:ascii="sans-serif" w:hAnsi="sans-serif" w:cs="sans-serif"/>
                <w:color w:val="000000"/>
              </w:rPr>
            </w:pPr>
          </w:p>
        </w:tc>
      </w:tr>
      <w:tr w:rsidR="00BA0C11" w14:paraId="6B62ED9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8F7BF4" w14:textId="77777777" w:rsidR="00BA0C11" w:rsidRDefault="00BA0C11">
            <w:pPr>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92F8E3" w14:textId="77777777" w:rsidR="00BA0C11" w:rsidRDefault="00BA0C11">
            <w:pPr>
              <w:autoSpaceDE w:val="0"/>
              <w:autoSpaceDN w:val="0"/>
              <w:adjustRightInd w:val="0"/>
              <w:rPr>
                <w:color w:val="000000"/>
                <w:sz w:val="20"/>
              </w:rPr>
            </w:pPr>
            <w:r>
              <w:rPr>
                <w:color w:val="000000"/>
                <w:sz w:val="20"/>
              </w:rPr>
              <w:t>20.10.2025</w:t>
            </w:r>
          </w:p>
        </w:tc>
      </w:tr>
    </w:tbl>
    <w:p w14:paraId="4D426F02" w14:textId="77777777" w:rsidR="00BA0C11" w:rsidRDefault="00BA0C11"/>
    <w:bookmarkEnd w:id="6"/>
    <w:p w14:paraId="5A6E19D7" w14:textId="39A4035B" w:rsidR="00443303" w:rsidRPr="00BA0C11" w:rsidRDefault="00443303" w:rsidP="00BA0C11"/>
    <w:sectPr w:rsidR="00443303" w:rsidRPr="00BA0C11" w:rsidSect="00443303">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4524E" w14:textId="77777777" w:rsidR="006E64DB" w:rsidRPr="007D55C0" w:rsidRDefault="006E64DB">
      <w:r w:rsidRPr="007D55C0">
        <w:separator/>
      </w:r>
    </w:p>
  </w:endnote>
  <w:endnote w:type="continuationSeparator" w:id="0">
    <w:p w14:paraId="482496AA" w14:textId="77777777" w:rsidR="006E64DB" w:rsidRPr="007D55C0" w:rsidRDefault="006E64DB">
      <w:r w:rsidRPr="007D5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Noto Sans Symbols">
    <w:altName w:val="Times New Roman"/>
    <w:charset w:val="00"/>
    <w:family w:val="auto"/>
    <w:pitch w:val="default"/>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2120" w14:textId="77777777" w:rsidR="00C2585A" w:rsidRPr="007D55C0" w:rsidRDefault="00C2585A" w:rsidP="00C2585A">
    <w:pPr>
      <w:pStyle w:val="EPFooter"/>
    </w:pPr>
    <w:r w:rsidRPr="007D55C0">
      <w:t>PE</w:t>
    </w:r>
    <w:r w:rsidRPr="007D55C0">
      <w:rPr>
        <w:rStyle w:val="HideTWBExt"/>
      </w:rPr>
      <w:t>&lt;NoPE&gt;</w:t>
    </w:r>
    <w:r w:rsidRPr="007D55C0">
      <w:t>778.342</w:t>
    </w:r>
    <w:r w:rsidRPr="007D55C0">
      <w:rPr>
        <w:rStyle w:val="HideTWBExt"/>
      </w:rPr>
      <w:t>&lt;/NoPE&gt;&lt;Version&gt;</w:t>
    </w:r>
    <w:r w:rsidRPr="007D55C0">
      <w:t>v01-00</w:t>
    </w:r>
    <w:r w:rsidRPr="007D55C0">
      <w:rPr>
        <w:rStyle w:val="HideTWBExt"/>
      </w:rPr>
      <w:t>&lt;/Version&gt;</w:t>
    </w:r>
    <w:r w:rsidRPr="007D55C0">
      <w:tab/>
    </w:r>
    <w:r w:rsidRPr="007D55C0">
      <w:fldChar w:fldCharType="begin"/>
    </w:r>
    <w:r w:rsidRPr="007D55C0">
      <w:instrText xml:space="preserve"> PAGE  \* MERGEFORMAT </w:instrText>
    </w:r>
    <w:r w:rsidRPr="007D55C0">
      <w:fldChar w:fldCharType="separate"/>
    </w:r>
    <w:r w:rsidRPr="007D55C0">
      <w:rPr>
        <w:noProof/>
      </w:rPr>
      <w:t>2</w:t>
    </w:r>
    <w:r w:rsidRPr="007D55C0">
      <w:fldChar w:fldCharType="end"/>
    </w:r>
    <w:r w:rsidRPr="007D55C0">
      <w:t>/</w:t>
    </w:r>
    <w:r w:rsidR="00511E04">
      <w:fldChar w:fldCharType="begin"/>
    </w:r>
    <w:r w:rsidR="00511E04">
      <w:instrText xml:space="preserve"> NUMPAGES  \* MERGEFORMAT </w:instrText>
    </w:r>
    <w:r w:rsidR="00511E04">
      <w:fldChar w:fldCharType="separate"/>
    </w:r>
    <w:r w:rsidRPr="007D55C0">
      <w:rPr>
        <w:noProof/>
      </w:rPr>
      <w:t>9</w:t>
    </w:r>
    <w:r w:rsidR="00511E04">
      <w:rPr>
        <w:noProof/>
      </w:rPr>
      <w:fldChar w:fldCharType="end"/>
    </w:r>
    <w:r w:rsidRPr="007D55C0">
      <w:tab/>
    </w:r>
    <w:r w:rsidRPr="007D55C0">
      <w:rPr>
        <w:rStyle w:val="HideTWBExt"/>
      </w:rPr>
      <w:t>&lt;PathFdR&gt;</w:t>
    </w:r>
    <w:r w:rsidRPr="007D55C0">
      <w:t>RR\1330364FR.docx</w:t>
    </w:r>
    <w:r w:rsidRPr="007D55C0">
      <w:rPr>
        <w:rStyle w:val="HideTWBExt"/>
      </w:rPr>
      <w:t>&lt;/PathFdR&gt;</w:t>
    </w:r>
  </w:p>
  <w:p w14:paraId="3E3DFC04" w14:textId="2AF9D916" w:rsidR="00443303" w:rsidRPr="007D55C0" w:rsidRDefault="00C2585A" w:rsidP="00C2585A">
    <w:pPr>
      <w:pStyle w:val="EPFooter2"/>
    </w:pPr>
    <w:r w:rsidRPr="007D55C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2A7D" w14:textId="77777777" w:rsidR="00C2585A" w:rsidRPr="007D55C0" w:rsidRDefault="00C2585A" w:rsidP="00C2585A">
    <w:pPr>
      <w:pStyle w:val="EPFooter"/>
    </w:pPr>
    <w:r w:rsidRPr="007D55C0">
      <w:rPr>
        <w:rStyle w:val="HideTWBExt"/>
      </w:rPr>
      <w:t>&lt;PathFdR&gt;</w:t>
    </w:r>
    <w:r w:rsidRPr="007D55C0">
      <w:t>RR\1330364FR.docx</w:t>
    </w:r>
    <w:r w:rsidRPr="007D55C0">
      <w:rPr>
        <w:rStyle w:val="HideTWBExt"/>
      </w:rPr>
      <w:t>&lt;/PathFdR&gt;</w:t>
    </w:r>
    <w:r w:rsidRPr="007D55C0">
      <w:tab/>
    </w:r>
    <w:r w:rsidRPr="007D55C0">
      <w:fldChar w:fldCharType="begin"/>
    </w:r>
    <w:r w:rsidRPr="007D55C0">
      <w:instrText xml:space="preserve"> PAGE  \* MERGEFORMAT </w:instrText>
    </w:r>
    <w:r w:rsidRPr="007D55C0">
      <w:fldChar w:fldCharType="separate"/>
    </w:r>
    <w:r w:rsidRPr="007D55C0">
      <w:rPr>
        <w:noProof/>
      </w:rPr>
      <w:t>5</w:t>
    </w:r>
    <w:r w:rsidRPr="007D55C0">
      <w:fldChar w:fldCharType="end"/>
    </w:r>
    <w:r w:rsidRPr="007D55C0">
      <w:t>/</w:t>
    </w:r>
    <w:r w:rsidR="00511E04">
      <w:fldChar w:fldCharType="begin"/>
    </w:r>
    <w:r w:rsidR="00511E04">
      <w:instrText xml:space="preserve"> NUMPAGES  \* MERGEFORMAT </w:instrText>
    </w:r>
    <w:r w:rsidR="00511E04">
      <w:fldChar w:fldCharType="separate"/>
    </w:r>
    <w:r w:rsidRPr="007D55C0">
      <w:rPr>
        <w:noProof/>
      </w:rPr>
      <w:t>9</w:t>
    </w:r>
    <w:r w:rsidR="00511E04">
      <w:rPr>
        <w:noProof/>
      </w:rPr>
      <w:fldChar w:fldCharType="end"/>
    </w:r>
    <w:r w:rsidRPr="007D55C0">
      <w:tab/>
      <w:t>PE</w:t>
    </w:r>
    <w:r w:rsidRPr="007D55C0">
      <w:rPr>
        <w:rStyle w:val="HideTWBExt"/>
      </w:rPr>
      <w:t>&lt;NoPE&gt;</w:t>
    </w:r>
    <w:r w:rsidRPr="007D55C0">
      <w:t>778.342</w:t>
    </w:r>
    <w:r w:rsidRPr="007D55C0">
      <w:rPr>
        <w:rStyle w:val="HideTWBExt"/>
      </w:rPr>
      <w:t>&lt;/NoPE&gt;&lt;Version&gt;</w:t>
    </w:r>
    <w:r w:rsidRPr="007D55C0">
      <w:t>v01-00</w:t>
    </w:r>
    <w:r w:rsidRPr="007D55C0">
      <w:rPr>
        <w:rStyle w:val="HideTWBExt"/>
      </w:rPr>
      <w:t>&lt;/Version&gt;</w:t>
    </w:r>
  </w:p>
  <w:p w14:paraId="12A9FE98" w14:textId="15E8A2EB" w:rsidR="00443303" w:rsidRPr="007D55C0" w:rsidRDefault="00C2585A" w:rsidP="00C2585A">
    <w:pPr>
      <w:pStyle w:val="EPFooter2"/>
    </w:pPr>
    <w:r w:rsidRPr="007D55C0">
      <w:tab/>
    </w:r>
    <w:r w:rsidRPr="007D55C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3340D" w14:textId="77777777" w:rsidR="00C2585A" w:rsidRPr="007D55C0" w:rsidRDefault="00C2585A" w:rsidP="00C2585A">
    <w:pPr>
      <w:pStyle w:val="EPFooter"/>
    </w:pPr>
    <w:r w:rsidRPr="007D55C0">
      <w:rPr>
        <w:rStyle w:val="HideTWBExt"/>
      </w:rPr>
      <w:t>&lt;PathFdR&gt;</w:t>
    </w:r>
    <w:r w:rsidRPr="007D55C0">
      <w:t>RR\1330364FR.docx</w:t>
    </w:r>
    <w:r w:rsidRPr="007D55C0">
      <w:rPr>
        <w:rStyle w:val="HideTWBExt"/>
      </w:rPr>
      <w:t>&lt;/PathFdR&gt;</w:t>
    </w:r>
    <w:r w:rsidRPr="007D55C0">
      <w:tab/>
    </w:r>
    <w:r w:rsidRPr="007D55C0">
      <w:tab/>
      <w:t>PE</w:t>
    </w:r>
    <w:r w:rsidRPr="007D55C0">
      <w:rPr>
        <w:rStyle w:val="HideTWBExt"/>
      </w:rPr>
      <w:t>&lt;NoPE&gt;</w:t>
    </w:r>
    <w:r w:rsidRPr="007D55C0">
      <w:t>778.342</w:t>
    </w:r>
    <w:r w:rsidRPr="007D55C0">
      <w:rPr>
        <w:rStyle w:val="HideTWBExt"/>
      </w:rPr>
      <w:t>&lt;/NoPE&gt;&lt;Version&gt;</w:t>
    </w:r>
    <w:r w:rsidRPr="007D55C0">
      <w:t>v01-00</w:t>
    </w:r>
    <w:r w:rsidRPr="007D55C0">
      <w:rPr>
        <w:rStyle w:val="HideTWBExt"/>
      </w:rPr>
      <w:t>&lt;/Version&gt;</w:t>
    </w:r>
  </w:p>
  <w:p w14:paraId="571CC49B" w14:textId="6F5AEA5B" w:rsidR="00443303" w:rsidRPr="007D55C0" w:rsidRDefault="00C2585A" w:rsidP="00C2585A">
    <w:pPr>
      <w:pStyle w:val="EPFooter2"/>
    </w:pPr>
    <w:r w:rsidRPr="007D55C0">
      <w:t>FR</w:t>
    </w:r>
    <w:r w:rsidRPr="007D55C0">
      <w:tab/>
    </w:r>
    <w:r w:rsidRPr="007D55C0">
      <w:rPr>
        <w:b w:val="0"/>
        <w:i/>
        <w:color w:val="C0C0C0"/>
        <w:sz w:val="22"/>
      </w:rPr>
      <w:t>Unie dans la diversité</w:t>
    </w:r>
    <w:r w:rsidRPr="007D55C0">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BCC6" w14:textId="63EEAE07" w:rsidR="00443303" w:rsidRPr="007D55C0" w:rsidRDefault="00443303" w:rsidP="00443303">
    <w:pPr>
      <w:pStyle w:val="EPFooter"/>
    </w:pPr>
    <w:r w:rsidRPr="007D55C0">
      <w:rPr>
        <w:rStyle w:val="HideTWBExt"/>
      </w:rPr>
      <w:t>&lt;PathFdR&gt;</w:t>
    </w:r>
    <w:r w:rsidR="007D55C0" w:rsidRPr="007D55C0">
      <w:t>RR\1330364FR.docx</w:t>
    </w:r>
    <w:r w:rsidRPr="007D55C0">
      <w:rPr>
        <w:rStyle w:val="HideTWBExt"/>
      </w:rPr>
      <w:t>&lt;/PathFdR&gt;</w:t>
    </w:r>
    <w:r w:rsidRPr="007D55C0">
      <w:tab/>
    </w:r>
    <w:r w:rsidRPr="007D55C0">
      <w:tab/>
      <w:t>PE</w:t>
    </w:r>
    <w:r w:rsidRPr="007D55C0">
      <w:rPr>
        <w:rStyle w:val="HideTWBExt"/>
      </w:rPr>
      <w:t>&lt;NoPE&gt;</w:t>
    </w:r>
    <w:r w:rsidRPr="007D55C0">
      <w:t>778.342</w:t>
    </w:r>
    <w:r w:rsidRPr="007D55C0">
      <w:rPr>
        <w:rStyle w:val="HideTWBExt"/>
      </w:rPr>
      <w:t>&lt;/NoPE&gt;&lt;Version&gt;</w:t>
    </w:r>
    <w:r w:rsidRPr="007D55C0">
      <w:t>v01-00</w:t>
    </w:r>
    <w:r w:rsidRPr="007D55C0">
      <w:rPr>
        <w:rStyle w:val="HideTWBExt"/>
      </w:rPr>
      <w:t>&lt;/Version&gt;</w:t>
    </w:r>
  </w:p>
  <w:p w14:paraId="08C34C0F" w14:textId="45895A68" w:rsidR="00DF14BE" w:rsidRPr="007D55C0" w:rsidRDefault="00443303" w:rsidP="00443303">
    <w:pPr>
      <w:pStyle w:val="EPFooter2"/>
    </w:pPr>
    <w:r w:rsidRPr="007D55C0">
      <w:t>EN</w:t>
    </w:r>
    <w:r w:rsidRPr="007D55C0">
      <w:tab/>
    </w:r>
    <w:r w:rsidRPr="007D55C0">
      <w:rPr>
        <w:b w:val="0"/>
        <w:i/>
        <w:color w:val="C0C0C0"/>
        <w:sz w:val="22"/>
      </w:rPr>
      <w:t>United in diversity</w:t>
    </w:r>
    <w:r w:rsidRPr="007D55C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6435D" w14:textId="77777777" w:rsidR="006E64DB" w:rsidRPr="007D55C0" w:rsidRDefault="006E64DB">
      <w:r w:rsidRPr="007D55C0">
        <w:separator/>
      </w:r>
    </w:p>
  </w:footnote>
  <w:footnote w:type="continuationSeparator" w:id="0">
    <w:p w14:paraId="6D2AED8D" w14:textId="77777777" w:rsidR="006E64DB" w:rsidRPr="007D55C0" w:rsidRDefault="006E64DB">
      <w:r w:rsidRPr="007D55C0">
        <w:continuationSeparator/>
      </w:r>
    </w:p>
  </w:footnote>
  <w:footnote w:id="1">
    <w:p w14:paraId="1CCC2AC6" w14:textId="7887C569" w:rsidR="001123EB" w:rsidRPr="007D55C0" w:rsidRDefault="001123EB" w:rsidP="001123EB">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tooltip="Donne accès à ce document au moyen de son URI ELI."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BD55" w14:textId="77777777" w:rsidR="00DF6D00" w:rsidRDefault="00DF6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A07F" w14:textId="77777777" w:rsidR="00DF6D00" w:rsidRDefault="00DF6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AEB0" w14:textId="77777777" w:rsidR="00DF6D00" w:rsidRDefault="00DF6D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9A0F" w14:textId="77777777" w:rsidR="00792E46" w:rsidRDefault="00792E4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A13C" w14:textId="77777777" w:rsidR="00792E46" w:rsidRDefault="00792E4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D8A56" w14:textId="77777777" w:rsidR="00443303" w:rsidRDefault="004433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86805643">
    <w:abstractNumId w:val="9"/>
  </w:num>
  <w:num w:numId="2" w16cid:durableId="900746721">
    <w:abstractNumId w:val="9"/>
  </w:num>
  <w:num w:numId="3" w16cid:durableId="1201356908">
    <w:abstractNumId w:val="7"/>
  </w:num>
  <w:num w:numId="4" w16cid:durableId="1803420023">
    <w:abstractNumId w:val="7"/>
  </w:num>
  <w:num w:numId="5" w16cid:durableId="1456680929">
    <w:abstractNumId w:val="6"/>
  </w:num>
  <w:num w:numId="6" w16cid:durableId="2028210147">
    <w:abstractNumId w:val="6"/>
  </w:num>
  <w:num w:numId="7" w16cid:durableId="836576113">
    <w:abstractNumId w:val="5"/>
  </w:num>
  <w:num w:numId="8" w16cid:durableId="17392523">
    <w:abstractNumId w:val="5"/>
  </w:num>
  <w:num w:numId="9" w16cid:durableId="1501116928">
    <w:abstractNumId w:val="4"/>
  </w:num>
  <w:num w:numId="10" w16cid:durableId="2080056108">
    <w:abstractNumId w:val="4"/>
  </w:num>
  <w:num w:numId="11" w16cid:durableId="1163936625">
    <w:abstractNumId w:val="8"/>
  </w:num>
  <w:num w:numId="12" w16cid:durableId="222063493">
    <w:abstractNumId w:val="8"/>
  </w:num>
  <w:num w:numId="13" w16cid:durableId="2146771762">
    <w:abstractNumId w:val="3"/>
  </w:num>
  <w:num w:numId="14" w16cid:durableId="1320231975">
    <w:abstractNumId w:val="3"/>
  </w:num>
  <w:num w:numId="15" w16cid:durableId="1986157890">
    <w:abstractNumId w:val="2"/>
  </w:num>
  <w:num w:numId="16" w16cid:durableId="617222860">
    <w:abstractNumId w:val="2"/>
  </w:num>
  <w:num w:numId="17" w16cid:durableId="1607230564">
    <w:abstractNumId w:val="1"/>
  </w:num>
  <w:num w:numId="18" w16cid:durableId="432943724">
    <w:abstractNumId w:val="1"/>
  </w:num>
  <w:num w:numId="19" w16cid:durableId="143207262">
    <w:abstractNumId w:val="0"/>
  </w:num>
  <w:num w:numId="20" w16cid:durableId="1789543614">
    <w:abstractNumId w:val="0"/>
  </w:num>
  <w:num w:numId="21" w16cid:durableId="1625885854">
    <w:abstractNumId w:val="9"/>
  </w:num>
  <w:num w:numId="22" w16cid:durableId="63572980">
    <w:abstractNumId w:val="7"/>
  </w:num>
  <w:num w:numId="23" w16cid:durableId="1263951725">
    <w:abstractNumId w:val="6"/>
  </w:num>
  <w:num w:numId="24" w16cid:durableId="284580844">
    <w:abstractNumId w:val="5"/>
  </w:num>
  <w:num w:numId="25" w16cid:durableId="126631688">
    <w:abstractNumId w:val="4"/>
  </w:num>
  <w:num w:numId="26" w16cid:durableId="1151287129">
    <w:abstractNumId w:val="8"/>
  </w:num>
  <w:num w:numId="27" w16cid:durableId="122582560">
    <w:abstractNumId w:val="3"/>
  </w:num>
  <w:num w:numId="28" w16cid:durableId="1079449873">
    <w:abstractNumId w:val="2"/>
  </w:num>
  <w:num w:numId="29" w16cid:durableId="1697081022">
    <w:abstractNumId w:val="1"/>
  </w:num>
  <w:num w:numId="30" w16cid:durableId="1155414366">
    <w:abstractNumId w:val="0"/>
  </w:num>
  <w:num w:numId="31" w16cid:durableId="1886674741">
    <w:abstractNumId w:val="9"/>
  </w:num>
  <w:num w:numId="32" w16cid:durableId="1677876417">
    <w:abstractNumId w:val="7"/>
  </w:num>
  <w:num w:numId="33" w16cid:durableId="669722583">
    <w:abstractNumId w:val="6"/>
  </w:num>
  <w:num w:numId="34" w16cid:durableId="220751422">
    <w:abstractNumId w:val="5"/>
  </w:num>
  <w:num w:numId="35" w16cid:durableId="1347098771">
    <w:abstractNumId w:val="4"/>
  </w:num>
  <w:num w:numId="36" w16cid:durableId="2129615128">
    <w:abstractNumId w:val="8"/>
  </w:num>
  <w:num w:numId="37" w16cid:durableId="192040364">
    <w:abstractNumId w:val="3"/>
  </w:num>
  <w:num w:numId="38" w16cid:durableId="389614736">
    <w:abstractNumId w:val="2"/>
  </w:num>
  <w:num w:numId="39" w16cid:durableId="1694912710">
    <w:abstractNumId w:val="1"/>
  </w:num>
  <w:num w:numId="40" w16cid:durableId="991256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CON"/>
    <w:docVar w:name="CopyToNetwork" w:val="-1"/>
    <w:docVar w:name="DOCDT" w:val="20/10/2025"/>
    <w:docVar w:name="LastEditedSection" w:val=" 1"/>
    <w:docVar w:name="strDocTypeID" w:val="PR_NLE-CN_Agreement_app"/>
    <w:docVar w:name="strSubDir" w:val="1330"/>
    <w:docVar w:name="TITLEMNU" w:val=" 1"/>
    <w:docVar w:name="TXTLANGUE" w:val="FR"/>
    <w:docVar w:name="TXTLANGUEMIN" w:val="fr"/>
    <w:docVar w:name="TXTNRC" w:val="0202/2025"/>
    <w:docVar w:name="TXTNRCOM" w:val="(2025)0404"/>
    <w:docVar w:name="TXTNRNLE" w:val="2025/0219"/>
    <w:docVar w:name="TXTNRPE" w:val="778.342"/>
    <w:docVar w:name="TXTPEorAP" w:val="PE"/>
    <w:docVar w:name="TXTROUTE" w:val="RR\1330364FR.docx"/>
    <w:docVar w:name="TXTTITLE" w:val="on the conclusion, on behalf of the Union, of the Amending Protocol to the Agreement between the European Union and the Principality of Monaco on the exchange of financial account information to improve international tax compliance in accordance with the Standard for Automatic Exchange of Financial Account Information in Tax Matters developed by the Organisation for Economic Cooperation and Development (OECD)"/>
    <w:docVar w:name="TXTVERSION" w:val="01-00"/>
  </w:docVars>
  <w:rsids>
    <w:rsidRoot w:val="006E64DB"/>
    <w:rsid w:val="0000443F"/>
    <w:rsid w:val="000212E4"/>
    <w:rsid w:val="00053A60"/>
    <w:rsid w:val="00106266"/>
    <w:rsid w:val="001123EB"/>
    <w:rsid w:val="00153A54"/>
    <w:rsid w:val="0015581D"/>
    <w:rsid w:val="0015639E"/>
    <w:rsid w:val="0016436D"/>
    <w:rsid w:val="00196124"/>
    <w:rsid w:val="001B123A"/>
    <w:rsid w:val="001D02E3"/>
    <w:rsid w:val="00214F54"/>
    <w:rsid w:val="00217412"/>
    <w:rsid w:val="002832B4"/>
    <w:rsid w:val="00290AE7"/>
    <w:rsid w:val="002A4FE2"/>
    <w:rsid w:val="002E4F93"/>
    <w:rsid w:val="003072BE"/>
    <w:rsid w:val="00363B94"/>
    <w:rsid w:val="003872AC"/>
    <w:rsid w:val="003D4A58"/>
    <w:rsid w:val="003F5D57"/>
    <w:rsid w:val="00402D1F"/>
    <w:rsid w:val="004174FC"/>
    <w:rsid w:val="00443303"/>
    <w:rsid w:val="004579C2"/>
    <w:rsid w:val="004E1650"/>
    <w:rsid w:val="00511E04"/>
    <w:rsid w:val="005B62F3"/>
    <w:rsid w:val="005D0B97"/>
    <w:rsid w:val="005E1EA4"/>
    <w:rsid w:val="005F2FBF"/>
    <w:rsid w:val="005F5D6C"/>
    <w:rsid w:val="005F6074"/>
    <w:rsid w:val="00680683"/>
    <w:rsid w:val="006A0D52"/>
    <w:rsid w:val="006A5E84"/>
    <w:rsid w:val="006E4A7C"/>
    <w:rsid w:val="006E64DB"/>
    <w:rsid w:val="006F1830"/>
    <w:rsid w:val="00763956"/>
    <w:rsid w:val="007848A9"/>
    <w:rsid w:val="007858D7"/>
    <w:rsid w:val="00792E46"/>
    <w:rsid w:val="007B55E3"/>
    <w:rsid w:val="007B75C6"/>
    <w:rsid w:val="007D55C0"/>
    <w:rsid w:val="007F011C"/>
    <w:rsid w:val="008006C2"/>
    <w:rsid w:val="0080122F"/>
    <w:rsid w:val="008244C3"/>
    <w:rsid w:val="00851E9A"/>
    <w:rsid w:val="00863C1A"/>
    <w:rsid w:val="008A5223"/>
    <w:rsid w:val="008B7430"/>
    <w:rsid w:val="008E1972"/>
    <w:rsid w:val="008F2B0C"/>
    <w:rsid w:val="00900F4F"/>
    <w:rsid w:val="009045E3"/>
    <w:rsid w:val="0095771A"/>
    <w:rsid w:val="009612AA"/>
    <w:rsid w:val="009A42D5"/>
    <w:rsid w:val="009C0C83"/>
    <w:rsid w:val="009D1CD4"/>
    <w:rsid w:val="009D25ED"/>
    <w:rsid w:val="009E72E7"/>
    <w:rsid w:val="00A44EED"/>
    <w:rsid w:val="00AB6ABE"/>
    <w:rsid w:val="00B42885"/>
    <w:rsid w:val="00B678FE"/>
    <w:rsid w:val="00B71B0D"/>
    <w:rsid w:val="00B77974"/>
    <w:rsid w:val="00B83114"/>
    <w:rsid w:val="00BA0C11"/>
    <w:rsid w:val="00BA27AE"/>
    <w:rsid w:val="00BD03D3"/>
    <w:rsid w:val="00BE5E72"/>
    <w:rsid w:val="00BF0A0F"/>
    <w:rsid w:val="00BF74DA"/>
    <w:rsid w:val="00C2585A"/>
    <w:rsid w:val="00C5335F"/>
    <w:rsid w:val="00C61611"/>
    <w:rsid w:val="00C7308E"/>
    <w:rsid w:val="00C73109"/>
    <w:rsid w:val="00C74382"/>
    <w:rsid w:val="00C93318"/>
    <w:rsid w:val="00CD2441"/>
    <w:rsid w:val="00CE63AB"/>
    <w:rsid w:val="00CF2C3E"/>
    <w:rsid w:val="00CF3A87"/>
    <w:rsid w:val="00D46D9B"/>
    <w:rsid w:val="00D52CB6"/>
    <w:rsid w:val="00D52CCE"/>
    <w:rsid w:val="00D76176"/>
    <w:rsid w:val="00D77296"/>
    <w:rsid w:val="00DD7668"/>
    <w:rsid w:val="00DF14BE"/>
    <w:rsid w:val="00DF6D00"/>
    <w:rsid w:val="00E93816"/>
    <w:rsid w:val="00E94DD4"/>
    <w:rsid w:val="00EF01FF"/>
    <w:rsid w:val="00EF313A"/>
    <w:rsid w:val="00F005C0"/>
    <w:rsid w:val="00F4197F"/>
    <w:rsid w:val="00FD471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809B6"/>
  <w15:chartTrackingRefBased/>
  <w15:docId w15:val="{6C6DE030-79D7-49D1-9953-D4557B5F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17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01FF"/>
    <w:pPr>
      <w:spacing w:before="480" w:after="240"/>
    </w:pPr>
  </w:style>
  <w:style w:type="paragraph" w:styleId="TOC1">
    <w:name w:val="toc 1"/>
    <w:basedOn w:val="Normal"/>
    <w:next w:val="Normal"/>
    <w:autoRedefine/>
    <w:uiPriority w:val="39"/>
    <w:rsid w:val="007858D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CF3A87"/>
    <w:pPr>
      <w:spacing w:before="80" w:after="80"/>
    </w:pPr>
    <w:rPr>
      <w:rFonts w:ascii="Arial Narrow" w:hAnsi="Arial Narrow" w:cs="Arial"/>
      <w:b/>
      <w:sz w:val="32"/>
      <w:szCs w:val="22"/>
    </w:rPr>
  </w:style>
  <w:style w:type="paragraph" w:customStyle="1" w:styleId="CoverNormal24a">
    <w:name w:val="CoverNormal24a"/>
    <w:basedOn w:val="Normal"/>
    <w:rsid w:val="0015581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C0C8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15581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C5335F"/>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CF3A87"/>
    <w:pPr>
      <w:spacing w:after="80"/>
    </w:pPr>
    <w:rPr>
      <w:rFonts w:ascii="Arial" w:hAnsi="Arial" w:cs="Arial"/>
      <w:sz w:val="20"/>
      <w:szCs w:val="22"/>
    </w:rPr>
  </w:style>
  <w:style w:type="paragraph" w:customStyle="1" w:styleId="EPLogo">
    <w:name w:val="EPLogo"/>
    <w:basedOn w:val="Normal"/>
    <w:qFormat/>
    <w:rsid w:val="00CF3A87"/>
    <w:pPr>
      <w:jc w:val="right"/>
    </w:pPr>
  </w:style>
  <w:style w:type="paragraph" w:customStyle="1" w:styleId="EPFooter">
    <w:name w:val="EPFooter"/>
    <w:basedOn w:val="Normal"/>
    <w:rsid w:val="0015581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C5335F"/>
    <w:rPr>
      <w:sz w:val="24"/>
    </w:rPr>
  </w:style>
  <w:style w:type="paragraph" w:customStyle="1" w:styleId="Lgendesigne">
    <w:name w:val="Légende signe"/>
    <w:basedOn w:val="Normal"/>
    <w:rsid w:val="00443303"/>
    <w:pPr>
      <w:tabs>
        <w:tab w:val="right" w:pos="454"/>
        <w:tab w:val="left" w:pos="737"/>
      </w:tabs>
      <w:ind w:left="737" w:hanging="737"/>
    </w:pPr>
    <w:rPr>
      <w:snapToGrid w:val="0"/>
      <w:sz w:val="18"/>
      <w:lang w:eastAsia="en-US"/>
    </w:rPr>
  </w:style>
  <w:style w:type="paragraph" w:customStyle="1" w:styleId="Lgendetitre">
    <w:name w:val="Légende titre"/>
    <w:basedOn w:val="Normal"/>
    <w:rsid w:val="00443303"/>
    <w:pPr>
      <w:spacing w:before="240" w:after="240"/>
    </w:pPr>
    <w:rPr>
      <w:b/>
      <w:i/>
      <w:snapToGrid w:val="0"/>
      <w:lang w:eastAsia="en-US"/>
    </w:rPr>
  </w:style>
  <w:style w:type="paragraph" w:customStyle="1" w:styleId="Lgendestandard">
    <w:name w:val="Légende standard"/>
    <w:basedOn w:val="Normal"/>
    <w:rsid w:val="00443303"/>
    <w:rPr>
      <w:sz w:val="18"/>
    </w:rPr>
  </w:style>
  <w:style w:type="paragraph" w:styleId="Footer">
    <w:name w:val="footer"/>
    <w:basedOn w:val="Normal"/>
    <w:link w:val="FooterChar"/>
    <w:semiHidden/>
    <w:rsid w:val="00443303"/>
    <w:pPr>
      <w:tabs>
        <w:tab w:val="center" w:pos="4513"/>
        <w:tab w:val="right" w:pos="9026"/>
      </w:tabs>
    </w:pPr>
  </w:style>
  <w:style w:type="character" w:customStyle="1" w:styleId="FooterChar">
    <w:name w:val="Footer Char"/>
    <w:basedOn w:val="DefaultParagraphFont"/>
    <w:link w:val="Footer"/>
    <w:semiHidden/>
    <w:rsid w:val="00443303"/>
    <w:rPr>
      <w:sz w:val="24"/>
    </w:rPr>
  </w:style>
  <w:style w:type="character" w:styleId="Hyperlink">
    <w:name w:val="Hyperlink"/>
    <w:basedOn w:val="DefaultParagraphFont"/>
    <w:unhideWhenUsed/>
    <w:rsid w:val="001123EB"/>
    <w:rPr>
      <w:color w:val="0563C1" w:themeColor="hyperlink"/>
      <w:u w:val="single"/>
    </w:rPr>
  </w:style>
  <w:style w:type="paragraph" w:styleId="FootnoteText">
    <w:name w:val="footnote text"/>
    <w:basedOn w:val="Normal"/>
    <w:link w:val="FootnoteTextChar"/>
    <w:unhideWhenUsed/>
    <w:rsid w:val="001123EB"/>
    <w:rPr>
      <w:sz w:val="20"/>
    </w:rPr>
  </w:style>
  <w:style w:type="character" w:customStyle="1" w:styleId="FootnoteTextChar">
    <w:name w:val="Footnote Text Char"/>
    <w:basedOn w:val="DefaultParagraphFont"/>
    <w:link w:val="FootnoteText"/>
    <w:rsid w:val="001123EB"/>
  </w:style>
  <w:style w:type="character" w:styleId="FootnoteReference">
    <w:name w:val="footnote reference"/>
    <w:basedOn w:val="DefaultParagraphFont"/>
    <w:unhideWhenUsed/>
    <w:rsid w:val="001123EB"/>
    <w:rPr>
      <w:vertAlign w:val="superscript"/>
    </w:rPr>
  </w:style>
  <w:style w:type="paragraph" w:styleId="Revision">
    <w:name w:val="Revision"/>
    <w:hidden/>
    <w:uiPriority w:val="99"/>
    <w:semiHidden/>
    <w:rsid w:val="007848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697143">
      <w:bodyDiv w:val="1"/>
      <w:marLeft w:val="0"/>
      <w:marRight w:val="0"/>
      <w:marTop w:val="0"/>
      <w:marBottom w:val="0"/>
      <w:divBdr>
        <w:top w:val="none" w:sz="0" w:space="0" w:color="auto"/>
        <w:left w:val="none" w:sz="0" w:space="0" w:color="auto"/>
        <w:bottom w:val="none" w:sz="0" w:space="0" w:color="auto"/>
        <w:right w:val="none" w:sz="0" w:space="0" w:color="auto"/>
      </w:divBdr>
    </w:div>
    <w:div w:id="708644491">
      <w:bodyDiv w:val="1"/>
      <w:marLeft w:val="0"/>
      <w:marRight w:val="0"/>
      <w:marTop w:val="0"/>
      <w:marBottom w:val="0"/>
      <w:divBdr>
        <w:top w:val="none" w:sz="0" w:space="0" w:color="auto"/>
        <w:left w:val="none" w:sz="0" w:space="0" w:color="auto"/>
        <w:bottom w:val="none" w:sz="0" w:space="0" w:color="auto"/>
        <w:right w:val="none" w:sz="0" w:space="0" w:color="auto"/>
      </w:divBdr>
    </w:div>
    <w:div w:id="993266881">
      <w:bodyDiv w:val="1"/>
      <w:marLeft w:val="0"/>
      <w:marRight w:val="0"/>
      <w:marTop w:val="0"/>
      <w:marBottom w:val="0"/>
      <w:divBdr>
        <w:top w:val="none" w:sz="0" w:space="0" w:color="auto"/>
        <w:left w:val="none" w:sz="0" w:space="0" w:color="auto"/>
        <w:bottom w:val="none" w:sz="0" w:space="0" w:color="auto"/>
        <w:right w:val="none" w:sz="0" w:space="0" w:color="auto"/>
      </w:divBdr>
    </w:div>
    <w:div w:id="1228151404">
      <w:bodyDiv w:val="1"/>
      <w:marLeft w:val="0"/>
      <w:marRight w:val="0"/>
      <w:marTop w:val="0"/>
      <w:marBottom w:val="0"/>
      <w:divBdr>
        <w:top w:val="none" w:sz="0" w:space="0" w:color="auto"/>
        <w:left w:val="none" w:sz="0" w:space="0" w:color="auto"/>
        <w:bottom w:val="none" w:sz="0" w:space="0" w:color="auto"/>
        <w:right w:val="none" w:sz="0" w:space="0" w:color="auto"/>
      </w:divBdr>
    </w:div>
    <w:div w:id="1650667807">
      <w:bodyDiv w:val="1"/>
      <w:marLeft w:val="0"/>
      <w:marRight w:val="0"/>
      <w:marTop w:val="0"/>
      <w:marBottom w:val="0"/>
      <w:divBdr>
        <w:top w:val="none" w:sz="0" w:space="0" w:color="auto"/>
        <w:left w:val="none" w:sz="0" w:space="0" w:color="auto"/>
        <w:bottom w:val="none" w:sz="0" w:space="0" w:color="auto"/>
        <w:right w:val="none" w:sz="0" w:space="0" w:color="auto"/>
      </w:divBdr>
    </w:div>
    <w:div w:id="205176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PEREZ~1\AppData\Local\Temp\PR_NLE-CN_Agreement_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PR_NLE-CN_Agreement_app.dotx</Template>
  <TotalTime>0</TotalTime>
  <Pages>10</Pages>
  <Words>1456</Words>
  <Characters>8727</Characters>
  <Application>Microsoft Office Word</Application>
  <DocSecurity>0</DocSecurity>
  <Lines>223</Lines>
  <Paragraphs>93</Paragraphs>
  <ScaleCrop>false</ScaleCrop>
  <HeadingPairs>
    <vt:vector size="2" baseType="variant">
      <vt:variant>
        <vt:lpstr>Title</vt:lpstr>
      </vt:variant>
      <vt:variant>
        <vt:i4>1</vt:i4>
      </vt:variant>
    </vt:vector>
  </HeadingPairs>
  <TitlesOfParts>
    <vt:vector size="1" baseType="lpstr">
      <vt:lpstr>PR_NLE-CN_Agreement_app</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PR_NLE-CN_Agreement_app</dc:title>
  <dc:subject/>
  <dc:creator>PEREZ DEL BARRIO Nerea</dc:creator>
  <cp:keywords/>
  <dc:description/>
  <cp:lastModifiedBy>LE CHEVALLIER Pierre</cp:lastModifiedBy>
  <cp:revision>2</cp:revision>
  <cp:lastPrinted>2002-12-11T09:25:00Z</cp:lastPrinted>
  <dcterms:created xsi:type="dcterms:W3CDTF">2025-11-04T10:46:00Z</dcterms:created>
  <dcterms:modified xsi:type="dcterms:W3CDTF">2025-11-04T10:46:00Z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1330364</vt:lpwstr>
  </property>
  <property fmtid="{D5CDD505-2E9C-101B-9397-08002B2CF9AE}" pid="6" name="&lt;Type&gt;">
    <vt:lpwstr>RR</vt:lpwstr>
  </property>
  <property fmtid="{D5CDD505-2E9C-101B-9397-08002B2CF9AE}" pid="7" name="&lt;ModelCod&gt;">
    <vt:lpwstr>\\eiciBRUpr1\pdocep$\DocEP\DOCS\General\PR\PR_Leg\NLE\NLE-CN_Agreement\PR_NLE-CN_Agreement_app.dotx(12/08/2024 17:08:00)</vt:lpwstr>
  </property>
  <property fmtid="{D5CDD505-2E9C-101B-9397-08002B2CF9AE}" pid="8" name="&lt;ModelTra&gt;">
    <vt:lpwstr>\\eiciBRUpr1\pdocep$\DocEP\TRANSFIL\EN\PR_NLE-CN_Agreement_app.EN(30/08/2024 22:49:03)</vt:lpwstr>
  </property>
  <property fmtid="{D5CDD505-2E9C-101B-9397-08002B2CF9AE}" pid="9" name="&lt;Model&gt;">
    <vt:lpwstr>PR_NLE-CN_Agreement_app</vt:lpwstr>
  </property>
  <property fmtid="{D5CDD505-2E9C-101B-9397-08002B2CF9AE}" pid="10" name="FooterPath">
    <vt:lpwstr>RR\1330364FR.docx</vt:lpwstr>
  </property>
  <property fmtid="{D5CDD505-2E9C-101B-9397-08002B2CF9AE}" pid="11" name="PE number">
    <vt:lpwstr>778.342</vt:lpwstr>
  </property>
  <property fmtid="{D5CDD505-2E9C-101B-9397-08002B2CF9AE}" pid="12" name="SendToEpades">
    <vt:lpwstr/>
  </property>
  <property fmtid="{D5CDD505-2E9C-101B-9397-08002B2CF9AE}" pid="13" name="OriLang">
    <vt:lpwstr>EN</vt:lpwstr>
  </property>
  <property fmtid="{D5CDD505-2E9C-101B-9397-08002B2CF9AE}" pid="14" name="Bookout">
    <vt:lpwstr>OK(HDG) - 2025/11/04 11:46</vt:lpwstr>
  </property>
  <property fmtid="{D5CDD505-2E9C-101B-9397-08002B2CF9AE}" pid="15" name="SDLStudio">
    <vt:lpwstr/>
  </property>
</Properties>
</file>