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729E9" w:rsidRPr="00561781" w14:paraId="21A5A3D6" w14:textId="77777777" w:rsidTr="00D1074C">
        <w:trPr>
          <w:trHeight w:hRule="exact" w:val="1418"/>
        </w:trPr>
        <w:tc>
          <w:tcPr>
            <w:tcW w:w="6804" w:type="dxa"/>
            <w:shd w:val="clear" w:color="auto" w:fill="auto"/>
            <w:vAlign w:val="center"/>
          </w:tcPr>
          <w:p w14:paraId="5CEE2363" w14:textId="77777777" w:rsidR="007729E9" w:rsidRPr="00561781" w:rsidRDefault="007729E9" w:rsidP="00D1074C">
            <w:pPr>
              <w:pStyle w:val="EPName"/>
            </w:pPr>
            <w:r>
              <w:t>Parlement européen</w:t>
            </w:r>
          </w:p>
          <w:p w14:paraId="36D082C1" w14:textId="77777777" w:rsidR="007729E9" w:rsidRPr="00561781" w:rsidRDefault="007729E9" w:rsidP="00D1074C">
            <w:pPr>
              <w:pStyle w:val="EPTerm"/>
            </w:pPr>
            <w:r>
              <w:t>2024-2029</w:t>
            </w:r>
          </w:p>
        </w:tc>
        <w:tc>
          <w:tcPr>
            <w:tcW w:w="2268" w:type="dxa"/>
            <w:shd w:val="clear" w:color="auto" w:fill="auto"/>
          </w:tcPr>
          <w:p w14:paraId="7834EE44" w14:textId="77777777" w:rsidR="007729E9" w:rsidRPr="00561781" w:rsidRDefault="007729E9" w:rsidP="00D1074C">
            <w:pPr>
              <w:pStyle w:val="EPLogo"/>
            </w:pPr>
            <w:r w:rsidRPr="00561781">
              <w:rPr>
                <w:noProof/>
              </w:rPr>
              <w:drawing>
                <wp:inline distT="0" distB="0" distL="0" distR="0" wp14:anchorId="04AEF442" wp14:editId="46DD335C">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6A8B0967" w14:textId="77777777" w:rsidR="007729E9" w:rsidRPr="00561781" w:rsidRDefault="007729E9" w:rsidP="007729E9">
      <w:pPr>
        <w:pStyle w:val="LineTop"/>
      </w:pPr>
    </w:p>
    <w:p w14:paraId="72F4AB40" w14:textId="46D546DB" w:rsidR="007729E9" w:rsidRPr="00561781" w:rsidRDefault="00C8645E" w:rsidP="007729E9">
      <w:pPr>
        <w:pStyle w:val="EPBody"/>
      </w:pPr>
      <w:r>
        <w:t>Document de séance</w:t>
      </w:r>
    </w:p>
    <w:p w14:paraId="2F5AB99A" w14:textId="77777777" w:rsidR="007729E9" w:rsidRPr="00561781" w:rsidRDefault="007729E9" w:rsidP="007729E9">
      <w:pPr>
        <w:pStyle w:val="LineBottom"/>
      </w:pPr>
    </w:p>
    <w:p w14:paraId="468F0C75" w14:textId="7CE06699" w:rsidR="007729E9" w:rsidRPr="00561781" w:rsidRDefault="00C8645E" w:rsidP="007729E9">
      <w:pPr>
        <w:pStyle w:val="CoverReference"/>
      </w:pPr>
      <w:r>
        <w:rPr>
          <w:rStyle w:val="HideTWBExt"/>
        </w:rPr>
        <w:t>&lt;NoDocSe&gt;</w:t>
      </w:r>
      <w:r>
        <w:t>A10-0252/2025</w:t>
      </w:r>
      <w:r>
        <w:rPr>
          <w:rStyle w:val="HideTWBExt"/>
        </w:rPr>
        <w:t>&lt;/NoDocSe&gt;</w:t>
      </w:r>
    </w:p>
    <w:p w14:paraId="78DDB13A" w14:textId="2AD72228" w:rsidR="007729E9" w:rsidRPr="00561781" w:rsidRDefault="007729E9" w:rsidP="007729E9">
      <w:pPr>
        <w:pStyle w:val="CoverDate"/>
      </w:pPr>
      <w:r>
        <w:rPr>
          <w:rStyle w:val="HideTWBExt"/>
        </w:rPr>
        <w:t>&lt;Date&gt;</w:t>
      </w:r>
      <w:r>
        <w:rPr>
          <w:rStyle w:val="HideTWBInt"/>
        </w:rPr>
        <w:t>{08/12/2025}</w:t>
      </w:r>
      <w:r>
        <w:t>8.12.2025</w:t>
      </w:r>
      <w:r>
        <w:rPr>
          <w:rStyle w:val="HideTWBExt"/>
        </w:rPr>
        <w:t>&lt;/Date&gt;</w:t>
      </w:r>
    </w:p>
    <w:p w14:paraId="6BE4FE45" w14:textId="12E30C3C" w:rsidR="007729E9" w:rsidRPr="00561781" w:rsidRDefault="007729E9" w:rsidP="007729E9">
      <w:pPr>
        <w:pStyle w:val="CoverDocType24a"/>
      </w:pPr>
      <w:r>
        <w:rPr>
          <w:rStyle w:val="HideTWBExt"/>
          <w:b w:val="0"/>
        </w:rPr>
        <w:t>&lt;TitreType&gt;</w:t>
      </w:r>
      <w:r>
        <w:t>RAPPORT</w:t>
      </w:r>
      <w:r>
        <w:rPr>
          <w:rStyle w:val="HideTWBExt"/>
          <w:b w:val="0"/>
        </w:rPr>
        <w:t>&lt;/TitreType&gt;</w:t>
      </w:r>
    </w:p>
    <w:p w14:paraId="4AFB952D" w14:textId="32E545DE" w:rsidR="007729E9" w:rsidRPr="00561781" w:rsidRDefault="007729E9" w:rsidP="007729E9">
      <w:pPr>
        <w:pStyle w:val="CoverNormal"/>
      </w:pPr>
      <w:bookmarkStart w:id="0" w:name="_Hlk215666247"/>
      <w:r>
        <w:rPr>
          <w:rStyle w:val="HideTWBExt"/>
        </w:rPr>
        <w:t>&lt;Titre&gt;</w:t>
      </w:r>
      <w:r>
        <w:t>sur la réforme de la loi électorale européenne – obstacles à la ratification et à l’application dans les États membres</w:t>
      </w:r>
      <w:r>
        <w:rPr>
          <w:rStyle w:val="HideTWBExt"/>
        </w:rPr>
        <w:t>&lt;/Titre&gt;</w:t>
      </w:r>
    </w:p>
    <w:p w14:paraId="3096BFC8" w14:textId="77777777" w:rsidR="007729E9" w:rsidRPr="00561781" w:rsidRDefault="007729E9" w:rsidP="007729E9">
      <w:pPr>
        <w:pStyle w:val="CoverNormal24a"/>
      </w:pPr>
      <w:bookmarkStart w:id="1" w:name="_Hlk215666341"/>
      <w:r>
        <w:rPr>
          <w:rStyle w:val="HideTWBExt"/>
        </w:rPr>
        <w:t>&lt;DocRef&gt;</w:t>
      </w:r>
      <w:r>
        <w:t>(2025/2028(INI))</w:t>
      </w:r>
      <w:r>
        <w:rPr>
          <w:rStyle w:val="HideTWBExt"/>
        </w:rPr>
        <w:t>&lt;/DocRef&gt;</w:t>
      </w:r>
    </w:p>
    <w:bookmarkEnd w:id="0"/>
    <w:bookmarkEnd w:id="1"/>
    <w:p w14:paraId="22482CBB" w14:textId="77777777" w:rsidR="007729E9" w:rsidRPr="00561781" w:rsidRDefault="007729E9" w:rsidP="007729E9">
      <w:pPr>
        <w:pStyle w:val="CoverNormal24a"/>
      </w:pPr>
      <w:r>
        <w:rPr>
          <w:rStyle w:val="HideTWBExt"/>
        </w:rPr>
        <w:t>&lt;Commission&gt;</w:t>
      </w:r>
      <w:r>
        <w:rPr>
          <w:rStyle w:val="HideTWBInt"/>
        </w:rPr>
        <w:t>{AFCO}</w:t>
      </w:r>
      <w:r>
        <w:t>Commission des affaires constitutionnelles</w:t>
      </w:r>
      <w:r>
        <w:rPr>
          <w:rStyle w:val="HideTWBExt"/>
        </w:rPr>
        <w:t>&lt;/Commission&gt;</w:t>
      </w:r>
    </w:p>
    <w:p w14:paraId="45E8C9F1" w14:textId="77777777" w:rsidR="007729E9" w:rsidRPr="00561781" w:rsidRDefault="007729E9" w:rsidP="007729E9">
      <w:pPr>
        <w:pStyle w:val="CoverNormal24a"/>
      </w:pPr>
      <w:r>
        <w:t xml:space="preserve">Rapporteur: </w:t>
      </w:r>
      <w:r>
        <w:rPr>
          <w:rStyle w:val="HideTWBExt"/>
        </w:rPr>
        <w:t>&lt;Depute&gt;</w:t>
      </w:r>
      <w:bookmarkStart w:id="2" w:name="_Hlk215666321"/>
      <w:r>
        <w:t>Borja Giménez Larraz</w:t>
      </w:r>
      <w:r>
        <w:rPr>
          <w:rStyle w:val="HideTWBExt"/>
        </w:rPr>
        <w:t>&lt;/Depute&gt;</w:t>
      </w:r>
    </w:p>
    <w:bookmarkEnd w:id="2"/>
    <w:p w14:paraId="0E97EB62" w14:textId="77777777" w:rsidR="007729E9" w:rsidRPr="00561781" w:rsidRDefault="007729E9" w:rsidP="007729E9">
      <w:pPr>
        <w:pStyle w:val="CoverNormal"/>
      </w:pPr>
    </w:p>
    <w:p w14:paraId="752DD75B" w14:textId="77777777" w:rsidR="007729E9" w:rsidRPr="00561781" w:rsidRDefault="007729E9" w:rsidP="007729E9">
      <w:pPr>
        <w:widowControl/>
        <w:tabs>
          <w:tab w:val="center" w:pos="4677"/>
        </w:tabs>
      </w:pPr>
      <w:r>
        <w:br w:type="page"/>
      </w:r>
      <w:r>
        <w:lastRenderedPageBreak/>
        <w:t>PR_INI_ImplReport</w:t>
      </w:r>
    </w:p>
    <w:p w14:paraId="7AABA635" w14:textId="77777777" w:rsidR="007729E9" w:rsidRPr="00561781" w:rsidRDefault="007729E9" w:rsidP="007729E9">
      <w:pPr>
        <w:pStyle w:val="TOCHeading"/>
      </w:pPr>
      <w:r>
        <w:t>SOMMAIRE</w:t>
      </w:r>
    </w:p>
    <w:p w14:paraId="26142BAD" w14:textId="77777777" w:rsidR="007729E9" w:rsidRPr="00561781" w:rsidRDefault="007729E9" w:rsidP="007729E9">
      <w:pPr>
        <w:pStyle w:val="TOCPage"/>
      </w:pPr>
      <w:r>
        <w:t>Page</w:t>
      </w:r>
    </w:p>
    <w:p w14:paraId="31DA54FF" w14:textId="25690C21" w:rsidR="006D6089" w:rsidRDefault="007729E9">
      <w:pPr>
        <w:pStyle w:val="TOC1"/>
        <w:tabs>
          <w:tab w:val="right" w:leader="dot" w:pos="9060"/>
        </w:tabs>
        <w:rPr>
          <w:rFonts w:asciiTheme="minorHAnsi" w:eastAsiaTheme="minorEastAsia" w:hAnsiTheme="minorHAnsi" w:cstheme="minorBidi"/>
          <w:noProof/>
          <w:kern w:val="2"/>
          <w:szCs w:val="24"/>
          <w:lang w:val="en-GB"/>
          <w14:ligatures w14:val="standardContextual"/>
        </w:rPr>
      </w:pPr>
      <w:r w:rsidRPr="00561781">
        <w:rPr>
          <w:b/>
        </w:rPr>
        <w:fldChar w:fldCharType="begin"/>
      </w:r>
      <w:r w:rsidRPr="00561781">
        <w:rPr>
          <w:b/>
        </w:rPr>
        <w:instrText xml:space="preserve"> TOC \t "</w:instrText>
      </w:r>
      <w:r w:rsidRPr="00561781">
        <w:instrText>PageHeading</w:instrText>
      </w:r>
      <w:r w:rsidR="00C77F8E" w:rsidRPr="00561781">
        <w:rPr>
          <w:b/>
        </w:rPr>
        <w:instrText>;</w:instrText>
      </w:r>
      <w:r w:rsidRPr="00561781">
        <w:rPr>
          <w:b/>
        </w:rPr>
        <w:instrText xml:space="preserve">1" </w:instrText>
      </w:r>
      <w:r w:rsidRPr="00561781">
        <w:rPr>
          <w:b/>
        </w:rPr>
        <w:fldChar w:fldCharType="separate"/>
      </w:r>
      <w:r w:rsidR="006D6089">
        <w:rPr>
          <w:noProof/>
        </w:rPr>
        <w:t>EXPOSÉ DES MOTIFS – RÉSUMÉ DES FAITS ET DES CONCLUSIONS</w:t>
      </w:r>
      <w:r w:rsidR="006D6089">
        <w:rPr>
          <w:noProof/>
        </w:rPr>
        <w:tab/>
      </w:r>
      <w:r w:rsidR="006D6089">
        <w:rPr>
          <w:noProof/>
        </w:rPr>
        <w:fldChar w:fldCharType="begin"/>
      </w:r>
      <w:r w:rsidR="006D6089">
        <w:rPr>
          <w:noProof/>
        </w:rPr>
        <w:instrText xml:space="preserve"> PAGEREF _Toc216344490 \h </w:instrText>
      </w:r>
      <w:r w:rsidR="006D6089">
        <w:rPr>
          <w:noProof/>
        </w:rPr>
      </w:r>
      <w:r w:rsidR="006D6089">
        <w:rPr>
          <w:noProof/>
        </w:rPr>
        <w:fldChar w:fldCharType="separate"/>
      </w:r>
      <w:r w:rsidR="006D6089">
        <w:rPr>
          <w:noProof/>
        </w:rPr>
        <w:t>3</w:t>
      </w:r>
      <w:r w:rsidR="006D6089">
        <w:rPr>
          <w:noProof/>
        </w:rPr>
        <w:fldChar w:fldCharType="end"/>
      </w:r>
    </w:p>
    <w:p w14:paraId="1FFB8F02" w14:textId="74EB0F65" w:rsidR="006D6089" w:rsidRDefault="006D6089">
      <w:pPr>
        <w:pStyle w:val="TOC1"/>
        <w:tabs>
          <w:tab w:val="right" w:leader="dot" w:pos="9060"/>
        </w:tabs>
        <w:rPr>
          <w:rFonts w:asciiTheme="minorHAnsi" w:eastAsiaTheme="minorEastAsia" w:hAnsiTheme="minorHAnsi" w:cstheme="minorBidi"/>
          <w:noProof/>
          <w:kern w:val="2"/>
          <w:szCs w:val="24"/>
          <w:lang w:val="en-GB"/>
          <w14:ligatures w14:val="standardContextual"/>
        </w:rPr>
      </w:pPr>
      <w:r>
        <w:rPr>
          <w:noProof/>
        </w:rPr>
        <w:t>PROPOSITION DE RÉSOLUTION DU PARLEMENT EUROPÉEN</w:t>
      </w:r>
      <w:r>
        <w:rPr>
          <w:noProof/>
        </w:rPr>
        <w:tab/>
      </w:r>
      <w:r>
        <w:rPr>
          <w:noProof/>
        </w:rPr>
        <w:fldChar w:fldCharType="begin"/>
      </w:r>
      <w:r>
        <w:rPr>
          <w:noProof/>
        </w:rPr>
        <w:instrText xml:space="preserve"> PAGEREF _Toc216344491 \h </w:instrText>
      </w:r>
      <w:r>
        <w:rPr>
          <w:noProof/>
        </w:rPr>
      </w:r>
      <w:r>
        <w:rPr>
          <w:noProof/>
        </w:rPr>
        <w:fldChar w:fldCharType="separate"/>
      </w:r>
      <w:r>
        <w:rPr>
          <w:noProof/>
        </w:rPr>
        <w:t>11</w:t>
      </w:r>
      <w:r>
        <w:rPr>
          <w:noProof/>
        </w:rPr>
        <w:fldChar w:fldCharType="end"/>
      </w:r>
    </w:p>
    <w:p w14:paraId="10AA0770" w14:textId="257D6D53" w:rsidR="006D6089" w:rsidRDefault="006D6089">
      <w:pPr>
        <w:pStyle w:val="TOC1"/>
        <w:tabs>
          <w:tab w:val="right" w:leader="dot" w:pos="9060"/>
        </w:tabs>
        <w:rPr>
          <w:rFonts w:asciiTheme="minorHAnsi" w:eastAsiaTheme="minorEastAsia" w:hAnsiTheme="minorHAnsi" w:cstheme="minorBidi"/>
          <w:noProof/>
          <w:kern w:val="2"/>
          <w:szCs w:val="24"/>
          <w:lang w:val="en-GB"/>
          <w14:ligatures w14:val="standardContextual"/>
        </w:rPr>
      </w:pPr>
      <w:r>
        <w:rPr>
          <w:noProof/>
        </w:rPr>
        <w:t>ANNEXE: DÉCLARATION DES CONTRIBUTIONS</w:t>
      </w:r>
      <w:r>
        <w:rPr>
          <w:noProof/>
        </w:rPr>
        <w:tab/>
      </w:r>
      <w:r>
        <w:rPr>
          <w:noProof/>
        </w:rPr>
        <w:fldChar w:fldCharType="begin"/>
      </w:r>
      <w:r>
        <w:rPr>
          <w:noProof/>
        </w:rPr>
        <w:instrText xml:space="preserve"> PAGEREF _Toc216344492 \h </w:instrText>
      </w:r>
      <w:r>
        <w:rPr>
          <w:noProof/>
        </w:rPr>
      </w:r>
      <w:r>
        <w:rPr>
          <w:noProof/>
        </w:rPr>
        <w:fldChar w:fldCharType="separate"/>
      </w:r>
      <w:r>
        <w:rPr>
          <w:noProof/>
        </w:rPr>
        <w:t>18</w:t>
      </w:r>
      <w:r>
        <w:rPr>
          <w:noProof/>
        </w:rPr>
        <w:fldChar w:fldCharType="end"/>
      </w:r>
    </w:p>
    <w:p w14:paraId="65EC00A4" w14:textId="0D9119F4" w:rsidR="006D6089" w:rsidRDefault="006D6089">
      <w:pPr>
        <w:pStyle w:val="TOC1"/>
        <w:tabs>
          <w:tab w:val="right" w:leader="dot" w:pos="9060"/>
        </w:tabs>
        <w:rPr>
          <w:rFonts w:asciiTheme="minorHAnsi" w:eastAsiaTheme="minorEastAsia" w:hAnsiTheme="minorHAnsi" w:cstheme="minorBidi"/>
          <w:noProof/>
          <w:kern w:val="2"/>
          <w:szCs w:val="24"/>
          <w:lang w:val="en-GB"/>
          <w14:ligatures w14:val="standardContextual"/>
        </w:rPr>
      </w:pPr>
      <w:r>
        <w:rPr>
          <w:noProof/>
        </w:rPr>
        <w:t>INFORMATIONS SUR L’ADOPTION PAR LA COMMISSION COMPÉTENTE AU FOND</w:t>
      </w:r>
      <w:r>
        <w:rPr>
          <w:noProof/>
        </w:rPr>
        <w:tab/>
      </w:r>
      <w:r>
        <w:rPr>
          <w:noProof/>
        </w:rPr>
        <w:fldChar w:fldCharType="begin"/>
      </w:r>
      <w:r>
        <w:rPr>
          <w:noProof/>
        </w:rPr>
        <w:instrText xml:space="preserve"> PAGEREF _Toc216344493 \h </w:instrText>
      </w:r>
      <w:r>
        <w:rPr>
          <w:noProof/>
        </w:rPr>
      </w:r>
      <w:r>
        <w:rPr>
          <w:noProof/>
        </w:rPr>
        <w:fldChar w:fldCharType="separate"/>
      </w:r>
      <w:r>
        <w:rPr>
          <w:noProof/>
        </w:rPr>
        <w:t>19</w:t>
      </w:r>
      <w:r>
        <w:rPr>
          <w:noProof/>
        </w:rPr>
        <w:fldChar w:fldCharType="end"/>
      </w:r>
    </w:p>
    <w:p w14:paraId="29E1932F" w14:textId="38EC6B85" w:rsidR="006D6089" w:rsidRDefault="006D6089">
      <w:pPr>
        <w:pStyle w:val="TOC1"/>
        <w:tabs>
          <w:tab w:val="right" w:leader="dot" w:pos="9060"/>
        </w:tabs>
        <w:rPr>
          <w:rFonts w:asciiTheme="minorHAnsi" w:eastAsiaTheme="minorEastAsia" w:hAnsiTheme="minorHAnsi" w:cstheme="minorBidi"/>
          <w:noProof/>
          <w:kern w:val="2"/>
          <w:szCs w:val="24"/>
          <w:lang w:val="en-GB"/>
          <w14:ligatures w14:val="standardContextual"/>
        </w:rPr>
      </w:pPr>
      <w:r>
        <w:rPr>
          <w:noProof/>
        </w:rPr>
        <w:t>VOTE FINAL PAR APPEL NOMINAL PAR LA COMMISSION COMPÉTENTE AU FOND</w:t>
      </w:r>
      <w:r>
        <w:rPr>
          <w:noProof/>
        </w:rPr>
        <w:tab/>
      </w:r>
      <w:r>
        <w:rPr>
          <w:noProof/>
        </w:rPr>
        <w:fldChar w:fldCharType="begin"/>
      </w:r>
      <w:r>
        <w:rPr>
          <w:noProof/>
        </w:rPr>
        <w:instrText xml:space="preserve"> PAGEREF _Toc216344494 \h </w:instrText>
      </w:r>
      <w:r>
        <w:rPr>
          <w:noProof/>
        </w:rPr>
      </w:r>
      <w:r>
        <w:rPr>
          <w:noProof/>
        </w:rPr>
        <w:fldChar w:fldCharType="separate"/>
      </w:r>
      <w:r>
        <w:rPr>
          <w:noProof/>
        </w:rPr>
        <w:t>20</w:t>
      </w:r>
      <w:r>
        <w:rPr>
          <w:noProof/>
        </w:rPr>
        <w:fldChar w:fldCharType="end"/>
      </w:r>
    </w:p>
    <w:p w14:paraId="37289565" w14:textId="4DD8325D" w:rsidR="007729E9" w:rsidRPr="00561781" w:rsidRDefault="007729E9" w:rsidP="007729E9">
      <w:r w:rsidRPr="00561781">
        <w:rPr>
          <w:b/>
        </w:rPr>
        <w:fldChar w:fldCharType="end"/>
      </w:r>
    </w:p>
    <w:p w14:paraId="2AF826C0" w14:textId="77777777" w:rsidR="007729E9" w:rsidRPr="00561781" w:rsidRDefault="007729E9" w:rsidP="007729E9">
      <w:pPr>
        <w:pStyle w:val="PageHeading"/>
      </w:pPr>
      <w:r>
        <w:br w:type="page"/>
      </w:r>
      <w:bookmarkStart w:id="3" w:name="_Toc26759888"/>
      <w:bookmarkStart w:id="4" w:name="_Toc86200285"/>
      <w:bookmarkStart w:id="5" w:name="_Toc216344490"/>
      <w:r>
        <w:lastRenderedPageBreak/>
        <w:t>EXPOSÉ DES MOTIFS – RÉSUMÉ DES FAITS ET DES CONCLUSIONS</w:t>
      </w:r>
      <w:bookmarkEnd w:id="5"/>
    </w:p>
    <w:p w14:paraId="0CF34C2D" w14:textId="77777777" w:rsidR="007729E9" w:rsidRPr="00561781" w:rsidRDefault="007729E9" w:rsidP="007729E9">
      <w:pPr>
        <w:ind w:left="720" w:hanging="360"/>
        <w:rPr>
          <w:b/>
        </w:rPr>
      </w:pPr>
      <w:r>
        <w:rPr>
          <w:b/>
        </w:rPr>
        <w:t>1.</w:t>
      </w:r>
      <w:r>
        <w:rPr>
          <w:b/>
        </w:rPr>
        <w:tab/>
        <w:t>Introduction</w:t>
      </w:r>
    </w:p>
    <w:p w14:paraId="6CBE0534" w14:textId="77777777" w:rsidR="007729E9" w:rsidRPr="00561781" w:rsidRDefault="007729E9" w:rsidP="007729E9"/>
    <w:p w14:paraId="50DA9832" w14:textId="0401885D" w:rsidR="007729E9" w:rsidRPr="00561781" w:rsidRDefault="007729E9" w:rsidP="007729E9">
      <w:pPr>
        <w:jc w:val="both"/>
      </w:pPr>
      <w:r>
        <w:t>Le 15 janvier 2025, la préparation d’un rapport sur la mise en œuvre de la réforme de la loi électorale européenne a été confiée au rapporteur.</w:t>
      </w:r>
    </w:p>
    <w:p w14:paraId="6D0D9D30" w14:textId="77777777" w:rsidR="007729E9" w:rsidRPr="00561781" w:rsidRDefault="007729E9" w:rsidP="007729E9">
      <w:pPr>
        <w:jc w:val="both"/>
      </w:pPr>
    </w:p>
    <w:p w14:paraId="3E543146" w14:textId="24BA7039" w:rsidR="007729E9" w:rsidRPr="00561781" w:rsidRDefault="007729E9" w:rsidP="007729E9">
      <w:pPr>
        <w:jc w:val="both"/>
      </w:pPr>
      <w:r>
        <w:t>Depuis sa désignation, le rapporteur a recueilli des informations sur le sujet par différents moyens, notamment:</w:t>
      </w:r>
    </w:p>
    <w:p w14:paraId="3EF32791" w14:textId="77777777" w:rsidR="007729E9" w:rsidRPr="00561781" w:rsidRDefault="007729E9" w:rsidP="007729E9"/>
    <w:p w14:paraId="1141B70D" w14:textId="78C16BBD" w:rsidR="007729E9" w:rsidRPr="00561781" w:rsidRDefault="007729E9" w:rsidP="00EA4149">
      <w:pPr>
        <w:ind w:left="720" w:hanging="360"/>
      </w:pPr>
      <w:r>
        <w:rPr>
          <w:rFonts w:ascii="Symbol" w:hAnsi="Symbol"/>
        </w:rPr>
        <w:t></w:t>
      </w:r>
      <w:r>
        <w:tab/>
      </w:r>
      <w:r>
        <w:rPr>
          <w:rFonts w:ascii="Symbol" w:hAnsi="Symbol"/>
        </w:rPr>
        <w:t></w:t>
      </w:r>
      <w:r>
        <w:rPr>
          <w:rFonts w:ascii="Symbol" w:hAnsi="Symbol"/>
        </w:rPr>
        <w:t></w:t>
      </w:r>
      <w:r>
        <w:t>une étude intitulée «Européaniser les élections au Parlement européen», réalisée par le département thématique des droits des citoyens et des affaires constitutionnelles, en juin 2021;</w:t>
      </w:r>
    </w:p>
    <w:p w14:paraId="21182B3E" w14:textId="77777777" w:rsidR="007729E9" w:rsidRPr="00561781" w:rsidRDefault="007729E9" w:rsidP="00EA4149">
      <w:pPr>
        <w:pStyle w:val="ListParagraph"/>
      </w:pPr>
    </w:p>
    <w:p w14:paraId="373FA1DF" w14:textId="1A8073E4" w:rsidR="007729E9" w:rsidRPr="00561781" w:rsidRDefault="007729E9" w:rsidP="00EA4149">
      <w:pPr>
        <w:ind w:left="720" w:hanging="360"/>
      </w:pPr>
      <w:r>
        <w:rPr>
          <w:rFonts w:ascii="Symbol" w:hAnsi="Symbol"/>
        </w:rPr>
        <w:t></w:t>
      </w:r>
      <w:r>
        <w:rPr>
          <w:rFonts w:ascii="Symbol" w:hAnsi="Symbol"/>
        </w:rPr>
        <w:tab/>
      </w:r>
      <w:r>
        <w:t>un document du Service de recherche du Parlement européen sur l’état d’avancement de la ratification de la décision (UE, Euratom) 2018/994 du Conseil modifiant l’acte électoral européen de 1976, élaboré en février 2025;</w:t>
      </w:r>
    </w:p>
    <w:p w14:paraId="1F31B245" w14:textId="77777777" w:rsidR="007729E9" w:rsidRPr="00561781" w:rsidRDefault="007729E9" w:rsidP="00EA4149">
      <w:pPr>
        <w:pStyle w:val="ListParagraph"/>
      </w:pPr>
    </w:p>
    <w:p w14:paraId="5090B4C4" w14:textId="40CEB1AA" w:rsidR="007729E9" w:rsidRPr="00561781" w:rsidRDefault="007729E9" w:rsidP="00EA4149">
      <w:pPr>
        <w:ind w:left="720" w:hanging="360"/>
      </w:pPr>
      <w:r>
        <w:rPr>
          <w:rFonts w:ascii="Symbol" w:hAnsi="Symbol"/>
        </w:rPr>
        <w:t></w:t>
      </w:r>
      <w:r>
        <w:rPr>
          <w:rFonts w:ascii="Symbol" w:hAnsi="Symbol"/>
        </w:rPr>
        <w:tab/>
      </w:r>
      <w:r>
        <w:t>en participant, les 19 et 20 mai 2025, à une mission officielle de la commission des affaires constitutionnelles (AFCO) à Madrid (Espagne). La délégation de la commission AFCO a procédé à plusieurs échanges de vues avec des fonctionnaires du ministère de l’intérieur, le président et les porte-parole de la commission constitutionnelle du Congrès des députés (chambre basse) et le président et les porte-parole de la commission mixte sur l’Union européenne – composée de membres du Congrès des députés et du Sénat espagnol (chambre haute) – ainsi qu’avec les principaux conseillers juridiques des deux chambres et plusieurs universitaires et experts espagnols de premier plan en droit constitutionnel et électoral;</w:t>
      </w:r>
    </w:p>
    <w:p w14:paraId="5A73A9C7" w14:textId="77777777" w:rsidR="007729E9" w:rsidRPr="00561781" w:rsidRDefault="007729E9" w:rsidP="00EA4149"/>
    <w:p w14:paraId="22452AAF" w14:textId="7DCCF681" w:rsidR="007729E9" w:rsidRPr="00561781" w:rsidRDefault="007729E9" w:rsidP="00EA4149">
      <w:pPr>
        <w:ind w:left="720" w:hanging="360"/>
      </w:pPr>
      <w:r>
        <w:rPr>
          <w:rFonts w:ascii="Symbol" w:hAnsi="Symbol"/>
        </w:rPr>
        <w:t></w:t>
      </w:r>
      <w:r>
        <w:rPr>
          <w:rFonts w:ascii="Symbol" w:hAnsi="Symbol"/>
        </w:rPr>
        <w:tab/>
      </w:r>
      <w:r>
        <w:t>en participant, le 2 juin 2025, à une mission officielle à Berlin (Allemagne) afin de procéder à un échange de vues avec des membres de la commission des affaires étrangères et des affaires de l’Union européenne du Bundestag, ainsi qu’avec des fonctionnaires et des universitaires.</w:t>
      </w:r>
    </w:p>
    <w:p w14:paraId="52834AEC" w14:textId="77777777" w:rsidR="007729E9" w:rsidRPr="00561781" w:rsidRDefault="007729E9" w:rsidP="007729E9"/>
    <w:p w14:paraId="1295F669" w14:textId="5BC44B29" w:rsidR="007729E9" w:rsidRPr="00561781" w:rsidRDefault="007729E9" w:rsidP="00EA4149">
      <w:pPr>
        <w:jc w:val="both"/>
      </w:pPr>
      <w:r>
        <w:t>Les recherches effectuées ont conduit aux considérations suivantes, qui constituent la base des conclusions et recommandations formulées dans le projet de rapport de mise en œuvre présenté par le rapporteur.</w:t>
      </w:r>
    </w:p>
    <w:p w14:paraId="1E1ADA49" w14:textId="77777777" w:rsidR="007729E9" w:rsidRPr="00561781" w:rsidRDefault="007729E9" w:rsidP="007729E9"/>
    <w:p w14:paraId="0734E895" w14:textId="39239DCD" w:rsidR="007729E9" w:rsidRPr="00561781" w:rsidRDefault="007729E9" w:rsidP="007729E9">
      <w:pPr>
        <w:ind w:left="720" w:hanging="360"/>
        <w:rPr>
          <w:b/>
        </w:rPr>
      </w:pPr>
      <w:r>
        <w:rPr>
          <w:b/>
        </w:rPr>
        <w:t>2.</w:t>
      </w:r>
      <w:r>
        <w:rPr>
          <w:b/>
        </w:rPr>
        <w:tab/>
        <w:t>Aperçu historique des élections au Parlement européen</w:t>
      </w:r>
    </w:p>
    <w:p w14:paraId="13CB493D" w14:textId="77777777" w:rsidR="007729E9" w:rsidRPr="00561781" w:rsidRDefault="007729E9" w:rsidP="007729E9">
      <w:pPr>
        <w:rPr>
          <w:b/>
        </w:rPr>
      </w:pPr>
    </w:p>
    <w:p w14:paraId="78C569F8" w14:textId="3B13ADC5" w:rsidR="007729E9" w:rsidRPr="00561781" w:rsidRDefault="007729E9" w:rsidP="007729E9">
      <w:pPr>
        <w:jc w:val="both"/>
        <w:rPr>
          <w:bCs/>
        </w:rPr>
      </w:pPr>
      <w:r>
        <w:t xml:space="preserve">Depuis les années 1960, le Parlement européen s’est maintes fois prononcé sur les questions relatives au droit électoral et a présenté des propositions au titre de l’article 138 du traité instituant la Communauté européenne (devenu article 223 du traité sur le fonctionnement de l’Union européenne, ci-après «traité FUE»). </w:t>
      </w:r>
    </w:p>
    <w:p w14:paraId="487F53DE" w14:textId="77777777" w:rsidR="007729E9" w:rsidRPr="00561781" w:rsidRDefault="007729E9" w:rsidP="007729E9">
      <w:pPr>
        <w:jc w:val="both"/>
        <w:rPr>
          <w:bCs/>
        </w:rPr>
      </w:pPr>
    </w:p>
    <w:p w14:paraId="57C14064" w14:textId="418CEB05" w:rsidR="007729E9" w:rsidRPr="00561781" w:rsidRDefault="007729E9" w:rsidP="007729E9">
      <w:pPr>
        <w:jc w:val="both"/>
        <w:rPr>
          <w:bCs/>
        </w:rPr>
      </w:pPr>
      <w:r>
        <w:t xml:space="preserve">Tout en décidant que le Parlement européen serait d’abord composé de députés désignés par les parlements nationaux, les traités initiaux avaient prévu qu’il serait ultérieurement élu au suffrage universel direct. Le Conseil a mis en œuvre cette disposition avant les premières </w:t>
      </w:r>
      <w:r>
        <w:lastRenderedPageBreak/>
        <w:t xml:space="preserve">élections directes de 1979 au moyen de l’acte du 20 septembre 1976 portant élection des représentants à l’Assemblée au suffrage universel direct (l’«acte électoral de 1976»). </w:t>
      </w:r>
    </w:p>
    <w:p w14:paraId="2BD026E1" w14:textId="77777777" w:rsidR="007729E9" w:rsidRPr="00561781" w:rsidRDefault="007729E9" w:rsidP="007729E9">
      <w:pPr>
        <w:jc w:val="both"/>
        <w:rPr>
          <w:bCs/>
        </w:rPr>
      </w:pPr>
    </w:p>
    <w:p w14:paraId="6B704473" w14:textId="607B5704" w:rsidR="007729E9" w:rsidRPr="00561781" w:rsidRDefault="007729E9" w:rsidP="007729E9">
      <w:pPr>
        <w:jc w:val="both"/>
        <w:rPr>
          <w:bCs/>
        </w:rPr>
      </w:pPr>
      <w:r>
        <w:t>Les premières élections directes au Parlement européen, qui se sont tenues en 1979, ont marqué un tournant: elles ont profondément modifié la position institutionnelle du Parlement et permis la mise en place d’une Union européenne plus démocratique.</w:t>
      </w:r>
    </w:p>
    <w:p w14:paraId="4CFEF141" w14:textId="77777777" w:rsidR="007729E9" w:rsidRPr="00561781" w:rsidRDefault="007729E9" w:rsidP="007729E9">
      <w:pPr>
        <w:jc w:val="both"/>
        <w:rPr>
          <w:bCs/>
        </w:rPr>
      </w:pPr>
    </w:p>
    <w:p w14:paraId="6B7A1FA8" w14:textId="48A10BFD" w:rsidR="007729E9" w:rsidRPr="00561781" w:rsidRDefault="007729E9" w:rsidP="007729E9">
      <w:pPr>
        <w:jc w:val="both"/>
        <w:rPr>
          <w:bCs/>
        </w:rPr>
      </w:pPr>
      <w:r>
        <w:t>En 1992, le traité de Maastricht prévoyait que les élections devaient suivre une procédure uniforme devant être adoptée à l’unanimité par le Conseil sur la base d’une proposition du Parlement européen. Toutefois, étant donné que le Conseil n’est parvenu à un consensus sur aucune proposition, le traité d’Amsterdam a instauré la possibilité d’adopter des «principes communs». La décision 2002/772/CE, Euratom du Conseil du 25 juin 2002 et du 23 septembre 2002 a modifié en conséquence l’acte électoral de 1976, en introduisant le principe de représentation proportionnelle ainsi qu’un certain nombre d’incompatibilités entre les mandats nationaux et le mandat européen.</w:t>
      </w:r>
    </w:p>
    <w:p w14:paraId="471D5017" w14:textId="77777777" w:rsidR="007729E9" w:rsidRPr="00561781" w:rsidRDefault="007729E9" w:rsidP="007729E9">
      <w:pPr>
        <w:jc w:val="both"/>
        <w:rPr>
          <w:bCs/>
        </w:rPr>
      </w:pPr>
    </w:p>
    <w:p w14:paraId="4A965719" w14:textId="23992E65" w:rsidR="007729E9" w:rsidRPr="00561781" w:rsidRDefault="007729E9" w:rsidP="007729E9">
      <w:pPr>
        <w:jc w:val="both"/>
      </w:pPr>
      <w:r>
        <w:t xml:space="preserve">Au fil des ans, le Parlement européen a vu sa taille et son influence croître, chaque élargissement de l’Union apportant de nouveaux membres et une plus grande diversité. Les pouvoirs du Parlement se sont également accrus, notamment avec l’adoption du traité de Lisbonne en 2009, qui a élargi son rôle dans les domaines législatif et budgétaire. </w:t>
      </w:r>
    </w:p>
    <w:p w14:paraId="049844A2" w14:textId="77777777" w:rsidR="007729E9" w:rsidRPr="00561781" w:rsidRDefault="007729E9" w:rsidP="007729E9">
      <w:pPr>
        <w:jc w:val="both"/>
        <w:rPr>
          <w:bCs/>
        </w:rPr>
      </w:pPr>
    </w:p>
    <w:p w14:paraId="608DB991" w14:textId="7279DBED" w:rsidR="007729E9" w:rsidRPr="00561781" w:rsidRDefault="007729E9" w:rsidP="007729E9">
      <w:pPr>
        <w:jc w:val="both"/>
        <w:rPr>
          <w:bCs/>
        </w:rPr>
      </w:pPr>
      <w:r>
        <w:t xml:space="preserve">Toutefois, bien que les pouvoirs du Parlement aient été progressivement élargis, l’harmonisation des traditions nationales demeure un défi complexe et les États membres se sont montrés réticents à adopter des procédures uniformes pour les élections au Parlement européen. </w:t>
      </w:r>
    </w:p>
    <w:p w14:paraId="3814CACA" w14:textId="77777777" w:rsidR="007729E9" w:rsidRPr="00561781" w:rsidRDefault="007729E9" w:rsidP="007729E9">
      <w:pPr>
        <w:jc w:val="both"/>
        <w:rPr>
          <w:bCs/>
        </w:rPr>
      </w:pPr>
    </w:p>
    <w:p w14:paraId="771641A7" w14:textId="14845377" w:rsidR="007729E9" w:rsidRPr="00561781" w:rsidRDefault="007729E9" w:rsidP="00EA4149">
      <w:pPr>
        <w:jc w:val="both"/>
        <w:rPr>
          <w:bCs/>
        </w:rPr>
      </w:pPr>
      <w:r>
        <w:t>Le Parlement a adopté, le 11 novembre 2015, une résolution sur la réforme de la loi électorale de l’Union européenne. L’initiative législative de la commission des affaires constitutionnelles a proposé de modifier l’acte électoral de 1976, en vue de rendre les élections européennes uniformes et démocratiques et d’accroître la participation du public au processus électoral. Les modifications proposées par le Parlement ont été partiellement acceptées et intégrées dans la décision (UE, Euratom) 2018/994 du Conseil du 13 juillet 2018; c’est la dernière fois que l’acte électoral a été modifié.</w:t>
      </w:r>
    </w:p>
    <w:p w14:paraId="2BE19EA0" w14:textId="77777777" w:rsidR="007729E9" w:rsidRPr="00561781" w:rsidRDefault="007729E9" w:rsidP="007729E9"/>
    <w:p w14:paraId="098F3CD1" w14:textId="4637093A" w:rsidR="007729E9" w:rsidRPr="00561781" w:rsidRDefault="007729E9" w:rsidP="007729E9">
      <w:pPr>
        <w:ind w:left="720" w:hanging="360"/>
        <w:rPr>
          <w:b/>
        </w:rPr>
      </w:pPr>
      <w:r>
        <w:rPr>
          <w:b/>
        </w:rPr>
        <w:t>3.</w:t>
      </w:r>
      <w:r>
        <w:rPr>
          <w:b/>
        </w:rPr>
        <w:tab/>
        <w:t>Décision (UE, Euratom) 2018/994 du Conseil</w:t>
      </w:r>
    </w:p>
    <w:p w14:paraId="571CC57D" w14:textId="77777777" w:rsidR="007729E9" w:rsidRPr="00561781" w:rsidRDefault="007729E9" w:rsidP="007729E9"/>
    <w:p w14:paraId="05D122A8" w14:textId="57A04A6D" w:rsidR="007729E9" w:rsidRPr="00561781" w:rsidRDefault="007729E9" w:rsidP="007729E9">
      <w:pPr>
        <w:jc w:val="both"/>
      </w:pPr>
      <w:r>
        <w:t>La décision (UE, Euratom) 2018/994 du Conseil se compose de deux articles. Le premier article remplace plusieurs articles de l’acte électoral de 1976 (articles 1</w:t>
      </w:r>
      <w:r>
        <w:rPr>
          <w:vertAlign w:val="superscript"/>
        </w:rPr>
        <w:t>er</w:t>
      </w:r>
      <w:r>
        <w:t>, 3 et 9) et en introduit plusieurs nouveaux (articles 3 </w:t>
      </w:r>
      <w:r>
        <w:rPr>
          <w:i/>
        </w:rPr>
        <w:t>bis</w:t>
      </w:r>
      <w:r>
        <w:t>, 3 </w:t>
      </w:r>
      <w:r>
        <w:rPr>
          <w:i/>
        </w:rPr>
        <w:t>ter</w:t>
      </w:r>
      <w:r>
        <w:t>, 4 </w:t>
      </w:r>
      <w:r>
        <w:rPr>
          <w:i/>
        </w:rPr>
        <w:t>bis</w:t>
      </w:r>
      <w:r>
        <w:t>, 9 </w:t>
      </w:r>
      <w:r>
        <w:rPr>
          <w:i/>
        </w:rPr>
        <w:t>bis</w:t>
      </w:r>
      <w:r>
        <w:t xml:space="preserve"> et 9 </w:t>
      </w:r>
      <w:r>
        <w:rPr>
          <w:i/>
        </w:rPr>
        <w:t>ter</w:t>
      </w:r>
      <w:r>
        <w:t>). Le second article dispose que la décision sera soumise à l’approbation des États membres conformément à leurs règles constitutionnelles respectives et que la décision entrera en vigueur le premier jour suivant la date de réception de la dernière notification.</w:t>
      </w:r>
    </w:p>
    <w:p w14:paraId="432B3D21" w14:textId="77777777" w:rsidR="007729E9" w:rsidRPr="00561781" w:rsidRDefault="007729E9" w:rsidP="007729E9">
      <w:pPr>
        <w:jc w:val="both"/>
      </w:pPr>
    </w:p>
    <w:p w14:paraId="6CD4FA5F" w14:textId="7AE0F270" w:rsidR="007729E9" w:rsidRPr="00561781" w:rsidRDefault="007729E9" w:rsidP="007729E9">
      <w:pPr>
        <w:jc w:val="both"/>
      </w:pPr>
      <w:r>
        <w:t>Il importe de noter que la décision (UE, Euratom) 2018/994 du Conseil établit plusieurs dispositions obligatoires tandis que d’autres sont facultatives. Dans le premier cas, les États membres sont tenus d’adopter de telles mesures; dans le second, ils sont encouragés à le faire.</w:t>
      </w:r>
    </w:p>
    <w:p w14:paraId="4195F11E" w14:textId="77777777" w:rsidR="007729E9" w:rsidRPr="00561781" w:rsidRDefault="007729E9" w:rsidP="007729E9">
      <w:pPr>
        <w:jc w:val="both"/>
      </w:pPr>
    </w:p>
    <w:p w14:paraId="304FE73D" w14:textId="77777777" w:rsidR="007729E9" w:rsidRPr="00561781" w:rsidRDefault="007729E9" w:rsidP="007729E9">
      <w:pPr>
        <w:ind w:left="720" w:hanging="360"/>
        <w:rPr>
          <w:b/>
        </w:rPr>
      </w:pPr>
      <w:r>
        <w:rPr>
          <w:b/>
        </w:rPr>
        <w:t>a)</w:t>
      </w:r>
      <w:r>
        <w:rPr>
          <w:b/>
        </w:rPr>
        <w:tab/>
        <w:t>Mesures obligatoires</w:t>
      </w:r>
    </w:p>
    <w:p w14:paraId="0466D2C0" w14:textId="77777777" w:rsidR="007729E9" w:rsidRPr="00561781" w:rsidRDefault="007729E9" w:rsidP="007729E9">
      <w:pPr>
        <w:rPr>
          <w:b/>
        </w:rPr>
      </w:pPr>
    </w:p>
    <w:p w14:paraId="77AFBD14" w14:textId="3AA987F6" w:rsidR="007729E9" w:rsidRPr="00561781" w:rsidRDefault="007729E9" w:rsidP="007729E9">
      <w:pPr>
        <w:jc w:val="both"/>
      </w:pPr>
      <w:r>
        <w:t xml:space="preserve">Les mesures obligatoires pour lesquelles la décision (UE, Euratom) 2018/994 du Conseil </w:t>
      </w:r>
      <w:r>
        <w:lastRenderedPageBreak/>
        <w:t>exprime une obligation (à mettre en œuvre), dans l’ordre où elles apparaissent dans la décision, sont les suivantes:</w:t>
      </w:r>
    </w:p>
    <w:p w14:paraId="2BF5A459" w14:textId="77777777" w:rsidR="007729E9" w:rsidRPr="00561781" w:rsidRDefault="007729E9" w:rsidP="007729E9"/>
    <w:p w14:paraId="09AEBC62" w14:textId="77777777" w:rsidR="007729E9" w:rsidRPr="00561781" w:rsidRDefault="007729E9" w:rsidP="007729E9">
      <w:pPr>
        <w:ind w:left="720" w:hanging="360"/>
      </w:pPr>
      <w:r>
        <w:t>i)</w:t>
      </w:r>
      <w:r>
        <w:tab/>
        <w:t xml:space="preserve">Les députés au Parlement européen sont élus </w:t>
      </w:r>
      <w:r>
        <w:rPr>
          <w:b/>
        </w:rPr>
        <w:t>au scrutin, de liste ou de vote unique transférable, de type proportionnel</w:t>
      </w:r>
      <w:r>
        <w:t>, lors d’une élection au suffrage universel direct, libre et secret.</w:t>
      </w:r>
    </w:p>
    <w:p w14:paraId="0F7DAB1C" w14:textId="14D1CC66" w:rsidR="007729E9" w:rsidRPr="00561781" w:rsidRDefault="007729E9" w:rsidP="007729E9">
      <w:pPr>
        <w:pStyle w:val="ListParagraph"/>
      </w:pPr>
      <w:r>
        <w:t>Cette disposition ne pose absolument aucun problème et n’est pas du tout controversée, étant donné que tous les États membres utilisent un scrutin proportionnel, qu’il s’agisse d’un scrutin proportionnel de liste fermée ou d’un vote unique transférable.</w:t>
      </w:r>
    </w:p>
    <w:p w14:paraId="631A0ACA" w14:textId="77777777" w:rsidR="007729E9" w:rsidRPr="00561781" w:rsidRDefault="007729E9" w:rsidP="007729E9">
      <w:pPr>
        <w:pStyle w:val="ListParagraph"/>
        <w:ind w:left="567"/>
      </w:pPr>
    </w:p>
    <w:p w14:paraId="791CDB5E" w14:textId="4F9B2B56" w:rsidR="007729E9" w:rsidRPr="00561781" w:rsidRDefault="007729E9" w:rsidP="007729E9">
      <w:pPr>
        <w:ind w:left="720" w:hanging="360"/>
      </w:pPr>
      <w:r>
        <w:t>ii)</w:t>
      </w:r>
      <w:r>
        <w:tab/>
        <w:t xml:space="preserve">Le </w:t>
      </w:r>
      <w:r>
        <w:rPr>
          <w:b/>
        </w:rPr>
        <w:t>seuil minimal de 2 %</w:t>
      </w:r>
      <w:r>
        <w:t xml:space="preserve"> pour les circonscriptions comptant plus de 35 sièges (y compris les circonscriptions uniques à l’échelle nationale) ne s’applique qu’à cinq États membres: l’Allemagne (96), la France (81), l’Italie (76), l’Espagne (61) et la Pologne (53). </w:t>
      </w:r>
    </w:p>
    <w:p w14:paraId="6318AC3E" w14:textId="77777777" w:rsidR="007729E9" w:rsidRPr="00561781" w:rsidRDefault="007729E9" w:rsidP="007729E9">
      <w:pPr>
        <w:pStyle w:val="ListParagraph"/>
      </w:pPr>
    </w:p>
    <w:p w14:paraId="4494B38B" w14:textId="63499926" w:rsidR="007729E9" w:rsidRPr="00561781" w:rsidRDefault="007729E9" w:rsidP="007729E9">
      <w:pPr>
        <w:ind w:left="720"/>
        <w:jc w:val="both"/>
      </w:pPr>
      <w:r>
        <w:t xml:space="preserve">Bien que l’Italie et la Pologne comptent chacune plus de 35 sièges au total, elles ne sont pas concernées par cette règle en raison de la structure de leur système électoral. Les deux pays utilisent des circonscriptions infranationales, ce qui signifie que leurs sièges sont répartis entre les différentes régions. En Pologne, il y a 13 circonscriptions et chacune élit moins de 35 sièges. De même, l’Italie répartit ses sièges entre cinq circonscriptions, chacune comptant moins de 35 sièges. En outre, ces deux pays ont un seuil explicite (respectivement 4 % et 5 %). </w:t>
      </w:r>
    </w:p>
    <w:p w14:paraId="17B8C05A" w14:textId="77777777" w:rsidR="007729E9" w:rsidRPr="00561781" w:rsidRDefault="007729E9" w:rsidP="007729E9">
      <w:pPr>
        <w:ind w:left="720"/>
        <w:jc w:val="both"/>
      </w:pPr>
    </w:p>
    <w:p w14:paraId="25B802E8" w14:textId="65E60476" w:rsidR="007729E9" w:rsidRPr="00561781" w:rsidRDefault="007729E9" w:rsidP="007729E9">
      <w:pPr>
        <w:ind w:left="720"/>
        <w:jc w:val="both"/>
      </w:pPr>
      <w:r>
        <w:t>La France dispose d’une circonscription unique à l’échelle nationale, mais son système électoral prévoyait déjà un seuil de 5 % avant la décision (UE, Euratom) 2018/994 du Conseil.</w:t>
      </w:r>
    </w:p>
    <w:p w14:paraId="1F543954" w14:textId="77777777" w:rsidR="007729E9" w:rsidRPr="00561781" w:rsidRDefault="007729E9" w:rsidP="007729E9">
      <w:pPr>
        <w:ind w:left="720"/>
        <w:jc w:val="both"/>
      </w:pPr>
    </w:p>
    <w:p w14:paraId="7D280415" w14:textId="10FD66BD" w:rsidR="007729E9" w:rsidRPr="00561781" w:rsidRDefault="007729E9" w:rsidP="007729E9">
      <w:pPr>
        <w:ind w:left="720"/>
        <w:jc w:val="both"/>
      </w:pPr>
      <w:r>
        <w:t>L’Espagne et l’Allemagne, quant à elles, n’étaient pas en conformité avec cette disposition obligatoire, étant donné que ces deux pays élisent plus de 35 députés au Parlement européen, disposent d’une circonscription nationale unique et n’ont pas mis en place de seuil. Par conséquent, tant l’Espagne que l’Allemagne doivent modifier leur loi électorale pour se conformer à la décision (UE, Euratom) 2018/994 du Conseil, ce qu’aucun de ces deux États membres n’a encore fait.</w:t>
      </w:r>
    </w:p>
    <w:p w14:paraId="03319F28" w14:textId="77777777" w:rsidR="007729E9" w:rsidRPr="00561781" w:rsidRDefault="007729E9" w:rsidP="007729E9">
      <w:pPr>
        <w:pStyle w:val="ListParagraph"/>
      </w:pPr>
    </w:p>
    <w:p w14:paraId="21B36905" w14:textId="77777777" w:rsidR="007729E9" w:rsidRPr="00561781" w:rsidRDefault="007729E9" w:rsidP="007729E9">
      <w:pPr>
        <w:ind w:left="720" w:hanging="360"/>
      </w:pPr>
      <w:r>
        <w:t>iii)</w:t>
      </w:r>
      <w:r>
        <w:tab/>
      </w:r>
      <w:r>
        <w:rPr>
          <w:b/>
        </w:rPr>
        <w:t>Délai pour le dépôt des candidatures d’au moins trois semaines avant la tenue</w:t>
      </w:r>
      <w:r>
        <w:t xml:space="preserve"> des élections européennes.</w:t>
      </w:r>
    </w:p>
    <w:p w14:paraId="7AD0B417" w14:textId="77777777" w:rsidR="007729E9" w:rsidRPr="00561781" w:rsidRDefault="007729E9" w:rsidP="007729E9">
      <w:pPr>
        <w:pStyle w:val="ListParagraph"/>
      </w:pPr>
    </w:p>
    <w:p w14:paraId="3399CDF1" w14:textId="45BB2D16" w:rsidR="007729E9" w:rsidRPr="00561781" w:rsidRDefault="007729E9" w:rsidP="007729E9">
      <w:pPr>
        <w:pStyle w:val="ListParagraph"/>
      </w:pPr>
      <w:r>
        <w:t>Tous les États membres se conformaient déjà à cet article. Le délai varie toutefois considérablement selon les pays: en Slovaquie, il est ainsi de trois mois et en Allemagne, de onze semaines, alors qu’à Chypre, en France et en Grèce, il est proche de la limite fixée à trois semaines.</w:t>
      </w:r>
    </w:p>
    <w:p w14:paraId="2E7E6C7F" w14:textId="77777777" w:rsidR="007729E9" w:rsidRPr="00561781" w:rsidRDefault="007729E9" w:rsidP="007729E9">
      <w:pPr>
        <w:pStyle w:val="ListParagraph"/>
      </w:pPr>
    </w:p>
    <w:p w14:paraId="431504BA" w14:textId="77777777" w:rsidR="007729E9" w:rsidRPr="00561781" w:rsidRDefault="007729E9" w:rsidP="007729E9">
      <w:pPr>
        <w:ind w:left="720" w:hanging="360"/>
      </w:pPr>
      <w:r>
        <w:t>iv)</w:t>
      </w:r>
      <w:r>
        <w:tab/>
      </w:r>
      <w:r>
        <w:rPr>
          <w:b/>
        </w:rPr>
        <w:t>Mise en œuvre des mesures nécessaires pour éviter le vote double</w:t>
      </w:r>
      <w:r>
        <w:t>.</w:t>
      </w:r>
    </w:p>
    <w:p w14:paraId="18631D14" w14:textId="76F10AA5" w:rsidR="007729E9" w:rsidRPr="00561781" w:rsidRDefault="007729E9" w:rsidP="007729E9">
      <w:pPr>
        <w:pStyle w:val="ListParagraph"/>
      </w:pPr>
      <w:r>
        <w:t>Vingt-quatre pays ont mis en place de telles mesures. La Hongrie, la Lettonie et l’Espagne ne disposent pas de mesures spécifiques concernant le vote double, mais seulement d’une certaine forme de sanction en cas de comportement frauduleux lors du vote.</w:t>
      </w:r>
    </w:p>
    <w:p w14:paraId="2D5F4303" w14:textId="77777777" w:rsidR="007729E9" w:rsidRPr="00561781" w:rsidRDefault="007729E9" w:rsidP="007729E9"/>
    <w:p w14:paraId="3A9A8D27" w14:textId="1832570D" w:rsidR="007729E9" w:rsidRPr="00561781" w:rsidRDefault="007729E9" w:rsidP="007729E9">
      <w:pPr>
        <w:ind w:left="720" w:hanging="360"/>
      </w:pPr>
      <w:r>
        <w:t>v)</w:t>
      </w:r>
      <w:r>
        <w:tab/>
      </w:r>
      <w:r>
        <w:rPr>
          <w:b/>
        </w:rPr>
        <w:t>Désignation d’une autorité de contact</w:t>
      </w:r>
      <w:r>
        <w:t xml:space="preserve"> chargée d’échanger avec ses homologues des </w:t>
      </w:r>
      <w:r>
        <w:lastRenderedPageBreak/>
        <w:t>autres États membres des données sur les électeurs et les candidats mobiles.</w:t>
      </w:r>
    </w:p>
    <w:p w14:paraId="5625DA72" w14:textId="77777777" w:rsidR="007729E9" w:rsidRPr="00561781" w:rsidRDefault="007729E9" w:rsidP="007729E9">
      <w:pPr>
        <w:pStyle w:val="ListParagraph"/>
      </w:pPr>
    </w:p>
    <w:p w14:paraId="053A39FC" w14:textId="5E4251FB" w:rsidR="007729E9" w:rsidRPr="00561781" w:rsidRDefault="007729E9" w:rsidP="007729E9">
      <w:pPr>
        <w:pStyle w:val="ListParagraph"/>
      </w:pPr>
      <w:r>
        <w:t>Tous les États membres disposent d’une autorité désignée. Dans la plupart des cas, il s’agit du ministère de l’intérieur ou d’un autre ministère; dans certains cas, il s’agit d’une autorité spécifique chargée des questions électorales.</w:t>
      </w:r>
    </w:p>
    <w:p w14:paraId="25CF219C" w14:textId="77777777" w:rsidR="007729E9" w:rsidRPr="00561781" w:rsidRDefault="007729E9" w:rsidP="007729E9">
      <w:pPr>
        <w:rPr>
          <w:b/>
        </w:rPr>
      </w:pPr>
    </w:p>
    <w:p w14:paraId="164925D5" w14:textId="77777777" w:rsidR="007729E9" w:rsidRPr="00561781" w:rsidRDefault="007729E9" w:rsidP="007729E9">
      <w:pPr>
        <w:ind w:left="720" w:hanging="360"/>
        <w:rPr>
          <w:b/>
        </w:rPr>
      </w:pPr>
      <w:r>
        <w:rPr>
          <w:b/>
        </w:rPr>
        <w:t>b)</w:t>
      </w:r>
      <w:r>
        <w:rPr>
          <w:b/>
        </w:rPr>
        <w:tab/>
        <w:t>Mesures facultatives</w:t>
      </w:r>
    </w:p>
    <w:p w14:paraId="0F3D0CC9" w14:textId="77777777" w:rsidR="007729E9" w:rsidRPr="00561781" w:rsidRDefault="007729E9" w:rsidP="007729E9"/>
    <w:p w14:paraId="34203B89" w14:textId="314FF63B" w:rsidR="007729E9" w:rsidRPr="00561781" w:rsidRDefault="007729E9" w:rsidP="007729E9">
      <w:r>
        <w:t>Les mesures facultatives proposées par la décision (UE, Euratom) 2018/994 du Conseil sont les suivantes:</w:t>
      </w:r>
    </w:p>
    <w:p w14:paraId="5398B94E" w14:textId="77777777" w:rsidR="007729E9" w:rsidRPr="00561781" w:rsidRDefault="007729E9" w:rsidP="007729E9"/>
    <w:p w14:paraId="2509CA91" w14:textId="77777777" w:rsidR="007729E9" w:rsidRPr="00561781" w:rsidRDefault="007729E9" w:rsidP="007729E9">
      <w:pPr>
        <w:ind w:left="720" w:hanging="360"/>
      </w:pPr>
      <w:r>
        <w:t>i)</w:t>
      </w:r>
      <w:r>
        <w:tab/>
      </w:r>
      <w:r>
        <w:rPr>
          <w:b/>
        </w:rPr>
        <w:t>Scrutin de liste préférentiel</w:t>
      </w:r>
      <w:r>
        <w:t>.</w:t>
      </w:r>
    </w:p>
    <w:p w14:paraId="03ACDF5E" w14:textId="74378703" w:rsidR="007729E9" w:rsidRPr="00561781" w:rsidRDefault="007729E9" w:rsidP="007729E9">
      <w:pPr>
        <w:pStyle w:val="ListParagraph"/>
      </w:pPr>
      <w:r>
        <w:t>Cette disposition reste inchangée par rapport à la décision du Conseil de 2002 et ne pose donc aucun problème. En tout état de cause, l’article n’est pas controversé, non seulement parce qu’il n’est pas obligatoire, mais aussi parce que la plupart des États membres ont déjà recours au vote préférentiel.</w:t>
      </w:r>
    </w:p>
    <w:p w14:paraId="1A01BF97" w14:textId="77777777" w:rsidR="007729E9" w:rsidRPr="00561781" w:rsidRDefault="007729E9" w:rsidP="007729E9">
      <w:pPr>
        <w:pStyle w:val="ListParagraph"/>
        <w:ind w:left="567"/>
      </w:pPr>
    </w:p>
    <w:p w14:paraId="501FBE4D" w14:textId="65B85056" w:rsidR="007729E9" w:rsidRPr="00561781" w:rsidRDefault="007729E9" w:rsidP="007729E9">
      <w:pPr>
        <w:ind w:left="720" w:hanging="360"/>
      </w:pPr>
      <w:r>
        <w:t>ii)</w:t>
      </w:r>
      <w:r>
        <w:tab/>
      </w:r>
      <w:r>
        <w:rPr>
          <w:b/>
        </w:rPr>
        <w:t>Seuil minimal ne dépassant pas 5 %</w:t>
      </w:r>
      <w:r>
        <w:t xml:space="preserve"> des suffrages pour l’attribution des sièges.</w:t>
      </w:r>
    </w:p>
    <w:p w14:paraId="6CD45D85" w14:textId="1895FFEE" w:rsidR="007729E9" w:rsidRPr="00561781" w:rsidRDefault="007729E9" w:rsidP="007729E9">
      <w:pPr>
        <w:pStyle w:val="ListParagraph"/>
      </w:pPr>
      <w:r>
        <w:t>Le chiffre de 5 % ne pose pas non plus de problème car aucun État membre n’a un seuil électoral supérieur à 5 %.</w:t>
      </w:r>
    </w:p>
    <w:p w14:paraId="2A14B772" w14:textId="77777777" w:rsidR="007729E9" w:rsidRPr="00561781" w:rsidRDefault="007729E9" w:rsidP="007729E9">
      <w:pPr>
        <w:pStyle w:val="ListParagraph"/>
      </w:pPr>
    </w:p>
    <w:p w14:paraId="77CE5B44" w14:textId="77777777" w:rsidR="007729E9" w:rsidRPr="00561781" w:rsidRDefault="007729E9" w:rsidP="007729E9">
      <w:pPr>
        <w:ind w:left="720" w:hanging="360"/>
      </w:pPr>
      <w:r>
        <w:t>iii)</w:t>
      </w:r>
      <w:r>
        <w:tab/>
      </w:r>
      <w:r>
        <w:rPr>
          <w:b/>
        </w:rPr>
        <w:t>Bulletins de vote sur lesquels figurent le nom ou le logo du parti politique européen</w:t>
      </w:r>
      <w:r>
        <w:t xml:space="preserve"> auquel la liste ou le candidat est affilié(e).</w:t>
      </w:r>
    </w:p>
    <w:p w14:paraId="42902B27" w14:textId="77777777" w:rsidR="007729E9" w:rsidRPr="00561781" w:rsidRDefault="007729E9" w:rsidP="007729E9">
      <w:pPr>
        <w:pStyle w:val="ListParagraph"/>
      </w:pPr>
    </w:p>
    <w:p w14:paraId="2FD43CED" w14:textId="77777777" w:rsidR="007729E9" w:rsidRPr="00561781" w:rsidRDefault="007729E9" w:rsidP="007729E9">
      <w:pPr>
        <w:pStyle w:val="ListParagraph"/>
      </w:pPr>
      <w:r>
        <w:t>Cette disposition n’a été transposée dans aucune législation nationale et, par conséquent, le degré d’européanisation des bulletins électoraux reste très faible. La mention du parti politique européen reste discrétionnaire et dépend parfois davantage de la mise en page du bulletin que d’un choix politique concret.</w:t>
      </w:r>
    </w:p>
    <w:p w14:paraId="7C322E0E" w14:textId="77777777" w:rsidR="007729E9" w:rsidRPr="00561781" w:rsidRDefault="007729E9" w:rsidP="007729E9">
      <w:pPr>
        <w:pStyle w:val="ListParagraph"/>
      </w:pPr>
    </w:p>
    <w:p w14:paraId="2C1DC6BF" w14:textId="4D881026" w:rsidR="007729E9" w:rsidRPr="00561781" w:rsidRDefault="007729E9" w:rsidP="007729E9">
      <w:pPr>
        <w:ind w:left="720" w:hanging="360"/>
      </w:pPr>
      <w:r>
        <w:t>iv)</w:t>
      </w:r>
      <w:r>
        <w:tab/>
        <w:t xml:space="preserve">Possibilité de voter </w:t>
      </w:r>
      <w:r>
        <w:rPr>
          <w:b/>
        </w:rPr>
        <w:t>par anticipation, par correspondance et par voie électronique</w:t>
      </w:r>
      <w:r>
        <w:t>, ainsi que mesures permettant aux citoyens résidant dans des</w:t>
      </w:r>
      <w:r>
        <w:rPr>
          <w:b/>
        </w:rPr>
        <w:t xml:space="preserve"> pays</w:t>
      </w:r>
      <w:r>
        <w:t xml:space="preserve"> </w:t>
      </w:r>
      <w:r>
        <w:rPr>
          <w:b/>
        </w:rPr>
        <w:t>tiers</w:t>
      </w:r>
      <w:r>
        <w:t xml:space="preserve"> de voter aux élections européennes.</w:t>
      </w:r>
    </w:p>
    <w:p w14:paraId="0D5E6A60" w14:textId="77777777" w:rsidR="007729E9" w:rsidRPr="00561781" w:rsidRDefault="007729E9" w:rsidP="007729E9">
      <w:pPr>
        <w:pStyle w:val="ListParagraph"/>
      </w:pPr>
    </w:p>
    <w:p w14:paraId="7A23A84F" w14:textId="77E05A1B" w:rsidR="007729E9" w:rsidRPr="00561781" w:rsidRDefault="007729E9" w:rsidP="007729E9">
      <w:pPr>
        <w:pStyle w:val="ListParagraph"/>
      </w:pPr>
      <w:r>
        <w:t>La situation est loin d’être homogène: vingt-trois pays prévoient une ou plusieurs possibilités de vote à distance, le vote à l’ambassade étant l’option la plus répandue. Certains pays permettent aux citoyens de choisir parmi d’autres méthodes de vote, telles que le vote par correspondance, par procuration voire sur l’internet.</w:t>
      </w:r>
    </w:p>
    <w:p w14:paraId="44FCCAD2" w14:textId="77777777" w:rsidR="007729E9" w:rsidRPr="00561781" w:rsidRDefault="007729E9" w:rsidP="007729E9">
      <w:pPr>
        <w:pStyle w:val="ListParagraph"/>
      </w:pPr>
    </w:p>
    <w:p w14:paraId="1095206C" w14:textId="47DE8F6B" w:rsidR="007729E9" w:rsidRPr="00561781" w:rsidRDefault="007729E9" w:rsidP="00EA4149">
      <w:pPr>
        <w:pStyle w:val="ListParagraph"/>
      </w:pPr>
      <w:r>
        <w:t>Seuls quatre pays (Tchéquie, Irlande, Malte et Slovaquie) n’autorisent pas le vote à distance. Par ailleurs, certains pays autorisent le vote à l’ambassade, mais uniquement pour les citoyens résidant dans l’Union et non dans des pays tiers.</w:t>
      </w:r>
    </w:p>
    <w:p w14:paraId="440981A9" w14:textId="77777777" w:rsidR="007729E9" w:rsidRPr="00561781" w:rsidRDefault="007729E9" w:rsidP="007729E9">
      <w:pPr>
        <w:pStyle w:val="ListParagraph"/>
      </w:pPr>
    </w:p>
    <w:p w14:paraId="3BC0139A" w14:textId="77777777" w:rsidR="007729E9" w:rsidRPr="00561781" w:rsidRDefault="007729E9" w:rsidP="007729E9">
      <w:pPr>
        <w:ind w:left="720" w:hanging="360"/>
        <w:rPr>
          <w:b/>
        </w:rPr>
      </w:pPr>
      <w:r>
        <w:rPr>
          <w:b/>
        </w:rPr>
        <w:t>4.</w:t>
      </w:r>
      <w:r>
        <w:rPr>
          <w:b/>
        </w:rPr>
        <w:tab/>
        <w:t>Processus de ratification</w:t>
      </w:r>
    </w:p>
    <w:p w14:paraId="52BCC14D" w14:textId="77777777" w:rsidR="007729E9" w:rsidRPr="00561781" w:rsidRDefault="007729E9" w:rsidP="007729E9">
      <w:pPr>
        <w:rPr>
          <w:b/>
        </w:rPr>
      </w:pPr>
    </w:p>
    <w:p w14:paraId="2E509651" w14:textId="27E3E212" w:rsidR="007729E9" w:rsidRPr="00561781" w:rsidRDefault="007729E9" w:rsidP="007729E9">
      <w:pPr>
        <w:jc w:val="both"/>
      </w:pPr>
      <w:r>
        <w:t>La décision (UE, Euratom) 2018/994 du Conseil n’entrera en vigueur qu’après avoir été approuvée par tous les États membres conformément à leurs règles constitutionnelles respectives (article 223 du traité FUE). À l’heure actuelle, tous les États membres à l’exception de l’</w:t>
      </w:r>
      <w:r>
        <w:rPr>
          <w:b/>
        </w:rPr>
        <w:t>Espagne</w:t>
      </w:r>
      <w:r>
        <w:t xml:space="preserve"> l’ont approuvée. Par conséquent, le processus de ratification est toujours en cours et la décision (UE, Euratom) 2018/994 du Conseil n’est pas encore entrée en vigueur.</w:t>
      </w:r>
    </w:p>
    <w:p w14:paraId="64A3781E" w14:textId="77777777" w:rsidR="007729E9" w:rsidRPr="00561781" w:rsidRDefault="007729E9" w:rsidP="007729E9">
      <w:pPr>
        <w:jc w:val="both"/>
      </w:pPr>
    </w:p>
    <w:p w14:paraId="6E43F6CE" w14:textId="05E50C63" w:rsidR="007729E9" w:rsidRPr="00561781" w:rsidRDefault="007729E9" w:rsidP="007729E9">
      <w:pPr>
        <w:jc w:val="both"/>
      </w:pPr>
      <w:r>
        <w:t>La plupart des États membres ont ratifié la décision avant la fin de l’année 2019 et n’ont pas eu besoin d’un examen ou d’une approbation parlementaire, étant donné qu’aucune modification n’était nécessaire pour que le droit national respecte la décision du Conseil. Certains États membres ont approuvé les projets de loi de ratification dans leurs parlements nationaux sans que cela ne suscite de controverses. Quelques exceptions sont toutefois à noter, par exemple: la loi votée en Hongrie, en vertu de laquelle la législation a été modifiée pour introduire le vote par correspondance, permettant aux Hongrois non résidents de voter aux élections européennes.</w:t>
      </w:r>
    </w:p>
    <w:p w14:paraId="406029DB" w14:textId="77777777" w:rsidR="007729E9" w:rsidRPr="00561781" w:rsidRDefault="007729E9" w:rsidP="007729E9">
      <w:pPr>
        <w:jc w:val="both"/>
      </w:pPr>
    </w:p>
    <w:p w14:paraId="44329B7D" w14:textId="5D0BCC62" w:rsidR="007729E9" w:rsidRPr="00561781" w:rsidRDefault="007729E9" w:rsidP="007729E9">
      <w:pPr>
        <w:jc w:val="both"/>
      </w:pPr>
      <w:r>
        <w:t>Pour certains pays, tels que Chypre et l’Allemagne, le processus de ratification s’est révélé difficile et ne s’est achevé que récemment.</w:t>
      </w:r>
    </w:p>
    <w:p w14:paraId="6483D796" w14:textId="77777777" w:rsidR="007729E9" w:rsidRPr="00561781" w:rsidRDefault="007729E9" w:rsidP="007729E9">
      <w:pPr>
        <w:jc w:val="both"/>
      </w:pPr>
    </w:p>
    <w:p w14:paraId="30F272C7" w14:textId="28ACAB10" w:rsidR="007729E9" w:rsidRPr="00561781" w:rsidRDefault="007729E9" w:rsidP="007729E9">
      <w:pPr>
        <w:jc w:val="both"/>
      </w:pPr>
      <w:r>
        <w:t xml:space="preserve">À </w:t>
      </w:r>
      <w:r>
        <w:rPr>
          <w:b/>
        </w:rPr>
        <w:t>Chypre</w:t>
      </w:r>
      <w:r>
        <w:t>, la première tentative d’approuver la décision (UE, Euratom) 2018/994 du Conseil s’est soldée par un échec, le président de la République ayant renvoyé la loi électorale au Parlement chypriote pour réexamen.</w:t>
      </w:r>
    </w:p>
    <w:p w14:paraId="602A1B9A" w14:textId="77777777" w:rsidR="007729E9" w:rsidRPr="00561781" w:rsidRDefault="007729E9" w:rsidP="007729E9">
      <w:pPr>
        <w:jc w:val="both"/>
      </w:pPr>
    </w:p>
    <w:p w14:paraId="4A71BE95" w14:textId="3A4858C9" w:rsidR="007729E9" w:rsidRPr="00561781" w:rsidRDefault="007729E9" w:rsidP="007729E9">
      <w:pPr>
        <w:jc w:val="both"/>
      </w:pPr>
      <w:r>
        <w:t>La loi adoptée par le Parlement chypriote le 1</w:t>
      </w:r>
      <w:r>
        <w:rPr>
          <w:vertAlign w:val="superscript"/>
        </w:rPr>
        <w:t>er</w:t>
      </w:r>
      <w:r>
        <w:t> février 2019 contenait des dispositions incluant automatiquement plus de 102 000 citoyens dans le registre électoral, dont beaucoup ne voteraient normalement pas, soit qu’ils vivent à l’étranger, soit que leur adresse soit incorrecte, soit même qu’ils soient décédés, ce qui aurait créé des obstacles importants au bon déroulement des élections et faussé les niveaux d’abstention.</w:t>
      </w:r>
    </w:p>
    <w:p w14:paraId="08A93997" w14:textId="77777777" w:rsidR="007729E9" w:rsidRPr="00561781" w:rsidRDefault="007729E9" w:rsidP="007729E9">
      <w:pPr>
        <w:jc w:val="both"/>
      </w:pPr>
    </w:p>
    <w:p w14:paraId="5F131911" w14:textId="7AFF9C9A" w:rsidR="007729E9" w:rsidRPr="00561781" w:rsidRDefault="007729E9" w:rsidP="007729E9">
      <w:pPr>
        <w:jc w:val="both"/>
      </w:pPr>
      <w:r>
        <w:t xml:space="preserve">Le gouvernement a initialement présenté ce projet de loi, mais au cours des débats parlementaires, un amendement a été introduit pour étendre l’enregistrement automatique à tous les citoyens munis d’une carte d’identité, dont l’adresse est enregistrée dans les archives de l’État. Avant cette modification, le droit de vote automatique était limité aux résidents des zones contrôlées par la République. </w:t>
      </w:r>
    </w:p>
    <w:p w14:paraId="7AB57864" w14:textId="77777777" w:rsidR="007729E9" w:rsidRPr="00561781" w:rsidRDefault="007729E9" w:rsidP="007729E9"/>
    <w:p w14:paraId="1ED87EA7" w14:textId="2D6B43FF" w:rsidR="007729E9" w:rsidRPr="00561781" w:rsidRDefault="007729E9" w:rsidP="007729E9">
      <w:r>
        <w:t>Le 20 octobre 2023, Chypre a enfin ratifié la décision (UE, Euratom) 2018/994 du Conseil en adoptant la loi 97I(I) 2023, qui résout les problèmes apparus dans la loi précédente de 2019.</w:t>
      </w:r>
    </w:p>
    <w:p w14:paraId="727F9CEA" w14:textId="77777777" w:rsidR="007729E9" w:rsidRPr="00561781" w:rsidRDefault="007729E9" w:rsidP="007729E9"/>
    <w:p w14:paraId="24B3AB74" w14:textId="23ADC522" w:rsidR="007729E9" w:rsidRPr="00561781" w:rsidRDefault="007729E9" w:rsidP="007729E9">
      <w:pPr>
        <w:jc w:val="both"/>
      </w:pPr>
      <w:r>
        <w:rPr>
          <w:b/>
        </w:rPr>
        <w:t>En Allemagne</w:t>
      </w:r>
      <w:r>
        <w:t xml:space="preserve">, l’obligation d’introduire un seuil électoral a constitué un obstacle procédural majeur. De fait, la Cour constitutionnelle allemande a jugé à plusieurs reprises que le seuil électoral des élections au Parlement européen était anticonstitutionnel: en 2011, elle a ainsi rejeté un seuil de 5 % et en 2014 un seuil de 3 %. Dans ces deux cas, la Cour a justifié le rejet en se fondant sur le principe de l’égalité des chances devant la loi et de l’égalité des chances pour tous les partis politiques. Toute limitation de ces droits doit être justifiée de manière détaillée et la Cour n’a pas reconnu que l’absence de seuil entravait le bon fonctionnement ou donnait lieu à une fragmentation excessive du Parlement européen. </w:t>
      </w:r>
    </w:p>
    <w:p w14:paraId="1BC55117" w14:textId="77777777" w:rsidR="007729E9" w:rsidRPr="00561781" w:rsidRDefault="007729E9" w:rsidP="007729E9">
      <w:pPr>
        <w:jc w:val="both"/>
      </w:pPr>
    </w:p>
    <w:p w14:paraId="7BC4B1EC" w14:textId="389FD7CD" w:rsidR="007729E9" w:rsidRPr="00561781" w:rsidRDefault="007729E9" w:rsidP="007729E9">
      <w:pPr>
        <w:jc w:val="both"/>
      </w:pPr>
      <w:r>
        <w:t>La situation a radicalement changé avec la décision (UE, Euratom) 2018/994 du Conseil, qui établit un seuil obligatoire de 2 %. Le seuil de 2 % étant obligatoire en vertu du droit de l’Union, il n’est plus soumis à une évaluation fondée sur le principe de l’égalité des chances devant la loi et de l’égalité des chances pour tous les partis politiques en vertu du droit allemand. Par conséquent, le 15 juin et le 7 juillet 2023, le législateur allemand a approuvé la décision (UE, Euratom) 2018/994 du Conseil introduisant un seuil électoral pour les élections européennes à la majorité des deux tiers tant au Bundestag qu’au Bundesrat et a atteint ainsi les majorités parlementaires requises pour modifier la Constitution.</w:t>
      </w:r>
    </w:p>
    <w:p w14:paraId="43EAB161" w14:textId="77777777" w:rsidR="007729E9" w:rsidRPr="00561781" w:rsidRDefault="007729E9" w:rsidP="007729E9">
      <w:pPr>
        <w:jc w:val="both"/>
      </w:pPr>
    </w:p>
    <w:p w14:paraId="1DA3BFD1" w14:textId="57D8BD09" w:rsidR="007729E9" w:rsidRPr="00561781" w:rsidRDefault="007729E9" w:rsidP="007729E9">
      <w:pPr>
        <w:jc w:val="both"/>
      </w:pPr>
      <w:r>
        <w:lastRenderedPageBreak/>
        <w:t xml:space="preserve">Die PARTEI, un parti politique allemand entré au Parlement européen grâce à l’absence de seuil, et Martin Sonneborn, député, ont introduit un recours constitutionnel contre l’introduction du seuil minimal de 2 %. Le 6 février 2024, la Cour constitutionnelle allemande a rejeté les procédures engagées contre l’approbation de la décision du Conseil, au motif que la décision (UE, Euratom) 2018/994 du Conseil n’était pas un acte </w:t>
      </w:r>
      <w:r>
        <w:rPr>
          <w:i/>
        </w:rPr>
        <w:t>ultra vires</w:t>
      </w:r>
      <w:r>
        <w:t xml:space="preserve"> outrepassant les compétences de l’Union et qu’elle ne portait pas atteinte aux principes fondamentaux de la Constitution allemande. En outre, la Cour a également reconnu que le seuil est essentiel au maintien de la stabilité et du bon fonctionnement du Parlement européen. </w:t>
      </w:r>
    </w:p>
    <w:p w14:paraId="2E0265C8" w14:textId="77777777" w:rsidR="007729E9" w:rsidRPr="00561781" w:rsidRDefault="007729E9" w:rsidP="007729E9">
      <w:pPr>
        <w:jc w:val="both"/>
      </w:pPr>
    </w:p>
    <w:p w14:paraId="2D076D9E" w14:textId="786EBC28" w:rsidR="007729E9" w:rsidRPr="00561781" w:rsidRDefault="007729E9" w:rsidP="007729E9">
      <w:pPr>
        <w:jc w:val="both"/>
      </w:pPr>
      <w:r>
        <w:t>Bien que l’Allemagne ait ratifié la décision (UE, Euratom) 2018/994 du Conseil, la loi électorale allemande pour les élections au Parlement européen n’a pas été modifiée, car la décision du Conseil n’est pas encore en vigueur. Tant que le seuil de 2 % n’est pas obligatoire en droit européen, il ne peut être introduit dans le droit allemand.</w:t>
      </w:r>
    </w:p>
    <w:p w14:paraId="11051693" w14:textId="77777777" w:rsidR="007729E9" w:rsidRPr="00561781" w:rsidRDefault="007729E9" w:rsidP="007729E9">
      <w:pPr>
        <w:jc w:val="both"/>
      </w:pPr>
    </w:p>
    <w:p w14:paraId="0B3FC685" w14:textId="54B4F4BC" w:rsidR="007729E9" w:rsidRPr="00561781" w:rsidRDefault="007729E9" w:rsidP="007729E9">
      <w:pPr>
        <w:jc w:val="both"/>
      </w:pPr>
      <w:r>
        <w:rPr>
          <w:b/>
        </w:rPr>
        <w:t>En Espagne</w:t>
      </w:r>
      <w:r>
        <w:t xml:space="preserve">, la modification cruciale qui doit encore être apportée à l’actuelle loi électorale concerne également la fixation d’un seuil minimal pour l’attribution des sièges. Étant donné que l’Espagne dispose d’une circonscription unique, l’article 3 de la décision (UE, Euratom) 2018/994 du Conseil devra être mis en œuvre pour faire respecter un seuil minimal allant de 2 à 5 % des suffrages, ce qui implique la modification de la </w:t>
      </w:r>
      <w:r>
        <w:rPr>
          <w:i/>
        </w:rPr>
        <w:t>Ley Orgánica del Régimen Electoral General (LOREG)</w:t>
      </w:r>
      <w:r>
        <w:t>.</w:t>
      </w:r>
    </w:p>
    <w:p w14:paraId="28AF89E0" w14:textId="77777777" w:rsidR="007729E9" w:rsidRPr="00561781" w:rsidRDefault="007729E9" w:rsidP="007729E9">
      <w:pPr>
        <w:jc w:val="both"/>
      </w:pPr>
    </w:p>
    <w:p w14:paraId="71491AA2" w14:textId="0BC8A11B" w:rsidR="007729E9" w:rsidRPr="00561781" w:rsidRDefault="007729E9" w:rsidP="007729E9">
      <w:pPr>
        <w:jc w:val="both"/>
      </w:pPr>
      <w:r>
        <w:t xml:space="preserve">D’un point de vue juridique, aucun obstacle majeur ne devrait entraver la ratification de la décision (UE, Euratom) 2018/994 du Conseil en Espagne. Toutefois, le processus est plus délicat d’un point de vue politique. La fixation d’un seuil électoral implique que quelques petits partis politiques (en particulier, les partis politiques régionaux) pourraient être empêchés d’avoir des députés au Parlement européen. Par conséquent, l’adoption d’un seuil électoral formel pourrait être particulièrement problématique pour un système politique aussi fragmenté que celui de l’Espagne. S’il est vrai que le seuil électoral bénéficiera aux grands partis politiques, ce qui pourrait faciliter son approbation parlementaire, on peut néanmoins soutenir que l’absence d’une majorité claire aux </w:t>
      </w:r>
      <w:r>
        <w:rPr>
          <w:i/>
        </w:rPr>
        <w:t>Cortes Generales</w:t>
      </w:r>
      <w:r>
        <w:t xml:space="preserve"> espagnoles, les éventuelles incidences du seuil sur les partenaires minoritaires de la coalition et la relative instabilité politique risquent de retarder l’aboutissement du processus.</w:t>
      </w:r>
    </w:p>
    <w:p w14:paraId="1C8FA4E7" w14:textId="77777777" w:rsidR="007729E9" w:rsidRPr="00561781" w:rsidRDefault="007729E9" w:rsidP="007729E9">
      <w:pPr>
        <w:jc w:val="both"/>
      </w:pPr>
    </w:p>
    <w:p w14:paraId="4DB5E2B2" w14:textId="6A469BAE" w:rsidR="007729E9" w:rsidRPr="00561781" w:rsidRDefault="007729E9" w:rsidP="007729E9">
      <w:pPr>
        <w:jc w:val="both"/>
      </w:pPr>
      <w:r>
        <w:t>La situation est rendue complexe par le fait que le PSOE et l’EAJ-PNV, le plus grand parti nationaliste basque, ont signé un accord de coalition le 10 novembre 2023, qui mentionnait explicitement que l’une des conditions pour que l’EAJ-PNV vote en faveur de l’investiture de Pedro Sánchez au poste de président du gouvernement était que le PSOE ne promeuve aucune modification de la loi électorale (LOREG), et qu’en cas de nécessité dans des circonstances extraordinaires, il ne le fasse qu’avec l’accord préalable de l’EAJ-PNV. Dans le contexte des élections européennes de juin 2024, on voit clairement dans quelle mesure la représentation démocratique est faussée: la coalition CEUS, dont l’EAJ-PNV était membre, a obtenu un siège avec seulement 1,63 % des voix exprimées en Espagne. Ce résultat, qui représente moins de 0,078 % de la liste électorale européenne, n’aurait pas atteint le seuil minimal requis par la réforme de 2018. La coalition en question n’aurait donc pas eu droit à ce siège.</w:t>
      </w:r>
    </w:p>
    <w:p w14:paraId="55C6AA05" w14:textId="77777777" w:rsidR="007729E9" w:rsidRPr="00561781" w:rsidRDefault="007729E9" w:rsidP="007729E9">
      <w:pPr>
        <w:jc w:val="both"/>
      </w:pPr>
    </w:p>
    <w:p w14:paraId="4D755746" w14:textId="4030D94F" w:rsidR="007729E9" w:rsidRPr="00561781" w:rsidRDefault="007729E9" w:rsidP="00EA4149">
      <w:pPr>
        <w:jc w:val="both"/>
      </w:pPr>
      <w:r>
        <w:t xml:space="preserve">Il convient de relever que, si la modification de la LOREG peut se faire à l’initiative du gouvernement espagnol ou de l’une des chambres des </w:t>
      </w:r>
      <w:r>
        <w:rPr>
          <w:i/>
        </w:rPr>
        <w:t>Cortes Generales</w:t>
      </w:r>
      <w:r>
        <w:t xml:space="preserve"> (le Congrès des députés ou le Sénat), la décision (UE, Euratom) 2018/994 du Conseil ne peut être approuvée qu’à l’initiative du gouvernement (la proposition du Parlement espagnol visant à approuver la </w:t>
      </w:r>
      <w:r>
        <w:lastRenderedPageBreak/>
        <w:t xml:space="preserve">décision du Conseil doit être adoptée par le </w:t>
      </w:r>
      <w:r>
        <w:rPr>
          <w:i/>
        </w:rPr>
        <w:t>Consejo de Ministros</w:t>
      </w:r>
      <w:r>
        <w:t>).</w:t>
      </w:r>
    </w:p>
    <w:p w14:paraId="29A1EFDF" w14:textId="77777777" w:rsidR="007729E9" w:rsidRPr="00561781" w:rsidRDefault="007729E9" w:rsidP="007729E9">
      <w:pPr>
        <w:pStyle w:val="ListParagraph"/>
        <w:rPr>
          <w:b/>
        </w:rPr>
      </w:pPr>
    </w:p>
    <w:p w14:paraId="447C16E0" w14:textId="0D223212" w:rsidR="007729E9" w:rsidRPr="00561781" w:rsidRDefault="007729E9" w:rsidP="007729E9">
      <w:pPr>
        <w:ind w:left="720" w:hanging="360"/>
        <w:rPr>
          <w:b/>
        </w:rPr>
      </w:pPr>
      <w:r>
        <w:rPr>
          <w:b/>
        </w:rPr>
        <w:t>5.</w:t>
      </w:r>
      <w:r>
        <w:rPr>
          <w:b/>
        </w:rPr>
        <w:tab/>
        <w:t>Proposition du Parlement européen relative à un nouvel acte électoral</w:t>
      </w:r>
    </w:p>
    <w:p w14:paraId="6786798C" w14:textId="77777777" w:rsidR="007729E9" w:rsidRPr="00561781" w:rsidRDefault="007729E9" w:rsidP="007729E9">
      <w:pPr>
        <w:pStyle w:val="ListParagraph"/>
        <w:rPr>
          <w:b/>
        </w:rPr>
      </w:pPr>
    </w:p>
    <w:p w14:paraId="2CF1D876" w14:textId="1D697A5E" w:rsidR="007729E9" w:rsidRPr="00561781" w:rsidRDefault="007729E9" w:rsidP="007729E9">
      <w:r>
        <w:t>Bien que la décision (UE, Euratom) 2018/994 du Conseil ne soit pas encore en vigueur, le Parlement européen a présenté une nouvelle initiative législative visant à abroger l’acte électoral européen actuel et à adopter un nouveau règlement régissant les élections européennes.</w:t>
      </w:r>
    </w:p>
    <w:p w14:paraId="5509F039" w14:textId="77777777" w:rsidR="007729E9" w:rsidRPr="00561781" w:rsidRDefault="007729E9" w:rsidP="007729E9"/>
    <w:p w14:paraId="79518DE0" w14:textId="5696D72A" w:rsidR="007729E9" w:rsidRPr="00561781" w:rsidRDefault="007729E9" w:rsidP="007729E9">
      <w:pPr>
        <w:jc w:val="both"/>
      </w:pPr>
      <w:r>
        <w:t>La commission des affaires constitutionnelles (AFCO) a nommé Domènec Ruiz Devesa (S&amp;D, Espagne) rapporteur. Le rapport a été adopté le 28 mars 2022 en commission AFCO puis adopté par la plénière le 3 mai 2022. Au cours de la législature actuelle, Juan Fernando López Aguilar (S&amp;D, Espagne) a été nommé comme nouveau rapporteur pour ce dossier législatif.</w:t>
      </w:r>
    </w:p>
    <w:p w14:paraId="48BCBC0B" w14:textId="77777777" w:rsidR="007729E9" w:rsidRPr="00561781" w:rsidRDefault="007729E9" w:rsidP="007729E9">
      <w:pPr>
        <w:jc w:val="both"/>
      </w:pPr>
    </w:p>
    <w:p w14:paraId="0B86BA9B" w14:textId="3371F9D7" w:rsidR="007729E9" w:rsidRPr="00561781" w:rsidRDefault="007729E9" w:rsidP="007729E9">
      <w:pPr>
        <w:jc w:val="both"/>
      </w:pPr>
      <w:r>
        <w:t>La proposition introduit plusieurs changements essentiels, dont les suivants:</w:t>
      </w:r>
    </w:p>
    <w:p w14:paraId="4AB18029" w14:textId="77777777" w:rsidR="007729E9" w:rsidRPr="00561781" w:rsidRDefault="007729E9" w:rsidP="007729E9"/>
    <w:p w14:paraId="168E730C" w14:textId="368A81B3" w:rsidR="007729E9" w:rsidRPr="00561781" w:rsidRDefault="007729E9" w:rsidP="007729E9">
      <w:pPr>
        <w:ind w:left="567" w:hanging="425"/>
      </w:pPr>
      <w:r>
        <w:rPr>
          <w:rFonts w:ascii="Symbol" w:hAnsi="Symbol"/>
        </w:rPr>
        <w:t></w:t>
      </w:r>
      <w:r>
        <w:rPr>
          <w:rFonts w:ascii="Symbol" w:hAnsi="Symbol"/>
        </w:rPr>
        <w:tab/>
      </w:r>
      <w:r>
        <w:t>un âge minimal commun de 18 ans pour se présenter aux élections européennes et un âge minimal commun de 16 ans pour voter, hormis dans les États membres où l’ordre constitutionnel fixe un âge minimal de 17 ou de 18 ans pour le droit de vote;</w:t>
      </w:r>
    </w:p>
    <w:p w14:paraId="71E05824" w14:textId="77777777" w:rsidR="007729E9" w:rsidRPr="00561781" w:rsidRDefault="007729E9" w:rsidP="007729E9">
      <w:pPr>
        <w:ind w:left="567" w:hanging="425"/>
      </w:pPr>
    </w:p>
    <w:p w14:paraId="46A2538A" w14:textId="7A9E8CA3" w:rsidR="007729E9" w:rsidRPr="00561781" w:rsidRDefault="007729E9" w:rsidP="007729E9">
      <w:pPr>
        <w:ind w:left="567" w:hanging="425"/>
      </w:pPr>
      <w:r>
        <w:rPr>
          <w:rFonts w:ascii="Symbol" w:hAnsi="Symbol"/>
        </w:rPr>
        <w:t></w:t>
      </w:r>
      <w:r>
        <w:rPr>
          <w:rFonts w:ascii="Symbol" w:hAnsi="Symbol"/>
        </w:rPr>
        <w:tab/>
      </w:r>
      <w:r>
        <w:t>l’obligation pour les États membres de garantir le droit de vote aux élections européennes aux citoyens de l’Union résidant dans un pays tiers, à ceux qui n’ont pas de résidence permanente, qui vivent dans un cadre résidentiel fermé, qui sont sans domicile fixe ou qui purgent une peine d’emprisonnement;</w:t>
      </w:r>
    </w:p>
    <w:p w14:paraId="5C6BB5B7" w14:textId="77777777" w:rsidR="007729E9" w:rsidRPr="00561781" w:rsidRDefault="007729E9" w:rsidP="007729E9">
      <w:pPr>
        <w:ind w:left="567" w:hanging="425"/>
      </w:pPr>
    </w:p>
    <w:p w14:paraId="2B270C7E" w14:textId="2F863689" w:rsidR="007729E9" w:rsidRPr="00561781" w:rsidRDefault="007729E9" w:rsidP="007729E9">
      <w:pPr>
        <w:ind w:left="567" w:hanging="425"/>
      </w:pPr>
      <w:r>
        <w:rPr>
          <w:rFonts w:ascii="Symbol" w:hAnsi="Symbol"/>
        </w:rPr>
        <w:t></w:t>
      </w:r>
      <w:r>
        <w:rPr>
          <w:rFonts w:ascii="Symbol" w:hAnsi="Symbol"/>
        </w:rPr>
        <w:tab/>
      </w:r>
      <w:r>
        <w:t>l’obligation pour les États membres de veiller à l’accessibilité du matériel électoral, des installations et des bureaux de vote, y compris pour les personnes handicapées;</w:t>
      </w:r>
    </w:p>
    <w:p w14:paraId="1416FD8A" w14:textId="77777777" w:rsidR="007729E9" w:rsidRPr="00561781" w:rsidRDefault="007729E9" w:rsidP="007729E9">
      <w:pPr>
        <w:ind w:left="567" w:hanging="425"/>
      </w:pPr>
    </w:p>
    <w:p w14:paraId="510960B6" w14:textId="77777777" w:rsidR="007729E9" w:rsidRPr="00561781" w:rsidRDefault="007729E9" w:rsidP="007729E9">
      <w:pPr>
        <w:ind w:left="567" w:hanging="425"/>
      </w:pPr>
      <w:r>
        <w:rPr>
          <w:rFonts w:ascii="Symbol" w:hAnsi="Symbol"/>
        </w:rPr>
        <w:t></w:t>
      </w:r>
      <w:r>
        <w:rPr>
          <w:rFonts w:ascii="Symbol" w:hAnsi="Symbol"/>
        </w:rPr>
        <w:tab/>
      </w:r>
      <w:r>
        <w:t>l’obligation pour les États membres de prévoir la possibilité de voter par correspondance, notamment pour les citoyens de l’Union vivant à l’étranger, ainsi que la possibilité d’autoriser le vote anticipé en personne, le vote par procuration et le vote au moyen de systèmes électroniques ou en ligne;</w:t>
      </w:r>
    </w:p>
    <w:p w14:paraId="6FD00E31" w14:textId="77777777" w:rsidR="007729E9" w:rsidRPr="00561781" w:rsidRDefault="007729E9" w:rsidP="007729E9">
      <w:pPr>
        <w:ind w:left="567" w:hanging="425"/>
      </w:pPr>
    </w:p>
    <w:p w14:paraId="1BBD531B" w14:textId="1AFFD450" w:rsidR="007729E9" w:rsidRPr="00561781" w:rsidRDefault="007729E9" w:rsidP="007729E9">
      <w:pPr>
        <w:ind w:left="567" w:hanging="425"/>
      </w:pPr>
      <w:r>
        <w:rPr>
          <w:rFonts w:ascii="Symbol" w:hAnsi="Symbol"/>
        </w:rPr>
        <w:t></w:t>
      </w:r>
      <w:r>
        <w:rPr>
          <w:rFonts w:ascii="Symbol" w:hAnsi="Symbol"/>
        </w:rPr>
        <w:tab/>
      </w:r>
      <w:r>
        <w:t>une date fixe pour la tenue des élections européennes dans l’ensemble de l’Union (le 9 mai, tous les cinq ans);</w:t>
      </w:r>
    </w:p>
    <w:p w14:paraId="4929FC76" w14:textId="77777777" w:rsidR="007729E9" w:rsidRPr="00561781" w:rsidRDefault="007729E9" w:rsidP="007729E9">
      <w:pPr>
        <w:ind w:left="567" w:hanging="425"/>
      </w:pPr>
    </w:p>
    <w:p w14:paraId="6AC729E9" w14:textId="6380B97B" w:rsidR="007729E9" w:rsidRPr="00561781" w:rsidRDefault="007729E9" w:rsidP="007729E9">
      <w:pPr>
        <w:ind w:left="567" w:hanging="425"/>
      </w:pPr>
      <w:r>
        <w:rPr>
          <w:rFonts w:ascii="Symbol" w:hAnsi="Symbol"/>
        </w:rPr>
        <w:t></w:t>
      </w:r>
      <w:r>
        <w:rPr>
          <w:rFonts w:ascii="Symbol" w:hAnsi="Symbol"/>
        </w:rPr>
        <w:tab/>
      </w:r>
      <w:r>
        <w:t>une période commune pour la campagne électorale commençant huit semaines avant le jour des élections et une période de réserve électorale commune de 48 heures avant le jour du scrutin;</w:t>
      </w:r>
    </w:p>
    <w:p w14:paraId="759FB0D3" w14:textId="77777777" w:rsidR="007729E9" w:rsidRPr="00561781" w:rsidRDefault="007729E9" w:rsidP="007729E9">
      <w:pPr>
        <w:ind w:left="567" w:hanging="425"/>
      </w:pPr>
    </w:p>
    <w:p w14:paraId="0A4F7F20" w14:textId="4C561643" w:rsidR="007729E9" w:rsidRPr="00561781" w:rsidRDefault="007729E9" w:rsidP="007729E9">
      <w:pPr>
        <w:ind w:left="567" w:hanging="425"/>
      </w:pPr>
      <w:r>
        <w:rPr>
          <w:rFonts w:ascii="Symbol" w:hAnsi="Symbol"/>
        </w:rPr>
        <w:t></w:t>
      </w:r>
      <w:r>
        <w:rPr>
          <w:rFonts w:ascii="Symbol" w:hAnsi="Symbol"/>
        </w:rPr>
        <w:tab/>
      </w:r>
      <w:r>
        <w:t>l’obligation pour tous les partis politiques et les autres entités participant aux élections européennes de respecter «les procédures démocratiques et la transparence» lorsqu’ils élisent leurs candidats et de veiller à l’égalité des genres dans leurs candidatures, par le recours à des listes alternées ou à des quotas;</w:t>
      </w:r>
    </w:p>
    <w:p w14:paraId="26CC9477" w14:textId="77777777" w:rsidR="007729E9" w:rsidRPr="00561781" w:rsidRDefault="007729E9" w:rsidP="007729E9">
      <w:pPr>
        <w:ind w:left="567" w:hanging="425"/>
      </w:pPr>
    </w:p>
    <w:p w14:paraId="116868A8" w14:textId="77777777" w:rsidR="007729E9" w:rsidRPr="00561781" w:rsidRDefault="007729E9" w:rsidP="007729E9">
      <w:pPr>
        <w:ind w:left="567" w:hanging="425"/>
      </w:pPr>
      <w:r>
        <w:rPr>
          <w:rFonts w:ascii="Symbol" w:hAnsi="Symbol"/>
        </w:rPr>
        <w:t></w:t>
      </w:r>
      <w:r>
        <w:rPr>
          <w:rFonts w:ascii="Symbol" w:hAnsi="Symbol"/>
        </w:rPr>
        <w:tab/>
      </w:r>
      <w:r>
        <w:t>la création d’une circonscription paneuropéenne, comprenant le territoire de l’ensemble des États membres, dans laquelle seraient élus vingt-huit membres du Parlement européen au moyen de listes électorales transnationales;</w:t>
      </w:r>
    </w:p>
    <w:p w14:paraId="6D83BD2F" w14:textId="77777777" w:rsidR="007729E9" w:rsidRPr="00561781" w:rsidRDefault="007729E9" w:rsidP="007729E9">
      <w:pPr>
        <w:ind w:left="567" w:hanging="425"/>
        <w:jc w:val="both"/>
      </w:pPr>
    </w:p>
    <w:p w14:paraId="71FDB134" w14:textId="77777777" w:rsidR="007729E9" w:rsidRPr="00561781" w:rsidRDefault="007729E9" w:rsidP="007729E9">
      <w:pPr>
        <w:ind w:left="567" w:hanging="425"/>
      </w:pPr>
      <w:r>
        <w:rPr>
          <w:rFonts w:ascii="Symbol" w:hAnsi="Symbol"/>
        </w:rPr>
        <w:t></w:t>
      </w:r>
      <w:r>
        <w:rPr>
          <w:rFonts w:ascii="Symbol" w:hAnsi="Symbol"/>
        </w:rPr>
        <w:tab/>
      </w:r>
      <w:r>
        <w:t>la création d’une Autorité électorale européenne.</w:t>
      </w:r>
    </w:p>
    <w:p w14:paraId="2C83FEEB" w14:textId="77777777" w:rsidR="007729E9" w:rsidRPr="00561781" w:rsidRDefault="007729E9" w:rsidP="007729E9">
      <w:pPr>
        <w:ind w:hanging="425"/>
        <w:jc w:val="both"/>
      </w:pPr>
    </w:p>
    <w:p w14:paraId="5ED74DEB" w14:textId="08C77C8C" w:rsidR="007729E9" w:rsidRPr="00561781" w:rsidRDefault="007729E9" w:rsidP="007729E9">
      <w:pPr>
        <w:jc w:val="both"/>
      </w:pPr>
      <w:r>
        <w:t>L’initiative législative conférée au Parlement par l’article 223 du traité FUE est bloquée pour diverses raisons et doit encore être approuvée à l’unanimité par le Conseil, obtenir l’approbation du Parlement (à la majorité des membres qui le composent) et recevoir l’approbation de l’ensemble des États membres selon leurs règles constitutionnelles respectives pour pouvoir entrer en vigueur.</w:t>
      </w:r>
    </w:p>
    <w:p w14:paraId="7D7999D4" w14:textId="77777777" w:rsidR="007729E9" w:rsidRPr="00561781" w:rsidRDefault="007729E9" w:rsidP="007729E9">
      <w:pPr>
        <w:jc w:val="both"/>
      </w:pPr>
    </w:p>
    <w:p w14:paraId="3D0F4683" w14:textId="77777777" w:rsidR="007729E9" w:rsidRPr="00561781" w:rsidRDefault="007729E9" w:rsidP="007729E9">
      <w:pPr>
        <w:ind w:left="720" w:hanging="360"/>
        <w:rPr>
          <w:b/>
        </w:rPr>
      </w:pPr>
      <w:r>
        <w:rPr>
          <w:b/>
        </w:rPr>
        <w:t>6.</w:t>
      </w:r>
      <w:r>
        <w:rPr>
          <w:b/>
        </w:rPr>
        <w:tab/>
        <w:t>Conclusions</w:t>
      </w:r>
    </w:p>
    <w:p w14:paraId="0E10EA08" w14:textId="77777777" w:rsidR="007729E9" w:rsidRPr="00561781" w:rsidRDefault="007729E9" w:rsidP="007729E9">
      <w:pPr>
        <w:jc w:val="both"/>
        <w:rPr>
          <w:b/>
        </w:rPr>
      </w:pPr>
    </w:p>
    <w:p w14:paraId="39EEF199" w14:textId="77777777" w:rsidR="007729E9" w:rsidRPr="00561781" w:rsidRDefault="007729E9" w:rsidP="007729E9">
      <w:pPr>
        <w:jc w:val="both"/>
      </w:pPr>
      <w:r>
        <w:t>Eu égard aux considérations qui précèdent, les rapporteurs estiment que le présent rapport de mise en œuvre devrait mettre l’accent, en particulier, sur les conclusions suivantes:</w:t>
      </w:r>
    </w:p>
    <w:p w14:paraId="1EB7595E" w14:textId="77777777" w:rsidR="007729E9" w:rsidRPr="00561781" w:rsidRDefault="007729E9" w:rsidP="007729E9">
      <w:pPr>
        <w:jc w:val="both"/>
      </w:pPr>
    </w:p>
    <w:p w14:paraId="7AEC3C5E" w14:textId="752333C9" w:rsidR="007729E9" w:rsidRPr="00561781" w:rsidRDefault="007729E9" w:rsidP="007729E9">
      <w:pPr>
        <w:ind w:left="720" w:hanging="360"/>
      </w:pPr>
      <w:r>
        <w:rPr>
          <w:rFonts w:ascii="Symbol" w:hAnsi="Symbol"/>
        </w:rPr>
        <w:t></w:t>
      </w:r>
      <w:r>
        <w:rPr>
          <w:rFonts w:ascii="Symbol" w:hAnsi="Symbol"/>
        </w:rPr>
        <w:tab/>
      </w:r>
      <w:r>
        <w:t xml:space="preserve">La décision (UE, Euratom) 2018/994 du Conseil a introduit peu de mesures obligatoires, dont seul l’établissement du seuil minimal de 2 % était problématique pour deux États membres. </w:t>
      </w:r>
    </w:p>
    <w:p w14:paraId="53D4DE74" w14:textId="77777777" w:rsidR="007729E9" w:rsidRPr="00561781" w:rsidRDefault="007729E9" w:rsidP="007729E9">
      <w:pPr>
        <w:pStyle w:val="ListParagraph"/>
      </w:pPr>
    </w:p>
    <w:p w14:paraId="2866EF2B" w14:textId="57E4DAAD" w:rsidR="007729E9" w:rsidRPr="00561781" w:rsidRDefault="007729E9" w:rsidP="007729E9">
      <w:pPr>
        <w:ind w:left="720" w:hanging="360"/>
      </w:pPr>
      <w:r>
        <w:rPr>
          <w:rFonts w:ascii="Symbol" w:hAnsi="Symbol"/>
        </w:rPr>
        <w:t></w:t>
      </w:r>
      <w:r>
        <w:rPr>
          <w:rFonts w:ascii="Symbol" w:hAnsi="Symbol"/>
        </w:rPr>
        <w:tab/>
      </w:r>
      <w:r>
        <w:t>Alors que l’Allemagne a ratifié la décision (UE, Euratom) 2018/994 du Conseil, le seuil de 2 % ne peut pas être appliqué lors des prochaines élections européennes si la décision du Conseil n’est pas en vigueur.</w:t>
      </w:r>
    </w:p>
    <w:p w14:paraId="0FF21519" w14:textId="77777777" w:rsidR="007729E9" w:rsidRPr="00561781" w:rsidRDefault="007729E9" w:rsidP="007729E9">
      <w:pPr>
        <w:ind w:left="360"/>
      </w:pPr>
    </w:p>
    <w:p w14:paraId="552016B4" w14:textId="5B187705" w:rsidR="007729E9" w:rsidRPr="00561781" w:rsidRDefault="007729E9" w:rsidP="007729E9">
      <w:pPr>
        <w:ind w:left="720" w:hanging="360"/>
      </w:pPr>
      <w:r>
        <w:rPr>
          <w:rFonts w:ascii="Symbol" w:hAnsi="Symbol"/>
        </w:rPr>
        <w:t></w:t>
      </w:r>
      <w:r>
        <w:rPr>
          <w:rFonts w:ascii="Symbol" w:hAnsi="Symbol"/>
        </w:rPr>
        <w:tab/>
      </w:r>
      <w:r>
        <w:t xml:space="preserve">La décision (UE, Euratom) 2018/994 du Conseil peut être considérée comme un accord «minimal», dans le cadre duquel de nombreux critères communs visant à réduire la fragmentation des procédures de vote dans l’ensemble de l’Union ne sont que facultatifs. </w:t>
      </w:r>
    </w:p>
    <w:p w14:paraId="4B13E130" w14:textId="77777777" w:rsidR="007729E9" w:rsidRPr="00561781" w:rsidRDefault="007729E9" w:rsidP="007729E9">
      <w:pPr>
        <w:pStyle w:val="ListParagraph"/>
      </w:pPr>
    </w:p>
    <w:p w14:paraId="54B2DA8F" w14:textId="49AD84AC" w:rsidR="007729E9" w:rsidRPr="00561781" w:rsidRDefault="007729E9" w:rsidP="007729E9">
      <w:pPr>
        <w:ind w:left="851" w:hanging="567"/>
      </w:pPr>
      <w:r>
        <w:rPr>
          <w:rFonts w:ascii="Symbol" w:hAnsi="Symbol"/>
        </w:rPr>
        <w:t></w:t>
      </w:r>
      <w:r>
        <w:rPr>
          <w:rFonts w:ascii="Symbol" w:hAnsi="Symbol"/>
        </w:rPr>
        <w:tab/>
      </w:r>
      <w:r>
        <w:t>La plupart des pays appliquaient déjà les mesures obligatoires, et n’ont pas modifié leur législation nationale pour introduire les mesures facultatives. La décision (UE, Euratom) 2018/994 du Conseil a donc eu une incidence quelque peu limitée.</w:t>
      </w:r>
    </w:p>
    <w:p w14:paraId="6C777DE8" w14:textId="77777777" w:rsidR="007729E9" w:rsidRPr="00561781" w:rsidRDefault="007729E9" w:rsidP="007729E9">
      <w:pPr>
        <w:pStyle w:val="ListParagraph"/>
        <w:ind w:left="851"/>
      </w:pPr>
    </w:p>
    <w:p w14:paraId="3F2624F1" w14:textId="5D1E2173" w:rsidR="007729E9" w:rsidRPr="00561781" w:rsidRDefault="007729E9" w:rsidP="007729E9">
      <w:pPr>
        <w:ind w:left="851" w:hanging="567"/>
      </w:pPr>
      <w:r>
        <w:rPr>
          <w:rFonts w:ascii="Symbol" w:hAnsi="Symbol"/>
        </w:rPr>
        <w:t></w:t>
      </w:r>
      <w:r>
        <w:rPr>
          <w:rFonts w:ascii="Symbol" w:hAnsi="Symbol"/>
        </w:rPr>
        <w:tab/>
      </w:r>
      <w:r>
        <w:t>La décision (UE, Euratom) 2018/994 du Conseil, bien qu’elle ne soit pas parfaitement adaptée, aurait contribué à une plus grande uniformité lors des élections européennes de 2024.</w:t>
      </w:r>
    </w:p>
    <w:p w14:paraId="35640E8A" w14:textId="77777777" w:rsidR="007729E9" w:rsidRPr="00561781" w:rsidRDefault="007729E9" w:rsidP="007729E9">
      <w:pPr>
        <w:pStyle w:val="ListParagraph"/>
        <w:ind w:left="851"/>
      </w:pPr>
    </w:p>
    <w:p w14:paraId="5A8E8791" w14:textId="6A6AF892" w:rsidR="007729E9" w:rsidRPr="00561781" w:rsidRDefault="007729E9" w:rsidP="007729E9">
      <w:pPr>
        <w:ind w:left="851" w:hanging="567"/>
      </w:pPr>
      <w:r>
        <w:rPr>
          <w:rFonts w:ascii="Symbol" w:hAnsi="Symbol"/>
        </w:rPr>
        <w:t></w:t>
      </w:r>
      <w:r>
        <w:rPr>
          <w:rFonts w:ascii="Symbol" w:hAnsi="Symbol"/>
        </w:rPr>
        <w:tab/>
      </w:r>
      <w:r>
        <w:t>La décision (UE, Euratom) 2018/994 du Conseil n’est pas encore en vigueur étant donné que le processus de ratification est toujours en cours en Espagne, en raison des obstacles politiques à l’introduction d’un seuil minimal.</w:t>
      </w:r>
    </w:p>
    <w:p w14:paraId="28F3B1CD" w14:textId="77777777" w:rsidR="007729E9" w:rsidRPr="00561781" w:rsidRDefault="007729E9" w:rsidP="007729E9">
      <w:pPr>
        <w:pStyle w:val="PageHeading"/>
        <w:sectPr w:rsidR="007729E9" w:rsidRPr="00561781" w:rsidSect="009B7D92">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titlePg/>
        </w:sectPr>
      </w:pPr>
    </w:p>
    <w:p w14:paraId="27F8BD12" w14:textId="77777777" w:rsidR="007729E9" w:rsidRPr="00561781" w:rsidRDefault="007729E9" w:rsidP="007729E9">
      <w:pPr>
        <w:pStyle w:val="PageHeading"/>
      </w:pPr>
      <w:bookmarkStart w:id="6" w:name="_Toc216344491"/>
      <w:bookmarkEnd w:id="3"/>
      <w:bookmarkEnd w:id="4"/>
      <w:r>
        <w:lastRenderedPageBreak/>
        <w:t>PROPOSITION DE RÉSOLUTION DU PARLEMENT EUROPÉEN</w:t>
      </w:r>
      <w:bookmarkEnd w:id="6"/>
    </w:p>
    <w:p w14:paraId="0C7A2CD7" w14:textId="61D4C487" w:rsidR="007729E9" w:rsidRPr="00561781" w:rsidRDefault="007729E9" w:rsidP="007729E9">
      <w:pPr>
        <w:pStyle w:val="NormalBold"/>
      </w:pPr>
      <w:r>
        <w:t>sur la réforme de la loi électorale européenne – obstacles à la ratification et à l’application dans les États membres</w:t>
      </w:r>
    </w:p>
    <w:p w14:paraId="4616EAA7" w14:textId="77777777" w:rsidR="007729E9" w:rsidRPr="00561781" w:rsidRDefault="007729E9" w:rsidP="007729E9">
      <w:pPr>
        <w:pStyle w:val="NormalBold"/>
      </w:pPr>
      <w:r>
        <w:t>(2025/2028(INI))</w:t>
      </w:r>
    </w:p>
    <w:p w14:paraId="7834EB7F" w14:textId="77777777" w:rsidR="007729E9" w:rsidRPr="00561781" w:rsidRDefault="007729E9" w:rsidP="007729E9">
      <w:pPr>
        <w:pStyle w:val="EPComma"/>
      </w:pPr>
      <w:r>
        <w:rPr>
          <w:i/>
        </w:rPr>
        <w:t>Le Parlement européen,</w:t>
      </w:r>
    </w:p>
    <w:p w14:paraId="6467B574" w14:textId="0AC8152F" w:rsidR="007729E9" w:rsidRPr="00561781" w:rsidRDefault="007729E9" w:rsidP="007729E9">
      <w:pPr>
        <w:pStyle w:val="NormalHanging12a"/>
      </w:pPr>
      <w:r>
        <w:t>–</w:t>
      </w:r>
      <w:r>
        <w:tab/>
        <w:t>vu les traités et en particulier les articles 9, 10 et 14 et l’article 17, paragraphe 7, du traité sur l’Union européenne (traité UE) et l’article 22, l’article 223, paragraphe 1, et l’article 225 du traité sur le fonctionnement de l’Union européenne (traité FUE),</w:t>
      </w:r>
    </w:p>
    <w:p w14:paraId="213B5762" w14:textId="3AB24642" w:rsidR="007729E9" w:rsidRPr="00561781" w:rsidRDefault="007729E9" w:rsidP="007729E9">
      <w:pPr>
        <w:pStyle w:val="NormalHanging12a"/>
      </w:pPr>
      <w:r>
        <w:t>–</w:t>
      </w:r>
      <w:r>
        <w:tab/>
        <w:t>vu l’acte portant élection des membres du Parlement européen au suffrage universel direct</w:t>
      </w:r>
      <w:r w:rsidRPr="00561781">
        <w:rPr>
          <w:rStyle w:val="FootnoteReference"/>
        </w:rPr>
        <w:footnoteReference w:id="1"/>
      </w:r>
      <w:r>
        <w:t xml:space="preserve"> («l’acte électoral européen»), annexé à la décision du Conseil du 20 septembre 1976</w:t>
      </w:r>
      <w:r w:rsidRPr="00561781">
        <w:rPr>
          <w:rStyle w:val="FootnoteReference"/>
        </w:rPr>
        <w:footnoteReference w:id="2"/>
      </w:r>
      <w:r>
        <w:t>, tel que modifié,</w:t>
      </w:r>
    </w:p>
    <w:p w14:paraId="551C9036" w14:textId="643E28F7" w:rsidR="007729E9" w:rsidRPr="00561781" w:rsidRDefault="007729E9" w:rsidP="007729E9">
      <w:pPr>
        <w:pStyle w:val="NormalHanging12a"/>
      </w:pPr>
      <w:r>
        <w:t>–</w:t>
      </w:r>
      <w:r>
        <w:tab/>
        <w:t>vu l’accord-cadre du 20 octobre 2010 sur les relations entre le Parlement européen et la Commission européenne</w:t>
      </w:r>
      <w:r w:rsidRPr="00561781">
        <w:rPr>
          <w:rStyle w:val="FootnoteReference"/>
        </w:rPr>
        <w:footnoteReference w:id="3"/>
      </w:r>
      <w:r>
        <w:t>,</w:t>
      </w:r>
    </w:p>
    <w:p w14:paraId="43D5510B" w14:textId="3FB68783" w:rsidR="007729E9" w:rsidRPr="00561781" w:rsidRDefault="007729E9" w:rsidP="007729E9">
      <w:pPr>
        <w:pStyle w:val="NormalHanging12a"/>
      </w:pPr>
      <w:r>
        <w:t>–</w:t>
      </w:r>
      <w:r>
        <w:tab/>
        <w:t>vu sa résolution du 11 novembre 2015 sur la réforme de la loi électorale de l’Union européenne</w:t>
      </w:r>
      <w:r w:rsidRPr="00561781">
        <w:rPr>
          <w:rStyle w:val="FootnoteReference"/>
        </w:rPr>
        <w:footnoteReference w:id="4"/>
      </w:r>
      <w:r>
        <w:t>,</w:t>
      </w:r>
    </w:p>
    <w:p w14:paraId="6992DC46" w14:textId="58798920" w:rsidR="007729E9" w:rsidRPr="00561781" w:rsidRDefault="007729E9" w:rsidP="007729E9">
      <w:pPr>
        <w:pStyle w:val="NormalHanging12a"/>
      </w:pPr>
      <w:r>
        <w:t>–</w:t>
      </w:r>
      <w:r>
        <w:tab/>
        <w:t>vu sa position du 3 mai 2022 sur la proposition de règlement du Conseil portant élection des députés au Parlement européen au suffrage universel direct, abrogeant la décision du Conseil (76/787/CECA, CEE, Euratom) et l’acte portant élection des membres du Parlement européen au suffrage universel direct, annexé à cette décision (2020/2220(INL) – 2022/0902(APP))</w:t>
      </w:r>
      <w:r w:rsidRPr="00561781">
        <w:rPr>
          <w:rStyle w:val="FootnoteReference"/>
        </w:rPr>
        <w:footnoteReference w:id="5"/>
      </w:r>
      <w:r>
        <w:t>,</w:t>
      </w:r>
    </w:p>
    <w:p w14:paraId="5D57DA5E" w14:textId="7977334D" w:rsidR="002C53F9" w:rsidRPr="00561781" w:rsidRDefault="007729E9" w:rsidP="007729E9">
      <w:pPr>
        <w:pStyle w:val="NormalHanging12a"/>
      </w:pPr>
      <w:r>
        <w:t>–</w:t>
      </w:r>
      <w:r>
        <w:tab/>
        <w:t>vu la décision (UE, Euratom) 2018/994 du Conseil du 13 juillet 2018 modifiant l’acte portant élection des membres du Parlement européen au suffrage universel direct, annexé à la décision 76/787/CECA, CEE, Euratom du Conseil du 20 septembre 1976</w:t>
      </w:r>
      <w:r w:rsidR="002C53F9" w:rsidRPr="00561781">
        <w:rPr>
          <w:rStyle w:val="FootnoteReference"/>
        </w:rPr>
        <w:footnoteReference w:id="6"/>
      </w:r>
      <w:r>
        <w:t>,</w:t>
      </w:r>
    </w:p>
    <w:p w14:paraId="2F8E6EA9" w14:textId="03FF99CA" w:rsidR="00A428FC" w:rsidRPr="00561781" w:rsidRDefault="00EB0211" w:rsidP="00A428FC">
      <w:pPr>
        <w:pStyle w:val="NormalHanging12a"/>
      </w:pPr>
      <w:r>
        <w:t>–</w:t>
      </w:r>
      <w:r>
        <w:rPr>
          <w:b/>
          <w:i/>
        </w:rPr>
        <w:tab/>
      </w:r>
      <w:r>
        <w:t>vu la convention des Nations unies relative aux droits des personnes handicapées,</w:t>
      </w:r>
    </w:p>
    <w:p w14:paraId="42195BFF" w14:textId="7FBB998B" w:rsidR="007729E9" w:rsidRPr="00561781" w:rsidRDefault="002C53F9" w:rsidP="007729E9">
      <w:pPr>
        <w:pStyle w:val="NormalHanging12a"/>
      </w:pPr>
      <w:r>
        <w:t>–</w:t>
      </w:r>
      <w:r>
        <w:tab/>
        <w:t>vu l’article 55 de son règlement intérieur, ainsi que l’article 1</w:t>
      </w:r>
      <w:r>
        <w:rPr>
          <w:vertAlign w:val="superscript"/>
        </w:rPr>
        <w:t>er</w:t>
      </w:r>
      <w:r>
        <w:t xml:space="preserve">, paragraphe 1, point e), </w:t>
      </w:r>
      <w:r>
        <w:lastRenderedPageBreak/>
        <w:t>et l’annexe 3 de la décision de la Conférence des présidents du 12 décembre 2002 relative à la procédure d’autorisation pour l’élaboration de rapports d’initiative,</w:t>
      </w:r>
    </w:p>
    <w:p w14:paraId="7CCF1406" w14:textId="1EFDD318" w:rsidR="00154A6F" w:rsidRPr="00561781" w:rsidRDefault="007729E9" w:rsidP="00370A6B">
      <w:pPr>
        <w:pStyle w:val="NormalHanging12a"/>
        <w:jc w:val="both"/>
      </w:pPr>
      <w:r>
        <w:t>–</w:t>
      </w:r>
      <w:r>
        <w:tab/>
        <w:t>vu le rapport de la commission des affaires constitutionnelles (A10-0252/2025),</w:t>
      </w:r>
    </w:p>
    <w:p w14:paraId="3537281F" w14:textId="340C3AAD" w:rsidR="00C17745" w:rsidRPr="00561781" w:rsidRDefault="00C17745" w:rsidP="00C54E31">
      <w:pPr>
        <w:pStyle w:val="NormalHanging12a"/>
        <w:tabs>
          <w:tab w:val="left" w:pos="567"/>
        </w:tabs>
        <w:jc w:val="both"/>
      </w:pPr>
      <w:r>
        <w:t>A.</w:t>
      </w:r>
      <w:r>
        <w:tab/>
        <w:t xml:space="preserve">considérant que l’article 223 du traité FUE confère au Parlement le droit d’engager la réforme de sa procédure électorale dans le but d’établir une procédure uniforme dans tous les États membres ou une procédure fondée sur des principes communs à tous les États membres, et d’y donner son approbation; que les institutions et les États membres de l’Union européenne sont tenus de respecter le principe de coopération loyale énoncé à l’article 4, paragraphe 3, du traité UE; </w:t>
      </w:r>
    </w:p>
    <w:p w14:paraId="45B9C1C9" w14:textId="68136870" w:rsidR="00C17745" w:rsidRPr="00561781" w:rsidRDefault="00345DE4" w:rsidP="00154A6F">
      <w:pPr>
        <w:pStyle w:val="NormalHanging12a"/>
        <w:ind w:hanging="570"/>
        <w:rPr>
          <w:bCs/>
          <w:iCs/>
        </w:rPr>
      </w:pPr>
      <w:r>
        <w:t>B.</w:t>
      </w:r>
      <w:r>
        <w:tab/>
        <w:t xml:space="preserve">considérant qu’une procédure électorale uniforme permettrait non seulement d’assurer une plus grande égalité et transparence dans le processus électoral, mais aussi de favoriser l’émergence d’une sphère politique et publique européenne, renforçant ainsi la légitimité de l’Union européenne et de ses institutions; </w:t>
      </w:r>
    </w:p>
    <w:p w14:paraId="2F819B2F" w14:textId="2DA6A175" w:rsidR="00154A6F" w:rsidRPr="00561781" w:rsidRDefault="00345DE4" w:rsidP="00345DE4">
      <w:pPr>
        <w:pStyle w:val="NormalHanging12a"/>
        <w:jc w:val="both"/>
      </w:pPr>
      <w:r>
        <w:t>C.</w:t>
      </w:r>
      <w:r>
        <w:tab/>
        <w:t xml:space="preserve">considérant que, conformément à l’article 223, paragraphe 1, du traité FUE, l’entrée en vigueur de l’acte électoral européen est soumise à l’approbation de tous les États membres conformément à leurs règles constitutionnelles respectives, chaque État membre conservant toute latitude quant à la date à laquelle il souhaite le ratifier; </w:t>
      </w:r>
    </w:p>
    <w:p w14:paraId="4B77D6DC" w14:textId="701C8A46" w:rsidR="007729E9" w:rsidRPr="00561781" w:rsidRDefault="00345DE4" w:rsidP="00C54E31">
      <w:pPr>
        <w:pStyle w:val="NormalHanging12a"/>
        <w:jc w:val="both"/>
      </w:pPr>
      <w:r>
        <w:t>D.</w:t>
      </w:r>
      <w:r>
        <w:tab/>
        <w:t>considérant que la possibilité d’établir une procédure électorale uniforme fondée sur le suffrage universel direct est inscrite dans les traités depuis 1957;</w:t>
      </w:r>
    </w:p>
    <w:p w14:paraId="74778498" w14:textId="0520D236" w:rsidR="0025759C" w:rsidRPr="00561781" w:rsidRDefault="00345DE4" w:rsidP="00C54E31">
      <w:pPr>
        <w:pStyle w:val="NormalHanging12a"/>
        <w:jc w:val="both"/>
        <w:rPr>
          <w:bCs/>
          <w:iCs/>
        </w:rPr>
      </w:pPr>
      <w:r>
        <w:t>E.</w:t>
      </w:r>
      <w:r>
        <w:tab/>
        <w:t>considérant que l’acte électoral européen de 1976 énonçait clairement l’objectif visant à mettre en place une telle procédure uniforme et donnait explicitement mandat au Parlement de prendre les mesures nécessaires à cette fin; que la possibilité de fixer des «principes communs» au lieu d’une procédure harmonisée n’a été introduite qu’à un stade ultérieur, en tant que réponse pragmatique aux difficultés persistantes pour parvenir à un accord unanime sur une procédure électorale unifiée; que ce changement d’approche a conduit à une mise en œuvre inégale persistante des réformes électorales, sapant ainsi l’esprit initial des traités et de l’acte électoral européen de 1976, et retardant la mise en place d’un cadre électoral européen;</w:t>
      </w:r>
    </w:p>
    <w:p w14:paraId="0A6CCBA1" w14:textId="05C946BE" w:rsidR="00C17745" w:rsidRPr="00561781" w:rsidRDefault="00345DE4" w:rsidP="00C54E31">
      <w:pPr>
        <w:pStyle w:val="NormalHanging12a"/>
        <w:jc w:val="both"/>
      </w:pPr>
      <w:r>
        <w:t>F.</w:t>
      </w:r>
      <w:r>
        <w:tab/>
        <w:t xml:space="preserve">considérant que la réforme de la procédure électorale du Parlement devrait viser à renforcer la dimension démocratique des élections européennes et la légitimité du processus décisionnel de l’Union, en garantissant une participation égale de tous les citoyens de l’Union, alignant ainsi le cadre électoral sur le rôle du Parlement en tant que colégislateur directement élu par les citoyens de l’Union; qu’une telle réforme devrait servir à renforcer le concept de citoyenneté européenne, à améliorer le fonctionnement du Parlement et la gouvernance de l’Union, et à consolider les principes d’égalité électorale, d’égalité des chances et d’inclusion; qu’elle devrait renforcer la transparence, l’accessibilité et la mobilisation de la jeunesse; </w:t>
      </w:r>
    </w:p>
    <w:p w14:paraId="563E97FC" w14:textId="6095F737" w:rsidR="00C17745" w:rsidRPr="00561781" w:rsidRDefault="00345DE4" w:rsidP="00C54E31">
      <w:pPr>
        <w:pStyle w:val="NormalHanging12a"/>
        <w:jc w:val="both"/>
      </w:pPr>
      <w:r>
        <w:lastRenderedPageBreak/>
        <w:t>G.</w:t>
      </w:r>
      <w:r>
        <w:tab/>
        <w:t xml:space="preserve">considérant qu’il n’existe toujours pas d’accord global sur une procédure électorale véritablement uniforme et que le cadre actuel reste très fragmenté; que l’on constate qu’une convergence progressive s’est produite sur certains aspects, mais que les règles nationales actuelles continuent de créer des disparités significatives dans des domaines clés d’un État membre à un autre, ce qui nuit à l’égalité électorale et altère la perception d’une élection européenne unique et partagée, et affaiblit la confiance des citoyens dans le processus démocratique européen; </w:t>
      </w:r>
    </w:p>
    <w:p w14:paraId="7B1204C2" w14:textId="150BDBCF" w:rsidR="00C17745" w:rsidRPr="00561781" w:rsidRDefault="00345DE4" w:rsidP="00C54E31">
      <w:pPr>
        <w:pStyle w:val="NormalHanging12a"/>
        <w:jc w:val="both"/>
      </w:pPr>
      <w:r>
        <w:t>H.</w:t>
      </w:r>
      <w:r>
        <w:tab/>
        <w:t>considérant que malgré plusieurs réformes, les élections européennes restent régies en grande partie par le droit national, les campagnes électorales se déroulent toujours, le plus souvent, à l’échelle nationale et les partis politiques européens ne sont pas en mesure d’assurer pleinement leurs mandats constitutionnels et de contribuer «à la formation de la conscience politique européenne et à l’expression de la volonté des citoyens de l’Union» ainsi qu’en dispose l’article 10, paragraphe 4, du traité UE; que la refonte du règlement relatif au statut et au financement des partis politiques européens et des fondations politiques européennes</w:t>
      </w:r>
      <w:r w:rsidR="00781320" w:rsidRPr="00561781">
        <w:rPr>
          <w:rStyle w:val="FootnoteReference"/>
        </w:rPr>
        <w:footnoteReference w:id="7"/>
      </w:r>
      <w:r>
        <w:t xml:space="preserve"> a apporté un peu de clarté à cet égard; </w:t>
      </w:r>
    </w:p>
    <w:p w14:paraId="0379E5B2" w14:textId="07045F53" w:rsidR="007729E9" w:rsidRPr="00561781" w:rsidRDefault="00345DE4" w:rsidP="00C54E31">
      <w:pPr>
        <w:pStyle w:val="NormalHanging12a"/>
        <w:jc w:val="both"/>
      </w:pPr>
      <w:r>
        <w:t>I.</w:t>
      </w:r>
      <w:r>
        <w:tab/>
        <w:t>considérant que le seuil électoral pour l’attribution des sièges est le pourcentage minimal de voix qu’un parti politique ou une coalition doit recueillir pour obtenir un siège au sein de l’assemblée législative;</w:t>
      </w:r>
    </w:p>
    <w:p w14:paraId="64EA2D3D" w14:textId="498EFCBE" w:rsidR="00C17745" w:rsidRPr="00561781" w:rsidRDefault="00345DE4" w:rsidP="00C54E31">
      <w:pPr>
        <w:pStyle w:val="NormalHanging12a"/>
        <w:jc w:val="both"/>
      </w:pPr>
      <w:r>
        <w:t>J.</w:t>
      </w:r>
      <w:r>
        <w:tab/>
        <w:t>considérant que la décision (UE, Euratom) 2018/994 du Conseil</w:t>
      </w:r>
      <w:r w:rsidR="00276721" w:rsidRPr="00561781">
        <w:rPr>
          <w:rStyle w:val="FootnoteReference"/>
        </w:rPr>
        <w:footnoteReference w:id="8"/>
      </w:r>
      <w:r>
        <w:t xml:space="preserve"> fixe un seuil compris entre 2 % et 5 % pour les États membres avec des circonscriptions de plus de 35 sièges; que les seuils électoraux doivent viser un équilibre entre la gouvernabilité et le pluralisme politique;</w:t>
      </w:r>
    </w:p>
    <w:p w14:paraId="4A39F59C" w14:textId="47C63297" w:rsidR="00C17745" w:rsidRPr="00561781" w:rsidRDefault="00345DE4" w:rsidP="00C54E31">
      <w:pPr>
        <w:pStyle w:val="NormalHanging12a"/>
        <w:jc w:val="both"/>
        <w:rPr>
          <w:bCs/>
          <w:iCs/>
        </w:rPr>
      </w:pPr>
      <w:r>
        <w:t>K.</w:t>
      </w:r>
      <w:r>
        <w:tab/>
        <w:t xml:space="preserve">considérant que le processus de ratification de la réforme de 2018 a connu des retards, plusieurs États membres n’ayant pas accompli les procédures de ratification nécessaires à temps pour les élections européennes de 2024; </w:t>
      </w:r>
    </w:p>
    <w:p w14:paraId="09B2AECD" w14:textId="69D3A6C3" w:rsidR="008D0833" w:rsidRPr="00561781" w:rsidRDefault="00345DE4" w:rsidP="00C54E31">
      <w:pPr>
        <w:pStyle w:val="NormalHanging12a"/>
        <w:jc w:val="both"/>
        <w:rPr>
          <w:bCs/>
          <w:iCs/>
        </w:rPr>
      </w:pPr>
      <w:r>
        <w:t>L.</w:t>
      </w:r>
      <w:r>
        <w:tab/>
        <w:t xml:space="preserve">considérant que tous les citoyens de l’Union ont les mêmes chances de participer au processus démocratique afin de veiller à un processus électoral plus inclusif; que seuls quelques députés au Parlement européen appartiennent à des minorités nationales et ethniques officiellement reconnues comme telles dans leurs États membres respectifs, conformément à leurs cadres constitutionnels ou juridiques respectifs et aux instruments pertinents du Conseil de l’Europe; que le rapport de la Commission de Venise et du Conseil des élections démocratiques du 15 mars 2005 sur les règles électorales et la discrimination positive pour la participation des minorités nationales dans les processus </w:t>
      </w:r>
      <w:r>
        <w:lastRenderedPageBreak/>
        <w:t xml:space="preserve">de prise de décision dans les pays européens a recommandé une série de mesures pour assurer une représentation équitable des minorités; </w:t>
      </w:r>
    </w:p>
    <w:p w14:paraId="75C50D8E" w14:textId="6D942553" w:rsidR="008D0833" w:rsidRPr="00561781" w:rsidRDefault="00345DE4" w:rsidP="00C54E31">
      <w:pPr>
        <w:pStyle w:val="NormalHanging12a"/>
        <w:jc w:val="both"/>
      </w:pPr>
      <w:r>
        <w:t>M.</w:t>
      </w:r>
      <w:r>
        <w:tab/>
        <w:t xml:space="preserve">considérant que la réforme de la procédure électorale sur la base de l’article 223, paragraphe 1, du traité FUE doit respecter pleinement les principes de subsidiarité et de proportionnalité ainsi que les prérogatives en matière de contrôle et de ratification des parlements nationaux; </w:t>
      </w:r>
    </w:p>
    <w:p w14:paraId="5282AE05" w14:textId="77777777" w:rsidR="007729E9" w:rsidRPr="00561781" w:rsidRDefault="007729E9" w:rsidP="007729E9">
      <w:pPr>
        <w:pStyle w:val="Subheading"/>
      </w:pPr>
      <w:r>
        <w:t>Principales conclusions</w:t>
      </w:r>
    </w:p>
    <w:p w14:paraId="2D6E69A0" w14:textId="20529E9E" w:rsidR="008D0833" w:rsidRPr="00561781" w:rsidRDefault="008D0833" w:rsidP="007729E9">
      <w:pPr>
        <w:pStyle w:val="NormalHanging12a"/>
      </w:pPr>
    </w:p>
    <w:p w14:paraId="6ADF46CF" w14:textId="3FB0FC19" w:rsidR="008D0833" w:rsidRPr="00561781" w:rsidRDefault="008D0833" w:rsidP="00C54E31">
      <w:pPr>
        <w:pStyle w:val="NormalHanging12a"/>
        <w:jc w:val="both"/>
      </w:pPr>
      <w:r>
        <w:t>1.</w:t>
      </w:r>
      <w:r>
        <w:tab/>
        <w:t xml:space="preserve">rappelle que la progression vers l’européanisation des règles électorales nationales pour les élections au Parlement européen devrait encore être renforcée, notamment en ce qui concerne l’accessibilité pour les groupes défavorisés, les délais communs de dépôt des listes électorales, la prévention du vote double et l’amélioration de la visibilité et du rôle des partis politiques européens dans les processus électoraux; rappelle toutefois que de nombreuses dispositions existantes de l’acte électoral européen actuel ont été mises en œuvre dans l’ensemble des États membres, à savoir un système de représentation proportionnelle, un seuil électoral maximal de 5 % et une interdiction du cumul des mandats de député dans un parlement national et de député au Parlement européen; considère néanmoins que la mise en place d’un </w:t>
      </w:r>
      <w:r>
        <w:rPr>
          <w:i/>
          <w:iCs/>
        </w:rPr>
        <w:t>demos</w:t>
      </w:r>
      <w:r>
        <w:t xml:space="preserve"> européen est loin d’être achevée et que les efforts doivent être intensifiés pour rendre l’Union moins bureaucratique et plus démocratique; </w:t>
      </w:r>
    </w:p>
    <w:p w14:paraId="72BC9568" w14:textId="17CED7A4" w:rsidR="0025759C" w:rsidRPr="00561781" w:rsidRDefault="00345DE4" w:rsidP="00C54E31">
      <w:pPr>
        <w:pStyle w:val="NormalHanging12a"/>
        <w:jc w:val="both"/>
        <w:rPr>
          <w:bCs/>
          <w:iCs/>
        </w:rPr>
      </w:pPr>
      <w:r>
        <w:t>2.</w:t>
      </w:r>
      <w:r>
        <w:tab/>
        <w:t>réaffirme que les élections européennes continuent d’être organisées en grande partie dans des cadres juridiques et institutionnels nationaux, qui ont été conçus dans une phase nettement différente de l’intégration européenne; souligne que ces règles ne correspondent plus au rôle et aux pouvoirs législatifs accrus du Parlement européen, en particulier depuis l’entrée en vigueur du traité de Lisbonne;</w:t>
      </w:r>
    </w:p>
    <w:p w14:paraId="734891A0" w14:textId="553D1B3D" w:rsidR="008D0833" w:rsidRPr="00561781" w:rsidRDefault="00345DE4" w:rsidP="00C54E31">
      <w:pPr>
        <w:pStyle w:val="NormalHanging12a"/>
        <w:jc w:val="both"/>
      </w:pPr>
      <w:r>
        <w:t>3.</w:t>
      </w:r>
      <w:r>
        <w:tab/>
        <w:t xml:space="preserve">rappelle que la décision (UE, Euratom) 2018/994 du Conseil comporte un certain nombre de dispositions que les États membres sont soit tenus de mettre en œuvre, soit invités à mettre en œuvre; souligne que les mesures facultatives n’ont pas été mises en œuvre par certains États membres et que certaines mesures obligatoires ont été mises en œuvre de façons différentes par certains États membres, notamment en ce qui concerne la prévention du vote double; note que la plupart des dispositions de la décision (UE, Euratom) 2018/994 du Conseil restent facultatives; considère que la transposition limitée de ces dispositions non contraignantes démontre un manque de volonté politique de surmonter les résistances nationales et de s’engager dans un processus démocratique reflétant mieux la dimension européenne; </w:t>
      </w:r>
    </w:p>
    <w:p w14:paraId="320CD9E3" w14:textId="557C6E14" w:rsidR="007729E9" w:rsidRPr="00561781" w:rsidRDefault="00345DE4" w:rsidP="00C54E31">
      <w:pPr>
        <w:pStyle w:val="NormalHanging12a"/>
        <w:jc w:val="both"/>
      </w:pPr>
      <w:r>
        <w:t>4.</w:t>
      </w:r>
      <w:r>
        <w:tab/>
        <w:t xml:space="preserve">rappelle que les délais fixés pour finaliser les listes électorales en vue des élections européennes varient considérablement entre les États membres (de 21 à 90 jours), ce qui </w:t>
      </w:r>
      <w:r>
        <w:lastRenderedPageBreak/>
        <w:t>place les candidats et les électeurs de l’Union en position d’inégalité en ce qui concerne le délai à disposition pour faire campagne ou pour réfléchir à leur choix de vote;</w:t>
      </w:r>
    </w:p>
    <w:p w14:paraId="62353F65" w14:textId="340CD1E0" w:rsidR="008D0833" w:rsidRPr="00561781" w:rsidRDefault="00345DE4" w:rsidP="00C54E31">
      <w:pPr>
        <w:pStyle w:val="NormalHanging12a"/>
        <w:jc w:val="both"/>
        <w:rPr>
          <w:bCs/>
          <w:iCs/>
        </w:rPr>
      </w:pPr>
      <w:r>
        <w:t>5.</w:t>
      </w:r>
      <w:r>
        <w:tab/>
        <w:t xml:space="preserve">rappelle que la création d’une sphère publique européenne et d’un débat politique dépassant les frontières nationales, notamment dans le cadre des élections européennes, est essentielle pour renforcer la démocratie de l’Union; souligne que les partis politiques européens sont un instrument clé pour favoriser un tel débat; estime que tous les bulletins de vote doivent afficher le nom du candidat et le logo du parti politique européen auquel le parti national concerné est affilié, et que les candidats devraient bénéficier d’une visibilité adéquate dans les émissions en ligne et les émissions de télévision et de radio portant sur les élections, sur les affiches et dans les autres supports utilisés dans les campagnes électorales européennes; considère ces mesures comme une exigence minimale pour informer les électeurs de la dimension européenne de leur vote et permettre aux partis politiques européens de remplir leur mission conformément à l’article 10, paragraphe 4, du traité UE; est convaincu que ces mesures rendraient les élections européennes plus transparentes, éviteraient toute dénaturation du droit des électeurs à connaître l’existence d’accords de coalition entre formations politiques dans le cadre des élections européennes et permettraient aux citoyens de voter en connaissance de cause pour un parti politique qui appartient à leur groupe politique favori au Parlement européen; déplore que cette mesure figurant dans la décision (UE, Euratom) 2018/994 du Conseil ne soit que facultative et qu’elle n’ait encore été transposée dans aucune législation nationale à ce jour; </w:t>
      </w:r>
    </w:p>
    <w:p w14:paraId="3EDD257E" w14:textId="1F70FFE6" w:rsidR="008D0833" w:rsidRPr="00561781" w:rsidRDefault="00345DE4" w:rsidP="00C54E31">
      <w:pPr>
        <w:pStyle w:val="NormalHanging12a"/>
        <w:jc w:val="both"/>
        <w:rPr>
          <w:bCs/>
          <w:iCs/>
        </w:rPr>
      </w:pPr>
      <w:r>
        <w:t>6.</w:t>
      </w:r>
      <w:r>
        <w:tab/>
        <w:t xml:space="preserve">rappelle la nécessité de progrès constants pour rendre le processus électoral plus inclusif afin de garantir à chaque citoyen, quelle que soit sa situation, l’égalité des chances pour prendre part au processus démocratique; souligne que les règles nationales de certains États membres ne permettent pas aux électeurs handicapés de changer de bureau de vote pour en choisir un qui soit mieux adapté à leurs besoins, ou d’accéder aux informations électorales dans des formats accessibles; souligne que tout obstacle au droit de vote et de candidature rencontré par les personnes handicapées est incompatible avec les obligations découlant de la convention des Nations unies relative aux droits des personnes handicapées, et devrait être éliminé afin de garantir l’accessibilité pour tous, tout au long du processus électoral; </w:t>
      </w:r>
    </w:p>
    <w:p w14:paraId="21DB4FFA" w14:textId="5389D8E2" w:rsidR="0025759C" w:rsidRPr="00561781" w:rsidRDefault="00345DE4" w:rsidP="00C54E31">
      <w:pPr>
        <w:pStyle w:val="NormalHanging12a"/>
        <w:jc w:val="both"/>
        <w:rPr>
          <w:bCs/>
          <w:iCs/>
        </w:rPr>
      </w:pPr>
      <w:r>
        <w:t>7.</w:t>
      </w:r>
      <w:r>
        <w:tab/>
        <w:t xml:space="preserve">note que le vote par correspondance et ses moyens complémentaires sont présentés dans la décision (UE, Euratom) 2018/994 du Conseil comme une mesure facultative visant à faciliter l’accessibilité pour les personnes handicapées; souligne que, si cet objectif est essentiel, le vote par correspondance joue également un rôle plus large en rendant la participation électorale plus souple et plus inclusive; souligne que le fait de garantir le vote par correspondance dans tous les États membres profiterait non seulement aux personnes handicapées, mais aussi aux citoyens qui ne peuvent pas voter en personne en raison de circonstances extraordinaires; considère que l’élargissement de l’accès au vote par correspondance renforcerait la participation, en particulier parmi les citoyens européens mobiles et les jeunes électeurs, et contribuerait à augmenter la participation </w:t>
      </w:r>
      <w:r>
        <w:lastRenderedPageBreak/>
        <w:t>globale;</w:t>
      </w:r>
    </w:p>
    <w:p w14:paraId="4BF29888" w14:textId="590D070D" w:rsidR="007729E9" w:rsidRPr="00561781" w:rsidRDefault="00345DE4" w:rsidP="00C54E31">
      <w:pPr>
        <w:pStyle w:val="NormalHanging12a"/>
        <w:jc w:val="both"/>
      </w:pPr>
      <w:r>
        <w:t>8.</w:t>
      </w:r>
      <w:r>
        <w:tab/>
        <w:t xml:space="preserve">rappelle que la situation des citoyens ayant la nationalité de deux États membres n’est pas encore réglée, puisqu’il est encore possible qu’un tel citoyen figure automatiquement sur les listes électorales de plusieurs États membres, sans possibilité de se désinscrire; relève qu’un citoyen ayant la nationalité de deux États membres qui est automatiquement inscrit sur plusieurs listes électorales, mais qui vote, comme il se doit, dans un seul État membre peut néanmoins être considéré comme n’ayant pas voté dans l’autre État membre et pourrait ainsi être exposé à une amende; </w:t>
      </w:r>
    </w:p>
    <w:p w14:paraId="24BD8F5C" w14:textId="639C1023" w:rsidR="008D0833" w:rsidRPr="00561781" w:rsidRDefault="00345DE4" w:rsidP="00C54E31">
      <w:pPr>
        <w:pStyle w:val="NormalHanging12a"/>
        <w:jc w:val="both"/>
        <w:rPr>
          <w:bCs/>
          <w:iCs/>
        </w:rPr>
      </w:pPr>
      <w:r>
        <w:t>9.</w:t>
      </w:r>
      <w:r>
        <w:tab/>
        <w:t xml:space="preserve">se félicite de l’initiative du Parlement visant à introduire des modalités de vote par procuration pour les cas de congé de maternité au moyen d’une modification de l’acte électoral européen, en tant que solution équilibrée et pratique pour soutenir les députées au Parlement européen tout en garantissant la continuité de la représentation; </w:t>
      </w:r>
    </w:p>
    <w:p w14:paraId="378DF712" w14:textId="30B9E559" w:rsidR="008D0833" w:rsidRPr="00561781" w:rsidRDefault="00345DE4" w:rsidP="00C54E31">
      <w:pPr>
        <w:pStyle w:val="NormalHanging12a"/>
        <w:jc w:val="both"/>
      </w:pPr>
      <w:r>
        <w:t>10.</w:t>
      </w:r>
      <w:r>
        <w:tab/>
        <w:t>souligne que la décision (UE, Euratom) 2018/994 du Conseil n’est pas encore en vigueur étant donné que le processus de ratification est toujours en cours dans un État membre; observe que, bien que l’Allemagne ait ratifié la décision (UE, Euratom) 2018/994 du Conseil, la loi électorale allemande pour les élections européennes n’a pas été modifiée, car tant que le seuil de 2 % n’est pas obligatoire en droit de l’Union, il ne peut être introduit dans le droit allemand;</w:t>
      </w:r>
    </w:p>
    <w:p w14:paraId="2AA112A9" w14:textId="2CF3178A" w:rsidR="008D0833" w:rsidRPr="00561781" w:rsidRDefault="00345DE4" w:rsidP="00C54E31">
      <w:pPr>
        <w:pStyle w:val="NormalHanging12a"/>
        <w:jc w:val="both"/>
      </w:pPr>
      <w:r>
        <w:t>11.</w:t>
      </w:r>
      <w:r>
        <w:tab/>
        <w:t xml:space="preserve">relève le rôle de la Commission en tant que facilitatrice dans les pourparlers institutionnels entre le Parlement et le Conseil sur la nouvelle proposition de réforme de l’acte électoral européen; juge essentiel d’entamer un dialogue constructif avec le Conseil pour évaluer la proposition du Parlement de 2022 et progresser sur ce sujet; souligne que l’absence de progrès n’est pas due à des obstacles techniques ou juridiques, mais à un manque de volonté politique de la part des États membres de donner suite aux propositions du Parlement; est convaincu que ce rapport devrait donner un nouvel élan au lancement rapide des négociations interinstitutionnelles sur la proposition de 2022 et invite instamment les prochaines présidences du Conseil à respecter les obligations qui leur incombent en vertu du principe de coopération mutuelle et loyale; </w:t>
      </w:r>
    </w:p>
    <w:p w14:paraId="0A436269" w14:textId="77777777" w:rsidR="007729E9" w:rsidRPr="00561781" w:rsidRDefault="007729E9" w:rsidP="007729E9">
      <w:pPr>
        <w:pStyle w:val="Subheading"/>
      </w:pPr>
      <w:r>
        <w:t>Recommandations</w:t>
      </w:r>
    </w:p>
    <w:p w14:paraId="2A9290CF" w14:textId="07B8F8FD" w:rsidR="008D0833" w:rsidRPr="00561781" w:rsidRDefault="00345DE4" w:rsidP="00C54E31">
      <w:pPr>
        <w:pStyle w:val="NormalHanging12a"/>
        <w:jc w:val="both"/>
      </w:pPr>
      <w:r>
        <w:t>12.</w:t>
      </w:r>
      <w:r>
        <w:tab/>
        <w:t xml:space="preserve">considère que la transparence du processus électoral et l’accès à des informations fiables sont des facteurs essentiels pour susciter une prise de conscience politique européenne et obtenir une participation électorale suffisamment élevée pour constituer un mandat de la part de l’électorat; souligne que les candidats devraient bénéficier de l’égalité des chances pour faire campagne et que les citoyens devraient être informés bien à l’avance des candidats qui se présentent aux élections européennes; souligne dès lors l’importance d’harmoniser les délais de dépôt des listes électorales dans l’ensemble des États membres, comme l’a demandé le Parlement à plusieurs reprises; </w:t>
      </w:r>
    </w:p>
    <w:p w14:paraId="475A6CB4" w14:textId="4582D0DE" w:rsidR="008D0833" w:rsidRPr="00561781" w:rsidRDefault="00345DE4" w:rsidP="00C54E31">
      <w:pPr>
        <w:pStyle w:val="NormalHanging12a"/>
        <w:jc w:val="both"/>
      </w:pPr>
      <w:r>
        <w:lastRenderedPageBreak/>
        <w:t>13.</w:t>
      </w:r>
      <w:r>
        <w:tab/>
        <w:t xml:space="preserve">souligne qu’il est essentiel de faciliter l’accès au vote aux élections européennes et de garantir que toutes les personnes ayant le droit de vote puissent l’exercer par correspondance ou d’autres moyens complémentaires; demande aux États membres de garantir l’égalité d’accès aux informations et au processus électoral à tous les citoyens, y compris aux personnes handicapées, en particulier lorsque les structures publiques ne sont pas pleinement accessibles; invite en outre les États membres à garantir le droit de vote et d’éligibilité aux personnes handicapées, en mettant en place des mesures harmonisant l’accessibilité des structures de vote, des bureaux de vote, des procédures électorales et des documents électoraux pour les personnes handicapées, et leur permettant de voter en toute indépendance et dans le respect du secret du vote; relève que la responsabilité de réglementer l’accessibilité incombe entièrement aux États membres et les invite à coopérer avec les organisations de personnes handicapées afin d’évaluer et de lever les obstacles juridiques et pratiques qui empêchent leur participation aux élections, tant en tant qu’électeurs qu’en tant que candidats; </w:t>
      </w:r>
    </w:p>
    <w:p w14:paraId="02639CBB" w14:textId="4436B291" w:rsidR="008D0833" w:rsidRPr="00561781" w:rsidRDefault="00345DE4" w:rsidP="00C54E31">
      <w:pPr>
        <w:pStyle w:val="NormalHanging12a"/>
        <w:jc w:val="both"/>
      </w:pPr>
      <w:r>
        <w:t>14.</w:t>
      </w:r>
      <w:r>
        <w:tab/>
        <w:t xml:space="preserve">demande à tous les États membres de mettre en place toutes les mesures facultatives figurant dans la décision (UE, Euratom) 2018/994 du Conseil, et en particulier de renforcer la visibilité des alliances électorales pour les élections européennes, de l’affiliation des partis politiques nationaux aux partis politiques européens, des associations européennes d’électeurs et autres entités électorales européennes au moyen de campagnes médiatiques ainsi qu’en garantissant la distribution de bulletins électoraux uniformes indiquant clairement les alliances européennes dans chaque État membre, et en veillant à ce que tout autre support électoral porte des indications en ce sens; estime que les partis nationaux et les associations d’électeurs devraient indiquer, le cas échéant, leur affiliation aux partis politiques européens, ou autres entités électorales européennes pendant la campagne électorale et sur les bulletins électoraux; </w:t>
      </w:r>
    </w:p>
    <w:p w14:paraId="3278E57D" w14:textId="794F73C9" w:rsidR="008D0833" w:rsidRPr="00561781" w:rsidRDefault="00345DE4" w:rsidP="00C54E31">
      <w:pPr>
        <w:pStyle w:val="NormalHanging12a"/>
        <w:jc w:val="both"/>
        <w:rPr>
          <w:bCs/>
          <w:iCs/>
        </w:rPr>
      </w:pPr>
      <w:r>
        <w:t>15.</w:t>
      </w:r>
      <w:r>
        <w:tab/>
        <w:t xml:space="preserve">invite tous les États membres à prendre des mesures concrètes pour harmoniser les conditions de candidature, afin de garantir à tous les acteurs politiques à égalité un accès équitable au processus électoral, conformément aux principes de concurrence loyale et de pluralisme démocratique; </w:t>
      </w:r>
    </w:p>
    <w:p w14:paraId="10442D1B" w14:textId="5E7B7E7C" w:rsidR="008D0833" w:rsidRPr="00561781" w:rsidRDefault="008D0833" w:rsidP="00C54E31">
      <w:pPr>
        <w:pStyle w:val="NormalHanging12a"/>
        <w:jc w:val="both"/>
        <w:rPr>
          <w:bCs/>
          <w:iCs/>
        </w:rPr>
      </w:pPr>
      <w:r>
        <w:t>16.</w:t>
      </w:r>
      <w:r>
        <w:tab/>
        <w:t>souligne que la ratification de la décision (UE, Euratom) 2018/994 du Conseil par l’ensemble des États membres reste obligatoire pour qu’elle puisse entrer en vigueur; demande dès lors au dernier État membre de commencer la procédure de ratification;</w:t>
      </w:r>
    </w:p>
    <w:p w14:paraId="050C9DE5" w14:textId="341084C7" w:rsidR="00754B30" w:rsidRPr="00561781" w:rsidRDefault="007729E9" w:rsidP="00EA4149">
      <w:pPr>
        <w:pStyle w:val="NormalHanging12a"/>
        <w:jc w:val="center"/>
        <w:rPr>
          <w:bCs/>
          <w:iCs/>
        </w:rPr>
      </w:pPr>
      <w:r>
        <w:t>°</w:t>
      </w:r>
    </w:p>
    <w:p w14:paraId="4CB1ADE9" w14:textId="2D0D7295" w:rsidR="00754B30" w:rsidRPr="00561781" w:rsidRDefault="00754B30" w:rsidP="00EA4149">
      <w:pPr>
        <w:pStyle w:val="NormalHanging12a"/>
        <w:jc w:val="center"/>
        <w:rPr>
          <w:bCs/>
          <w:iCs/>
        </w:rPr>
      </w:pPr>
      <w:r>
        <w:t>°</w:t>
      </w:r>
      <w:r>
        <w:tab/>
      </w:r>
      <w:r>
        <w:tab/>
        <w:t>°</w:t>
      </w:r>
    </w:p>
    <w:p w14:paraId="5769953E" w14:textId="0039B3FD" w:rsidR="00754B30" w:rsidRPr="00561781" w:rsidRDefault="00754B30" w:rsidP="00754B30">
      <w:pPr>
        <w:pStyle w:val="NormalHanging12a"/>
      </w:pPr>
      <w:r>
        <w:t>17.</w:t>
      </w:r>
      <w:r>
        <w:tab/>
        <w:t>charge sa Présidente de transmettre la présente résolution au Conseil et à la Commission.</w:t>
      </w:r>
    </w:p>
    <w:p w14:paraId="11BE5ACE" w14:textId="77777777" w:rsidR="00754B30" w:rsidRPr="00561781" w:rsidRDefault="00754B30">
      <w:pPr>
        <w:widowControl/>
        <w:sectPr w:rsidR="00754B30" w:rsidRPr="00561781" w:rsidSect="009B7D92">
          <w:headerReference w:type="even" r:id="rId15"/>
          <w:headerReference w:type="default" r:id="rId16"/>
          <w:headerReference w:type="first" r:id="rId17"/>
          <w:footerReference w:type="first" r:id="rId18"/>
          <w:pgSz w:w="11894" w:h="15840"/>
          <w:pgMar w:top="1700" w:right="1417" w:bottom="1417" w:left="1417" w:header="720" w:footer="720" w:gutter="0"/>
          <w:cols w:space="720"/>
          <w:noEndnote/>
          <w:docGrid w:linePitch="326"/>
        </w:sectPr>
      </w:pPr>
    </w:p>
    <w:p w14:paraId="78C2903F" w14:textId="4EAE3E77" w:rsidR="00754B30" w:rsidRPr="00561781" w:rsidRDefault="00754B30">
      <w:pPr>
        <w:widowControl/>
      </w:pPr>
    </w:p>
    <w:p w14:paraId="2FC17A1D" w14:textId="4327F2CF" w:rsidR="00754B30" w:rsidRPr="00561781" w:rsidRDefault="00754B30" w:rsidP="007041CC">
      <w:pPr>
        <w:pStyle w:val="PageHeading"/>
        <w:rPr>
          <w:noProof/>
        </w:rPr>
      </w:pPr>
      <w:bookmarkStart w:id="7" w:name="FootprintPageRR"/>
      <w:bookmarkStart w:id="8" w:name="_Toc216344492"/>
      <w:r>
        <w:t>ANNEXE: DÉCLARATION DES CONTRIBUTIONS</w:t>
      </w:r>
      <w:bookmarkEnd w:id="8"/>
    </w:p>
    <w:p w14:paraId="5A901F3C" w14:textId="3CA953D4" w:rsidR="00754B30" w:rsidRPr="00561781" w:rsidRDefault="00754B30" w:rsidP="00B31C6A">
      <w:pPr>
        <w:pStyle w:val="Normal24a"/>
        <w:spacing w:after="240"/>
      </w:pPr>
      <w:r>
        <w:rPr>
          <w:rStyle w:val="HideTWBExt"/>
        </w:rPr>
        <w:t>&lt;FootprintIntro&gt;</w:t>
      </w:r>
      <w:r>
        <w:t>Le rapporteur déclare, sous sa responsabilité exclusive, n’avoir inclus dans son rapport aucune contribution de représentants d’intérêts relevant du champ d’application de l’accord interinstitutionnel sur un registre de transparence obligatoire</w:t>
      </w:r>
      <w:r w:rsidRPr="00561781">
        <w:rPr>
          <w:rStyle w:val="FootnoteReference"/>
        </w:rPr>
        <w:footnoteReference w:id="9"/>
      </w:r>
      <w:r>
        <w:t>, ou de représentants des autorités publiques de pays tiers, y compris leurs missions diplomatiques et ambassades, devant être énumérés dans la présente annexe en vertu de l’article 8 de l’annexe I du règlement intérieur.</w:t>
      </w:r>
      <w:r>
        <w:rPr>
          <w:rStyle w:val="HideTWBExt"/>
        </w:rPr>
        <w:t>&lt;/FootprintIntro&gt;</w:t>
      </w:r>
    </w:p>
    <w:p w14:paraId="7F55237D" w14:textId="6E9AC810" w:rsidR="00754B30" w:rsidRPr="00561781" w:rsidRDefault="00754B30" w:rsidP="00646AD2">
      <w:pPr>
        <w:pStyle w:val="Footprint12b"/>
      </w:pPr>
    </w:p>
    <w:p w14:paraId="565C5D95" w14:textId="77777777" w:rsidR="00754B30" w:rsidRPr="009B7D92" w:rsidRDefault="00754B30" w:rsidP="009B7D92"/>
    <w:bookmarkEnd w:id="7"/>
    <w:p w14:paraId="307EF65F" w14:textId="77777777" w:rsidR="00754B30" w:rsidRPr="009B7D92" w:rsidRDefault="00754B30" w:rsidP="009B7D92">
      <w:pPr>
        <w:sectPr w:rsidR="00754B30" w:rsidRPr="009B7D92" w:rsidSect="009B7D92">
          <w:pgSz w:w="11894" w:h="15840"/>
          <w:pgMar w:top="1700" w:right="1417" w:bottom="1417" w:left="1417" w:header="720" w:footer="720" w:gutter="0"/>
          <w:cols w:space="720"/>
          <w:noEndnote/>
          <w:docGrid w:linePitch="326"/>
        </w:sectPr>
      </w:pPr>
    </w:p>
    <w:p w14:paraId="1B2043E5" w14:textId="2EB836BB" w:rsidR="009B7D92" w:rsidRDefault="009B7D92" w:rsidP="009B7D92">
      <w:pPr>
        <w:pStyle w:val="PageHeading"/>
      </w:pPr>
      <w:bookmarkStart w:id="9" w:name="ProcPageRR"/>
      <w:bookmarkStart w:id="10" w:name="_Toc216344493"/>
      <w:r>
        <w:lastRenderedPageBreak/>
        <w:t>INFORMATIONS SUR L’ADOPTION</w:t>
      </w:r>
      <w:r>
        <w:br/>
        <w:t>PAR LA COMMISSION COMPÉTENTE AU FOND</w:t>
      </w:r>
      <w:bookmarkEnd w:id="10"/>
    </w:p>
    <w:tbl>
      <w:tblPr>
        <w:tblW w:w="0" w:type="auto"/>
        <w:tblInd w:w="-10" w:type="dxa"/>
        <w:tblLayout w:type="fixed"/>
        <w:tblCellMar>
          <w:left w:w="0" w:type="dxa"/>
          <w:right w:w="0" w:type="dxa"/>
        </w:tblCellMar>
        <w:tblLook w:val="0000" w:firstRow="0" w:lastRow="0" w:firstColumn="0" w:lastColumn="0" w:noHBand="0" w:noVBand="0"/>
      </w:tblPr>
      <w:tblGrid>
        <w:gridCol w:w="3685"/>
        <w:gridCol w:w="1530"/>
        <w:gridCol w:w="1474"/>
        <w:gridCol w:w="1474"/>
        <w:gridCol w:w="1474"/>
      </w:tblGrid>
      <w:tr w:rsidR="009B7D92" w14:paraId="6609D468" w14:textId="77777777">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3FD96868" w14:textId="77777777" w:rsidR="009B7D92" w:rsidRDefault="009B7D92">
            <w:pPr>
              <w:autoSpaceDE w:val="0"/>
              <w:autoSpaceDN w:val="0"/>
              <w:adjustRightInd w:val="0"/>
              <w:rPr>
                <w:b/>
                <w:bCs/>
                <w:color w:val="000000"/>
                <w:sz w:val="20"/>
              </w:rPr>
            </w:pPr>
            <w:r>
              <w:rPr>
                <w:b/>
                <w:color w:val="000000"/>
                <w:sz w:val="20"/>
              </w:rPr>
              <w:t>Date de l’adoption</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14:paraId="12872AD0" w14:textId="77777777" w:rsidR="009B7D92" w:rsidRDefault="009B7D92">
            <w:pPr>
              <w:autoSpaceDE w:val="0"/>
              <w:autoSpaceDN w:val="0"/>
              <w:adjustRightInd w:val="0"/>
              <w:rPr>
                <w:color w:val="000000"/>
                <w:sz w:val="20"/>
              </w:rPr>
            </w:pPr>
            <w:r>
              <w:rPr>
                <w:color w:val="000000"/>
                <w:sz w:val="20"/>
              </w:rPr>
              <w:t>3.12.2025</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14:paraId="6682168C" w14:textId="77777777" w:rsidR="009B7D92" w:rsidRDefault="009B7D92">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14:paraId="27A7E069" w14:textId="77777777" w:rsidR="009B7D92" w:rsidRDefault="009B7D92">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6E58F708" w14:textId="77777777" w:rsidR="009B7D92" w:rsidRDefault="009B7D92">
            <w:pPr>
              <w:autoSpaceDE w:val="0"/>
              <w:autoSpaceDN w:val="0"/>
              <w:adjustRightInd w:val="0"/>
              <w:rPr>
                <w:rFonts w:ascii="sans-serif" w:hAnsi="sans-serif" w:cs="sans-serif"/>
                <w:color w:val="000000"/>
              </w:rPr>
            </w:pPr>
          </w:p>
        </w:tc>
      </w:tr>
      <w:tr w:rsidR="009B7D92" w14:paraId="70BBA944" w14:textId="77777777">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22268634" w14:textId="77777777" w:rsidR="009B7D92" w:rsidRDefault="009B7D92">
            <w:pPr>
              <w:autoSpaceDE w:val="0"/>
              <w:autoSpaceDN w:val="0"/>
              <w:adjustRightInd w:val="0"/>
              <w:rPr>
                <w:b/>
                <w:bCs/>
                <w:color w:val="000000"/>
                <w:sz w:val="20"/>
              </w:rPr>
            </w:pPr>
            <w:r>
              <w:rPr>
                <w:b/>
                <w:color w:val="000000"/>
                <w:sz w:val="20"/>
              </w:rPr>
              <w:t>Résultat du vote final</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14:paraId="3AF74C5D" w14:textId="77777777" w:rsidR="009B7D92" w:rsidRDefault="009B7D92">
            <w:pPr>
              <w:autoSpaceDE w:val="0"/>
              <w:autoSpaceDN w:val="0"/>
              <w:adjustRightInd w:val="0"/>
              <w:rPr>
                <w:color w:val="000000"/>
                <w:sz w:val="20"/>
              </w:rPr>
            </w:pPr>
            <w:r>
              <w:rPr>
                <w:color w:val="000000"/>
                <w:sz w:val="20"/>
              </w:rPr>
              <w:t>+:</w:t>
            </w:r>
          </w:p>
          <w:p w14:paraId="3C394C99" w14:textId="77777777" w:rsidR="009B7D92" w:rsidRDefault="009B7D92">
            <w:pPr>
              <w:autoSpaceDE w:val="0"/>
              <w:autoSpaceDN w:val="0"/>
              <w:adjustRightInd w:val="0"/>
              <w:rPr>
                <w:color w:val="000000"/>
                <w:sz w:val="20"/>
              </w:rPr>
            </w:pPr>
            <w:r>
              <w:rPr>
                <w:color w:val="000000"/>
                <w:sz w:val="20"/>
              </w:rPr>
              <w:t>–:</w:t>
            </w:r>
          </w:p>
          <w:p w14:paraId="7D3C67FD" w14:textId="77777777" w:rsidR="009B7D92" w:rsidRDefault="009B7D92">
            <w:pPr>
              <w:autoSpaceDE w:val="0"/>
              <w:autoSpaceDN w:val="0"/>
              <w:adjustRightInd w:val="0"/>
              <w:rPr>
                <w:color w:val="000000"/>
                <w:sz w:val="20"/>
              </w:rPr>
            </w:pPr>
            <w:r>
              <w:rPr>
                <w:color w:val="000000"/>
                <w:sz w:val="20"/>
              </w:rPr>
              <w:t>0:</w:t>
            </w:r>
          </w:p>
        </w:tc>
        <w:tc>
          <w:tcPr>
            <w:tcW w:w="4422" w:type="dxa"/>
            <w:gridSpan w:val="3"/>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116E5005" w14:textId="77777777" w:rsidR="009B7D92" w:rsidRDefault="009B7D92">
            <w:pPr>
              <w:autoSpaceDE w:val="0"/>
              <w:autoSpaceDN w:val="0"/>
              <w:adjustRightInd w:val="0"/>
              <w:rPr>
                <w:color w:val="000000"/>
                <w:sz w:val="20"/>
              </w:rPr>
            </w:pPr>
            <w:r>
              <w:rPr>
                <w:color w:val="000000"/>
                <w:sz w:val="20"/>
              </w:rPr>
              <w:t>17</w:t>
            </w:r>
          </w:p>
          <w:p w14:paraId="50009413" w14:textId="77777777" w:rsidR="009B7D92" w:rsidRDefault="009B7D92">
            <w:pPr>
              <w:autoSpaceDE w:val="0"/>
              <w:autoSpaceDN w:val="0"/>
              <w:adjustRightInd w:val="0"/>
              <w:rPr>
                <w:color w:val="000000"/>
                <w:sz w:val="20"/>
              </w:rPr>
            </w:pPr>
            <w:r>
              <w:rPr>
                <w:color w:val="000000"/>
                <w:sz w:val="20"/>
              </w:rPr>
              <w:t>7</w:t>
            </w:r>
          </w:p>
          <w:p w14:paraId="413D88F3" w14:textId="77777777" w:rsidR="009B7D92" w:rsidRDefault="009B7D92">
            <w:pPr>
              <w:autoSpaceDE w:val="0"/>
              <w:autoSpaceDN w:val="0"/>
              <w:adjustRightInd w:val="0"/>
              <w:rPr>
                <w:color w:val="000000"/>
                <w:sz w:val="20"/>
              </w:rPr>
            </w:pPr>
            <w:r>
              <w:rPr>
                <w:color w:val="000000"/>
                <w:sz w:val="20"/>
              </w:rPr>
              <w:t>3</w:t>
            </w:r>
          </w:p>
        </w:tc>
      </w:tr>
      <w:tr w:rsidR="009B7D92" w14:paraId="6FB5207A" w14:textId="77777777">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6A59917B" w14:textId="77777777" w:rsidR="009B7D92" w:rsidRDefault="009B7D92">
            <w:pPr>
              <w:autoSpaceDE w:val="0"/>
              <w:autoSpaceDN w:val="0"/>
              <w:adjustRightInd w:val="0"/>
              <w:rPr>
                <w:b/>
                <w:bCs/>
                <w:color w:val="000000"/>
                <w:sz w:val="20"/>
              </w:rPr>
            </w:pPr>
            <w:r>
              <w:rPr>
                <w:b/>
                <w:color w:val="000000"/>
                <w:sz w:val="20"/>
              </w:rPr>
              <w:t>Membres présents au moment du vote final</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092F1E96" w14:textId="77777777" w:rsidR="009B7D92" w:rsidRDefault="009B7D92">
            <w:pPr>
              <w:autoSpaceDE w:val="0"/>
              <w:autoSpaceDN w:val="0"/>
              <w:adjustRightInd w:val="0"/>
              <w:rPr>
                <w:color w:val="000000"/>
                <w:sz w:val="20"/>
              </w:rPr>
            </w:pPr>
            <w:r>
              <w:rPr>
                <w:color w:val="000000"/>
                <w:sz w:val="20"/>
              </w:rPr>
              <w:t>Gerolf Annemans, François-Xavier Bellamy, Gabriele Bischoff, Vasile Dîncu, Nikolas Farantouris, Daniel Freund, Emmanouil Kefalogiannis, Thijs Reuten, Bartłomiej Sienkiewicz, Sven Simon, Reinier Van Lanschot, Alexandre Varaut, Sabine Verheyen, Loránt Vincze, Charlie Weimers</w:t>
            </w:r>
          </w:p>
        </w:tc>
      </w:tr>
      <w:tr w:rsidR="009B7D92" w14:paraId="3883912D" w14:textId="77777777">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14:paraId="12ABED2C" w14:textId="77777777" w:rsidR="009B7D92" w:rsidRDefault="009B7D92">
            <w:pPr>
              <w:autoSpaceDE w:val="0"/>
              <w:autoSpaceDN w:val="0"/>
              <w:adjustRightInd w:val="0"/>
              <w:rPr>
                <w:b/>
                <w:bCs/>
                <w:color w:val="000000"/>
                <w:sz w:val="20"/>
              </w:rPr>
            </w:pPr>
            <w:r>
              <w:rPr>
                <w:b/>
                <w:color w:val="000000"/>
                <w:sz w:val="20"/>
              </w:rPr>
              <w:t>Suppléants présents au moment du vote final</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14:paraId="68B66668" w14:textId="77777777" w:rsidR="009B7D92" w:rsidRDefault="009B7D92">
            <w:pPr>
              <w:autoSpaceDE w:val="0"/>
              <w:autoSpaceDN w:val="0"/>
              <w:adjustRightInd w:val="0"/>
              <w:rPr>
                <w:color w:val="000000"/>
                <w:sz w:val="20"/>
              </w:rPr>
            </w:pPr>
            <w:r>
              <w:rPr>
                <w:color w:val="000000"/>
                <w:sz w:val="20"/>
              </w:rPr>
              <w:t>Vytenis Povilas Andriukaitis, Marc Angel, Helmut Brandstätter, Marieke Ehlers, Branko Grims, Ana Miguel Pedro, Gheorghe Piperea</w:t>
            </w:r>
          </w:p>
        </w:tc>
      </w:tr>
      <w:tr w:rsidR="009B7D92" w14:paraId="05BDACA2" w14:textId="77777777">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14:paraId="2A654CAE" w14:textId="77777777" w:rsidR="009B7D92" w:rsidRDefault="009B7D92">
            <w:pPr>
              <w:autoSpaceDE w:val="0"/>
              <w:autoSpaceDN w:val="0"/>
              <w:adjustRightInd w:val="0"/>
              <w:rPr>
                <w:b/>
                <w:bCs/>
                <w:color w:val="000000"/>
                <w:sz w:val="20"/>
              </w:rPr>
            </w:pPr>
            <w:r>
              <w:rPr>
                <w:b/>
                <w:color w:val="000000"/>
                <w:sz w:val="20"/>
              </w:rPr>
              <w:t>Députés visés à l’art. 216, par. 7, du règlement intérieur présents au moment du vote final</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14:paraId="0B3B872E" w14:textId="77777777" w:rsidR="009B7D92" w:rsidRDefault="009B7D92">
            <w:pPr>
              <w:autoSpaceDE w:val="0"/>
              <w:autoSpaceDN w:val="0"/>
              <w:adjustRightInd w:val="0"/>
              <w:rPr>
                <w:color w:val="000000"/>
                <w:sz w:val="20"/>
              </w:rPr>
            </w:pPr>
            <w:r>
              <w:rPr>
                <w:color w:val="000000"/>
                <w:sz w:val="20"/>
              </w:rPr>
              <w:t>Rachel Blom, Olivier Chastel, Tomasz Froelich, Nicolás Pascual de la Parte, Michal Wiezik</w:t>
            </w:r>
          </w:p>
        </w:tc>
      </w:tr>
    </w:tbl>
    <w:p w14:paraId="589469D0" w14:textId="77777777" w:rsidR="009B7D92" w:rsidRPr="009B7D92" w:rsidRDefault="009B7D92" w:rsidP="009B7D92"/>
    <w:bookmarkEnd w:id="9"/>
    <w:p w14:paraId="1FAD7E0E" w14:textId="77777777" w:rsidR="009B7D92" w:rsidRDefault="009B7D92" w:rsidP="009B7D92">
      <w:pPr>
        <w:sectPr w:rsidR="009B7D92" w:rsidSect="009B7D92">
          <w:pgSz w:w="11894" w:h="15840"/>
          <w:pgMar w:top="1700" w:right="1417" w:bottom="1417" w:left="1417" w:header="720" w:footer="720" w:gutter="0"/>
          <w:cols w:space="720"/>
          <w:noEndnote/>
          <w:docGrid w:linePitch="326"/>
        </w:sectPr>
      </w:pPr>
    </w:p>
    <w:p w14:paraId="6FB03EA5" w14:textId="275A68CA" w:rsidR="009B7D92" w:rsidRPr="0099178F" w:rsidRDefault="009B7D92" w:rsidP="008B71C9">
      <w:pPr>
        <w:pStyle w:val="PageHeading"/>
      </w:pPr>
      <w:bookmarkStart w:id="11" w:name="RollCallPageRR"/>
      <w:bookmarkStart w:id="12" w:name="_Toc216344494"/>
      <w:r>
        <w:lastRenderedPageBreak/>
        <w:t>VOTE FINAL PAR APPEL NOMINAL</w:t>
      </w:r>
      <w:r>
        <w:br/>
        <w:t>PAR LA COMMISSION COMPÉTENTE AU FOND</w:t>
      </w:r>
      <w:bookmarkEnd w:id="12"/>
    </w:p>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9B7D92" w:rsidRPr="00561781" w14:paraId="2FFE32F5" w14:textId="77777777" w:rsidTr="00C15B55">
        <w:trPr>
          <w:cantSplit/>
        </w:trPr>
        <w:tc>
          <w:tcPr>
            <w:tcW w:w="1701" w:type="dxa"/>
            <w:shd w:val="pct10" w:color="000000" w:fill="FFFFFF"/>
            <w:vAlign w:val="center"/>
          </w:tcPr>
          <w:p w14:paraId="757BDC6F" w14:textId="77777777" w:rsidR="009B7D92" w:rsidRPr="00561781" w:rsidRDefault="009B7D92" w:rsidP="00C15B55">
            <w:pPr>
              <w:pStyle w:val="RollCallVotes"/>
            </w:pPr>
            <w:r>
              <w:t>17</w:t>
            </w:r>
          </w:p>
        </w:tc>
        <w:tc>
          <w:tcPr>
            <w:tcW w:w="7371" w:type="dxa"/>
            <w:shd w:val="pct10" w:color="000000" w:fill="FFFFFF"/>
          </w:tcPr>
          <w:p w14:paraId="2BC497BF" w14:textId="77777777" w:rsidR="009B7D92" w:rsidRPr="00561781" w:rsidRDefault="009B7D92" w:rsidP="00C15B55">
            <w:pPr>
              <w:pStyle w:val="RollCallSymbols14pt"/>
            </w:pPr>
            <w:r>
              <w:t>+</w:t>
            </w:r>
          </w:p>
        </w:tc>
      </w:tr>
      <w:tr w:rsidR="009B7D92" w:rsidRPr="00561781" w14:paraId="636516B4" w14:textId="77777777" w:rsidTr="00C15B55">
        <w:trPr>
          <w:cantSplit/>
        </w:trPr>
        <w:tc>
          <w:tcPr>
            <w:tcW w:w="1701" w:type="dxa"/>
            <w:shd w:val="clear" w:color="auto" w:fill="FFFFFF"/>
          </w:tcPr>
          <w:p w14:paraId="45F5C02A" w14:textId="77777777" w:rsidR="009B7D92" w:rsidRPr="00561781" w:rsidRDefault="009B7D92" w:rsidP="00C15B55">
            <w:pPr>
              <w:pStyle w:val="RollCallTable"/>
            </w:pPr>
            <w:r>
              <w:t>PPE</w:t>
            </w:r>
          </w:p>
        </w:tc>
        <w:tc>
          <w:tcPr>
            <w:tcW w:w="7371" w:type="dxa"/>
            <w:shd w:val="clear" w:color="auto" w:fill="FFFFFF"/>
          </w:tcPr>
          <w:p w14:paraId="7FD9D8F4" w14:textId="77777777" w:rsidR="009B7D92" w:rsidRPr="00561781" w:rsidRDefault="009B7D92" w:rsidP="00C15B55">
            <w:pPr>
              <w:pStyle w:val="RollCallTable"/>
            </w:pPr>
            <w:r>
              <w:t>François-Xavier Bellamy, Branko Grims, Emmanouil Kefalogiannis, Nicolás Pascual de la Parte, Ana Miguel Pedro, Bartłomiej Sienkiewicz, Sven Simon, Sabine Verheyen, Loránt Vincze</w:t>
            </w:r>
          </w:p>
        </w:tc>
      </w:tr>
      <w:tr w:rsidR="009B7D92" w:rsidRPr="006D6089" w14:paraId="023D1D56" w14:textId="77777777" w:rsidTr="00C15B55">
        <w:trPr>
          <w:cantSplit/>
        </w:trPr>
        <w:tc>
          <w:tcPr>
            <w:tcW w:w="1701" w:type="dxa"/>
            <w:shd w:val="clear" w:color="auto" w:fill="FFFFFF"/>
          </w:tcPr>
          <w:p w14:paraId="3824E037" w14:textId="77777777" w:rsidR="009B7D92" w:rsidRPr="00561781" w:rsidRDefault="009B7D92" w:rsidP="00C15B55">
            <w:pPr>
              <w:pStyle w:val="RollCallTable"/>
            </w:pPr>
            <w:r>
              <w:t>Renew</w:t>
            </w:r>
          </w:p>
        </w:tc>
        <w:tc>
          <w:tcPr>
            <w:tcW w:w="7371" w:type="dxa"/>
            <w:shd w:val="clear" w:color="auto" w:fill="FFFFFF"/>
          </w:tcPr>
          <w:p w14:paraId="79BA7C3D" w14:textId="77777777" w:rsidR="009B7D92" w:rsidRPr="006D6089" w:rsidRDefault="009B7D92" w:rsidP="00C15B55">
            <w:pPr>
              <w:pStyle w:val="RollCallTable"/>
              <w:rPr>
                <w:lang w:val="de-DE"/>
              </w:rPr>
            </w:pPr>
            <w:r w:rsidRPr="006D6089">
              <w:rPr>
                <w:lang w:val="de-DE"/>
              </w:rPr>
              <w:t>Helmut Brandstätter, Olivier Chastel, Michal Wiezik</w:t>
            </w:r>
          </w:p>
        </w:tc>
      </w:tr>
      <w:tr w:rsidR="009B7D92" w:rsidRPr="00561781" w14:paraId="105DC2E3" w14:textId="77777777" w:rsidTr="00C15B55">
        <w:trPr>
          <w:cantSplit/>
        </w:trPr>
        <w:tc>
          <w:tcPr>
            <w:tcW w:w="1701" w:type="dxa"/>
            <w:shd w:val="clear" w:color="auto" w:fill="FFFFFF"/>
          </w:tcPr>
          <w:p w14:paraId="7D9B1261" w14:textId="77777777" w:rsidR="009B7D92" w:rsidRPr="00561781" w:rsidRDefault="009B7D92" w:rsidP="00C15B55">
            <w:pPr>
              <w:pStyle w:val="RollCallTable"/>
            </w:pPr>
            <w:r>
              <w:t>S&amp;D</w:t>
            </w:r>
          </w:p>
        </w:tc>
        <w:tc>
          <w:tcPr>
            <w:tcW w:w="7371" w:type="dxa"/>
            <w:shd w:val="clear" w:color="auto" w:fill="FFFFFF"/>
          </w:tcPr>
          <w:p w14:paraId="411CFE8A" w14:textId="77777777" w:rsidR="009B7D92" w:rsidRPr="00561781" w:rsidRDefault="009B7D92" w:rsidP="00C15B55">
            <w:pPr>
              <w:pStyle w:val="RollCallTable"/>
            </w:pPr>
            <w:r>
              <w:t>Gabriele Bischoff, Thijs Reuten</w:t>
            </w:r>
          </w:p>
        </w:tc>
      </w:tr>
      <w:tr w:rsidR="009B7D92" w:rsidRPr="00561781" w14:paraId="79096B87" w14:textId="77777777" w:rsidTr="00C15B55">
        <w:trPr>
          <w:cantSplit/>
        </w:trPr>
        <w:tc>
          <w:tcPr>
            <w:tcW w:w="1701" w:type="dxa"/>
            <w:shd w:val="clear" w:color="auto" w:fill="FFFFFF"/>
          </w:tcPr>
          <w:p w14:paraId="780A2E44" w14:textId="77777777" w:rsidR="009B7D92" w:rsidRPr="00561781" w:rsidRDefault="009B7D92" w:rsidP="00C15B55">
            <w:pPr>
              <w:pStyle w:val="RollCallTable"/>
            </w:pPr>
            <w:r>
              <w:t>The Left</w:t>
            </w:r>
          </w:p>
        </w:tc>
        <w:tc>
          <w:tcPr>
            <w:tcW w:w="7371" w:type="dxa"/>
            <w:shd w:val="clear" w:color="auto" w:fill="FFFFFF"/>
          </w:tcPr>
          <w:p w14:paraId="399DE28F" w14:textId="77777777" w:rsidR="009B7D92" w:rsidRPr="00561781" w:rsidRDefault="009B7D92" w:rsidP="00C15B55">
            <w:pPr>
              <w:pStyle w:val="RollCallTable"/>
            </w:pPr>
            <w:r>
              <w:t>Nikolas Farantouris</w:t>
            </w:r>
          </w:p>
        </w:tc>
      </w:tr>
      <w:tr w:rsidR="009B7D92" w:rsidRPr="006D6089" w14:paraId="4600AEFB" w14:textId="77777777" w:rsidTr="00C15B55">
        <w:trPr>
          <w:cantSplit/>
        </w:trPr>
        <w:tc>
          <w:tcPr>
            <w:tcW w:w="1701" w:type="dxa"/>
            <w:shd w:val="clear" w:color="auto" w:fill="FFFFFF"/>
          </w:tcPr>
          <w:p w14:paraId="796F033D" w14:textId="77777777" w:rsidR="009B7D92" w:rsidRPr="00561781" w:rsidRDefault="009B7D92" w:rsidP="00C15B55">
            <w:pPr>
              <w:pStyle w:val="RollCallTable"/>
            </w:pPr>
            <w:r>
              <w:t>Verts/ALE</w:t>
            </w:r>
          </w:p>
        </w:tc>
        <w:tc>
          <w:tcPr>
            <w:tcW w:w="7371" w:type="dxa"/>
            <w:shd w:val="clear" w:color="auto" w:fill="FFFFFF"/>
          </w:tcPr>
          <w:p w14:paraId="32DC3C43" w14:textId="77777777" w:rsidR="009B7D92" w:rsidRPr="006D6089" w:rsidRDefault="009B7D92" w:rsidP="00C15B55">
            <w:pPr>
              <w:pStyle w:val="RollCallTable"/>
              <w:rPr>
                <w:lang w:val="de-DE"/>
              </w:rPr>
            </w:pPr>
            <w:r w:rsidRPr="006D6089">
              <w:rPr>
                <w:lang w:val="de-DE"/>
              </w:rPr>
              <w:t>Daniel Freund, Reinier Van Lanschot</w:t>
            </w:r>
          </w:p>
        </w:tc>
      </w:tr>
    </w:tbl>
    <w:p w14:paraId="2345A874" w14:textId="77777777" w:rsidR="009B7D92" w:rsidRPr="006D6089" w:rsidRDefault="009B7D92" w:rsidP="009B7D92">
      <w:pPr>
        <w:rPr>
          <w:lang w:val="de-DE"/>
        </w:rPr>
      </w:pPr>
    </w:p>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9B7D92" w:rsidRPr="00561781" w14:paraId="1079305A" w14:textId="77777777" w:rsidTr="00C15B55">
        <w:trPr>
          <w:cantSplit/>
        </w:trPr>
        <w:tc>
          <w:tcPr>
            <w:tcW w:w="1701" w:type="dxa"/>
            <w:shd w:val="pct10" w:color="000000" w:fill="FFFFFF"/>
            <w:vAlign w:val="center"/>
          </w:tcPr>
          <w:p w14:paraId="425C38BE" w14:textId="77777777" w:rsidR="009B7D92" w:rsidRPr="00561781" w:rsidRDefault="009B7D92" w:rsidP="00C15B55">
            <w:pPr>
              <w:pStyle w:val="RollCallVotes"/>
            </w:pPr>
            <w:r>
              <w:t>7</w:t>
            </w:r>
          </w:p>
        </w:tc>
        <w:tc>
          <w:tcPr>
            <w:tcW w:w="7371" w:type="dxa"/>
            <w:shd w:val="pct10" w:color="000000" w:fill="FFFFFF"/>
          </w:tcPr>
          <w:p w14:paraId="66F99941" w14:textId="77777777" w:rsidR="009B7D92" w:rsidRPr="00561781" w:rsidRDefault="009B7D92" w:rsidP="00C15B55">
            <w:pPr>
              <w:pStyle w:val="RollCallSymbols14pt"/>
            </w:pPr>
            <w:r>
              <w:t>-</w:t>
            </w:r>
          </w:p>
        </w:tc>
      </w:tr>
      <w:tr w:rsidR="009B7D92" w:rsidRPr="00561781" w14:paraId="1262046A" w14:textId="77777777" w:rsidTr="00C15B55">
        <w:trPr>
          <w:cantSplit/>
        </w:trPr>
        <w:tc>
          <w:tcPr>
            <w:tcW w:w="1701" w:type="dxa"/>
            <w:shd w:val="clear" w:color="auto" w:fill="FFFFFF"/>
          </w:tcPr>
          <w:p w14:paraId="1440A917" w14:textId="77777777" w:rsidR="009B7D92" w:rsidRPr="00561781" w:rsidRDefault="009B7D92" w:rsidP="00C15B55">
            <w:pPr>
              <w:pStyle w:val="RollCallTable"/>
            </w:pPr>
            <w:r>
              <w:t>ECR</w:t>
            </w:r>
          </w:p>
        </w:tc>
        <w:tc>
          <w:tcPr>
            <w:tcW w:w="7371" w:type="dxa"/>
            <w:shd w:val="clear" w:color="auto" w:fill="FFFFFF"/>
          </w:tcPr>
          <w:p w14:paraId="0FA39A45" w14:textId="77777777" w:rsidR="009B7D92" w:rsidRPr="00561781" w:rsidRDefault="009B7D92" w:rsidP="00C15B55">
            <w:pPr>
              <w:pStyle w:val="RollCallTable"/>
            </w:pPr>
            <w:r>
              <w:t>Gheorghe Piperea, Charlie Weimers</w:t>
            </w:r>
          </w:p>
        </w:tc>
      </w:tr>
      <w:tr w:rsidR="009B7D92" w:rsidRPr="00561781" w14:paraId="4441A79B" w14:textId="77777777" w:rsidTr="00C15B55">
        <w:trPr>
          <w:cantSplit/>
        </w:trPr>
        <w:tc>
          <w:tcPr>
            <w:tcW w:w="1701" w:type="dxa"/>
            <w:shd w:val="clear" w:color="auto" w:fill="FFFFFF"/>
          </w:tcPr>
          <w:p w14:paraId="55500496" w14:textId="77777777" w:rsidR="009B7D92" w:rsidRPr="00561781" w:rsidRDefault="009B7D92" w:rsidP="00C15B55">
            <w:pPr>
              <w:pStyle w:val="RollCallTable"/>
            </w:pPr>
            <w:r>
              <w:t>ESN</w:t>
            </w:r>
          </w:p>
        </w:tc>
        <w:tc>
          <w:tcPr>
            <w:tcW w:w="7371" w:type="dxa"/>
            <w:shd w:val="clear" w:color="auto" w:fill="FFFFFF"/>
          </w:tcPr>
          <w:p w14:paraId="79CCE387" w14:textId="77777777" w:rsidR="009B7D92" w:rsidRPr="00561781" w:rsidRDefault="009B7D92" w:rsidP="00C15B55">
            <w:pPr>
              <w:pStyle w:val="RollCallTable"/>
            </w:pPr>
            <w:r>
              <w:t>Tomasz Froelich</w:t>
            </w:r>
          </w:p>
        </w:tc>
      </w:tr>
      <w:tr w:rsidR="009B7D92" w:rsidRPr="00561781" w14:paraId="7695DBED" w14:textId="77777777" w:rsidTr="00C15B55">
        <w:trPr>
          <w:cantSplit/>
        </w:trPr>
        <w:tc>
          <w:tcPr>
            <w:tcW w:w="1701" w:type="dxa"/>
            <w:shd w:val="clear" w:color="auto" w:fill="FFFFFF"/>
          </w:tcPr>
          <w:p w14:paraId="25C7BF00" w14:textId="77777777" w:rsidR="009B7D92" w:rsidRPr="00561781" w:rsidRDefault="009B7D92" w:rsidP="00C15B55">
            <w:pPr>
              <w:pStyle w:val="RollCallTable"/>
            </w:pPr>
            <w:r>
              <w:t>PfE</w:t>
            </w:r>
          </w:p>
        </w:tc>
        <w:tc>
          <w:tcPr>
            <w:tcW w:w="7371" w:type="dxa"/>
            <w:shd w:val="clear" w:color="auto" w:fill="FFFFFF"/>
          </w:tcPr>
          <w:p w14:paraId="7AF726BB" w14:textId="77777777" w:rsidR="009B7D92" w:rsidRPr="00561781" w:rsidRDefault="009B7D92" w:rsidP="00C15B55">
            <w:pPr>
              <w:pStyle w:val="RollCallTable"/>
            </w:pPr>
            <w:r>
              <w:t>Gerolf Annemans, Rachel Blom, Marieke Ehlers, Alexandre Varaut</w:t>
            </w:r>
          </w:p>
        </w:tc>
      </w:tr>
    </w:tbl>
    <w:p w14:paraId="6E230702" w14:textId="77777777" w:rsidR="009B7D92" w:rsidRPr="00561781" w:rsidRDefault="009B7D92" w:rsidP="009B7D92"/>
    <w:tbl>
      <w:tblPr>
        <w:tblW w:w="9072" w:type="dxa"/>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9B7D92" w:rsidRPr="00561781" w14:paraId="39CDAC9D" w14:textId="77777777" w:rsidTr="00C15B55">
        <w:trPr>
          <w:cantSplit/>
        </w:trPr>
        <w:tc>
          <w:tcPr>
            <w:tcW w:w="1701" w:type="dxa"/>
            <w:shd w:val="pct10" w:color="000000" w:fill="FFFFFF"/>
            <w:vAlign w:val="center"/>
          </w:tcPr>
          <w:p w14:paraId="50D0D7EE" w14:textId="77777777" w:rsidR="009B7D92" w:rsidRPr="00561781" w:rsidRDefault="009B7D92" w:rsidP="00C15B55">
            <w:pPr>
              <w:pStyle w:val="RollCallVotes"/>
            </w:pPr>
            <w:r>
              <w:t>3</w:t>
            </w:r>
          </w:p>
        </w:tc>
        <w:tc>
          <w:tcPr>
            <w:tcW w:w="7371" w:type="dxa"/>
            <w:shd w:val="pct10" w:color="000000" w:fill="FFFFFF"/>
          </w:tcPr>
          <w:p w14:paraId="76F89734" w14:textId="77777777" w:rsidR="009B7D92" w:rsidRPr="00561781" w:rsidRDefault="009B7D92" w:rsidP="00C15B55">
            <w:pPr>
              <w:pStyle w:val="RollCallSymbols14pt"/>
            </w:pPr>
            <w:r>
              <w:t>0</w:t>
            </w:r>
          </w:p>
        </w:tc>
      </w:tr>
      <w:tr w:rsidR="009B7D92" w:rsidRPr="00561781" w14:paraId="22384F7E" w14:textId="77777777" w:rsidTr="00C15B55">
        <w:trPr>
          <w:cantSplit/>
        </w:trPr>
        <w:tc>
          <w:tcPr>
            <w:tcW w:w="1701" w:type="dxa"/>
            <w:shd w:val="clear" w:color="auto" w:fill="FFFFFF"/>
          </w:tcPr>
          <w:p w14:paraId="2263CD4B" w14:textId="77777777" w:rsidR="009B7D92" w:rsidRPr="00561781" w:rsidRDefault="009B7D92" w:rsidP="00C15B55">
            <w:pPr>
              <w:pStyle w:val="RollCallTable"/>
            </w:pPr>
            <w:r>
              <w:t>S&amp;D</w:t>
            </w:r>
          </w:p>
        </w:tc>
        <w:tc>
          <w:tcPr>
            <w:tcW w:w="7371" w:type="dxa"/>
            <w:shd w:val="clear" w:color="auto" w:fill="FFFFFF"/>
          </w:tcPr>
          <w:p w14:paraId="69C769F2" w14:textId="77777777" w:rsidR="009B7D92" w:rsidRPr="00561781" w:rsidRDefault="009B7D92" w:rsidP="00C15B55">
            <w:pPr>
              <w:pStyle w:val="RollCallTable"/>
            </w:pPr>
            <w:r>
              <w:t>Vytenis Povilas Andriukaitis, Marc Angel, Vasile Dîncu</w:t>
            </w:r>
          </w:p>
        </w:tc>
      </w:tr>
    </w:tbl>
    <w:p w14:paraId="5EC43A52" w14:textId="77777777" w:rsidR="009B7D92" w:rsidRDefault="009B7D92" w:rsidP="00147FBF">
      <w:pPr>
        <w:pStyle w:val="Normal12a"/>
      </w:pPr>
    </w:p>
    <w:p w14:paraId="28FE3F72" w14:textId="148AD973" w:rsidR="009B7D92" w:rsidRDefault="009B7D92" w:rsidP="00B735E3">
      <w:r>
        <w:t>Légende des signes utilisés:</w:t>
      </w:r>
    </w:p>
    <w:p w14:paraId="3CD4C238" w14:textId="7389A22D" w:rsidR="009B7D92" w:rsidRDefault="009B7D92" w:rsidP="001C6342">
      <w:pPr>
        <w:pStyle w:val="RollCallTabs"/>
      </w:pPr>
      <w:r>
        <w:t>+</w:t>
      </w:r>
      <w:r>
        <w:tab/>
        <w:t>:</w:t>
      </w:r>
      <w:r>
        <w:tab/>
        <w:t>pour</w:t>
      </w:r>
    </w:p>
    <w:p w14:paraId="492BB4F6" w14:textId="0E3B0CDB" w:rsidR="009B7D92" w:rsidRDefault="009B7D92" w:rsidP="001C6342">
      <w:pPr>
        <w:pStyle w:val="RollCallTabs"/>
      </w:pPr>
      <w:r>
        <w:t>-</w:t>
      </w:r>
      <w:r>
        <w:tab/>
        <w:t>:</w:t>
      </w:r>
      <w:r>
        <w:tab/>
        <w:t>contre</w:t>
      </w:r>
    </w:p>
    <w:p w14:paraId="2CCA1A4F" w14:textId="765CCA1F" w:rsidR="009B7D92" w:rsidRDefault="009B7D92" w:rsidP="001C6342">
      <w:pPr>
        <w:pStyle w:val="RollCallTabs"/>
      </w:pPr>
      <w:r>
        <w:t>0</w:t>
      </w:r>
      <w:r>
        <w:tab/>
        <w:t>:</w:t>
      </w:r>
      <w:r>
        <w:tab/>
        <w:t>abstention</w:t>
      </w:r>
    </w:p>
    <w:p w14:paraId="6060137A" w14:textId="77777777" w:rsidR="009B7D92" w:rsidRDefault="009B7D92" w:rsidP="00AD5932"/>
    <w:bookmarkEnd w:id="11"/>
    <w:p w14:paraId="31476408" w14:textId="10D066C4" w:rsidR="0025759C" w:rsidRPr="009B7D92" w:rsidRDefault="0025759C" w:rsidP="0025759C"/>
    <w:sectPr w:rsidR="0025759C" w:rsidRPr="009B7D92" w:rsidSect="009B7D92">
      <w:pgSz w:w="11894" w:h="15840"/>
      <w:pgMar w:top="1700" w:right="1417" w:bottom="1417" w:left="1417" w:header="720" w:footer="72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4641F5E" w14:textId="77777777" w:rsidR="00D5080D" w:rsidRPr="00561781" w:rsidRDefault="00D5080D">
      <w:r w:rsidRPr="00561781">
        <w:separator/>
      </w:r>
    </w:p>
  </w:endnote>
  <w:endnote w:type="continuationSeparator" w:id="0">
    <w:p w14:paraId="675B8760" w14:textId="77777777" w:rsidR="00D5080D" w:rsidRPr="00561781" w:rsidRDefault="00D5080D">
      <w:r w:rsidRPr="00561781">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Yu Mincho">
    <w:altName w:val="游明朝"/>
    <w:charset w:val="80"/>
    <w:family w:val="roman"/>
    <w:pitch w:val="variable"/>
    <w:sig w:usb0="800002E7" w:usb1="2AC7FCFF" w:usb2="00000012" w:usb3="00000000" w:csb0="0002009F" w:csb1="00000000"/>
  </w:font>
  <w:font w:name="DokChampa">
    <w:altName w:val="Leelawadee UI"/>
    <w:charset w:val="DE"/>
    <w:family w:val="swiss"/>
    <w:pitch w:val="variable"/>
    <w:sig w:usb0="83000003" w:usb1="00000000" w:usb2="00000000" w:usb3="00000000" w:csb0="00010001" w:csb1="00000000"/>
  </w:font>
  <w:font w:name="sans-serif">
    <w:altName w:val="Calibri"/>
    <w:panose1 w:val="00000000000000000000"/>
    <w:charset w:val="00"/>
    <w:family w:val="auto"/>
    <w:notTrueType/>
    <w:pitch w:val="default"/>
    <w:sig w:usb0="00000003" w:usb1="00000000" w:usb2="00000000" w:usb3="00000000" w:csb0="00000001"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659573" w14:textId="77777777" w:rsidR="006D00FC" w:rsidRPr="00561781" w:rsidRDefault="006D00FC" w:rsidP="006D00FC">
    <w:pPr>
      <w:pStyle w:val="EPFooter"/>
    </w:pPr>
    <w:r w:rsidRPr="00561781">
      <w:t>PE</w:t>
    </w:r>
    <w:r w:rsidRPr="00561781">
      <w:rPr>
        <w:rStyle w:val="HideTWBExt"/>
      </w:rPr>
      <w:t>&lt;NoPE&gt;</w:t>
    </w:r>
    <w:r w:rsidRPr="00561781">
      <w:t>767.970</w:t>
    </w:r>
    <w:r w:rsidRPr="00561781">
      <w:rPr>
        <w:rStyle w:val="HideTWBExt"/>
      </w:rPr>
      <w:t>&lt;/NoPE&gt;&lt;Version&gt;</w:t>
    </w:r>
    <w:r w:rsidRPr="00561781">
      <w:t>v02-00</w:t>
    </w:r>
    <w:r w:rsidRPr="00561781">
      <w:rPr>
        <w:rStyle w:val="HideTWBExt"/>
      </w:rPr>
      <w:t>&lt;/Version&gt;</w:t>
    </w:r>
    <w:r w:rsidRPr="00561781">
      <w:tab/>
    </w:r>
    <w:r w:rsidRPr="00561781">
      <w:fldChar w:fldCharType="begin"/>
    </w:r>
    <w:r w:rsidRPr="00561781">
      <w:instrText xml:space="preserve"> PAGE  \* MERGEFORMAT </w:instrText>
    </w:r>
    <w:r w:rsidRPr="00561781">
      <w:fldChar w:fldCharType="separate"/>
    </w:r>
    <w:r w:rsidRPr="00561781">
      <w:rPr>
        <w:noProof/>
      </w:rPr>
      <w:t>4</w:t>
    </w:r>
    <w:r w:rsidRPr="00561781">
      <w:fldChar w:fldCharType="end"/>
    </w:r>
    <w:r w:rsidRPr="00561781">
      <w:t>/</w:t>
    </w:r>
    <w:r w:rsidR="006D6089">
      <w:fldChar w:fldCharType="begin"/>
    </w:r>
    <w:r w:rsidR="006D6089">
      <w:instrText xml:space="preserve"> NUMPAGES  \* MERGEFORMAT </w:instrText>
    </w:r>
    <w:r w:rsidR="006D6089">
      <w:fldChar w:fldCharType="separate"/>
    </w:r>
    <w:r w:rsidRPr="00561781">
      <w:rPr>
        <w:noProof/>
      </w:rPr>
      <w:t>20</w:t>
    </w:r>
    <w:r w:rsidR="006D6089">
      <w:rPr>
        <w:noProof/>
      </w:rPr>
      <w:fldChar w:fldCharType="end"/>
    </w:r>
    <w:r w:rsidRPr="00561781">
      <w:tab/>
    </w:r>
    <w:r w:rsidRPr="00561781">
      <w:rPr>
        <w:rStyle w:val="HideTWBExt"/>
      </w:rPr>
      <w:t>&lt;PathFdR&gt;</w:t>
    </w:r>
    <w:r w:rsidRPr="00561781">
      <w:t>RR\1333757FR.docx</w:t>
    </w:r>
    <w:r w:rsidRPr="00561781">
      <w:rPr>
        <w:rStyle w:val="HideTWBExt"/>
      </w:rPr>
      <w:t>&lt;/PathFdR&gt;</w:t>
    </w:r>
  </w:p>
  <w:p w14:paraId="3B81EBF7" w14:textId="5DEDDAC4" w:rsidR="007729E9" w:rsidRPr="00561781" w:rsidRDefault="006D00FC" w:rsidP="006D00FC">
    <w:pPr>
      <w:pStyle w:val="EPFooter2"/>
    </w:pPr>
    <w:r w:rsidRPr="00561781">
      <w:t>FR</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6EC5AB" w14:textId="77777777" w:rsidR="006D00FC" w:rsidRPr="00561781" w:rsidRDefault="006D00FC" w:rsidP="006D00FC">
    <w:pPr>
      <w:pStyle w:val="EPFooter"/>
    </w:pPr>
    <w:r w:rsidRPr="00561781">
      <w:rPr>
        <w:rStyle w:val="HideTWBExt"/>
      </w:rPr>
      <w:t>&lt;PathFdR&gt;</w:t>
    </w:r>
    <w:r w:rsidRPr="00561781">
      <w:t>RR\1333757FR.docx</w:t>
    </w:r>
    <w:r w:rsidRPr="00561781">
      <w:rPr>
        <w:rStyle w:val="HideTWBExt"/>
      </w:rPr>
      <w:t>&lt;/PathFdR&gt;</w:t>
    </w:r>
    <w:r w:rsidRPr="00561781">
      <w:tab/>
    </w:r>
    <w:r w:rsidRPr="00561781">
      <w:fldChar w:fldCharType="begin"/>
    </w:r>
    <w:r w:rsidRPr="00561781">
      <w:instrText xml:space="preserve"> PAGE  \* MERGEFORMAT </w:instrText>
    </w:r>
    <w:r w:rsidRPr="00561781">
      <w:fldChar w:fldCharType="separate"/>
    </w:r>
    <w:r w:rsidRPr="00561781">
      <w:rPr>
        <w:noProof/>
      </w:rPr>
      <w:t>5</w:t>
    </w:r>
    <w:r w:rsidRPr="00561781">
      <w:fldChar w:fldCharType="end"/>
    </w:r>
    <w:r w:rsidRPr="00561781">
      <w:t>/</w:t>
    </w:r>
    <w:r w:rsidR="006D6089">
      <w:fldChar w:fldCharType="begin"/>
    </w:r>
    <w:r w:rsidR="006D6089">
      <w:instrText xml:space="preserve"> NUMPAGES  \* MERGEFORMAT </w:instrText>
    </w:r>
    <w:r w:rsidR="006D6089">
      <w:fldChar w:fldCharType="separate"/>
    </w:r>
    <w:r w:rsidRPr="00561781">
      <w:rPr>
        <w:noProof/>
      </w:rPr>
      <w:t>20</w:t>
    </w:r>
    <w:r w:rsidR="006D6089">
      <w:rPr>
        <w:noProof/>
      </w:rPr>
      <w:fldChar w:fldCharType="end"/>
    </w:r>
    <w:r w:rsidRPr="00561781">
      <w:tab/>
      <w:t>PE</w:t>
    </w:r>
    <w:r w:rsidRPr="00561781">
      <w:rPr>
        <w:rStyle w:val="HideTWBExt"/>
      </w:rPr>
      <w:t>&lt;NoPE&gt;</w:t>
    </w:r>
    <w:r w:rsidRPr="00561781">
      <w:t>767.970</w:t>
    </w:r>
    <w:r w:rsidRPr="00561781">
      <w:rPr>
        <w:rStyle w:val="HideTWBExt"/>
      </w:rPr>
      <w:t>&lt;/NoPE&gt;&lt;Version&gt;</w:t>
    </w:r>
    <w:r w:rsidRPr="00561781">
      <w:t>v02-00</w:t>
    </w:r>
    <w:r w:rsidRPr="00561781">
      <w:rPr>
        <w:rStyle w:val="HideTWBExt"/>
      </w:rPr>
      <w:t>&lt;/Version&gt;</w:t>
    </w:r>
  </w:p>
  <w:p w14:paraId="4C02B260" w14:textId="1954873C" w:rsidR="007729E9" w:rsidRPr="00561781" w:rsidRDefault="006D00FC" w:rsidP="006D00FC">
    <w:pPr>
      <w:pStyle w:val="EPFooter2"/>
    </w:pPr>
    <w:r w:rsidRPr="00561781">
      <w:tab/>
    </w:r>
    <w:r w:rsidRPr="00561781">
      <w:tab/>
      <w:t>FR</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151DC6" w14:textId="77777777" w:rsidR="006D00FC" w:rsidRPr="00561781" w:rsidRDefault="006D00FC" w:rsidP="006D00FC">
    <w:pPr>
      <w:pStyle w:val="EPFooter"/>
    </w:pPr>
    <w:r w:rsidRPr="00561781">
      <w:rPr>
        <w:rStyle w:val="HideTWBExt"/>
      </w:rPr>
      <w:t>&lt;PathFdR&gt;</w:t>
    </w:r>
    <w:r w:rsidRPr="00561781">
      <w:t>RR\1333757FR.docx</w:t>
    </w:r>
    <w:r w:rsidRPr="00561781">
      <w:rPr>
        <w:rStyle w:val="HideTWBExt"/>
      </w:rPr>
      <w:t>&lt;/PathFdR&gt;</w:t>
    </w:r>
    <w:r w:rsidRPr="00561781">
      <w:tab/>
    </w:r>
    <w:r w:rsidRPr="00561781">
      <w:tab/>
      <w:t>PE</w:t>
    </w:r>
    <w:r w:rsidRPr="00561781">
      <w:rPr>
        <w:rStyle w:val="HideTWBExt"/>
      </w:rPr>
      <w:t>&lt;NoPE&gt;</w:t>
    </w:r>
    <w:r w:rsidRPr="00561781">
      <w:t>767.970</w:t>
    </w:r>
    <w:r w:rsidRPr="00561781">
      <w:rPr>
        <w:rStyle w:val="HideTWBExt"/>
      </w:rPr>
      <w:t>&lt;/NoPE&gt;&lt;Version&gt;</w:t>
    </w:r>
    <w:r w:rsidRPr="00561781">
      <w:t>v02-00</w:t>
    </w:r>
    <w:r w:rsidRPr="00561781">
      <w:rPr>
        <w:rStyle w:val="HideTWBExt"/>
      </w:rPr>
      <w:t>&lt;/Version&gt;</w:t>
    </w:r>
  </w:p>
  <w:p w14:paraId="6C1F05D5" w14:textId="59152E4B" w:rsidR="007729E9" w:rsidRPr="00561781" w:rsidRDefault="006D00FC" w:rsidP="006D00FC">
    <w:pPr>
      <w:pStyle w:val="EPFooter2"/>
    </w:pPr>
    <w:r w:rsidRPr="00561781">
      <w:t>FR</w:t>
    </w:r>
    <w:r w:rsidRPr="00561781">
      <w:tab/>
    </w:r>
    <w:r w:rsidRPr="00561781">
      <w:rPr>
        <w:b w:val="0"/>
        <w:i/>
        <w:color w:val="C0C0C0"/>
        <w:sz w:val="22"/>
      </w:rPr>
      <w:t>Unie dans la diversité</w:t>
    </w:r>
    <w:r w:rsidRPr="00561781">
      <w:tab/>
      <w:t>FR</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E34730" w14:textId="77777777" w:rsidR="00C60355" w:rsidRPr="00561781" w:rsidRDefault="00C60355" w:rsidP="00235071">
    <w:pPr>
      <w:pStyle w:val="EPFooter"/>
    </w:pPr>
    <w:r w:rsidRPr="00561781">
      <w:rPr>
        <w:rStyle w:val="HideTWBExt"/>
      </w:rPr>
      <w:t>&lt;PathFdR&gt;</w:t>
    </w:r>
    <w:r w:rsidRPr="00561781">
      <w:t>PR\1313506EN.docx</w:t>
    </w:r>
    <w:r w:rsidRPr="00561781">
      <w:rPr>
        <w:rStyle w:val="HideTWBExt"/>
      </w:rPr>
      <w:t>&lt;/PathFdR&gt;</w:t>
    </w:r>
    <w:r w:rsidRPr="00561781">
      <w:tab/>
    </w:r>
    <w:r w:rsidRPr="00561781">
      <w:tab/>
      <w:t>PE</w:t>
    </w:r>
    <w:r w:rsidRPr="00561781">
      <w:rPr>
        <w:rStyle w:val="HideTWBExt"/>
      </w:rPr>
      <w:t>&lt;NoPE&gt;</w:t>
    </w:r>
    <w:r w:rsidRPr="00561781">
      <w:t>767.970</w:t>
    </w:r>
    <w:r w:rsidRPr="00561781">
      <w:rPr>
        <w:rStyle w:val="HideTWBExt"/>
      </w:rPr>
      <w:t>&lt;/NoPE&gt;&lt;Version&gt;</w:t>
    </w:r>
    <w:r w:rsidRPr="00561781">
      <w:t>v01-00</w:t>
    </w:r>
    <w:r w:rsidRPr="00561781">
      <w:rPr>
        <w:rStyle w:val="HideTWBExt"/>
      </w:rPr>
      <w:t>&lt;/Version&gt;</w:t>
    </w:r>
  </w:p>
  <w:p w14:paraId="692ED4ED" w14:textId="77777777" w:rsidR="00C60355" w:rsidRPr="00561781" w:rsidRDefault="00C60355" w:rsidP="00235071">
    <w:pPr>
      <w:pStyle w:val="EPFooter2"/>
    </w:pPr>
    <w:r w:rsidRPr="00561781">
      <w:t>EN</w:t>
    </w:r>
    <w:r w:rsidRPr="00561781">
      <w:tab/>
    </w:r>
    <w:r w:rsidRPr="00561781">
      <w:rPr>
        <w:b w:val="0"/>
        <w:i/>
        <w:color w:val="C0C0C0"/>
        <w:sz w:val="22"/>
      </w:rPr>
      <w:t>United in diversity</w:t>
    </w:r>
    <w:r w:rsidRPr="00561781">
      <w:tab/>
      <w:t>EN</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B5F5C57" w14:textId="77777777" w:rsidR="00D5080D" w:rsidRPr="00561781" w:rsidRDefault="00D5080D">
      <w:r w:rsidRPr="00561781">
        <w:separator/>
      </w:r>
    </w:p>
  </w:footnote>
  <w:footnote w:type="continuationSeparator" w:id="0">
    <w:p w14:paraId="3707D74C" w14:textId="77777777" w:rsidR="00D5080D" w:rsidRPr="00561781" w:rsidRDefault="00D5080D">
      <w:r w:rsidRPr="00561781">
        <w:continuationSeparator/>
      </w:r>
    </w:p>
  </w:footnote>
  <w:footnote w:id="1">
    <w:p w14:paraId="0C02A945" w14:textId="37E73BD9" w:rsidR="007729E9" w:rsidRPr="006D6089" w:rsidRDefault="007729E9" w:rsidP="007729E9">
      <w:pPr>
        <w:pStyle w:val="FootnoteText"/>
        <w:rPr>
          <w:lang w:val="fi-FI"/>
        </w:rPr>
      </w:pPr>
      <w:r>
        <w:rPr>
          <w:rStyle w:val="FootnoteReference"/>
        </w:rPr>
        <w:footnoteRef/>
      </w:r>
      <w:r w:rsidRPr="006D6089">
        <w:rPr>
          <w:lang w:val="fi-FI"/>
        </w:rPr>
        <w:t xml:space="preserve"> JO L 278 du 8.10.1976, p. 5, ELI: </w:t>
      </w:r>
      <w:hyperlink r:id="rId1" w:history="1">
        <w:r w:rsidRPr="006D6089">
          <w:rPr>
            <w:rStyle w:val="Hyperlink"/>
            <w:lang w:val="fi-FI"/>
          </w:rPr>
          <w:t>http://data.europa.eu/eli/dec/1976/787(2)/oj</w:t>
        </w:r>
      </w:hyperlink>
      <w:r w:rsidRPr="006D6089">
        <w:rPr>
          <w:lang w:val="fi-FI"/>
        </w:rPr>
        <w:t>.</w:t>
      </w:r>
    </w:p>
  </w:footnote>
  <w:footnote w:id="2">
    <w:p w14:paraId="5D247682" w14:textId="54B827EB" w:rsidR="007729E9" w:rsidRPr="00561781" w:rsidRDefault="007729E9" w:rsidP="007729E9">
      <w:pPr>
        <w:pStyle w:val="FootnoteText"/>
      </w:pPr>
      <w:r w:rsidRPr="006D6089">
        <w:rPr>
          <w:lang w:val="fi-FI"/>
        </w:rPr>
        <w:t xml:space="preserve"> </w:t>
      </w:r>
      <w:r>
        <w:rPr>
          <w:rStyle w:val="FootnoteReference"/>
        </w:rPr>
        <w:footnoteRef/>
      </w:r>
      <w:r>
        <w:t xml:space="preserve"> 76/787/CECA, CEE, Euratom: Décision des représentants des États membres réunis au sein du Conseil relative à l’Acte portant élection des représentants à l’Assemblée au suffrage universel direct (JO L 278 du 8.10.1976, p. 1, ELI: </w:t>
      </w:r>
      <w:hyperlink r:id="rId2" w:history="1">
        <w:r>
          <w:rPr>
            <w:rStyle w:val="Hyperlink"/>
          </w:rPr>
          <w:t>http://data.europa.eu/eli/dec/1976/787(1)/oj</w:t>
        </w:r>
      </w:hyperlink>
      <w:r>
        <w:t>).</w:t>
      </w:r>
    </w:p>
  </w:footnote>
  <w:footnote w:id="3">
    <w:p w14:paraId="5AE34D24" w14:textId="2FD77C46" w:rsidR="007729E9" w:rsidRPr="006D6089" w:rsidRDefault="007729E9" w:rsidP="007729E9">
      <w:pPr>
        <w:pStyle w:val="FootnoteText"/>
        <w:rPr>
          <w:lang w:val="fi-FI"/>
        </w:rPr>
      </w:pPr>
      <w:r>
        <w:rPr>
          <w:rStyle w:val="FootnoteReference"/>
        </w:rPr>
        <w:footnoteRef/>
      </w:r>
      <w:r w:rsidRPr="006D6089">
        <w:rPr>
          <w:lang w:val="fi-FI"/>
        </w:rPr>
        <w:t xml:space="preserve"> JO L 304 du 20.11.2010, p. 47, ELI: </w:t>
      </w:r>
      <w:hyperlink r:id="rId3" w:history="1">
        <w:r w:rsidRPr="006D6089">
          <w:rPr>
            <w:rStyle w:val="Hyperlink"/>
            <w:lang w:val="fi-FI"/>
          </w:rPr>
          <w:t>http://data.europa.eu/eli/agree_interinstit/2010/1120/oj</w:t>
        </w:r>
      </w:hyperlink>
      <w:r w:rsidRPr="006D6089">
        <w:rPr>
          <w:lang w:val="fi-FI"/>
        </w:rPr>
        <w:t>.</w:t>
      </w:r>
    </w:p>
  </w:footnote>
  <w:footnote w:id="4">
    <w:p w14:paraId="5D1337D7" w14:textId="1301ADB5" w:rsidR="007729E9" w:rsidRPr="006D6089" w:rsidRDefault="007729E9" w:rsidP="007729E9">
      <w:pPr>
        <w:pStyle w:val="FootnoteText"/>
        <w:rPr>
          <w:lang w:val="da-DK"/>
        </w:rPr>
      </w:pPr>
      <w:r>
        <w:rPr>
          <w:rStyle w:val="FootnoteReference"/>
        </w:rPr>
        <w:footnoteRef/>
      </w:r>
      <w:r w:rsidRPr="006D6089">
        <w:rPr>
          <w:lang w:val="da-DK"/>
        </w:rPr>
        <w:t xml:space="preserve"> </w:t>
      </w:r>
      <w:hyperlink r:id="rId4" w:history="1">
        <w:r w:rsidRPr="006D6089">
          <w:rPr>
            <w:rStyle w:val="Hyperlink"/>
            <w:lang w:val="da-DK"/>
          </w:rPr>
          <w:t>JO C 366 du 27.10.2017, p. 7</w:t>
        </w:r>
      </w:hyperlink>
      <w:r w:rsidRPr="006D6089">
        <w:rPr>
          <w:lang w:val="da-DK"/>
        </w:rPr>
        <w:t>.</w:t>
      </w:r>
    </w:p>
  </w:footnote>
  <w:footnote w:id="5">
    <w:p w14:paraId="3E5B5571" w14:textId="2152FDCB" w:rsidR="007729E9" w:rsidRPr="006D6089" w:rsidRDefault="007729E9">
      <w:pPr>
        <w:pStyle w:val="FootnoteText"/>
        <w:rPr>
          <w:lang w:val="da-DK"/>
        </w:rPr>
      </w:pPr>
      <w:r>
        <w:rPr>
          <w:rStyle w:val="FootnoteReference"/>
        </w:rPr>
        <w:footnoteRef/>
      </w:r>
      <w:r w:rsidRPr="006D6089">
        <w:rPr>
          <w:lang w:val="da-DK"/>
        </w:rPr>
        <w:t xml:space="preserve"> </w:t>
      </w:r>
      <w:hyperlink r:id="rId5" w:history="1">
        <w:r w:rsidRPr="006D6089">
          <w:rPr>
            <w:rStyle w:val="Hyperlink"/>
            <w:lang w:val="da-DK"/>
          </w:rPr>
          <w:t>JO C 465 du 6.12.2022, p. 171</w:t>
        </w:r>
      </w:hyperlink>
      <w:r w:rsidRPr="006D6089">
        <w:rPr>
          <w:lang w:val="da-DK"/>
        </w:rPr>
        <w:t xml:space="preserve">. </w:t>
      </w:r>
    </w:p>
  </w:footnote>
  <w:footnote w:id="6">
    <w:p w14:paraId="49B9E65B" w14:textId="1433EE65" w:rsidR="002C53F9" w:rsidRPr="006D6089" w:rsidRDefault="002C53F9">
      <w:pPr>
        <w:pStyle w:val="FootnoteText"/>
        <w:rPr>
          <w:lang w:val="fi-FI"/>
        </w:rPr>
      </w:pPr>
      <w:r>
        <w:rPr>
          <w:rStyle w:val="FootnoteReference"/>
        </w:rPr>
        <w:footnoteRef/>
      </w:r>
      <w:r w:rsidRPr="006D6089">
        <w:rPr>
          <w:lang w:val="fi-FI"/>
        </w:rPr>
        <w:t xml:space="preserve"> JO L 178 du 16.7.2018, p. 1, ELI: </w:t>
      </w:r>
      <w:hyperlink r:id="rId6" w:history="1">
        <w:r w:rsidRPr="006D6089">
          <w:rPr>
            <w:rStyle w:val="Hyperlink"/>
            <w:lang w:val="fi-FI"/>
          </w:rPr>
          <w:t>http://data.europa.eu/eli/dec/2018/994/oj</w:t>
        </w:r>
      </w:hyperlink>
      <w:r w:rsidRPr="006D6089">
        <w:rPr>
          <w:lang w:val="fi-FI"/>
        </w:rPr>
        <w:t>.</w:t>
      </w:r>
    </w:p>
  </w:footnote>
  <w:footnote w:id="7">
    <w:p w14:paraId="1EF60C22" w14:textId="5F9D2F2F" w:rsidR="00781320" w:rsidRPr="00561781" w:rsidRDefault="00781320">
      <w:pPr>
        <w:pStyle w:val="FootnoteText"/>
      </w:pPr>
      <w:r>
        <w:rPr>
          <w:rStyle w:val="FootnoteReference"/>
        </w:rPr>
        <w:footnoteRef/>
      </w:r>
      <w:r>
        <w:t xml:space="preserve"> Règlement (UE, Euratom) nº 1141/2014 du Parlement européen et du Conseil du 22 octobre 2014 relatif au statut et au financement des partis politiques européens et des fondations politiques européennes (JO L 317 du 4.11.2014, p. 1, ELI: </w:t>
      </w:r>
      <w:hyperlink r:id="rId7" w:history="1">
        <w:r>
          <w:rPr>
            <w:rStyle w:val="Hyperlink"/>
          </w:rPr>
          <w:t>http://data.europa.eu/eli/reg/2014/1141/oj</w:t>
        </w:r>
      </w:hyperlink>
      <w:r>
        <w:t xml:space="preserve">). </w:t>
      </w:r>
    </w:p>
  </w:footnote>
  <w:footnote w:id="8">
    <w:p w14:paraId="619D2136" w14:textId="1486DBDF" w:rsidR="00276721" w:rsidRPr="00561781" w:rsidRDefault="00276721">
      <w:pPr>
        <w:pStyle w:val="FootnoteText"/>
      </w:pPr>
      <w:r>
        <w:rPr>
          <w:rStyle w:val="FootnoteReference"/>
        </w:rPr>
        <w:footnoteRef/>
      </w:r>
      <w:r>
        <w:t xml:space="preserve"> Décision (UE, Euratom) 2018/994 du Conseil du 13 juillet 2018 modifiant l’acte portant élection des membres du Parlement européen au suffrage universel direct, annexé à la décision 76/787/CECA, CEE, Euratom du Conseil du 20 septembre 1976 (JO L 178 du 16.7.2018, p. 1, ELI: </w:t>
      </w:r>
      <w:hyperlink r:id="rId8" w:tooltip="Donne accès à ce document par l’intermédiaire de son URI ELI." w:history="1">
        <w:r>
          <w:rPr>
            <w:rStyle w:val="Hyperlink"/>
          </w:rPr>
          <w:t>http://data.europa.eu/eli/dec/2018/994/oj</w:t>
        </w:r>
      </w:hyperlink>
      <w:r>
        <w:t>).</w:t>
      </w:r>
    </w:p>
  </w:footnote>
  <w:footnote w:id="9">
    <w:p w14:paraId="4701B5E5" w14:textId="68AE4602" w:rsidR="00754B30" w:rsidRPr="00561781" w:rsidRDefault="00754B30">
      <w:pPr>
        <w:pStyle w:val="FootnoteText"/>
      </w:pPr>
      <w:r>
        <w:rPr>
          <w:rStyle w:val="FootnoteReference"/>
        </w:rPr>
        <w:footnoteRef/>
      </w:r>
      <w:r>
        <w:t xml:space="preserve"> Accord interinstitutionnel du 20 mai 2021 entre le Parlement européen, le Conseil de l’Union européenne et la Commission européenne sur un registre de transparence obligatoire (JO L 207 du 11.6.2021, p. 1, ELI: </w:t>
      </w:r>
      <w:hyperlink r:id="rId9" w:history="1">
        <w:r>
          <w:rPr>
            <w:rStyle w:val="Hyperlink"/>
            <w:sz w:val="24"/>
          </w:rPr>
          <w:t>http://data.europa.eu/eli/agree_interinstit/2021/611/oj</w:t>
        </w:r>
      </w:hyperlink>
      <w: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B9D088" w14:textId="77777777" w:rsidR="009B7D92" w:rsidRDefault="009B7D9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891A8F" w14:textId="77777777" w:rsidR="009B7D92" w:rsidRDefault="009B7D9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146B26" w14:textId="77777777" w:rsidR="009B7D92" w:rsidRDefault="009B7D92">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DE7D69" w14:textId="77777777" w:rsidR="00C60355" w:rsidRDefault="00C60355">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FD05A3" w14:textId="77777777" w:rsidR="00C60355" w:rsidRDefault="00C60355">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1E8417" w14:textId="77777777" w:rsidR="00C60355" w:rsidRDefault="00C6035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5221FB9"/>
    <w:multiLevelType w:val="hybridMultilevel"/>
    <w:tmpl w:val="4A203A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0B40549D"/>
    <w:multiLevelType w:val="hybridMultilevel"/>
    <w:tmpl w:val="AAE4640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1413509A"/>
    <w:multiLevelType w:val="hybridMultilevel"/>
    <w:tmpl w:val="B78C2B82"/>
    <w:lvl w:ilvl="0" w:tplc="2F2643BA">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3" w15:restartNumberingAfterBreak="0">
    <w:nsid w:val="16F748FA"/>
    <w:multiLevelType w:val="hybridMultilevel"/>
    <w:tmpl w:val="57B2C77C"/>
    <w:lvl w:ilvl="0" w:tplc="5D724910">
      <w:start w:val="1"/>
      <w:numFmt w:val="upperLetter"/>
      <w:lvlText w:val="%1."/>
      <w:lvlJc w:val="left"/>
      <w:pPr>
        <w:ind w:left="930" w:hanging="57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1B577BD9"/>
    <w:multiLevelType w:val="hybridMultilevel"/>
    <w:tmpl w:val="5846CB9E"/>
    <w:lvl w:ilvl="0" w:tplc="78B8B33A">
      <w:numFmt w:val="bullet"/>
      <w:lvlText w:val="-"/>
      <w:lvlJc w:val="left"/>
      <w:pPr>
        <w:ind w:left="720" w:hanging="360"/>
      </w:pPr>
      <w:rPr>
        <w:rFonts w:ascii="Times New Roman" w:eastAsia="Times New Roman" w:hAnsi="Times New Roman" w:cs="Times New Roman" w:hint="default"/>
        <w:b/>
        <w:i/>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1D24295C"/>
    <w:multiLevelType w:val="hybridMultilevel"/>
    <w:tmpl w:val="ABB6FF60"/>
    <w:lvl w:ilvl="0" w:tplc="11729174">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6" w15:restartNumberingAfterBreak="0">
    <w:nsid w:val="2D9D0EA6"/>
    <w:multiLevelType w:val="hybridMultilevel"/>
    <w:tmpl w:val="57F49BB4"/>
    <w:lvl w:ilvl="0" w:tplc="0809001B">
      <w:start w:val="1"/>
      <w:numFmt w:val="lowerRoman"/>
      <w:lvlText w:val="%1."/>
      <w:lvlJc w:val="righ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38815DEE"/>
    <w:multiLevelType w:val="hybridMultilevel"/>
    <w:tmpl w:val="84E24B2E"/>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49F330CA"/>
    <w:multiLevelType w:val="hybridMultilevel"/>
    <w:tmpl w:val="FAC4D5D0"/>
    <w:lvl w:ilvl="0" w:tplc="2F2643BA">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318654062">
    <w:abstractNumId w:val="9"/>
  </w:num>
  <w:num w:numId="2" w16cid:durableId="135270657">
    <w:abstractNumId w:val="9"/>
  </w:num>
  <w:num w:numId="3" w16cid:durableId="1868254343">
    <w:abstractNumId w:val="7"/>
  </w:num>
  <w:num w:numId="4" w16cid:durableId="1605452750">
    <w:abstractNumId w:val="7"/>
  </w:num>
  <w:num w:numId="5" w16cid:durableId="1949897442">
    <w:abstractNumId w:val="6"/>
  </w:num>
  <w:num w:numId="6" w16cid:durableId="45644941">
    <w:abstractNumId w:val="6"/>
  </w:num>
  <w:num w:numId="7" w16cid:durableId="564535252">
    <w:abstractNumId w:val="5"/>
  </w:num>
  <w:num w:numId="8" w16cid:durableId="535384996">
    <w:abstractNumId w:val="5"/>
  </w:num>
  <w:num w:numId="9" w16cid:durableId="1829709933">
    <w:abstractNumId w:val="4"/>
  </w:num>
  <w:num w:numId="10" w16cid:durableId="647979048">
    <w:abstractNumId w:val="4"/>
  </w:num>
  <w:num w:numId="11" w16cid:durableId="1066221347">
    <w:abstractNumId w:val="8"/>
  </w:num>
  <w:num w:numId="12" w16cid:durableId="1392846271">
    <w:abstractNumId w:val="8"/>
  </w:num>
  <w:num w:numId="13" w16cid:durableId="1628852452">
    <w:abstractNumId w:val="3"/>
  </w:num>
  <w:num w:numId="14" w16cid:durableId="157039433">
    <w:abstractNumId w:val="3"/>
  </w:num>
  <w:num w:numId="15" w16cid:durableId="1261832983">
    <w:abstractNumId w:val="2"/>
  </w:num>
  <w:num w:numId="16" w16cid:durableId="1496990666">
    <w:abstractNumId w:val="2"/>
  </w:num>
  <w:num w:numId="17" w16cid:durableId="607006514">
    <w:abstractNumId w:val="1"/>
  </w:num>
  <w:num w:numId="18" w16cid:durableId="216667683">
    <w:abstractNumId w:val="1"/>
  </w:num>
  <w:num w:numId="19" w16cid:durableId="1432168144">
    <w:abstractNumId w:val="0"/>
  </w:num>
  <w:num w:numId="20" w16cid:durableId="1229918986">
    <w:abstractNumId w:val="0"/>
  </w:num>
  <w:num w:numId="21" w16cid:durableId="1805267376">
    <w:abstractNumId w:val="9"/>
  </w:num>
  <w:num w:numId="22" w16cid:durableId="1359741230">
    <w:abstractNumId w:val="7"/>
  </w:num>
  <w:num w:numId="23" w16cid:durableId="1620142985">
    <w:abstractNumId w:val="6"/>
  </w:num>
  <w:num w:numId="24" w16cid:durableId="1987393069">
    <w:abstractNumId w:val="5"/>
  </w:num>
  <w:num w:numId="25" w16cid:durableId="204369645">
    <w:abstractNumId w:val="4"/>
  </w:num>
  <w:num w:numId="26" w16cid:durableId="1948385547">
    <w:abstractNumId w:val="8"/>
  </w:num>
  <w:num w:numId="27" w16cid:durableId="1726952131">
    <w:abstractNumId w:val="3"/>
  </w:num>
  <w:num w:numId="28" w16cid:durableId="1176652038">
    <w:abstractNumId w:val="2"/>
  </w:num>
  <w:num w:numId="29" w16cid:durableId="179126412">
    <w:abstractNumId w:val="1"/>
  </w:num>
  <w:num w:numId="30" w16cid:durableId="529874953">
    <w:abstractNumId w:val="0"/>
  </w:num>
  <w:num w:numId="31" w16cid:durableId="144902518">
    <w:abstractNumId w:val="9"/>
  </w:num>
  <w:num w:numId="32" w16cid:durableId="1503622346">
    <w:abstractNumId w:val="7"/>
  </w:num>
  <w:num w:numId="33" w16cid:durableId="436876176">
    <w:abstractNumId w:val="6"/>
  </w:num>
  <w:num w:numId="34" w16cid:durableId="282276050">
    <w:abstractNumId w:val="5"/>
  </w:num>
  <w:num w:numId="35" w16cid:durableId="1377268066">
    <w:abstractNumId w:val="4"/>
  </w:num>
  <w:num w:numId="36" w16cid:durableId="1127815904">
    <w:abstractNumId w:val="8"/>
  </w:num>
  <w:num w:numId="37" w16cid:durableId="1396397880">
    <w:abstractNumId w:val="3"/>
  </w:num>
  <w:num w:numId="38" w16cid:durableId="1369573035">
    <w:abstractNumId w:val="2"/>
  </w:num>
  <w:num w:numId="39" w16cid:durableId="1177112253">
    <w:abstractNumId w:val="1"/>
  </w:num>
  <w:num w:numId="40" w16cid:durableId="40981388">
    <w:abstractNumId w:val="0"/>
  </w:num>
  <w:num w:numId="41" w16cid:durableId="1138374251">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1269654727">
    <w:abstractNumId w:val="11"/>
  </w:num>
  <w:num w:numId="43" w16cid:durableId="67964783">
    <w:abstractNumId w:val="17"/>
  </w:num>
  <w:num w:numId="44" w16cid:durableId="982781014">
    <w:abstractNumId w:val="16"/>
  </w:num>
  <w:num w:numId="45" w16cid:durableId="120076189">
    <w:abstractNumId w:val="12"/>
  </w:num>
  <w:num w:numId="46" w16cid:durableId="1786656319">
    <w:abstractNumId w:val="10"/>
  </w:num>
  <w:num w:numId="47" w16cid:durableId="514422646">
    <w:abstractNumId w:val="18"/>
  </w:num>
  <w:num w:numId="48" w16cid:durableId="1562205864">
    <w:abstractNumId w:val="13"/>
  </w:num>
  <w:num w:numId="49" w16cid:durableId="1950156721">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AUTHORMFPMNU" w:val=" 1"/>
    <w:docVar w:name="COMKEY" w:val="AFCO"/>
    <w:docVar w:name="CONTRIBUTIONMNU" w:val=" 2"/>
    <w:docVar w:name="DOCDT" w:val="08/12/2025"/>
    <w:docVar w:name="HEADINGMNU" w:val=" 1"/>
    <w:docVar w:name="LastEditedSection" w:val=" 1"/>
    <w:docVar w:name="MOTIONMNU" w:val=" 1"/>
    <w:docVar w:name="NVAR1" w:val="0"/>
    <w:docVar w:name="OPTHEADING1MNU" w:val=" 1"/>
    <w:docVar w:name="OPTHEADING2MNU" w:val=" 1"/>
    <w:docVar w:name="PAR1MNU" w:val=" 2"/>
    <w:docVar w:name="strDocTypeID" w:val="PR_INI_ImplReport"/>
    <w:docVar w:name="strSubDir" w:val="1333"/>
    <w:docVar w:name="TITLEMNU" w:val=" 4"/>
    <w:docVar w:name="TVTTITLE" w:val="Reform of the European Electoral Act – hurdles to ratification and implementation in the Member States"/>
    <w:docVar w:name="TXTAUTHOR" w:val="Borja Giménez Larraz"/>
    <w:docVar w:name="TXTLANGUE" w:val="FR"/>
    <w:docVar w:name="TXTLANGUEMIN" w:val="fr"/>
    <w:docVar w:name="TXTNRINI" w:val="2025/2028"/>
    <w:docVar w:name="TXTNRPE" w:val="767.970"/>
    <w:docVar w:name="TXTPEorAP" w:val="PE"/>
    <w:docVar w:name="TXTROUTE" w:val="RR\1333757FR.docx"/>
    <w:docVar w:name="TXTTITLE" w:val="Reform of the European Electoral Act – hurdles to ratification and implementation in the Member States"/>
    <w:docVar w:name="TXTVERSION" w:val="02-00"/>
  </w:docVars>
  <w:rsids>
    <w:rsidRoot w:val="000E446F"/>
    <w:rsid w:val="00002978"/>
    <w:rsid w:val="0002466C"/>
    <w:rsid w:val="000259EA"/>
    <w:rsid w:val="00033C5E"/>
    <w:rsid w:val="00040EAC"/>
    <w:rsid w:val="00044A13"/>
    <w:rsid w:val="00082B65"/>
    <w:rsid w:val="000A0B86"/>
    <w:rsid w:val="000C53D8"/>
    <w:rsid w:val="000C7950"/>
    <w:rsid w:val="000D08B9"/>
    <w:rsid w:val="000E446F"/>
    <w:rsid w:val="00100069"/>
    <w:rsid w:val="00102C5B"/>
    <w:rsid w:val="001046B1"/>
    <w:rsid w:val="00116F6C"/>
    <w:rsid w:val="0012364D"/>
    <w:rsid w:val="0013174B"/>
    <w:rsid w:val="00134CF9"/>
    <w:rsid w:val="00146519"/>
    <w:rsid w:val="001532DF"/>
    <w:rsid w:val="00153AB5"/>
    <w:rsid w:val="00154A6F"/>
    <w:rsid w:val="00155CA6"/>
    <w:rsid w:val="00172BC3"/>
    <w:rsid w:val="0017303E"/>
    <w:rsid w:val="00181C7F"/>
    <w:rsid w:val="0019578D"/>
    <w:rsid w:val="001C6A0E"/>
    <w:rsid w:val="001D4923"/>
    <w:rsid w:val="001E2A72"/>
    <w:rsid w:val="001E6485"/>
    <w:rsid w:val="001F0A0E"/>
    <w:rsid w:val="0020027A"/>
    <w:rsid w:val="00205DE7"/>
    <w:rsid w:val="00210E7C"/>
    <w:rsid w:val="00217183"/>
    <w:rsid w:val="00223C48"/>
    <w:rsid w:val="00235071"/>
    <w:rsid w:val="0023634B"/>
    <w:rsid w:val="00240F48"/>
    <w:rsid w:val="0025066C"/>
    <w:rsid w:val="002544DF"/>
    <w:rsid w:val="0025759C"/>
    <w:rsid w:val="002636BD"/>
    <w:rsid w:val="002643FA"/>
    <w:rsid w:val="00276721"/>
    <w:rsid w:val="00277EDB"/>
    <w:rsid w:val="002A245A"/>
    <w:rsid w:val="002A5BD7"/>
    <w:rsid w:val="002B652E"/>
    <w:rsid w:val="002C53F9"/>
    <w:rsid w:val="002D4D78"/>
    <w:rsid w:val="002D6782"/>
    <w:rsid w:val="002E1601"/>
    <w:rsid w:val="002F7E2F"/>
    <w:rsid w:val="00315F49"/>
    <w:rsid w:val="00316C50"/>
    <w:rsid w:val="00341140"/>
    <w:rsid w:val="00345DE4"/>
    <w:rsid w:val="00367412"/>
    <w:rsid w:val="00370A6B"/>
    <w:rsid w:val="0039143F"/>
    <w:rsid w:val="003A4029"/>
    <w:rsid w:val="003D0999"/>
    <w:rsid w:val="003E6413"/>
    <w:rsid w:val="00403E22"/>
    <w:rsid w:val="00406254"/>
    <w:rsid w:val="00434C9F"/>
    <w:rsid w:val="00443B80"/>
    <w:rsid w:val="00452E91"/>
    <w:rsid w:val="00457933"/>
    <w:rsid w:val="00460CAC"/>
    <w:rsid w:val="00482016"/>
    <w:rsid w:val="00490CFB"/>
    <w:rsid w:val="004A4957"/>
    <w:rsid w:val="004B4D5E"/>
    <w:rsid w:val="004C2601"/>
    <w:rsid w:val="004C5F16"/>
    <w:rsid w:val="004C68A7"/>
    <w:rsid w:val="004F1029"/>
    <w:rsid w:val="00502CAF"/>
    <w:rsid w:val="00534771"/>
    <w:rsid w:val="00544771"/>
    <w:rsid w:val="00546C53"/>
    <w:rsid w:val="00551199"/>
    <w:rsid w:val="00552E57"/>
    <w:rsid w:val="00557398"/>
    <w:rsid w:val="005601F5"/>
    <w:rsid w:val="00561781"/>
    <w:rsid w:val="00583730"/>
    <w:rsid w:val="005852C6"/>
    <w:rsid w:val="0058544D"/>
    <w:rsid w:val="00593DB0"/>
    <w:rsid w:val="005A2942"/>
    <w:rsid w:val="006062C2"/>
    <w:rsid w:val="006272CD"/>
    <w:rsid w:val="00631924"/>
    <w:rsid w:val="00656B1C"/>
    <w:rsid w:val="0066108F"/>
    <w:rsid w:val="00663858"/>
    <w:rsid w:val="00677C2F"/>
    <w:rsid w:val="006D00FC"/>
    <w:rsid w:val="006D6089"/>
    <w:rsid w:val="006E65FB"/>
    <w:rsid w:val="00705C27"/>
    <w:rsid w:val="00705D44"/>
    <w:rsid w:val="007126C9"/>
    <w:rsid w:val="00754A71"/>
    <w:rsid w:val="00754B30"/>
    <w:rsid w:val="0076599D"/>
    <w:rsid w:val="007729E9"/>
    <w:rsid w:val="00781320"/>
    <w:rsid w:val="00793040"/>
    <w:rsid w:val="00796265"/>
    <w:rsid w:val="007A4135"/>
    <w:rsid w:val="007B3632"/>
    <w:rsid w:val="007F09C2"/>
    <w:rsid w:val="008114A3"/>
    <w:rsid w:val="0082521C"/>
    <w:rsid w:val="00825C3E"/>
    <w:rsid w:val="0083067E"/>
    <w:rsid w:val="00846CDA"/>
    <w:rsid w:val="008770E3"/>
    <w:rsid w:val="00890C44"/>
    <w:rsid w:val="008A1858"/>
    <w:rsid w:val="008C4C65"/>
    <w:rsid w:val="008D0833"/>
    <w:rsid w:val="00910262"/>
    <w:rsid w:val="00915B29"/>
    <w:rsid w:val="009253E3"/>
    <w:rsid w:val="0093676D"/>
    <w:rsid w:val="0094757B"/>
    <w:rsid w:val="00956282"/>
    <w:rsid w:val="009626E4"/>
    <w:rsid w:val="00963ADA"/>
    <w:rsid w:val="009A3355"/>
    <w:rsid w:val="009B6F29"/>
    <w:rsid w:val="009B7D92"/>
    <w:rsid w:val="009D3C9C"/>
    <w:rsid w:val="009D7157"/>
    <w:rsid w:val="00A10B87"/>
    <w:rsid w:val="00A30D70"/>
    <w:rsid w:val="00A428FC"/>
    <w:rsid w:val="00A77338"/>
    <w:rsid w:val="00A81F83"/>
    <w:rsid w:val="00A82915"/>
    <w:rsid w:val="00AB0B58"/>
    <w:rsid w:val="00AC3B63"/>
    <w:rsid w:val="00AD4269"/>
    <w:rsid w:val="00B12D2C"/>
    <w:rsid w:val="00B153C5"/>
    <w:rsid w:val="00B23BCB"/>
    <w:rsid w:val="00B24F54"/>
    <w:rsid w:val="00B3792C"/>
    <w:rsid w:val="00B42C36"/>
    <w:rsid w:val="00BA2A57"/>
    <w:rsid w:val="00BB11AE"/>
    <w:rsid w:val="00BB5441"/>
    <w:rsid w:val="00BB70F1"/>
    <w:rsid w:val="00BC14B5"/>
    <w:rsid w:val="00BC22D3"/>
    <w:rsid w:val="00BC7C60"/>
    <w:rsid w:val="00BE4F77"/>
    <w:rsid w:val="00BE5DFE"/>
    <w:rsid w:val="00BF774C"/>
    <w:rsid w:val="00C12C2E"/>
    <w:rsid w:val="00C17745"/>
    <w:rsid w:val="00C359F2"/>
    <w:rsid w:val="00C54E31"/>
    <w:rsid w:val="00C60355"/>
    <w:rsid w:val="00C6608A"/>
    <w:rsid w:val="00C77F8E"/>
    <w:rsid w:val="00C804CA"/>
    <w:rsid w:val="00C8645E"/>
    <w:rsid w:val="00CB2AFE"/>
    <w:rsid w:val="00CB347E"/>
    <w:rsid w:val="00CC0C29"/>
    <w:rsid w:val="00CD16EA"/>
    <w:rsid w:val="00CD4EC9"/>
    <w:rsid w:val="00CF7A51"/>
    <w:rsid w:val="00D004E0"/>
    <w:rsid w:val="00D03609"/>
    <w:rsid w:val="00D066FD"/>
    <w:rsid w:val="00D24FEB"/>
    <w:rsid w:val="00D34AE1"/>
    <w:rsid w:val="00D5080D"/>
    <w:rsid w:val="00D55C21"/>
    <w:rsid w:val="00D5782F"/>
    <w:rsid w:val="00D63CD1"/>
    <w:rsid w:val="00D72CAF"/>
    <w:rsid w:val="00DB499D"/>
    <w:rsid w:val="00DC09D6"/>
    <w:rsid w:val="00DC527D"/>
    <w:rsid w:val="00DD2D8E"/>
    <w:rsid w:val="00E135EA"/>
    <w:rsid w:val="00E155CA"/>
    <w:rsid w:val="00E15A1A"/>
    <w:rsid w:val="00E3537C"/>
    <w:rsid w:val="00E45D9F"/>
    <w:rsid w:val="00E52050"/>
    <w:rsid w:val="00E61690"/>
    <w:rsid w:val="00E6332A"/>
    <w:rsid w:val="00E6627B"/>
    <w:rsid w:val="00E87DC2"/>
    <w:rsid w:val="00EA1A4C"/>
    <w:rsid w:val="00EA4149"/>
    <w:rsid w:val="00EA777C"/>
    <w:rsid w:val="00EB0211"/>
    <w:rsid w:val="00EB4370"/>
    <w:rsid w:val="00EB5441"/>
    <w:rsid w:val="00EC2051"/>
    <w:rsid w:val="00EC5E45"/>
    <w:rsid w:val="00ED2249"/>
    <w:rsid w:val="00ED61D4"/>
    <w:rsid w:val="00EE0A27"/>
    <w:rsid w:val="00EE28D2"/>
    <w:rsid w:val="00EE6F66"/>
    <w:rsid w:val="00EF3BDE"/>
    <w:rsid w:val="00F31364"/>
    <w:rsid w:val="00F37F9A"/>
    <w:rsid w:val="00F42F6E"/>
    <w:rsid w:val="00F50C47"/>
    <w:rsid w:val="00F60C18"/>
    <w:rsid w:val="00F81706"/>
    <w:rsid w:val="00F833E7"/>
    <w:rsid w:val="00F83C7D"/>
    <w:rsid w:val="00F93AF6"/>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0A65E96"/>
  <w15:chartTrackingRefBased/>
  <w15:docId w15:val="{6B20E44F-7C08-4FFA-8591-F6C9A23DDD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fr-FR"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D2D8E"/>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customStyle="1" w:styleId="Normal12a">
    <w:name w:val="Normal12a"/>
    <w:basedOn w:val="Normal"/>
    <w:pPr>
      <w:spacing w:after="240"/>
    </w:pPr>
  </w:style>
  <w:style w:type="paragraph" w:styleId="TOC1">
    <w:name w:val="toc 1"/>
    <w:basedOn w:val="Normal"/>
    <w:next w:val="Normal"/>
    <w:autoRedefine/>
    <w:uiPriority w:val="39"/>
    <w:rsid w:val="00277EDB"/>
    <w:pPr>
      <w:spacing w:after="240"/>
    </w:pPr>
  </w:style>
  <w:style w:type="paragraph" w:styleId="TOCHeading">
    <w:name w:val="TOC Heading"/>
    <w:basedOn w:val="Normal"/>
    <w:next w:val="TOCPage"/>
    <w:qFormat/>
    <w:pPr>
      <w:keepNext/>
      <w:spacing w:before="240" w:after="240"/>
      <w:jc w:val="center"/>
    </w:pPr>
    <w:rPr>
      <w:rFonts w:ascii="Arial" w:hAnsi="Arial"/>
      <w:b/>
    </w:rPr>
  </w:style>
  <w:style w:type="paragraph" w:customStyle="1" w:styleId="TOCPage">
    <w:name w:val="TOC Page"/>
    <w:basedOn w:val="Normal"/>
    <w:next w:val="TOC1"/>
    <w:pPr>
      <w:keepNext/>
      <w:spacing w:after="240"/>
      <w:jc w:val="right"/>
    </w:pPr>
    <w:rPr>
      <w:rFonts w:ascii="Arial" w:hAnsi="Arial"/>
      <w:b/>
    </w:rPr>
  </w:style>
  <w:style w:type="character" w:customStyle="1" w:styleId="HideTWBInt">
    <w:name w:val="HideTWBInt"/>
    <w:rPr>
      <w:rFonts w:ascii="Arial" w:hAnsi="Arial" w:cs="Arial"/>
      <w:vanish/>
      <w:color w:val="808080"/>
      <w:sz w:val="20"/>
    </w:rPr>
  </w:style>
  <w:style w:type="paragraph" w:customStyle="1" w:styleId="PageHeading">
    <w:name w:val="PageHeading"/>
    <w:basedOn w:val="Normal"/>
    <w:pPr>
      <w:keepNext/>
      <w:spacing w:after="480"/>
      <w:jc w:val="center"/>
    </w:pPr>
    <w:rPr>
      <w:rFonts w:ascii="Arial" w:hAnsi="Arial" w:cs="Arial"/>
      <w:b/>
    </w:rPr>
  </w:style>
  <w:style w:type="paragraph" w:customStyle="1" w:styleId="NormalBold">
    <w:name w:val="NormalBold"/>
    <w:basedOn w:val="Normal"/>
    <w:rPr>
      <w:b/>
    </w:rPr>
  </w:style>
  <w:style w:type="paragraph" w:customStyle="1" w:styleId="NormalHanging12a">
    <w:name w:val="NormalHanging12a"/>
    <w:basedOn w:val="Normal"/>
    <w:pPr>
      <w:spacing w:after="240"/>
      <w:ind w:left="567" w:hanging="567"/>
    </w:pPr>
  </w:style>
  <w:style w:type="paragraph" w:customStyle="1" w:styleId="EPName">
    <w:name w:val="EPName"/>
    <w:basedOn w:val="Normal"/>
    <w:rsid w:val="002544DF"/>
    <w:pPr>
      <w:spacing w:before="80" w:after="80"/>
    </w:pPr>
    <w:rPr>
      <w:rFonts w:ascii="Arial Narrow" w:hAnsi="Arial Narrow" w:cs="Arial"/>
      <w:b/>
      <w:sz w:val="32"/>
      <w:szCs w:val="22"/>
    </w:rPr>
  </w:style>
  <w:style w:type="paragraph" w:customStyle="1" w:styleId="CoverNormal24a">
    <w:name w:val="CoverNormal24a"/>
    <w:basedOn w:val="Normal"/>
    <w:rsid w:val="00D55C21"/>
    <w:pPr>
      <w:spacing w:after="480"/>
      <w:ind w:left="1417"/>
    </w:pPr>
  </w:style>
  <w:style w:type="paragraph" w:customStyle="1" w:styleId="CoverNormal">
    <w:name w:val="CoverNormal"/>
    <w:basedOn w:val="Normal"/>
    <w:pPr>
      <w:ind w:left="1418"/>
    </w:pPr>
  </w:style>
  <w:style w:type="paragraph" w:customStyle="1" w:styleId="CoverReference">
    <w:name w:val="CoverReference"/>
    <w:basedOn w:val="Normal"/>
    <w:rsid w:val="00367412"/>
    <w:pPr>
      <w:spacing w:before="1080"/>
      <w:jc w:val="right"/>
    </w:pPr>
    <w:rPr>
      <w:rFonts w:ascii="Arial" w:hAnsi="Arial" w:cs="Arial"/>
      <w:b/>
    </w:rPr>
  </w:style>
  <w:style w:type="paragraph" w:customStyle="1" w:styleId="CoverDocType24a">
    <w:name w:val="CoverDocType24a"/>
    <w:basedOn w:val="Normal"/>
    <w:rsid w:val="00D55C21"/>
    <w:pPr>
      <w:spacing w:after="480"/>
      <w:ind w:left="1418"/>
    </w:pPr>
    <w:rPr>
      <w:rFonts w:ascii="Arial" w:hAnsi="Arial"/>
      <w:b/>
      <w:sz w:val="48"/>
    </w:rPr>
  </w:style>
  <w:style w:type="paragraph" w:customStyle="1" w:styleId="CoverDate">
    <w:name w:val="CoverDate"/>
    <w:basedOn w:val="Normal"/>
    <w:pPr>
      <w:spacing w:before="240" w:after="1200"/>
    </w:pPr>
  </w:style>
  <w:style w:type="paragraph" w:styleId="Header">
    <w:name w:val="header"/>
    <w:basedOn w:val="Normal"/>
    <w:link w:val="HeaderChar"/>
    <w:semiHidden/>
    <w:rsid w:val="009253E3"/>
    <w:pPr>
      <w:tabs>
        <w:tab w:val="center" w:pos="4513"/>
        <w:tab w:val="right" w:pos="9026"/>
      </w:tabs>
    </w:pPr>
  </w:style>
  <w:style w:type="table" w:styleId="TableGrid">
    <w:name w:val="Table Grid"/>
    <w:basedOn w:val="TableNormal"/>
    <w:rsid w:val="00E3537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E3537C"/>
    <w:pPr>
      <w:jc w:val="center"/>
    </w:pPr>
    <w:rPr>
      <w:rFonts w:ascii="Arial" w:hAnsi="Arial" w:cs="Arial"/>
      <w:i/>
      <w:sz w:val="22"/>
      <w:szCs w:val="22"/>
    </w:rPr>
  </w:style>
  <w:style w:type="paragraph" w:customStyle="1" w:styleId="LineTop">
    <w:name w:val="LineTop"/>
    <w:basedOn w:val="Normal"/>
    <w:next w:val="Normal"/>
    <w:rsid w:val="00E3537C"/>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E3537C"/>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2544DF"/>
    <w:pPr>
      <w:spacing w:after="80"/>
    </w:pPr>
    <w:rPr>
      <w:rFonts w:ascii="Arial" w:hAnsi="Arial" w:cs="Arial"/>
      <w:sz w:val="20"/>
      <w:szCs w:val="22"/>
    </w:rPr>
  </w:style>
  <w:style w:type="paragraph" w:customStyle="1" w:styleId="EPLogo">
    <w:name w:val="EPLogo"/>
    <w:basedOn w:val="Normal"/>
    <w:qFormat/>
    <w:rsid w:val="002544DF"/>
    <w:pPr>
      <w:jc w:val="right"/>
    </w:pPr>
  </w:style>
  <w:style w:type="paragraph" w:customStyle="1" w:styleId="Subheading">
    <w:name w:val="Subheading"/>
    <w:basedOn w:val="Normal"/>
    <w:rsid w:val="0017303E"/>
    <w:pPr>
      <w:spacing w:before="480" w:after="240"/>
    </w:pPr>
    <w:rPr>
      <w:b/>
      <w:i/>
    </w:rPr>
  </w:style>
  <w:style w:type="paragraph" w:customStyle="1" w:styleId="EPFooter">
    <w:name w:val="EPFooter"/>
    <w:basedOn w:val="Normal"/>
    <w:rsid w:val="00D55C21"/>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9253E3"/>
    <w:rPr>
      <w:sz w:val="24"/>
    </w:rPr>
  </w:style>
  <w:style w:type="paragraph" w:customStyle="1" w:styleId="EPComma">
    <w:name w:val="EPComma"/>
    <w:basedOn w:val="Normal"/>
    <w:rsid w:val="00D004E0"/>
    <w:pPr>
      <w:spacing w:before="480" w:after="240"/>
    </w:pPr>
  </w:style>
  <w:style w:type="paragraph" w:styleId="ListParagraph">
    <w:name w:val="List Paragraph"/>
    <w:basedOn w:val="Normal"/>
    <w:uiPriority w:val="34"/>
    <w:qFormat/>
    <w:rsid w:val="00825C3E"/>
    <w:pPr>
      <w:widowControl/>
      <w:ind w:left="720"/>
      <w:contextualSpacing/>
      <w:jc w:val="both"/>
    </w:pPr>
    <w:rPr>
      <w:rFonts w:eastAsiaTheme="minorHAnsi"/>
      <w:szCs w:val="24"/>
      <w:lang w:eastAsia="en-US"/>
    </w:rPr>
  </w:style>
  <w:style w:type="paragraph" w:styleId="Footer">
    <w:name w:val="footer"/>
    <w:basedOn w:val="Normal"/>
    <w:link w:val="FooterChar"/>
    <w:semiHidden/>
    <w:rsid w:val="00D03609"/>
    <w:pPr>
      <w:tabs>
        <w:tab w:val="center" w:pos="4513"/>
        <w:tab w:val="right" w:pos="9026"/>
      </w:tabs>
    </w:pPr>
  </w:style>
  <w:style w:type="character" w:customStyle="1" w:styleId="FooterChar">
    <w:name w:val="Footer Char"/>
    <w:basedOn w:val="DefaultParagraphFont"/>
    <w:link w:val="Footer"/>
    <w:semiHidden/>
    <w:rsid w:val="00D03609"/>
    <w:rPr>
      <w:sz w:val="24"/>
    </w:rPr>
  </w:style>
  <w:style w:type="paragraph" w:styleId="Revision">
    <w:name w:val="Revision"/>
    <w:hidden/>
    <w:uiPriority w:val="99"/>
    <w:semiHidden/>
    <w:rsid w:val="00AB0B58"/>
    <w:rPr>
      <w:sz w:val="24"/>
    </w:rPr>
  </w:style>
  <w:style w:type="character" w:styleId="CommentReference">
    <w:name w:val="annotation reference"/>
    <w:basedOn w:val="DefaultParagraphFont"/>
    <w:rsid w:val="00AB0B58"/>
    <w:rPr>
      <w:sz w:val="16"/>
      <w:szCs w:val="16"/>
    </w:rPr>
  </w:style>
  <w:style w:type="paragraph" w:styleId="CommentText">
    <w:name w:val="annotation text"/>
    <w:basedOn w:val="Normal"/>
    <w:link w:val="CommentTextChar"/>
    <w:rsid w:val="00AB0B58"/>
    <w:rPr>
      <w:sz w:val="20"/>
    </w:rPr>
  </w:style>
  <w:style w:type="character" w:customStyle="1" w:styleId="CommentTextChar">
    <w:name w:val="Comment Text Char"/>
    <w:basedOn w:val="DefaultParagraphFont"/>
    <w:link w:val="CommentText"/>
    <w:rsid w:val="00AB0B58"/>
  </w:style>
  <w:style w:type="paragraph" w:styleId="CommentSubject">
    <w:name w:val="annotation subject"/>
    <w:basedOn w:val="CommentText"/>
    <w:next w:val="CommentText"/>
    <w:link w:val="CommentSubjectChar"/>
    <w:semiHidden/>
    <w:unhideWhenUsed/>
    <w:rsid w:val="00AB0B58"/>
    <w:rPr>
      <w:b/>
      <w:bCs/>
    </w:rPr>
  </w:style>
  <w:style w:type="character" w:customStyle="1" w:styleId="CommentSubjectChar">
    <w:name w:val="Comment Subject Char"/>
    <w:basedOn w:val="CommentTextChar"/>
    <w:link w:val="CommentSubject"/>
    <w:semiHidden/>
    <w:rsid w:val="00AB0B58"/>
    <w:rPr>
      <w:b/>
      <w:bCs/>
    </w:rPr>
  </w:style>
  <w:style w:type="paragraph" w:styleId="BalloonText">
    <w:name w:val="Balloon Text"/>
    <w:basedOn w:val="Normal"/>
    <w:link w:val="BalloonTextChar"/>
    <w:semiHidden/>
    <w:unhideWhenUsed/>
    <w:rsid w:val="00F37F9A"/>
    <w:rPr>
      <w:rFonts w:ascii="Segoe UI" w:hAnsi="Segoe UI" w:cs="Segoe UI"/>
      <w:sz w:val="18"/>
      <w:szCs w:val="18"/>
    </w:rPr>
  </w:style>
  <w:style w:type="character" w:customStyle="1" w:styleId="BalloonTextChar">
    <w:name w:val="Balloon Text Char"/>
    <w:basedOn w:val="DefaultParagraphFont"/>
    <w:link w:val="BalloonText"/>
    <w:semiHidden/>
    <w:rsid w:val="00F37F9A"/>
    <w:rPr>
      <w:rFonts w:ascii="Segoe UI" w:hAnsi="Segoe UI" w:cs="Segoe UI"/>
      <w:sz w:val="18"/>
      <w:szCs w:val="18"/>
    </w:rPr>
  </w:style>
  <w:style w:type="paragraph" w:styleId="FootnoteText">
    <w:name w:val="footnote text"/>
    <w:basedOn w:val="Normal"/>
    <w:link w:val="FootnoteTextChar"/>
    <w:rsid w:val="007F09C2"/>
    <w:rPr>
      <w:sz w:val="20"/>
    </w:rPr>
  </w:style>
  <w:style w:type="character" w:customStyle="1" w:styleId="FootnoteTextChar">
    <w:name w:val="Footnote Text Char"/>
    <w:basedOn w:val="DefaultParagraphFont"/>
    <w:link w:val="FootnoteText"/>
    <w:rsid w:val="007F09C2"/>
  </w:style>
  <w:style w:type="character" w:styleId="FootnoteReference">
    <w:name w:val="footnote reference"/>
    <w:basedOn w:val="DefaultParagraphFont"/>
    <w:rsid w:val="007F09C2"/>
    <w:rPr>
      <w:vertAlign w:val="superscript"/>
    </w:rPr>
  </w:style>
  <w:style w:type="character" w:styleId="Hyperlink">
    <w:name w:val="Hyperlink"/>
    <w:basedOn w:val="DefaultParagraphFont"/>
    <w:rsid w:val="007F09C2"/>
    <w:rPr>
      <w:color w:val="0563C1" w:themeColor="hyperlink"/>
      <w:u w:val="single"/>
    </w:rPr>
  </w:style>
  <w:style w:type="character" w:styleId="FollowedHyperlink">
    <w:name w:val="FollowedHyperlink"/>
    <w:basedOn w:val="DefaultParagraphFont"/>
    <w:rsid w:val="00172BC3"/>
    <w:rPr>
      <w:color w:val="954F72" w:themeColor="followedHyperlink"/>
      <w:u w:val="single"/>
    </w:rPr>
  </w:style>
  <w:style w:type="paragraph" w:customStyle="1" w:styleId="RollCallVotes">
    <w:name w:val="RollCallVotes"/>
    <w:basedOn w:val="Normal"/>
    <w:rsid w:val="0025759C"/>
    <w:pPr>
      <w:spacing w:before="120" w:after="120"/>
      <w:jc w:val="center"/>
    </w:pPr>
    <w:rPr>
      <w:b/>
      <w:bCs/>
      <w:snapToGrid w:val="0"/>
      <w:sz w:val="16"/>
      <w:lang w:eastAsia="en-US"/>
    </w:rPr>
  </w:style>
  <w:style w:type="paragraph" w:customStyle="1" w:styleId="RollCallTabs">
    <w:name w:val="RollCallTabs"/>
    <w:basedOn w:val="Normal"/>
    <w:qFormat/>
    <w:rsid w:val="0025759C"/>
    <w:pPr>
      <w:tabs>
        <w:tab w:val="center" w:pos="284"/>
        <w:tab w:val="left" w:pos="426"/>
      </w:tabs>
    </w:pPr>
    <w:rPr>
      <w:snapToGrid w:val="0"/>
      <w:lang w:eastAsia="en-US"/>
    </w:rPr>
  </w:style>
  <w:style w:type="paragraph" w:customStyle="1" w:styleId="RollCallSymbols14pt">
    <w:name w:val="RollCallSymbols14pt"/>
    <w:basedOn w:val="Normal"/>
    <w:rsid w:val="0025759C"/>
    <w:pPr>
      <w:spacing w:before="120" w:after="120"/>
      <w:jc w:val="center"/>
    </w:pPr>
    <w:rPr>
      <w:rFonts w:ascii="Arial" w:hAnsi="Arial"/>
      <w:b/>
      <w:bCs/>
      <w:snapToGrid w:val="0"/>
      <w:sz w:val="28"/>
      <w:lang w:eastAsia="en-US"/>
    </w:rPr>
  </w:style>
  <w:style w:type="paragraph" w:customStyle="1" w:styleId="RollCallTable">
    <w:name w:val="RollCallTable"/>
    <w:basedOn w:val="Normal"/>
    <w:rsid w:val="0025759C"/>
    <w:pPr>
      <w:spacing w:before="120" w:after="120"/>
    </w:pPr>
    <w:rPr>
      <w:snapToGrid w:val="0"/>
      <w:sz w:val="16"/>
      <w:lang w:eastAsia="en-US"/>
    </w:rPr>
  </w:style>
  <w:style w:type="paragraph" w:customStyle="1" w:styleId="Normal24a">
    <w:name w:val="Normal24a"/>
    <w:basedOn w:val="Normal"/>
    <w:rsid w:val="00754B30"/>
    <w:pPr>
      <w:spacing w:after="480"/>
    </w:pPr>
  </w:style>
  <w:style w:type="paragraph" w:customStyle="1" w:styleId="NormalBoldCenter">
    <w:name w:val="NormalBoldCenter"/>
    <w:basedOn w:val="Normal"/>
    <w:rsid w:val="00754B30"/>
    <w:pPr>
      <w:jc w:val="center"/>
    </w:pPr>
    <w:rPr>
      <w:b/>
    </w:rPr>
  </w:style>
  <w:style w:type="paragraph" w:customStyle="1" w:styleId="Footprint12b">
    <w:name w:val="Footprint12b"/>
    <w:basedOn w:val="Normal"/>
    <w:rsid w:val="00754B30"/>
    <w:pPr>
      <w:spacing w:before="240"/>
    </w:pPr>
    <w:rPr>
      <w:szCs w:val="24"/>
    </w:rPr>
  </w:style>
  <w:style w:type="paragraph" w:customStyle="1" w:styleId="NormalSingle">
    <w:name w:val="NormalSingle"/>
    <w:basedOn w:val="Normal"/>
    <w:qFormat/>
    <w:rsid w:val="00754B30"/>
    <w:rPr>
      <w:szCs w:val="24"/>
    </w:rPr>
  </w:style>
  <w:style w:type="character" w:styleId="UnresolvedMention">
    <w:name w:val="Unresolved Mention"/>
    <w:basedOn w:val="DefaultParagraphFont"/>
    <w:uiPriority w:val="99"/>
    <w:semiHidden/>
    <w:unhideWhenUsed/>
    <w:rsid w:val="00754B30"/>
    <w:rPr>
      <w:color w:val="605E5C"/>
      <w:shd w:val="clear" w:color="auto" w:fill="E1DFDD"/>
    </w:rPr>
  </w:style>
  <w:style w:type="paragraph" w:styleId="NormalWeb">
    <w:name w:val="Normal (Web)"/>
    <w:basedOn w:val="Normal"/>
    <w:rsid w:val="00276721"/>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3186031">
      <w:bodyDiv w:val="1"/>
      <w:marLeft w:val="0"/>
      <w:marRight w:val="0"/>
      <w:marTop w:val="0"/>
      <w:marBottom w:val="0"/>
      <w:divBdr>
        <w:top w:val="none" w:sz="0" w:space="0" w:color="auto"/>
        <w:left w:val="none" w:sz="0" w:space="0" w:color="auto"/>
        <w:bottom w:val="none" w:sz="0" w:space="0" w:color="auto"/>
        <w:right w:val="none" w:sz="0" w:space="0" w:color="auto"/>
      </w:divBdr>
    </w:div>
    <w:div w:id="159929570">
      <w:bodyDiv w:val="1"/>
      <w:marLeft w:val="0"/>
      <w:marRight w:val="0"/>
      <w:marTop w:val="0"/>
      <w:marBottom w:val="0"/>
      <w:divBdr>
        <w:top w:val="none" w:sz="0" w:space="0" w:color="auto"/>
        <w:left w:val="none" w:sz="0" w:space="0" w:color="auto"/>
        <w:bottom w:val="none" w:sz="0" w:space="0" w:color="auto"/>
        <w:right w:val="none" w:sz="0" w:space="0" w:color="auto"/>
      </w:divBdr>
    </w:div>
    <w:div w:id="227108726">
      <w:bodyDiv w:val="1"/>
      <w:marLeft w:val="0"/>
      <w:marRight w:val="0"/>
      <w:marTop w:val="0"/>
      <w:marBottom w:val="0"/>
      <w:divBdr>
        <w:top w:val="none" w:sz="0" w:space="0" w:color="auto"/>
        <w:left w:val="none" w:sz="0" w:space="0" w:color="auto"/>
        <w:bottom w:val="none" w:sz="0" w:space="0" w:color="auto"/>
        <w:right w:val="none" w:sz="0" w:space="0" w:color="auto"/>
      </w:divBdr>
    </w:div>
    <w:div w:id="271016167">
      <w:bodyDiv w:val="1"/>
      <w:marLeft w:val="0"/>
      <w:marRight w:val="0"/>
      <w:marTop w:val="0"/>
      <w:marBottom w:val="0"/>
      <w:divBdr>
        <w:top w:val="none" w:sz="0" w:space="0" w:color="auto"/>
        <w:left w:val="none" w:sz="0" w:space="0" w:color="auto"/>
        <w:bottom w:val="none" w:sz="0" w:space="0" w:color="auto"/>
        <w:right w:val="none" w:sz="0" w:space="0" w:color="auto"/>
      </w:divBdr>
    </w:div>
    <w:div w:id="311445230">
      <w:bodyDiv w:val="1"/>
      <w:marLeft w:val="0"/>
      <w:marRight w:val="0"/>
      <w:marTop w:val="0"/>
      <w:marBottom w:val="0"/>
      <w:divBdr>
        <w:top w:val="none" w:sz="0" w:space="0" w:color="auto"/>
        <w:left w:val="none" w:sz="0" w:space="0" w:color="auto"/>
        <w:bottom w:val="none" w:sz="0" w:space="0" w:color="auto"/>
        <w:right w:val="none" w:sz="0" w:space="0" w:color="auto"/>
      </w:divBdr>
    </w:div>
    <w:div w:id="375813307">
      <w:bodyDiv w:val="1"/>
      <w:marLeft w:val="0"/>
      <w:marRight w:val="0"/>
      <w:marTop w:val="0"/>
      <w:marBottom w:val="0"/>
      <w:divBdr>
        <w:top w:val="none" w:sz="0" w:space="0" w:color="auto"/>
        <w:left w:val="none" w:sz="0" w:space="0" w:color="auto"/>
        <w:bottom w:val="none" w:sz="0" w:space="0" w:color="auto"/>
        <w:right w:val="none" w:sz="0" w:space="0" w:color="auto"/>
      </w:divBdr>
    </w:div>
    <w:div w:id="422150084">
      <w:bodyDiv w:val="1"/>
      <w:marLeft w:val="0"/>
      <w:marRight w:val="0"/>
      <w:marTop w:val="0"/>
      <w:marBottom w:val="0"/>
      <w:divBdr>
        <w:top w:val="none" w:sz="0" w:space="0" w:color="auto"/>
        <w:left w:val="none" w:sz="0" w:space="0" w:color="auto"/>
        <w:bottom w:val="none" w:sz="0" w:space="0" w:color="auto"/>
        <w:right w:val="none" w:sz="0" w:space="0" w:color="auto"/>
      </w:divBdr>
    </w:div>
    <w:div w:id="474372919">
      <w:bodyDiv w:val="1"/>
      <w:marLeft w:val="0"/>
      <w:marRight w:val="0"/>
      <w:marTop w:val="0"/>
      <w:marBottom w:val="0"/>
      <w:divBdr>
        <w:top w:val="none" w:sz="0" w:space="0" w:color="auto"/>
        <w:left w:val="none" w:sz="0" w:space="0" w:color="auto"/>
        <w:bottom w:val="none" w:sz="0" w:space="0" w:color="auto"/>
        <w:right w:val="none" w:sz="0" w:space="0" w:color="auto"/>
      </w:divBdr>
    </w:div>
    <w:div w:id="522594016">
      <w:bodyDiv w:val="1"/>
      <w:marLeft w:val="0"/>
      <w:marRight w:val="0"/>
      <w:marTop w:val="0"/>
      <w:marBottom w:val="0"/>
      <w:divBdr>
        <w:top w:val="none" w:sz="0" w:space="0" w:color="auto"/>
        <w:left w:val="none" w:sz="0" w:space="0" w:color="auto"/>
        <w:bottom w:val="none" w:sz="0" w:space="0" w:color="auto"/>
        <w:right w:val="none" w:sz="0" w:space="0" w:color="auto"/>
      </w:divBdr>
    </w:div>
    <w:div w:id="541092585">
      <w:bodyDiv w:val="1"/>
      <w:marLeft w:val="0"/>
      <w:marRight w:val="0"/>
      <w:marTop w:val="0"/>
      <w:marBottom w:val="0"/>
      <w:divBdr>
        <w:top w:val="none" w:sz="0" w:space="0" w:color="auto"/>
        <w:left w:val="none" w:sz="0" w:space="0" w:color="auto"/>
        <w:bottom w:val="none" w:sz="0" w:space="0" w:color="auto"/>
        <w:right w:val="none" w:sz="0" w:space="0" w:color="auto"/>
      </w:divBdr>
    </w:div>
    <w:div w:id="562644318">
      <w:bodyDiv w:val="1"/>
      <w:marLeft w:val="0"/>
      <w:marRight w:val="0"/>
      <w:marTop w:val="0"/>
      <w:marBottom w:val="0"/>
      <w:divBdr>
        <w:top w:val="none" w:sz="0" w:space="0" w:color="auto"/>
        <w:left w:val="none" w:sz="0" w:space="0" w:color="auto"/>
        <w:bottom w:val="none" w:sz="0" w:space="0" w:color="auto"/>
        <w:right w:val="none" w:sz="0" w:space="0" w:color="auto"/>
      </w:divBdr>
    </w:div>
    <w:div w:id="587470346">
      <w:bodyDiv w:val="1"/>
      <w:marLeft w:val="0"/>
      <w:marRight w:val="0"/>
      <w:marTop w:val="0"/>
      <w:marBottom w:val="0"/>
      <w:divBdr>
        <w:top w:val="none" w:sz="0" w:space="0" w:color="auto"/>
        <w:left w:val="none" w:sz="0" w:space="0" w:color="auto"/>
        <w:bottom w:val="none" w:sz="0" w:space="0" w:color="auto"/>
        <w:right w:val="none" w:sz="0" w:space="0" w:color="auto"/>
      </w:divBdr>
    </w:div>
    <w:div w:id="668141975">
      <w:bodyDiv w:val="1"/>
      <w:marLeft w:val="0"/>
      <w:marRight w:val="0"/>
      <w:marTop w:val="0"/>
      <w:marBottom w:val="0"/>
      <w:divBdr>
        <w:top w:val="none" w:sz="0" w:space="0" w:color="auto"/>
        <w:left w:val="none" w:sz="0" w:space="0" w:color="auto"/>
        <w:bottom w:val="none" w:sz="0" w:space="0" w:color="auto"/>
        <w:right w:val="none" w:sz="0" w:space="0" w:color="auto"/>
      </w:divBdr>
    </w:div>
    <w:div w:id="671226560">
      <w:bodyDiv w:val="1"/>
      <w:marLeft w:val="0"/>
      <w:marRight w:val="0"/>
      <w:marTop w:val="0"/>
      <w:marBottom w:val="0"/>
      <w:divBdr>
        <w:top w:val="none" w:sz="0" w:space="0" w:color="auto"/>
        <w:left w:val="none" w:sz="0" w:space="0" w:color="auto"/>
        <w:bottom w:val="none" w:sz="0" w:space="0" w:color="auto"/>
        <w:right w:val="none" w:sz="0" w:space="0" w:color="auto"/>
      </w:divBdr>
    </w:div>
    <w:div w:id="799035433">
      <w:bodyDiv w:val="1"/>
      <w:marLeft w:val="0"/>
      <w:marRight w:val="0"/>
      <w:marTop w:val="0"/>
      <w:marBottom w:val="0"/>
      <w:divBdr>
        <w:top w:val="none" w:sz="0" w:space="0" w:color="auto"/>
        <w:left w:val="none" w:sz="0" w:space="0" w:color="auto"/>
        <w:bottom w:val="none" w:sz="0" w:space="0" w:color="auto"/>
        <w:right w:val="none" w:sz="0" w:space="0" w:color="auto"/>
      </w:divBdr>
    </w:div>
    <w:div w:id="837422945">
      <w:bodyDiv w:val="1"/>
      <w:marLeft w:val="0"/>
      <w:marRight w:val="0"/>
      <w:marTop w:val="0"/>
      <w:marBottom w:val="0"/>
      <w:divBdr>
        <w:top w:val="none" w:sz="0" w:space="0" w:color="auto"/>
        <w:left w:val="none" w:sz="0" w:space="0" w:color="auto"/>
        <w:bottom w:val="none" w:sz="0" w:space="0" w:color="auto"/>
        <w:right w:val="none" w:sz="0" w:space="0" w:color="auto"/>
      </w:divBdr>
    </w:div>
    <w:div w:id="848183186">
      <w:bodyDiv w:val="1"/>
      <w:marLeft w:val="0"/>
      <w:marRight w:val="0"/>
      <w:marTop w:val="0"/>
      <w:marBottom w:val="0"/>
      <w:divBdr>
        <w:top w:val="none" w:sz="0" w:space="0" w:color="auto"/>
        <w:left w:val="none" w:sz="0" w:space="0" w:color="auto"/>
        <w:bottom w:val="none" w:sz="0" w:space="0" w:color="auto"/>
        <w:right w:val="none" w:sz="0" w:space="0" w:color="auto"/>
      </w:divBdr>
    </w:div>
    <w:div w:id="853613220">
      <w:bodyDiv w:val="1"/>
      <w:marLeft w:val="0"/>
      <w:marRight w:val="0"/>
      <w:marTop w:val="0"/>
      <w:marBottom w:val="0"/>
      <w:divBdr>
        <w:top w:val="none" w:sz="0" w:space="0" w:color="auto"/>
        <w:left w:val="none" w:sz="0" w:space="0" w:color="auto"/>
        <w:bottom w:val="none" w:sz="0" w:space="0" w:color="auto"/>
        <w:right w:val="none" w:sz="0" w:space="0" w:color="auto"/>
      </w:divBdr>
    </w:div>
    <w:div w:id="868492753">
      <w:bodyDiv w:val="1"/>
      <w:marLeft w:val="0"/>
      <w:marRight w:val="0"/>
      <w:marTop w:val="0"/>
      <w:marBottom w:val="0"/>
      <w:divBdr>
        <w:top w:val="none" w:sz="0" w:space="0" w:color="auto"/>
        <w:left w:val="none" w:sz="0" w:space="0" w:color="auto"/>
        <w:bottom w:val="none" w:sz="0" w:space="0" w:color="auto"/>
        <w:right w:val="none" w:sz="0" w:space="0" w:color="auto"/>
      </w:divBdr>
    </w:div>
    <w:div w:id="868569610">
      <w:bodyDiv w:val="1"/>
      <w:marLeft w:val="0"/>
      <w:marRight w:val="0"/>
      <w:marTop w:val="0"/>
      <w:marBottom w:val="0"/>
      <w:divBdr>
        <w:top w:val="none" w:sz="0" w:space="0" w:color="auto"/>
        <w:left w:val="none" w:sz="0" w:space="0" w:color="auto"/>
        <w:bottom w:val="none" w:sz="0" w:space="0" w:color="auto"/>
        <w:right w:val="none" w:sz="0" w:space="0" w:color="auto"/>
      </w:divBdr>
    </w:div>
    <w:div w:id="987591704">
      <w:bodyDiv w:val="1"/>
      <w:marLeft w:val="0"/>
      <w:marRight w:val="0"/>
      <w:marTop w:val="0"/>
      <w:marBottom w:val="0"/>
      <w:divBdr>
        <w:top w:val="none" w:sz="0" w:space="0" w:color="auto"/>
        <w:left w:val="none" w:sz="0" w:space="0" w:color="auto"/>
        <w:bottom w:val="none" w:sz="0" w:space="0" w:color="auto"/>
        <w:right w:val="none" w:sz="0" w:space="0" w:color="auto"/>
      </w:divBdr>
    </w:div>
    <w:div w:id="1025136725">
      <w:bodyDiv w:val="1"/>
      <w:marLeft w:val="0"/>
      <w:marRight w:val="0"/>
      <w:marTop w:val="0"/>
      <w:marBottom w:val="0"/>
      <w:divBdr>
        <w:top w:val="none" w:sz="0" w:space="0" w:color="auto"/>
        <w:left w:val="none" w:sz="0" w:space="0" w:color="auto"/>
        <w:bottom w:val="none" w:sz="0" w:space="0" w:color="auto"/>
        <w:right w:val="none" w:sz="0" w:space="0" w:color="auto"/>
      </w:divBdr>
    </w:div>
    <w:div w:id="1040324373">
      <w:bodyDiv w:val="1"/>
      <w:marLeft w:val="0"/>
      <w:marRight w:val="0"/>
      <w:marTop w:val="0"/>
      <w:marBottom w:val="0"/>
      <w:divBdr>
        <w:top w:val="none" w:sz="0" w:space="0" w:color="auto"/>
        <w:left w:val="none" w:sz="0" w:space="0" w:color="auto"/>
        <w:bottom w:val="none" w:sz="0" w:space="0" w:color="auto"/>
        <w:right w:val="none" w:sz="0" w:space="0" w:color="auto"/>
      </w:divBdr>
    </w:div>
    <w:div w:id="1045131986">
      <w:bodyDiv w:val="1"/>
      <w:marLeft w:val="0"/>
      <w:marRight w:val="0"/>
      <w:marTop w:val="0"/>
      <w:marBottom w:val="0"/>
      <w:divBdr>
        <w:top w:val="none" w:sz="0" w:space="0" w:color="auto"/>
        <w:left w:val="none" w:sz="0" w:space="0" w:color="auto"/>
        <w:bottom w:val="none" w:sz="0" w:space="0" w:color="auto"/>
        <w:right w:val="none" w:sz="0" w:space="0" w:color="auto"/>
      </w:divBdr>
    </w:div>
    <w:div w:id="1061443529">
      <w:bodyDiv w:val="1"/>
      <w:marLeft w:val="0"/>
      <w:marRight w:val="0"/>
      <w:marTop w:val="0"/>
      <w:marBottom w:val="0"/>
      <w:divBdr>
        <w:top w:val="none" w:sz="0" w:space="0" w:color="auto"/>
        <w:left w:val="none" w:sz="0" w:space="0" w:color="auto"/>
        <w:bottom w:val="none" w:sz="0" w:space="0" w:color="auto"/>
        <w:right w:val="none" w:sz="0" w:space="0" w:color="auto"/>
      </w:divBdr>
    </w:div>
    <w:div w:id="1099256277">
      <w:bodyDiv w:val="1"/>
      <w:marLeft w:val="0"/>
      <w:marRight w:val="0"/>
      <w:marTop w:val="0"/>
      <w:marBottom w:val="0"/>
      <w:divBdr>
        <w:top w:val="none" w:sz="0" w:space="0" w:color="auto"/>
        <w:left w:val="none" w:sz="0" w:space="0" w:color="auto"/>
        <w:bottom w:val="none" w:sz="0" w:space="0" w:color="auto"/>
        <w:right w:val="none" w:sz="0" w:space="0" w:color="auto"/>
      </w:divBdr>
    </w:div>
    <w:div w:id="1144543950">
      <w:bodyDiv w:val="1"/>
      <w:marLeft w:val="0"/>
      <w:marRight w:val="0"/>
      <w:marTop w:val="0"/>
      <w:marBottom w:val="0"/>
      <w:divBdr>
        <w:top w:val="none" w:sz="0" w:space="0" w:color="auto"/>
        <w:left w:val="none" w:sz="0" w:space="0" w:color="auto"/>
        <w:bottom w:val="none" w:sz="0" w:space="0" w:color="auto"/>
        <w:right w:val="none" w:sz="0" w:space="0" w:color="auto"/>
      </w:divBdr>
    </w:div>
    <w:div w:id="1150363499">
      <w:bodyDiv w:val="1"/>
      <w:marLeft w:val="0"/>
      <w:marRight w:val="0"/>
      <w:marTop w:val="0"/>
      <w:marBottom w:val="0"/>
      <w:divBdr>
        <w:top w:val="none" w:sz="0" w:space="0" w:color="auto"/>
        <w:left w:val="none" w:sz="0" w:space="0" w:color="auto"/>
        <w:bottom w:val="none" w:sz="0" w:space="0" w:color="auto"/>
        <w:right w:val="none" w:sz="0" w:space="0" w:color="auto"/>
      </w:divBdr>
    </w:div>
    <w:div w:id="1251162380">
      <w:bodyDiv w:val="1"/>
      <w:marLeft w:val="0"/>
      <w:marRight w:val="0"/>
      <w:marTop w:val="0"/>
      <w:marBottom w:val="0"/>
      <w:divBdr>
        <w:top w:val="none" w:sz="0" w:space="0" w:color="auto"/>
        <w:left w:val="none" w:sz="0" w:space="0" w:color="auto"/>
        <w:bottom w:val="none" w:sz="0" w:space="0" w:color="auto"/>
        <w:right w:val="none" w:sz="0" w:space="0" w:color="auto"/>
      </w:divBdr>
    </w:div>
    <w:div w:id="1260915033">
      <w:bodyDiv w:val="1"/>
      <w:marLeft w:val="0"/>
      <w:marRight w:val="0"/>
      <w:marTop w:val="0"/>
      <w:marBottom w:val="0"/>
      <w:divBdr>
        <w:top w:val="none" w:sz="0" w:space="0" w:color="auto"/>
        <w:left w:val="none" w:sz="0" w:space="0" w:color="auto"/>
        <w:bottom w:val="none" w:sz="0" w:space="0" w:color="auto"/>
        <w:right w:val="none" w:sz="0" w:space="0" w:color="auto"/>
      </w:divBdr>
    </w:div>
    <w:div w:id="1311207205">
      <w:bodyDiv w:val="1"/>
      <w:marLeft w:val="0"/>
      <w:marRight w:val="0"/>
      <w:marTop w:val="0"/>
      <w:marBottom w:val="0"/>
      <w:divBdr>
        <w:top w:val="none" w:sz="0" w:space="0" w:color="auto"/>
        <w:left w:val="none" w:sz="0" w:space="0" w:color="auto"/>
        <w:bottom w:val="none" w:sz="0" w:space="0" w:color="auto"/>
        <w:right w:val="none" w:sz="0" w:space="0" w:color="auto"/>
      </w:divBdr>
    </w:div>
    <w:div w:id="1443575981">
      <w:bodyDiv w:val="1"/>
      <w:marLeft w:val="0"/>
      <w:marRight w:val="0"/>
      <w:marTop w:val="0"/>
      <w:marBottom w:val="0"/>
      <w:divBdr>
        <w:top w:val="none" w:sz="0" w:space="0" w:color="auto"/>
        <w:left w:val="none" w:sz="0" w:space="0" w:color="auto"/>
        <w:bottom w:val="none" w:sz="0" w:space="0" w:color="auto"/>
        <w:right w:val="none" w:sz="0" w:space="0" w:color="auto"/>
      </w:divBdr>
    </w:div>
    <w:div w:id="1452825345">
      <w:bodyDiv w:val="1"/>
      <w:marLeft w:val="0"/>
      <w:marRight w:val="0"/>
      <w:marTop w:val="0"/>
      <w:marBottom w:val="0"/>
      <w:divBdr>
        <w:top w:val="none" w:sz="0" w:space="0" w:color="auto"/>
        <w:left w:val="none" w:sz="0" w:space="0" w:color="auto"/>
        <w:bottom w:val="none" w:sz="0" w:space="0" w:color="auto"/>
        <w:right w:val="none" w:sz="0" w:space="0" w:color="auto"/>
      </w:divBdr>
    </w:div>
    <w:div w:id="1621764527">
      <w:bodyDiv w:val="1"/>
      <w:marLeft w:val="0"/>
      <w:marRight w:val="0"/>
      <w:marTop w:val="0"/>
      <w:marBottom w:val="0"/>
      <w:divBdr>
        <w:top w:val="none" w:sz="0" w:space="0" w:color="auto"/>
        <w:left w:val="none" w:sz="0" w:space="0" w:color="auto"/>
        <w:bottom w:val="none" w:sz="0" w:space="0" w:color="auto"/>
        <w:right w:val="none" w:sz="0" w:space="0" w:color="auto"/>
      </w:divBdr>
    </w:div>
    <w:div w:id="1700085895">
      <w:bodyDiv w:val="1"/>
      <w:marLeft w:val="0"/>
      <w:marRight w:val="0"/>
      <w:marTop w:val="0"/>
      <w:marBottom w:val="0"/>
      <w:divBdr>
        <w:top w:val="none" w:sz="0" w:space="0" w:color="auto"/>
        <w:left w:val="none" w:sz="0" w:space="0" w:color="auto"/>
        <w:bottom w:val="none" w:sz="0" w:space="0" w:color="auto"/>
        <w:right w:val="none" w:sz="0" w:space="0" w:color="auto"/>
      </w:divBdr>
    </w:div>
    <w:div w:id="1703166158">
      <w:bodyDiv w:val="1"/>
      <w:marLeft w:val="0"/>
      <w:marRight w:val="0"/>
      <w:marTop w:val="0"/>
      <w:marBottom w:val="0"/>
      <w:divBdr>
        <w:top w:val="none" w:sz="0" w:space="0" w:color="auto"/>
        <w:left w:val="none" w:sz="0" w:space="0" w:color="auto"/>
        <w:bottom w:val="none" w:sz="0" w:space="0" w:color="auto"/>
        <w:right w:val="none" w:sz="0" w:space="0" w:color="auto"/>
      </w:divBdr>
    </w:div>
    <w:div w:id="1743872858">
      <w:bodyDiv w:val="1"/>
      <w:marLeft w:val="0"/>
      <w:marRight w:val="0"/>
      <w:marTop w:val="0"/>
      <w:marBottom w:val="0"/>
      <w:divBdr>
        <w:top w:val="none" w:sz="0" w:space="0" w:color="auto"/>
        <w:left w:val="none" w:sz="0" w:space="0" w:color="auto"/>
        <w:bottom w:val="none" w:sz="0" w:space="0" w:color="auto"/>
        <w:right w:val="none" w:sz="0" w:space="0" w:color="auto"/>
      </w:divBdr>
    </w:div>
    <w:div w:id="1762794377">
      <w:bodyDiv w:val="1"/>
      <w:marLeft w:val="0"/>
      <w:marRight w:val="0"/>
      <w:marTop w:val="0"/>
      <w:marBottom w:val="0"/>
      <w:divBdr>
        <w:top w:val="none" w:sz="0" w:space="0" w:color="auto"/>
        <w:left w:val="none" w:sz="0" w:space="0" w:color="auto"/>
        <w:bottom w:val="none" w:sz="0" w:space="0" w:color="auto"/>
        <w:right w:val="none" w:sz="0" w:space="0" w:color="auto"/>
      </w:divBdr>
    </w:div>
    <w:div w:id="1801918985">
      <w:bodyDiv w:val="1"/>
      <w:marLeft w:val="0"/>
      <w:marRight w:val="0"/>
      <w:marTop w:val="0"/>
      <w:marBottom w:val="0"/>
      <w:divBdr>
        <w:top w:val="none" w:sz="0" w:space="0" w:color="auto"/>
        <w:left w:val="none" w:sz="0" w:space="0" w:color="auto"/>
        <w:bottom w:val="none" w:sz="0" w:space="0" w:color="auto"/>
        <w:right w:val="none" w:sz="0" w:space="0" w:color="auto"/>
      </w:divBdr>
    </w:div>
    <w:div w:id="1815944447">
      <w:bodyDiv w:val="1"/>
      <w:marLeft w:val="0"/>
      <w:marRight w:val="0"/>
      <w:marTop w:val="0"/>
      <w:marBottom w:val="0"/>
      <w:divBdr>
        <w:top w:val="none" w:sz="0" w:space="0" w:color="auto"/>
        <w:left w:val="none" w:sz="0" w:space="0" w:color="auto"/>
        <w:bottom w:val="none" w:sz="0" w:space="0" w:color="auto"/>
        <w:right w:val="none" w:sz="0" w:space="0" w:color="auto"/>
      </w:divBdr>
    </w:div>
    <w:div w:id="1823539385">
      <w:bodyDiv w:val="1"/>
      <w:marLeft w:val="0"/>
      <w:marRight w:val="0"/>
      <w:marTop w:val="0"/>
      <w:marBottom w:val="0"/>
      <w:divBdr>
        <w:top w:val="none" w:sz="0" w:space="0" w:color="auto"/>
        <w:left w:val="none" w:sz="0" w:space="0" w:color="auto"/>
        <w:bottom w:val="none" w:sz="0" w:space="0" w:color="auto"/>
        <w:right w:val="none" w:sz="0" w:space="0" w:color="auto"/>
      </w:divBdr>
    </w:div>
    <w:div w:id="1957132826">
      <w:bodyDiv w:val="1"/>
      <w:marLeft w:val="0"/>
      <w:marRight w:val="0"/>
      <w:marTop w:val="0"/>
      <w:marBottom w:val="0"/>
      <w:divBdr>
        <w:top w:val="none" w:sz="0" w:space="0" w:color="auto"/>
        <w:left w:val="none" w:sz="0" w:space="0" w:color="auto"/>
        <w:bottom w:val="none" w:sz="0" w:space="0" w:color="auto"/>
        <w:right w:val="none" w:sz="0" w:space="0" w:color="auto"/>
      </w:divBdr>
    </w:div>
    <w:div w:id="1983458721">
      <w:bodyDiv w:val="1"/>
      <w:marLeft w:val="0"/>
      <w:marRight w:val="0"/>
      <w:marTop w:val="0"/>
      <w:marBottom w:val="0"/>
      <w:divBdr>
        <w:top w:val="none" w:sz="0" w:space="0" w:color="auto"/>
        <w:left w:val="none" w:sz="0" w:space="0" w:color="auto"/>
        <w:bottom w:val="none" w:sz="0" w:space="0" w:color="auto"/>
        <w:right w:val="none" w:sz="0" w:space="0" w:color="auto"/>
      </w:divBdr>
    </w:div>
    <w:div w:id="2042050714">
      <w:bodyDiv w:val="1"/>
      <w:marLeft w:val="0"/>
      <w:marRight w:val="0"/>
      <w:marTop w:val="0"/>
      <w:marBottom w:val="0"/>
      <w:divBdr>
        <w:top w:val="none" w:sz="0" w:space="0" w:color="auto"/>
        <w:left w:val="none" w:sz="0" w:space="0" w:color="auto"/>
        <w:bottom w:val="none" w:sz="0" w:space="0" w:color="auto"/>
        <w:right w:val="none" w:sz="0" w:space="0" w:color="auto"/>
      </w:divBdr>
    </w:div>
    <w:div w:id="2057661579">
      <w:bodyDiv w:val="1"/>
      <w:marLeft w:val="0"/>
      <w:marRight w:val="0"/>
      <w:marTop w:val="0"/>
      <w:marBottom w:val="0"/>
      <w:divBdr>
        <w:top w:val="none" w:sz="0" w:space="0" w:color="auto"/>
        <w:left w:val="none" w:sz="0" w:space="0" w:color="auto"/>
        <w:bottom w:val="none" w:sz="0" w:space="0" w:color="auto"/>
        <w:right w:val="none" w:sz="0" w:space="0" w:color="auto"/>
      </w:divBdr>
    </w:div>
    <w:div w:id="2085954861">
      <w:bodyDiv w:val="1"/>
      <w:marLeft w:val="0"/>
      <w:marRight w:val="0"/>
      <w:marTop w:val="0"/>
      <w:marBottom w:val="0"/>
      <w:divBdr>
        <w:top w:val="none" w:sz="0" w:space="0" w:color="auto"/>
        <w:left w:val="none" w:sz="0" w:space="0" w:color="auto"/>
        <w:bottom w:val="none" w:sz="0" w:space="0" w:color="auto"/>
        <w:right w:val="none" w:sz="0" w:space="0" w:color="auto"/>
      </w:divBdr>
    </w:div>
    <w:div w:id="2093157173">
      <w:bodyDiv w:val="1"/>
      <w:marLeft w:val="0"/>
      <w:marRight w:val="0"/>
      <w:marTop w:val="0"/>
      <w:marBottom w:val="0"/>
      <w:divBdr>
        <w:top w:val="none" w:sz="0" w:space="0" w:color="auto"/>
        <w:left w:val="none" w:sz="0" w:space="0" w:color="auto"/>
        <w:bottom w:val="none" w:sz="0" w:space="0" w:color="auto"/>
        <w:right w:val="none" w:sz="0" w:space="0" w:color="auto"/>
      </w:divBdr>
    </w:div>
    <w:div w:id="21324387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6.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2.xm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dec/2018/994/oj" TargetMode="External"/><Relationship Id="rId3" Type="http://schemas.openxmlformats.org/officeDocument/2006/relationships/hyperlink" Target="http://data.europa.eu/eli/agree_interinstit/2010/1120/oj" TargetMode="External"/><Relationship Id="rId7" Type="http://schemas.openxmlformats.org/officeDocument/2006/relationships/hyperlink" Target="http://data.europa.eu/eli/reg/2014/1141/oj" TargetMode="External"/><Relationship Id="rId2" Type="http://schemas.openxmlformats.org/officeDocument/2006/relationships/hyperlink" Target="http://data.europa.eu/eli/dec/1976/787(1)/oj" TargetMode="External"/><Relationship Id="rId1" Type="http://schemas.openxmlformats.org/officeDocument/2006/relationships/hyperlink" Target="http://data.europa.eu/eli/dec/1976/787(2)/oj" TargetMode="External"/><Relationship Id="rId6" Type="http://schemas.openxmlformats.org/officeDocument/2006/relationships/hyperlink" Target="http://data.europa.eu/eli/dec/2018/994/oj" TargetMode="External"/><Relationship Id="rId5" Type="http://schemas.openxmlformats.org/officeDocument/2006/relationships/hyperlink" Target="https://eur-lex.europa.eu/legal-content/FR/TXT/?uri=CELEX:52022AP0129" TargetMode="External"/><Relationship Id="rId4" Type="http://schemas.openxmlformats.org/officeDocument/2006/relationships/hyperlink" Target="https://eur-lex.europa.eu/legal-content/FR/TXT/?uri=CELEX:52015IP0395" TargetMode="External"/><Relationship Id="rId9" Type="http://schemas.openxmlformats.org/officeDocument/2006/relationships/hyperlink" Target="http://data.europa.eu/eli/agree_interinstit/2021/611/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2989CCF-9E3C-4E58-AA62-E421B0E4150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20</Pages>
  <Words>6980</Words>
  <Characters>39020</Characters>
  <Application>Microsoft Office Word</Application>
  <DocSecurity>0</DocSecurity>
  <Lines>750</Lines>
  <Paragraphs>232</Paragraphs>
  <ScaleCrop>false</ScaleCrop>
  <HeadingPairs>
    <vt:vector size="2" baseType="variant">
      <vt:variant>
        <vt:lpstr>Title</vt:lpstr>
      </vt:variant>
      <vt:variant>
        <vt:i4>1</vt:i4>
      </vt:variant>
    </vt:vector>
  </HeadingPairs>
  <TitlesOfParts>
    <vt:vector size="1" baseType="lpstr">
      <vt:lpstr>PR_INI_ImplReport</vt:lpstr>
    </vt:vector>
  </TitlesOfParts>
  <Company/>
  <LinksUpToDate>false</LinksUpToDate>
  <CharactersWithSpaces>45768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PR_INI_ImplReport</dc:title>
  <dc:subject/>
  <dc:creator>PARSELIAS Savvas</dc:creator>
  <cp:keywords/>
  <dc:description/>
  <cp:lastModifiedBy>PETITCOLAS Anne</cp:lastModifiedBy>
  <cp:revision>2</cp:revision>
  <cp:lastPrinted>2025-12-08T09:50:00Z</cp:lastPrinted>
  <dcterms:created xsi:type="dcterms:W3CDTF">2025-12-11T10:21:00Z</dcterms:created>
  <dcterms:modified xsi:type="dcterms:W3CDTF">2025-12-11T10:21:00Z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FR</vt:lpwstr>
  </property>
  <property fmtid="{D5CDD505-2E9C-101B-9397-08002B2CF9AE}" pid="3" name="Created with">
    <vt:lpwstr>10.0.0 Build [20241202]</vt:lpwstr>
  </property>
  <property fmtid="{D5CDD505-2E9C-101B-9397-08002B2CF9AE}" pid="4" name="LastEdited with">
    <vt:lpwstr>10.2.0 Build [20251118]</vt:lpwstr>
  </property>
  <property fmtid="{D5CDD505-2E9C-101B-9397-08002B2CF9AE}" pid="5" name="&lt;FdR&gt;">
    <vt:lpwstr>1333757</vt:lpwstr>
  </property>
  <property fmtid="{D5CDD505-2E9C-101B-9397-08002B2CF9AE}" pid="6" name="&lt;Type&gt;">
    <vt:lpwstr>RR</vt:lpwstr>
  </property>
  <property fmtid="{D5CDD505-2E9C-101B-9397-08002B2CF9AE}" pid="7" name="&lt;ModelCod&gt;">
    <vt:lpwstr>\\eiciBRUpr1\pdocep$\DocEP\DOCS\General\PR\PR_NonLeg\INI\PR_INI_ImplReport.dotx(12/08/2024 16:13:01)</vt:lpwstr>
  </property>
  <property fmtid="{D5CDD505-2E9C-101B-9397-08002B2CF9AE}" pid="8" name="&lt;ModelTra&gt;">
    <vt:lpwstr>\\eiciBRUpr1\pdocep$\DocEP\TRANSFIL\EN\PR_INI_ImplReport.EN(13/08/2024 08:37:02)</vt:lpwstr>
  </property>
  <property fmtid="{D5CDD505-2E9C-101B-9397-08002B2CF9AE}" pid="9" name="&lt;Model&gt;">
    <vt:lpwstr>PR_INI_ImplReport</vt:lpwstr>
  </property>
  <property fmtid="{D5CDD505-2E9C-101B-9397-08002B2CF9AE}" pid="10" name="FooterPath">
    <vt:lpwstr>RR\1333757FR.docx</vt:lpwstr>
  </property>
  <property fmtid="{D5CDD505-2E9C-101B-9397-08002B2CF9AE}" pid="11" name="PE number">
    <vt:lpwstr>767.970</vt:lpwstr>
  </property>
  <property fmtid="{D5CDD505-2E9C-101B-9397-08002B2CF9AE}" pid="12" name="SendToEpades">
    <vt:lpwstr/>
  </property>
  <property fmtid="{D5CDD505-2E9C-101B-9397-08002B2CF9AE}" pid="13" name="Bookout">
    <vt:lpwstr>OK - 2025/12/11 11:21</vt:lpwstr>
  </property>
  <property fmtid="{D5CDD505-2E9C-101B-9397-08002B2CF9AE}" pid="14" name="OriLang">
    <vt:lpwstr>EN</vt:lpwstr>
  </property>
  <property fmtid="{D5CDD505-2E9C-101B-9397-08002B2CF9AE}" pid="15" name="SDLStudio">
    <vt:lpwstr/>
  </property>
</Properties>
</file>