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644ED" w14:paraId="76BEE35E" w14:textId="77777777" w:rsidTr="00C85D0F">
        <w:trPr>
          <w:trHeight w:hRule="exact" w:val="1418"/>
        </w:trPr>
        <w:tc>
          <w:tcPr>
            <w:tcW w:w="6804" w:type="dxa"/>
            <w:shd w:val="clear" w:color="auto" w:fill="auto"/>
            <w:vAlign w:val="center"/>
          </w:tcPr>
          <w:p w14:paraId="2B0BB657" w14:textId="77777777" w:rsidR="00CF16EE" w:rsidRPr="00B644ED" w:rsidRDefault="00F33829" w:rsidP="00C85D0F">
            <w:pPr>
              <w:pStyle w:val="EPName"/>
            </w:pPr>
            <w:r w:rsidRPr="00B644ED">
              <w:t>Euroopan parlamentti</w:t>
            </w:r>
          </w:p>
          <w:p w14:paraId="7B5EEEF9" w14:textId="77777777" w:rsidR="00CF16EE" w:rsidRPr="00B644ED" w:rsidRDefault="00833ECC" w:rsidP="00833ECC">
            <w:pPr>
              <w:pStyle w:val="EPTerm"/>
            </w:pPr>
            <w:r w:rsidRPr="00B644ED">
              <w:t>2024-2029</w:t>
            </w:r>
          </w:p>
        </w:tc>
        <w:tc>
          <w:tcPr>
            <w:tcW w:w="2268" w:type="dxa"/>
            <w:shd w:val="clear" w:color="auto" w:fill="auto"/>
          </w:tcPr>
          <w:p w14:paraId="0402B3F8" w14:textId="77777777" w:rsidR="00CF16EE" w:rsidRPr="00B644ED" w:rsidRDefault="00CF16EE" w:rsidP="00C85D0F">
            <w:pPr>
              <w:pStyle w:val="EPLogo"/>
            </w:pPr>
            <w:r w:rsidRPr="00B644ED">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B644ED" w:rsidRDefault="00215FF9" w:rsidP="00215FF9">
      <w:pPr>
        <w:pStyle w:val="LineTop"/>
      </w:pPr>
    </w:p>
    <w:p w14:paraId="7EFD2F67" w14:textId="3575AF02" w:rsidR="00215FF9" w:rsidRPr="00B644ED" w:rsidRDefault="00035C23" w:rsidP="00215FF9">
      <w:pPr>
        <w:pStyle w:val="EPBody"/>
      </w:pPr>
      <w:r w:rsidRPr="00B644ED">
        <w:t>Istuntoasiakirja</w:t>
      </w:r>
    </w:p>
    <w:p w14:paraId="52107EF3" w14:textId="77777777" w:rsidR="00215FF9" w:rsidRPr="00B644ED" w:rsidRDefault="00215FF9" w:rsidP="00215FF9">
      <w:pPr>
        <w:pStyle w:val="LineBottom"/>
      </w:pPr>
    </w:p>
    <w:p w14:paraId="2E8A7A8E" w14:textId="7C41171E" w:rsidR="005922F7" w:rsidRPr="00B644ED" w:rsidRDefault="00035C23" w:rsidP="00035C23">
      <w:pPr>
        <w:pStyle w:val="CoverReference"/>
      </w:pPr>
      <w:r w:rsidRPr="00B644ED">
        <w:rPr>
          <w:rStyle w:val="HideTWBExt"/>
        </w:rPr>
        <w:t>&lt;NoDocSe&gt;</w:t>
      </w:r>
      <w:r w:rsidRPr="00B644ED">
        <w:t>A10-0264/2025</w:t>
      </w:r>
      <w:r w:rsidRPr="00B644ED">
        <w:rPr>
          <w:rStyle w:val="HideTWBExt"/>
        </w:rPr>
        <w:t>&lt;/NoDocSe&gt;</w:t>
      </w:r>
    </w:p>
    <w:p w14:paraId="118C52D6" w14:textId="4399B071" w:rsidR="005922F7" w:rsidRPr="00B644ED" w:rsidRDefault="005922F7" w:rsidP="005922F7">
      <w:pPr>
        <w:pStyle w:val="CoverDate"/>
      </w:pPr>
      <w:r w:rsidRPr="00B644ED">
        <w:rPr>
          <w:rStyle w:val="HideTWBExt"/>
        </w:rPr>
        <w:t>&lt;Date&gt;</w:t>
      </w:r>
      <w:r w:rsidRPr="00B644ED">
        <w:rPr>
          <w:rStyle w:val="HideTWBInt"/>
        </w:rPr>
        <w:t>{12/12/2025}</w:t>
      </w:r>
      <w:r w:rsidRPr="00B644ED">
        <w:t>12.12.2025</w:t>
      </w:r>
      <w:r w:rsidRPr="00B644ED">
        <w:rPr>
          <w:rStyle w:val="HideTWBExt"/>
        </w:rPr>
        <w:t>&lt;/Date&gt;</w:t>
      </w:r>
    </w:p>
    <w:p w14:paraId="4F528687" w14:textId="0A56F9A2" w:rsidR="00142D49" w:rsidRPr="00B644ED" w:rsidRDefault="00142D49">
      <w:pPr>
        <w:pStyle w:val="CoverDocType24a"/>
      </w:pPr>
      <w:r w:rsidRPr="00B644ED">
        <w:rPr>
          <w:rStyle w:val="HideTWBExt"/>
          <w:b w:val="0"/>
        </w:rPr>
        <w:t>&lt;TitreType&gt;</w:t>
      </w:r>
      <w:r w:rsidRPr="00B644ED">
        <w:t>MIETINTÖ</w:t>
      </w:r>
      <w:r w:rsidRPr="00B644ED">
        <w:rPr>
          <w:rStyle w:val="HideTWBExt"/>
          <w:b w:val="0"/>
        </w:rPr>
        <w:t>&lt;/TitreType&gt;</w:t>
      </w:r>
    </w:p>
    <w:p w14:paraId="2BFFB805" w14:textId="77777777" w:rsidR="00142D49" w:rsidRPr="00B644ED" w:rsidRDefault="00142D49">
      <w:pPr>
        <w:pStyle w:val="CoverNormal"/>
      </w:pPr>
      <w:r w:rsidRPr="00B644ED">
        <w:rPr>
          <w:rStyle w:val="HideTWBExt"/>
        </w:rPr>
        <w:t>&lt;Titre&gt;</w:t>
      </w:r>
      <w:r w:rsidRPr="00B644ED">
        <w:t>Alessandra Morettin koskemattomuuden pidättämistä koskevasta pyynnöstä</w:t>
      </w:r>
      <w:r w:rsidRPr="00B644ED">
        <w:rPr>
          <w:rStyle w:val="HideTWBExt"/>
        </w:rPr>
        <w:t>&lt;/Titre&gt;</w:t>
      </w:r>
    </w:p>
    <w:p w14:paraId="0C435C87" w14:textId="77777777" w:rsidR="00142D49" w:rsidRPr="00B644ED" w:rsidRDefault="00142D49">
      <w:pPr>
        <w:pStyle w:val="CoverNormal24a"/>
      </w:pPr>
      <w:r w:rsidRPr="00B644ED">
        <w:rPr>
          <w:rStyle w:val="HideTWBExt"/>
        </w:rPr>
        <w:t>&lt;DocRef&gt;</w:t>
      </w:r>
      <w:r w:rsidRPr="00B644ED">
        <w:t>(2025/2064(IMM))</w:t>
      </w:r>
      <w:r w:rsidRPr="00B644ED">
        <w:rPr>
          <w:rStyle w:val="HideTWBExt"/>
        </w:rPr>
        <w:t>&lt;/DocRef&gt;</w:t>
      </w:r>
    </w:p>
    <w:p w14:paraId="0F41702D" w14:textId="77777777" w:rsidR="00142D49" w:rsidRPr="00B644ED" w:rsidRDefault="00142D49">
      <w:pPr>
        <w:pStyle w:val="CoverNormal24a"/>
      </w:pPr>
      <w:r w:rsidRPr="00B644ED">
        <w:rPr>
          <w:rStyle w:val="HideTWBExt"/>
        </w:rPr>
        <w:t>&lt;Commission&gt;</w:t>
      </w:r>
      <w:r w:rsidRPr="00B644ED">
        <w:rPr>
          <w:rStyle w:val="HideTWBInt"/>
        </w:rPr>
        <w:t>{JURI}</w:t>
      </w:r>
      <w:r w:rsidRPr="00B644ED">
        <w:t>Oikeudellisten asioiden valiokunta</w:t>
      </w:r>
      <w:r w:rsidRPr="00B644ED">
        <w:rPr>
          <w:rStyle w:val="HideTWBExt"/>
        </w:rPr>
        <w:t>&lt;/Commission&gt;</w:t>
      </w:r>
    </w:p>
    <w:p w14:paraId="5C792C9D" w14:textId="77777777" w:rsidR="00142D49" w:rsidRPr="00B644ED" w:rsidRDefault="00F33829">
      <w:pPr>
        <w:pStyle w:val="CoverNormal24a"/>
      </w:pPr>
      <w:r w:rsidRPr="00B644ED">
        <w:t xml:space="preserve">Esittelijä: </w:t>
      </w:r>
      <w:r w:rsidRPr="00B644ED">
        <w:rPr>
          <w:rStyle w:val="HideTWBExt"/>
        </w:rPr>
        <w:t>&lt;Depute&gt;</w:t>
      </w:r>
      <w:r w:rsidRPr="00B644ED">
        <w:t>Marcin Sypniewski</w:t>
      </w:r>
      <w:r w:rsidRPr="00B644ED">
        <w:rPr>
          <w:rStyle w:val="HideTWBExt"/>
        </w:rPr>
        <w:t>&lt;/Depute&gt;</w:t>
      </w:r>
    </w:p>
    <w:p w14:paraId="2FB15AB4" w14:textId="77777777" w:rsidR="0006105E" w:rsidRPr="00B644ED" w:rsidRDefault="0006105E" w:rsidP="0006105E">
      <w:pPr>
        <w:pStyle w:val="CoverNormal"/>
      </w:pPr>
    </w:p>
    <w:p w14:paraId="41F172CC" w14:textId="77777777" w:rsidR="00142D49" w:rsidRPr="00B644ED" w:rsidRDefault="00142D49" w:rsidP="00DF74F0">
      <w:pPr>
        <w:widowControl/>
        <w:tabs>
          <w:tab w:val="center" w:pos="4677"/>
        </w:tabs>
      </w:pPr>
      <w:r w:rsidRPr="00B644ED">
        <w:br w:type="page"/>
      </w:r>
      <w:r w:rsidRPr="00B644ED">
        <w:lastRenderedPageBreak/>
        <w:t>PR_IMM_Waiver</w:t>
      </w:r>
    </w:p>
    <w:p w14:paraId="66CDD9EB" w14:textId="77777777" w:rsidR="00142D49" w:rsidRPr="00B644ED" w:rsidRDefault="00F33829">
      <w:pPr>
        <w:pStyle w:val="TOCHeading"/>
      </w:pPr>
      <w:r w:rsidRPr="00B644ED">
        <w:t>SISÄLTÖ</w:t>
      </w:r>
    </w:p>
    <w:p w14:paraId="022DF619" w14:textId="77777777" w:rsidR="00142D49" w:rsidRPr="00B644ED" w:rsidRDefault="00F33829">
      <w:pPr>
        <w:pStyle w:val="TOCPage"/>
      </w:pPr>
      <w:r w:rsidRPr="00B644ED">
        <w:t>SIVU</w:t>
      </w:r>
    </w:p>
    <w:p w14:paraId="67232364" w14:textId="3D8FE447" w:rsidR="00A517B2"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644ED">
        <w:fldChar w:fldCharType="begin"/>
      </w:r>
      <w:r w:rsidRPr="00B644ED">
        <w:instrText xml:space="preserve"> TOC \t "PageHeading</w:instrText>
      </w:r>
      <w:r w:rsidR="000802BD" w:rsidRPr="00B644ED">
        <w:instrText>;</w:instrText>
      </w:r>
      <w:r w:rsidRPr="00B644ED">
        <w:instrText xml:space="preserve">1" </w:instrText>
      </w:r>
      <w:r w:rsidRPr="00B644ED">
        <w:fldChar w:fldCharType="separate"/>
      </w:r>
      <w:r w:rsidR="00A517B2">
        <w:rPr>
          <w:noProof/>
        </w:rPr>
        <w:t>EUROOPAN PARLAMENTIN PÄÄTÖSEHDOTUS</w:t>
      </w:r>
      <w:r w:rsidR="00A517B2">
        <w:rPr>
          <w:noProof/>
        </w:rPr>
        <w:tab/>
      </w:r>
      <w:r w:rsidR="00A517B2">
        <w:rPr>
          <w:noProof/>
        </w:rPr>
        <w:fldChar w:fldCharType="begin"/>
      </w:r>
      <w:r w:rsidR="00A517B2">
        <w:rPr>
          <w:noProof/>
        </w:rPr>
        <w:instrText xml:space="preserve"> PAGEREF _Toc216681549 \h </w:instrText>
      </w:r>
      <w:r w:rsidR="00A517B2">
        <w:rPr>
          <w:noProof/>
        </w:rPr>
      </w:r>
      <w:r w:rsidR="00A517B2">
        <w:rPr>
          <w:noProof/>
        </w:rPr>
        <w:fldChar w:fldCharType="separate"/>
      </w:r>
      <w:r w:rsidR="00A517B2">
        <w:rPr>
          <w:noProof/>
        </w:rPr>
        <w:t>3</w:t>
      </w:r>
      <w:r w:rsidR="00A517B2">
        <w:rPr>
          <w:noProof/>
        </w:rPr>
        <w:fldChar w:fldCharType="end"/>
      </w:r>
    </w:p>
    <w:p w14:paraId="4A11A66B" w14:textId="1AC359F6" w:rsidR="00A517B2" w:rsidRDefault="00A517B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TIEDOT HYVÄKSYMISESTÄ ASIASTA VASTAAVASSA VALIOKUNNASSA</w:t>
      </w:r>
      <w:r>
        <w:rPr>
          <w:noProof/>
        </w:rPr>
        <w:tab/>
      </w:r>
      <w:r>
        <w:rPr>
          <w:noProof/>
        </w:rPr>
        <w:fldChar w:fldCharType="begin"/>
      </w:r>
      <w:r>
        <w:rPr>
          <w:noProof/>
        </w:rPr>
        <w:instrText xml:space="preserve"> PAGEREF _Toc216681550 \h </w:instrText>
      </w:r>
      <w:r>
        <w:rPr>
          <w:noProof/>
        </w:rPr>
      </w:r>
      <w:r>
        <w:rPr>
          <w:noProof/>
        </w:rPr>
        <w:fldChar w:fldCharType="separate"/>
      </w:r>
      <w:r>
        <w:rPr>
          <w:noProof/>
        </w:rPr>
        <w:t>6</w:t>
      </w:r>
      <w:r>
        <w:rPr>
          <w:noProof/>
        </w:rPr>
        <w:fldChar w:fldCharType="end"/>
      </w:r>
    </w:p>
    <w:p w14:paraId="116DDC19" w14:textId="222A30B6" w:rsidR="0006105E" w:rsidRPr="00B644ED" w:rsidRDefault="00142D49" w:rsidP="00273EFB">
      <w:r w:rsidRPr="00B644ED">
        <w:fldChar w:fldCharType="end"/>
      </w:r>
    </w:p>
    <w:p w14:paraId="3EA16CA5" w14:textId="77777777" w:rsidR="00142D49" w:rsidRPr="00B644ED" w:rsidRDefault="00142D49">
      <w:pPr>
        <w:pStyle w:val="PageHeading"/>
      </w:pPr>
      <w:r w:rsidRPr="00B644ED">
        <w:br w:type="page"/>
      </w:r>
      <w:bookmarkStart w:id="0" w:name="_Toc216681549"/>
      <w:r w:rsidRPr="00B644ED">
        <w:lastRenderedPageBreak/>
        <w:t>EUROOPAN PARLAMENTIN PÄÄTÖSEHDOTUS</w:t>
      </w:r>
      <w:bookmarkEnd w:id="0"/>
    </w:p>
    <w:p w14:paraId="51D1CD4F" w14:textId="77777777" w:rsidR="00142D49" w:rsidRPr="00B644ED" w:rsidRDefault="00F33829">
      <w:pPr>
        <w:pStyle w:val="NormalBold"/>
      </w:pPr>
      <w:r w:rsidRPr="00B644ED">
        <w:t>Alessandra Morettin koskemattomuuden pidättämistä koskevasta pyynnöstä</w:t>
      </w:r>
    </w:p>
    <w:p w14:paraId="78BE2198" w14:textId="77777777" w:rsidR="00142D49" w:rsidRPr="00B644ED" w:rsidRDefault="00F33829" w:rsidP="00FD1F04">
      <w:pPr>
        <w:pStyle w:val="NormalBold"/>
      </w:pPr>
      <w:r w:rsidRPr="00B644ED">
        <w:t>(2025/2064(IMM))</w:t>
      </w:r>
    </w:p>
    <w:p w14:paraId="311BB284" w14:textId="77777777" w:rsidR="00142D49" w:rsidRPr="00B644ED" w:rsidRDefault="00F33829" w:rsidP="00FD1F04">
      <w:pPr>
        <w:pStyle w:val="EPComma"/>
      </w:pPr>
      <w:r w:rsidRPr="00B644ED">
        <w:rPr>
          <w:i/>
          <w:iCs/>
        </w:rPr>
        <w:t>Euroopan parlamentti</w:t>
      </w:r>
      <w:r w:rsidRPr="00B644ED">
        <w:t>, joka</w:t>
      </w:r>
    </w:p>
    <w:p w14:paraId="0E9C33D2" w14:textId="39F7A15C" w:rsidR="00DF248B" w:rsidRPr="00B644ED" w:rsidRDefault="00142D49" w:rsidP="00A517B2">
      <w:pPr>
        <w:pStyle w:val="NormalHanging12a"/>
      </w:pPr>
      <w:r w:rsidRPr="00B644ED">
        <w:t>–</w:t>
      </w:r>
      <w:r w:rsidRPr="00B644ED">
        <w:tab/>
        <w:t>ottaa huomioon Alessandra Morettin koskemattomuuden pidättämistä koskevan pyynnön, jonka Belgian liittovaltion ulkoasiain-, ulkomaankauppa- ja kehitysyhteistyöministeriön protokollayksikkö toimitti 27. helmikuuta 2025 päivätyllä kirjeellä välittäen Morettia vastaan vireille pantavaan rikosoikeudelliseen menettelyyn liittyvän Belgian liittovaltion syyttäjänviraston pyynnön ja josta ilmoitettiin täysistunnossa 10. maaliskuuta 2025,</w:t>
      </w:r>
    </w:p>
    <w:p w14:paraId="197CA5CE" w14:textId="0DCB4516" w:rsidR="00DF248B" w:rsidRPr="00B644ED" w:rsidRDefault="00DF248B" w:rsidP="00A517B2">
      <w:pPr>
        <w:pStyle w:val="NormalHanging12a"/>
      </w:pPr>
      <w:r w:rsidRPr="00B644ED">
        <w:t>–</w:t>
      </w:r>
      <w:r w:rsidRPr="00B644ED">
        <w:tab/>
        <w:t>on kuullut Alessandra Morettia 4. kesäkuuta 2025 työjärjestyksen 9 artiklan 6 kohdan mukaisesti ja ottaa huomioon hänen tällä samalla perusteella esittämänsä asiakirjat,</w:t>
      </w:r>
    </w:p>
    <w:p w14:paraId="5DF1913F" w14:textId="77777777" w:rsidR="00DF248B" w:rsidRPr="00B644ED" w:rsidRDefault="00DF248B" w:rsidP="00A517B2">
      <w:pPr>
        <w:pStyle w:val="NormalHanging12a"/>
      </w:pPr>
      <w:r w:rsidRPr="00B644ED">
        <w:t>–</w:t>
      </w:r>
      <w:r w:rsidRPr="00B644ED">
        <w:tab/>
        <w:t xml:space="preserve">ottaa huomioon Belgian liittovaltion syyttäjänviraston toimittamat lisätiedot, </w:t>
      </w:r>
    </w:p>
    <w:p w14:paraId="175E0DAF" w14:textId="4A261E41" w:rsidR="00DF248B" w:rsidRPr="00B644ED" w:rsidRDefault="00DF248B" w:rsidP="00A517B2">
      <w:pPr>
        <w:pStyle w:val="NormalHanging12a"/>
      </w:pPr>
      <w:r w:rsidRPr="00B644ED">
        <w:t>–</w:t>
      </w:r>
      <w:r w:rsidRPr="00B644ED">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0E3FA65A" w14:textId="7C2E4062" w:rsidR="00DF248B" w:rsidRPr="00B644ED" w:rsidRDefault="00DF248B" w:rsidP="00A517B2">
      <w:pPr>
        <w:pStyle w:val="NormalHanging12a"/>
      </w:pPr>
      <w:r w:rsidRPr="00B644ED">
        <w:t>–</w:t>
      </w:r>
      <w:r w:rsidRPr="00B644ED">
        <w:tab/>
        <w:t>ottaa huomioon Euroopan unionin tuomioistuimen 21. lokakuuta 2008, 19. maaliskuuta 2010, 6. syyskuuta 2011, 17. tammikuuta 2013, 19. joulukuuta 2019 ja 5. heinäkuuta 2023 antamat tuomiot</w:t>
      </w:r>
      <w:r w:rsidRPr="00B644ED">
        <w:rPr>
          <w:rStyle w:val="FootnoteReference"/>
        </w:rPr>
        <w:footnoteReference w:id="1"/>
      </w:r>
      <w:r w:rsidRPr="00B644ED">
        <w:t>,</w:t>
      </w:r>
    </w:p>
    <w:p w14:paraId="3ADD91E1" w14:textId="77777777" w:rsidR="00DF248B" w:rsidRPr="00B644ED" w:rsidRDefault="00DF248B" w:rsidP="00A517B2">
      <w:pPr>
        <w:pStyle w:val="NormalHanging12a"/>
      </w:pPr>
      <w:r w:rsidRPr="00B644ED">
        <w:t>–</w:t>
      </w:r>
      <w:r w:rsidRPr="00B644ED">
        <w:tab/>
        <w:t>ottaa huomioon työjärjestyksen 5 artiklan 2 kohdan, 6 artiklan 1 kohdan ja 9 artiklan,</w:t>
      </w:r>
    </w:p>
    <w:p w14:paraId="61322DA4" w14:textId="50E89758" w:rsidR="00DF248B" w:rsidRPr="00B644ED" w:rsidRDefault="00DF248B" w:rsidP="00A517B2">
      <w:pPr>
        <w:pStyle w:val="NormalHanging12a"/>
      </w:pPr>
      <w:r w:rsidRPr="00B644ED">
        <w:t>–</w:t>
      </w:r>
      <w:r w:rsidRPr="00B644ED">
        <w:tab/>
        <w:t>ottaa huomioon oikeudellisten asioiden valiokunnan mietinnön (A10-0264/2025),</w:t>
      </w:r>
    </w:p>
    <w:p w14:paraId="5D0DE2AA" w14:textId="1BE40E81" w:rsidR="00DF248B" w:rsidRPr="00B644ED" w:rsidRDefault="00DF248B" w:rsidP="00A517B2">
      <w:pPr>
        <w:pStyle w:val="NormalHanging12a"/>
      </w:pPr>
      <w:r w:rsidRPr="00B644ED">
        <w:t>A.</w:t>
      </w:r>
      <w:r w:rsidRPr="00B644ED">
        <w:tab/>
        <w:t xml:space="preserve">ottaa huomioon, että </w:t>
      </w:r>
      <w:bookmarkStart w:id="1" w:name="_Hlk210982066"/>
      <w:r w:rsidRPr="00B644ED">
        <w:t>27. helmikuuta 2025</w:t>
      </w:r>
      <w:bookmarkEnd w:id="1"/>
      <w:r w:rsidRPr="00B644ED">
        <w:t xml:space="preserve"> Belgian liittovaltion syyttäjänvirasto esitti Italiassa valituksi tulleen Euroopan parlamentin jäsenen Alessandra Morettin koskemattomuuden pidättämistä koskevan pyynnön, joka liittyy häntä vastaan vireille pantavaan rikosoikeudelliseen menettelyyn;</w:t>
      </w:r>
    </w:p>
    <w:p w14:paraId="78BD77C9" w14:textId="5C37DC66" w:rsidR="00DF248B" w:rsidRPr="00B644ED" w:rsidRDefault="00DF248B" w:rsidP="00A517B2">
      <w:pPr>
        <w:pStyle w:val="NormalHanging12a"/>
      </w:pPr>
      <w:r w:rsidRPr="00B644ED">
        <w:t>B.</w:t>
      </w:r>
      <w:r w:rsidRPr="00B644ED">
        <w:tab/>
        <w:t xml:space="preserve">ottaa huomioon, että niin kutsuttua Qatargate-vyyhtiä koskevassa meneillään olevassa tutkinnassa on väitetysti käynyt ilmi, että unionin toimielimissä, eritoten Euroopan parlamentissa, toimii rikollisjärjestö, joka pyrkii lahjomaan parlamentin jäseniä tarkoituksenaan vaikuttaa parlamentin päätöksentekoprosessiin määrättyjen kolmansien maiden geopoliittisten intressien hyväksi; </w:t>
      </w:r>
    </w:p>
    <w:p w14:paraId="17A946AB" w14:textId="2BA4A719" w:rsidR="00DF248B" w:rsidRPr="00B644ED" w:rsidRDefault="00DF248B" w:rsidP="00A517B2">
      <w:pPr>
        <w:pStyle w:val="NormalHanging12a"/>
        <w:widowControl/>
      </w:pPr>
      <w:r w:rsidRPr="00B644ED">
        <w:t>C.</w:t>
      </w:r>
      <w:r w:rsidRPr="00B644ED">
        <w:tab/>
        <w:t xml:space="preserve">ottaa huomioon, että tutkinnassa näyttää osoitetun, että Alessandra Morettille on väitetysti </w:t>
      </w:r>
      <w:r w:rsidRPr="00B644ED">
        <w:lastRenderedPageBreak/>
        <w:t xml:space="preserve">tarjottu erinäisiä erityisiä etuja ja että hän on ottanut vastaan ja jopa pyytänyt sellaisia; ottaa huomioon, että Belgian liittovaltion syyttäjänviraston toimittamien tietojen mukaan kanssasyytetyiltä ja muilta tutkinnan kohteena olevilta epäillyiltä on väitetysti saatu runsaasti erityyppistä näyttöä erinäisistä erityisistä eduista, joita Alessandra Moretti on pyytänyt ja/tai saanut; ottaa huomioon, että tähän näyttöön on väitetysti saatu vahvistus poliisin monista tutkimustuloksista; ottaa huomioon, että vastineeksi kyseisistä erityisistä eduista Alessandra Morettin väitetään osallistuneen tapahtumiin ja kokouksiin, joissa hän on puhunut Qatarin puolesta, ja että näissä yhteyksissä hänen väitetään paitsi ottaneen passiivisesti vastaan ohjeita myös pyytäneen aktiivisesti neuvoja siitä, mihin toimiin ryhtyä ja mitä sanoa puheissaan, missä ja milloin; ottaa huomioon, että lisäksi hän on väitetysti ottanut yhteyttä muihin jäseniin ja tarjoutunut sijaistamaan heitä tietyissä Qatariin liittyvissä äänestyksissä; </w:t>
      </w:r>
    </w:p>
    <w:p w14:paraId="5408D048" w14:textId="5793B361" w:rsidR="00DF248B" w:rsidRPr="00B644ED" w:rsidRDefault="00DF248B" w:rsidP="00DF248B">
      <w:pPr>
        <w:pStyle w:val="NormalHanging12a"/>
      </w:pPr>
      <w:r w:rsidRPr="00B644ED">
        <w:t>D.</w:t>
      </w:r>
      <w:r w:rsidRPr="00B644ED">
        <w:tab/>
        <w:t>toteaa, että Alessandra Morettin epäillään näin ollen väitetysti syyllistyneen 1.</w:t>
      </w:r>
      <w:r w:rsidR="00A517B2">
        <w:t> </w:t>
      </w:r>
      <w:r w:rsidRPr="00B644ED">
        <w:t>heinäkuuta 2019 ja 10. joulukuuta 2022 välisenä aikana lainvastaisiin tekoihin, jotka voidaan Belgian lainsäädännön mukaan luokitella osallistumiseksi rikollisjärjestön toimintaan ja lahjuksen ottamiseksi, joista ensiksi mainittu on Belgian rikoslain 324bis</w:t>
      </w:r>
      <w:r w:rsidR="00A517B2">
        <w:t> </w:t>
      </w:r>
      <w:r w:rsidRPr="00B644ED">
        <w:t xml:space="preserve">ja 324ter §:ssä ja jälkimmäinen 246–250 §:ssä tarkoitettu rikos; </w:t>
      </w:r>
    </w:p>
    <w:p w14:paraId="712B42E7" w14:textId="77777777" w:rsidR="00DF248B" w:rsidRPr="00B644ED" w:rsidRDefault="00DF248B" w:rsidP="00A517B2">
      <w:pPr>
        <w:pStyle w:val="NormalHanging12a"/>
      </w:pPr>
      <w:r w:rsidRPr="00B644ED">
        <w:t>E.</w:t>
      </w:r>
      <w:r w:rsidRPr="00B644ED">
        <w:tab/>
        <w:t>ottaa huomioon, että parlamenttia ei voida rinnastaa tuomioistuimeen eikä parlamentin jäsentä voida pitää koskemattomuuden pidättämistä koskevassa menettelyssä ”syytettynä”</w:t>
      </w:r>
      <w:r w:rsidRPr="00B644ED">
        <w:rPr>
          <w:rStyle w:val="FootnoteReference"/>
        </w:rPr>
        <w:footnoteReference w:id="2"/>
      </w:r>
      <w:r w:rsidRPr="00B644ED">
        <w:t>;</w:t>
      </w:r>
    </w:p>
    <w:p w14:paraId="23B29593" w14:textId="77777777" w:rsidR="00DF248B" w:rsidRPr="00B644ED" w:rsidRDefault="00DF248B" w:rsidP="00A517B2">
      <w:pPr>
        <w:pStyle w:val="NormalHanging12a"/>
      </w:pPr>
      <w:r w:rsidRPr="00B644ED">
        <w:t>F.</w:t>
      </w:r>
      <w:r w:rsidRPr="00B644ED">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1520F369" w14:textId="6C87242B" w:rsidR="00DF248B" w:rsidRPr="00B644ED" w:rsidRDefault="00DF248B" w:rsidP="00DF248B">
      <w:pPr>
        <w:pStyle w:val="NormalHanging12a"/>
      </w:pPr>
      <w:r w:rsidRPr="00B644ED">
        <w:t>G.</w:t>
      </w:r>
      <w:r w:rsidRPr="00B644ED">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ottaa huomioon, että Euroopan unionin erioikeuksista ja vapauksista tehdyssä pöytäkirjassa N:o 7 oleva 8 artikla on erityismääräys, jonka tarkoituksena on suojata Euroopan parlamentin jäsenten sananvapautta ja riippumattomuutta</w:t>
      </w:r>
      <w:r w:rsidRPr="00B644ED">
        <w:rPr>
          <w:rStyle w:val="FootnoteReference"/>
        </w:rPr>
        <w:footnoteReference w:id="3"/>
      </w:r>
      <w:r w:rsidRPr="00B644ED">
        <w:t>; ottaa huomioon, että epäilyksen alaiset teot ovat väitetty osallistuminen rikollisjärjestön toimintaan ja väitetty lahjuksen ottaminen, joita ei voida pitää Alessandra Morettin tehtäviään hoitaessaan ilmaisemina mielipiteinä tai äänestyskäyttäytymisenä Euroopan unionin erioikeuksista ja vapauksista tehdyssä pöytäkirjassa N:o 7 olevan 8 artiklan hengen ja kirjaimen mukaan;</w:t>
      </w:r>
    </w:p>
    <w:p w14:paraId="2C26AFCE" w14:textId="77777777" w:rsidR="00DF248B" w:rsidRPr="00B644ED" w:rsidRDefault="00DF248B" w:rsidP="00A517B2">
      <w:pPr>
        <w:pStyle w:val="NormalHanging12a"/>
        <w:widowControl/>
      </w:pPr>
      <w:r w:rsidRPr="00B644ED">
        <w:t>H.</w:t>
      </w:r>
      <w:r w:rsidRPr="00B644ED">
        <w:tab/>
        <w:t xml:space="preserve">ottaa huomioon, että väitetyissä rikoksissa ei ole kyse Euroopan unionin erioikeuksista ja vapauksista tehdyssä pöytäkirjassa N:o 7 olevassa 8 artiklassa tarkoitetusta, Alessandra Morettin tehtäviään hoitaessaan ilmaisemasta mielipiteestä tai äänestyskäyttäytymisestä eikä niiden perusteella esitetty Alessandra Morettin koskemattomuuden pidättämistä koskeva pyyntö siten liity tällaiseen mielipiteeseen tai äänestykseen; </w:t>
      </w:r>
    </w:p>
    <w:p w14:paraId="63332F33" w14:textId="77777777" w:rsidR="00DF248B" w:rsidRPr="00B644ED" w:rsidRDefault="00DF248B" w:rsidP="00DF248B">
      <w:pPr>
        <w:pStyle w:val="NormalHanging12a"/>
      </w:pPr>
      <w:r w:rsidRPr="00B644ED">
        <w:t>I.</w:t>
      </w:r>
      <w:r w:rsidRPr="00B644ED">
        <w:tab/>
        <w:t>ottaa huomioon, että Euroopan unionin erioikeuksista ja vapauksista tehdyssä pöytäkirjassa N:o 7 olevan 9 artiklan ensimmäisen kohdan b alakohdassa määrätään, että Euroopan parlamentin jäsenillä on toisen jäsenvaltion alueella vapaudenriistoa koskeva koskemattomuus sekä lainkäytöllinen koskemattomuus;</w:t>
      </w:r>
    </w:p>
    <w:p w14:paraId="3DA6AEAA" w14:textId="5B1325EE" w:rsidR="00DF248B" w:rsidRPr="00B644ED" w:rsidRDefault="00DF248B" w:rsidP="00DF248B">
      <w:pPr>
        <w:pStyle w:val="NormalHanging12a"/>
      </w:pPr>
      <w:r w:rsidRPr="00B644ED">
        <w:t xml:space="preserve">J. </w:t>
      </w:r>
      <w:r w:rsidRPr="00B644ED">
        <w:tab/>
        <w:t>ottaa huomioon, että parlamentin työjärjestyksen 5 artiklan 2 kohdan mukaan parlamentaarinen koskemattomuus ei ole jäsenen henkilökohtainen erioikeus vaan tae koko parlamentin ja sen jäsenten riippumattomuudesta;</w:t>
      </w:r>
    </w:p>
    <w:p w14:paraId="3E878241" w14:textId="6EB4DC20" w:rsidR="00DF248B" w:rsidRPr="00B644ED" w:rsidRDefault="00DF248B" w:rsidP="00DF248B">
      <w:pPr>
        <w:pStyle w:val="NormalHanging12a"/>
      </w:pPr>
      <w:r w:rsidRPr="00B644ED">
        <w:t>K.</w:t>
      </w:r>
      <w:r w:rsidRPr="00B644ED">
        <w:tab/>
        <w:t>ottaa huomioon, että esitetyn pyynnön mukaan on toteutettu perusteellinen, monisäikeinen ja aikaa vievä oikeudellinen tutkinta, johon muun muassa osallistui suuri määrä ihmisiä ja jossa suoritettiin tutkintatehtäviä myös Belgian, jopa unionin, ulkopuolella, ja että sen yhteydessä takavarikoitiin huomattava määrä tietokoneita, joiden sisältö analysoitiin; ottaa huomioon, että meneillään olevan tutkinnan kohteena on ollut useita henkilöitä, myös Euroopan parlamentin jäseniä, eikä pelkästään Alessandra Moretti; toteaa, että näyttäisi näin ollen siltä, että Alessandra Morettin koskemattomuuden pidättämistä koskeva pyyntö ei juonnu pyrkimyksestä haitata hänen poliittista toimintaansa vaan on tulosta edellä mainitusta perusteellisesta ja monisäikeisestä oikeudellisesta tutkinnasta;</w:t>
      </w:r>
    </w:p>
    <w:p w14:paraId="6F9CD0ED" w14:textId="0DA75A89" w:rsidR="00DF248B" w:rsidRPr="00B644ED" w:rsidRDefault="00DF248B" w:rsidP="00DF248B">
      <w:pPr>
        <w:pStyle w:val="NormalHanging12a"/>
      </w:pPr>
      <w:r w:rsidRPr="00B644ED">
        <w:t>L.</w:t>
      </w:r>
      <w:r w:rsidRPr="00B644ED">
        <w:tab/>
        <w:t xml:space="preserve">toteaa, että tässä tapauksessa parlamentti ei ole löytänyt todisteita fumus persecutionis </w:t>
      </w:r>
      <w:r w:rsidR="00A517B2">
        <w:noBreakHyphen/>
      </w:r>
      <w:r w:rsidRPr="00B644ED">
        <w:t>tilanteesta, toisin sanoen mikään ei viittaa siihen, että oikeusmenettelyn tarkoituksena olisi vahingoittaa Alessandra Morettin poliittista toimintaa Euroopan parlamentin jäsenenä;</w:t>
      </w:r>
    </w:p>
    <w:p w14:paraId="6E0801B7" w14:textId="77777777" w:rsidR="00DF248B" w:rsidRPr="00B644ED" w:rsidRDefault="00DF248B" w:rsidP="00DF248B">
      <w:pPr>
        <w:pStyle w:val="NormalHanging12a"/>
        <w:jc w:val="both"/>
      </w:pPr>
      <w:r w:rsidRPr="00B644ED">
        <w:t>1.</w:t>
      </w:r>
      <w:r w:rsidRPr="00B644ED">
        <w:tab/>
        <w:t>päättää pidättää Alessandra Morettin koskemattomuuden;</w:t>
      </w:r>
    </w:p>
    <w:p w14:paraId="4436BFCB" w14:textId="02715902" w:rsidR="00DF248B" w:rsidRPr="00B644ED" w:rsidRDefault="00DF248B" w:rsidP="00035C23">
      <w:pPr>
        <w:pStyle w:val="NormalHanging12a"/>
      </w:pPr>
      <w:r w:rsidRPr="00B644ED">
        <w:t>2.</w:t>
      </w:r>
      <w:r w:rsidRPr="00B644ED">
        <w:tab/>
        <w:t>kehottaa puhemiestä välittämään tämän päätöksen sekä asiasta vastaavan valiokunnan mietinnön viipymättä Belgian kuningaskunnan toimivaltaiselle viranomaiselle ja Alessandra Morettille.</w:t>
      </w:r>
    </w:p>
    <w:p w14:paraId="5170647D" w14:textId="7A8E286B" w:rsidR="00035C23" w:rsidRPr="00B644ED" w:rsidRDefault="00035C23" w:rsidP="00F306AC"/>
    <w:p w14:paraId="13B0D0D7" w14:textId="77777777" w:rsidR="000B0123" w:rsidRPr="00B644ED" w:rsidRDefault="000B0123" w:rsidP="00F306AC">
      <w:pPr>
        <w:sectPr w:rsidR="000B0123" w:rsidRPr="00B644ED" w:rsidSect="00B644E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B644ED" w:rsidRDefault="00F306AC" w:rsidP="00F306AC">
      <w:pPr>
        <w:pStyle w:val="PageHeading"/>
      </w:pPr>
      <w:bookmarkStart w:id="2" w:name="ProcPageRR"/>
      <w:bookmarkStart w:id="3" w:name="_Toc216681550"/>
      <w:r w:rsidRPr="00B644ED">
        <w:lastRenderedPageBreak/>
        <w:t>TIEDOT HYVÄKSYMISESTÄ</w:t>
      </w:r>
      <w:r w:rsidRPr="00B644ED">
        <w:br/>
        <w:t>ASIASTA VASTAAVASSA VALIOKUNNASSA</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B644ED"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B644ED" w:rsidRDefault="00F306AC">
            <w:pPr>
              <w:autoSpaceDE w:val="0"/>
              <w:autoSpaceDN w:val="0"/>
              <w:adjustRightInd w:val="0"/>
              <w:rPr>
                <w:b/>
                <w:bCs/>
                <w:color w:val="000000"/>
                <w:sz w:val="20"/>
              </w:rPr>
            </w:pPr>
            <w:r w:rsidRPr="00B644ED">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B644ED" w:rsidRDefault="00F306AC">
            <w:pPr>
              <w:autoSpaceDE w:val="0"/>
              <w:autoSpaceDN w:val="0"/>
              <w:adjustRightInd w:val="0"/>
              <w:rPr>
                <w:color w:val="000000"/>
                <w:sz w:val="20"/>
              </w:rPr>
            </w:pPr>
            <w:r w:rsidRPr="00B644ED">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B644ED"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B644ED"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B644ED" w:rsidRDefault="00F306AC">
            <w:pPr>
              <w:autoSpaceDE w:val="0"/>
              <w:autoSpaceDN w:val="0"/>
              <w:adjustRightInd w:val="0"/>
              <w:rPr>
                <w:rFonts w:ascii="sans-serif" w:hAnsi="sans-serif" w:cs="sans-serif"/>
                <w:color w:val="000000"/>
              </w:rPr>
            </w:pPr>
          </w:p>
        </w:tc>
      </w:tr>
      <w:tr w:rsidR="00F306AC" w:rsidRPr="00B644ED"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B644ED" w:rsidRDefault="00F306AC">
            <w:pPr>
              <w:autoSpaceDE w:val="0"/>
              <w:autoSpaceDN w:val="0"/>
              <w:adjustRightInd w:val="0"/>
              <w:rPr>
                <w:b/>
                <w:bCs/>
                <w:color w:val="000000"/>
                <w:sz w:val="20"/>
              </w:rPr>
            </w:pPr>
            <w:r w:rsidRPr="00B644ED">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B644ED" w:rsidRDefault="00F306AC">
            <w:pPr>
              <w:autoSpaceDE w:val="0"/>
              <w:autoSpaceDN w:val="0"/>
              <w:adjustRightInd w:val="0"/>
              <w:rPr>
                <w:color w:val="000000"/>
                <w:sz w:val="20"/>
              </w:rPr>
            </w:pPr>
            <w:r w:rsidRPr="00B644ED">
              <w:rPr>
                <w:color w:val="000000"/>
                <w:sz w:val="20"/>
              </w:rPr>
              <w:t>+:</w:t>
            </w:r>
          </w:p>
          <w:p w14:paraId="05965491" w14:textId="77777777" w:rsidR="00F306AC" w:rsidRPr="00B644ED" w:rsidRDefault="00F306AC">
            <w:pPr>
              <w:autoSpaceDE w:val="0"/>
              <w:autoSpaceDN w:val="0"/>
              <w:adjustRightInd w:val="0"/>
              <w:rPr>
                <w:color w:val="000000"/>
                <w:sz w:val="20"/>
              </w:rPr>
            </w:pPr>
            <w:r w:rsidRPr="00B644ED">
              <w:rPr>
                <w:color w:val="000000"/>
                <w:sz w:val="20"/>
              </w:rPr>
              <w:t>–:</w:t>
            </w:r>
          </w:p>
          <w:p w14:paraId="7336FB37" w14:textId="77777777" w:rsidR="00F306AC" w:rsidRPr="00B644ED" w:rsidRDefault="00F306AC">
            <w:pPr>
              <w:autoSpaceDE w:val="0"/>
              <w:autoSpaceDN w:val="0"/>
              <w:adjustRightInd w:val="0"/>
              <w:rPr>
                <w:color w:val="000000"/>
                <w:sz w:val="20"/>
              </w:rPr>
            </w:pPr>
            <w:r w:rsidRPr="00B644E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B644ED" w:rsidRDefault="00F306AC">
            <w:pPr>
              <w:autoSpaceDE w:val="0"/>
              <w:autoSpaceDN w:val="0"/>
              <w:adjustRightInd w:val="0"/>
              <w:rPr>
                <w:color w:val="000000"/>
                <w:sz w:val="20"/>
              </w:rPr>
            </w:pPr>
            <w:r w:rsidRPr="00B644ED">
              <w:rPr>
                <w:color w:val="000000"/>
                <w:sz w:val="20"/>
              </w:rPr>
              <w:t>16</w:t>
            </w:r>
          </w:p>
          <w:p w14:paraId="6A208556" w14:textId="77777777" w:rsidR="00F306AC" w:rsidRPr="00B644ED" w:rsidRDefault="00F306AC">
            <w:pPr>
              <w:autoSpaceDE w:val="0"/>
              <w:autoSpaceDN w:val="0"/>
              <w:adjustRightInd w:val="0"/>
              <w:rPr>
                <w:color w:val="000000"/>
                <w:sz w:val="20"/>
              </w:rPr>
            </w:pPr>
            <w:r w:rsidRPr="00B644ED">
              <w:rPr>
                <w:color w:val="000000"/>
                <w:sz w:val="20"/>
              </w:rPr>
              <w:t>8</w:t>
            </w:r>
          </w:p>
          <w:p w14:paraId="7CA836C4" w14:textId="77777777" w:rsidR="00F306AC" w:rsidRPr="00B644ED" w:rsidRDefault="00F306AC">
            <w:pPr>
              <w:autoSpaceDE w:val="0"/>
              <w:autoSpaceDN w:val="0"/>
              <w:adjustRightInd w:val="0"/>
              <w:rPr>
                <w:color w:val="000000"/>
                <w:sz w:val="20"/>
              </w:rPr>
            </w:pPr>
            <w:r w:rsidRPr="00B644ED">
              <w:rPr>
                <w:color w:val="000000"/>
                <w:sz w:val="20"/>
              </w:rPr>
              <w:t>1</w:t>
            </w:r>
          </w:p>
        </w:tc>
      </w:tr>
      <w:tr w:rsidR="00F306AC" w:rsidRPr="00B644ED"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B644ED" w:rsidRDefault="00F306AC">
            <w:pPr>
              <w:autoSpaceDE w:val="0"/>
              <w:autoSpaceDN w:val="0"/>
              <w:adjustRightInd w:val="0"/>
              <w:rPr>
                <w:b/>
                <w:bCs/>
                <w:color w:val="000000"/>
                <w:sz w:val="20"/>
              </w:rPr>
            </w:pPr>
            <w:r w:rsidRPr="00B644ED">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B644ED" w:rsidRDefault="00F306AC">
            <w:pPr>
              <w:autoSpaceDE w:val="0"/>
              <w:autoSpaceDN w:val="0"/>
              <w:adjustRightInd w:val="0"/>
              <w:rPr>
                <w:color w:val="000000"/>
                <w:sz w:val="20"/>
              </w:rPr>
            </w:pPr>
            <w:r w:rsidRPr="00B644ED">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B644ED"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B644ED" w:rsidRDefault="00F306AC">
            <w:pPr>
              <w:autoSpaceDE w:val="0"/>
              <w:autoSpaceDN w:val="0"/>
              <w:adjustRightInd w:val="0"/>
              <w:rPr>
                <w:b/>
                <w:bCs/>
                <w:color w:val="000000"/>
                <w:sz w:val="20"/>
              </w:rPr>
            </w:pPr>
            <w:r w:rsidRPr="00B644ED">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B644ED" w:rsidRDefault="00F306AC">
            <w:pPr>
              <w:autoSpaceDE w:val="0"/>
              <w:autoSpaceDN w:val="0"/>
              <w:adjustRightInd w:val="0"/>
              <w:rPr>
                <w:color w:val="000000"/>
                <w:sz w:val="20"/>
              </w:rPr>
            </w:pPr>
            <w:r w:rsidRPr="00B644ED">
              <w:rPr>
                <w:color w:val="000000"/>
                <w:sz w:val="20"/>
              </w:rPr>
              <w:t>David Cormand, Arkadiusz Mularczyk, Gheorghe Piperea, Ernő Schaller-Baross, Alessandro Zan</w:t>
            </w:r>
          </w:p>
        </w:tc>
      </w:tr>
      <w:tr w:rsidR="00F306AC" w:rsidRPr="00B644ED"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B644ED" w:rsidRDefault="00F306AC">
            <w:pPr>
              <w:autoSpaceDE w:val="0"/>
              <w:autoSpaceDN w:val="0"/>
              <w:adjustRightInd w:val="0"/>
              <w:rPr>
                <w:b/>
                <w:bCs/>
                <w:color w:val="000000"/>
                <w:sz w:val="20"/>
              </w:rPr>
            </w:pPr>
            <w:r w:rsidRPr="00B644ED">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B644ED" w:rsidRDefault="00F306AC">
            <w:pPr>
              <w:autoSpaceDE w:val="0"/>
              <w:autoSpaceDN w:val="0"/>
              <w:adjustRightInd w:val="0"/>
              <w:rPr>
                <w:color w:val="000000"/>
                <w:sz w:val="20"/>
              </w:rPr>
            </w:pPr>
            <w:r w:rsidRPr="00B644ED">
              <w:rPr>
                <w:color w:val="000000"/>
                <w:sz w:val="20"/>
              </w:rPr>
              <w:t>Ilia Lazarov</w:t>
            </w:r>
          </w:p>
        </w:tc>
      </w:tr>
    </w:tbl>
    <w:p w14:paraId="425C2323" w14:textId="77777777" w:rsidR="00F306AC" w:rsidRPr="00B644ED" w:rsidRDefault="00F306AC"/>
    <w:bookmarkEnd w:id="2"/>
    <w:p w14:paraId="3AB18A2E" w14:textId="505D2F6F" w:rsidR="000B0123" w:rsidRPr="00B644ED" w:rsidRDefault="000B0123" w:rsidP="00F306AC"/>
    <w:sectPr w:rsidR="000B0123" w:rsidRPr="00B644ED"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B644ED" w:rsidRDefault="00F33829">
      <w:r w:rsidRPr="00B644ED">
        <w:separator/>
      </w:r>
    </w:p>
  </w:endnote>
  <w:endnote w:type="continuationSeparator" w:id="0">
    <w:p w14:paraId="256FB70E" w14:textId="77777777" w:rsidR="00F33829" w:rsidRPr="00B644ED" w:rsidRDefault="00F33829">
      <w:r w:rsidRPr="00B644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807F8" w14:textId="77777777" w:rsidR="00B644ED" w:rsidRPr="00B644ED" w:rsidRDefault="00B644ED" w:rsidP="00B644ED">
    <w:pPr>
      <w:pStyle w:val="EPFooter"/>
    </w:pPr>
    <w:r w:rsidRPr="00B644ED">
      <w:t>PE</w:t>
    </w:r>
    <w:r w:rsidRPr="00B644ED">
      <w:rPr>
        <w:rStyle w:val="HideTWBExt"/>
      </w:rPr>
      <w:t>&lt;NoPE&gt;</w:t>
    </w:r>
    <w:r w:rsidRPr="00B644ED">
      <w:t>774.386</w:t>
    </w:r>
    <w:r w:rsidRPr="00B644ED">
      <w:rPr>
        <w:rStyle w:val="HideTWBExt"/>
      </w:rPr>
      <w:t>&lt;/NoPE&gt;&lt;Version&gt;</w:t>
    </w:r>
    <w:r w:rsidRPr="00B644ED">
      <w:t>v02-00</w:t>
    </w:r>
    <w:r w:rsidRPr="00B644ED">
      <w:rPr>
        <w:rStyle w:val="HideTWBExt"/>
      </w:rPr>
      <w:t>&lt;/Version&gt;</w:t>
    </w:r>
    <w:r w:rsidRPr="00B644ED">
      <w:tab/>
    </w:r>
    <w:r w:rsidRPr="00B644ED">
      <w:fldChar w:fldCharType="begin"/>
    </w:r>
    <w:r w:rsidRPr="00B644ED">
      <w:instrText xml:space="preserve"> PAGE  \* MERGEFORMAT </w:instrText>
    </w:r>
    <w:r w:rsidRPr="00B644ED">
      <w:fldChar w:fldCharType="separate"/>
    </w:r>
    <w:r w:rsidRPr="00B644ED">
      <w:rPr>
        <w:noProof/>
      </w:rPr>
      <w:t>1</w:t>
    </w:r>
    <w:r w:rsidRPr="00B644ED">
      <w:fldChar w:fldCharType="end"/>
    </w:r>
    <w:r w:rsidRPr="00B644ED">
      <w:t>/</w:t>
    </w:r>
    <w:fldSimple w:instr=" NUMPAGES  \* MERGEFORMAT ">
      <w:r w:rsidRPr="00B644ED">
        <w:rPr>
          <w:noProof/>
        </w:rPr>
        <w:t>1</w:t>
      </w:r>
    </w:fldSimple>
    <w:r w:rsidRPr="00B644ED">
      <w:tab/>
    </w:r>
    <w:r w:rsidRPr="00B644ED">
      <w:rPr>
        <w:rStyle w:val="HideTWBExt"/>
      </w:rPr>
      <w:t>&lt;PathFdR&gt;</w:t>
    </w:r>
    <w:r w:rsidRPr="00B644ED">
      <w:t>RR\1334156FI.docx</w:t>
    </w:r>
    <w:r w:rsidRPr="00B644ED">
      <w:rPr>
        <w:rStyle w:val="HideTWBExt"/>
      </w:rPr>
      <w:t>&lt;/PathFdR&gt;</w:t>
    </w:r>
  </w:p>
  <w:p w14:paraId="50C2D638" w14:textId="360FBBD7" w:rsidR="0023430B" w:rsidRPr="00B644ED" w:rsidRDefault="00B644ED" w:rsidP="00B644ED">
    <w:pPr>
      <w:pStyle w:val="EPFooter2"/>
    </w:pPr>
    <w:r w:rsidRPr="00B644ED">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E938" w14:textId="77777777" w:rsidR="00B644ED" w:rsidRPr="00B644ED" w:rsidRDefault="00B644ED" w:rsidP="00B644ED">
    <w:pPr>
      <w:pStyle w:val="EPFooter"/>
    </w:pPr>
    <w:r w:rsidRPr="00B644ED">
      <w:rPr>
        <w:rStyle w:val="HideTWBExt"/>
      </w:rPr>
      <w:t>&lt;PathFdR&gt;</w:t>
    </w:r>
    <w:r w:rsidRPr="00B644ED">
      <w:t>RR\1334156FI.docx</w:t>
    </w:r>
    <w:r w:rsidRPr="00B644ED">
      <w:rPr>
        <w:rStyle w:val="HideTWBExt"/>
      </w:rPr>
      <w:t>&lt;/PathFdR&gt;</w:t>
    </w:r>
    <w:r w:rsidRPr="00B644ED">
      <w:tab/>
    </w:r>
    <w:r w:rsidRPr="00B644ED">
      <w:fldChar w:fldCharType="begin"/>
    </w:r>
    <w:r w:rsidRPr="00B644ED">
      <w:instrText xml:space="preserve"> PAGE  \* MERGEFORMAT </w:instrText>
    </w:r>
    <w:r w:rsidRPr="00B644ED">
      <w:fldChar w:fldCharType="separate"/>
    </w:r>
    <w:r w:rsidRPr="00B644ED">
      <w:rPr>
        <w:noProof/>
      </w:rPr>
      <w:t>1</w:t>
    </w:r>
    <w:r w:rsidRPr="00B644ED">
      <w:fldChar w:fldCharType="end"/>
    </w:r>
    <w:r w:rsidRPr="00B644ED">
      <w:t>/</w:t>
    </w:r>
    <w:fldSimple w:instr=" NUMPAGES  \* MERGEFORMAT ">
      <w:r w:rsidRPr="00B644ED">
        <w:rPr>
          <w:noProof/>
        </w:rPr>
        <w:t>1</w:t>
      </w:r>
    </w:fldSimple>
    <w:r w:rsidRPr="00B644ED">
      <w:tab/>
      <w:t>PE</w:t>
    </w:r>
    <w:r w:rsidRPr="00B644ED">
      <w:rPr>
        <w:rStyle w:val="HideTWBExt"/>
      </w:rPr>
      <w:t>&lt;NoPE&gt;</w:t>
    </w:r>
    <w:r w:rsidRPr="00B644ED">
      <w:t>774.386</w:t>
    </w:r>
    <w:r w:rsidRPr="00B644ED">
      <w:rPr>
        <w:rStyle w:val="HideTWBExt"/>
      </w:rPr>
      <w:t>&lt;/NoPE&gt;&lt;Version&gt;</w:t>
    </w:r>
    <w:r w:rsidRPr="00B644ED">
      <w:t>v02-00</w:t>
    </w:r>
    <w:r w:rsidRPr="00B644ED">
      <w:rPr>
        <w:rStyle w:val="HideTWBExt"/>
      </w:rPr>
      <w:t>&lt;/Version&gt;</w:t>
    </w:r>
  </w:p>
  <w:p w14:paraId="49672603" w14:textId="09B120A5" w:rsidR="0023430B" w:rsidRPr="00B644ED" w:rsidRDefault="00B644ED" w:rsidP="00B644ED">
    <w:pPr>
      <w:pStyle w:val="EPFooter2"/>
    </w:pPr>
    <w:r w:rsidRPr="00B644ED">
      <w:tab/>
    </w:r>
    <w:r w:rsidRPr="00B644ED">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E8A6E" w14:textId="77777777" w:rsidR="00B644ED" w:rsidRPr="00B644ED" w:rsidRDefault="00B644ED" w:rsidP="00B644ED">
    <w:pPr>
      <w:pStyle w:val="EPFooter"/>
    </w:pPr>
    <w:r w:rsidRPr="00B644ED">
      <w:rPr>
        <w:rStyle w:val="HideTWBExt"/>
      </w:rPr>
      <w:t>&lt;PathFdR&gt;</w:t>
    </w:r>
    <w:r w:rsidRPr="00B644ED">
      <w:t>RR\1334156FI.docx</w:t>
    </w:r>
    <w:r w:rsidRPr="00B644ED">
      <w:rPr>
        <w:rStyle w:val="HideTWBExt"/>
      </w:rPr>
      <w:t>&lt;/PathFdR&gt;</w:t>
    </w:r>
    <w:r w:rsidRPr="00B644ED">
      <w:tab/>
    </w:r>
    <w:r w:rsidRPr="00B644ED">
      <w:tab/>
      <w:t>PE</w:t>
    </w:r>
    <w:r w:rsidRPr="00B644ED">
      <w:rPr>
        <w:rStyle w:val="HideTWBExt"/>
      </w:rPr>
      <w:t>&lt;NoPE&gt;</w:t>
    </w:r>
    <w:r w:rsidRPr="00B644ED">
      <w:t>774.386</w:t>
    </w:r>
    <w:r w:rsidRPr="00B644ED">
      <w:rPr>
        <w:rStyle w:val="HideTWBExt"/>
      </w:rPr>
      <w:t>&lt;/NoPE&gt;&lt;Version&gt;</w:t>
    </w:r>
    <w:r w:rsidRPr="00B644ED">
      <w:t>v02-00</w:t>
    </w:r>
    <w:r w:rsidRPr="00B644ED">
      <w:rPr>
        <w:rStyle w:val="HideTWBExt"/>
      </w:rPr>
      <w:t>&lt;/Version&gt;</w:t>
    </w:r>
  </w:p>
  <w:p w14:paraId="61E518B9" w14:textId="7A6F2271" w:rsidR="0023430B" w:rsidRPr="00B644ED" w:rsidRDefault="00B644ED" w:rsidP="00B644ED">
    <w:pPr>
      <w:pStyle w:val="EPFooter2"/>
    </w:pPr>
    <w:r w:rsidRPr="00B644ED">
      <w:t>FI</w:t>
    </w:r>
    <w:r w:rsidRPr="00B644ED">
      <w:tab/>
    </w:r>
    <w:r w:rsidRPr="00B644ED">
      <w:rPr>
        <w:b w:val="0"/>
        <w:i/>
        <w:color w:val="C0C0C0"/>
        <w:sz w:val="22"/>
      </w:rPr>
      <w:t>Moninaisuudessaan yhtenäinen</w:t>
    </w:r>
    <w:r w:rsidRPr="00B644ED">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B644ED" w:rsidRDefault="00F33829">
      <w:r w:rsidRPr="00B644ED">
        <w:separator/>
      </w:r>
    </w:p>
  </w:footnote>
  <w:footnote w:type="continuationSeparator" w:id="0">
    <w:p w14:paraId="66A918DA" w14:textId="77777777" w:rsidR="00F33829" w:rsidRPr="00B644ED" w:rsidRDefault="00F33829">
      <w:r w:rsidRPr="00B644ED">
        <w:continuationSeparator/>
      </w:r>
    </w:p>
  </w:footnote>
  <w:footnote w:id="1">
    <w:p w14:paraId="68A1300C" w14:textId="5BD35852" w:rsidR="00DF248B" w:rsidRPr="00B644ED" w:rsidRDefault="00DF248B" w:rsidP="00DF248B">
      <w:pPr>
        <w:pStyle w:val="FootnoteText"/>
      </w:pPr>
      <w:r w:rsidRPr="00B644ED">
        <w:rPr>
          <w:rStyle w:val="FootnoteReference"/>
        </w:rPr>
        <w:footnoteRef/>
      </w:r>
      <w:r w:rsidRPr="00B644ED">
        <w:t xml:space="preserve"> Yhteisöjen tuomioistuimen tuomio 21.10.2008, Marra v. De Gregorio ja Clemente, C-200/07 ja C-201/07, ECLI:EU:C:2008:579, unionin yleisen tuomioistuimen tuomio 19.3.2010, Gollnisch v. parlamentti, T-42/06, ECLI:EU:T:2010:102, unionin tuomioistuimen tuomio 6.9.2011, Patriciello, C-163/10, ECLI: EU:C:2011:543, unionin yleisen tuomioistuimen tuomio 17.1.2013, Gollnisch v. parlamentti, T-346/11 ja T-347/11, ECLI:EU:T:2013:23, unionin tuomioistuimen tuomio 19.12.2019, Junqueras Vies, C-502/19, ECLI:EU:C:2019:1115 sekä unionin yleisen tuomioistuimen tuomio 5.7.2023, Puigdemont i Casamajó ja muut v. parlamentti, T-272/21, ECLI:EU:T:2023:373.</w:t>
      </w:r>
    </w:p>
  </w:footnote>
  <w:footnote w:id="2">
    <w:p w14:paraId="0ABD1C92" w14:textId="55F03A7F" w:rsidR="00DF248B" w:rsidRPr="00B644ED" w:rsidRDefault="00DF248B" w:rsidP="00DF248B">
      <w:pPr>
        <w:pStyle w:val="FootnoteText"/>
      </w:pPr>
      <w:r w:rsidRPr="00B644ED">
        <w:rPr>
          <w:rStyle w:val="FootnoteReference"/>
        </w:rPr>
        <w:footnoteRef/>
      </w:r>
      <w:r w:rsidRPr="00B644ED">
        <w:t xml:space="preserve"> Unionin yleisen tuomioistuimen tuomio 30.4.2019, Briois v. parlamentti, T-214/18, ECLI:EU:T:2019:266.</w:t>
      </w:r>
    </w:p>
  </w:footnote>
  <w:footnote w:id="3">
    <w:p w14:paraId="13FDC936" w14:textId="7C010BE0" w:rsidR="00DF248B" w:rsidRPr="00B644ED" w:rsidRDefault="00DF248B" w:rsidP="00DF248B">
      <w:pPr>
        <w:pStyle w:val="FootnoteText"/>
      </w:pPr>
      <w:r w:rsidRPr="00B644ED">
        <w:rPr>
          <w:rStyle w:val="FootnoteReference"/>
        </w:rPr>
        <w:footnoteRef/>
      </w:r>
      <w:r w:rsidRPr="00B644ED">
        <w:t xml:space="preserve"> Unionin tuomioistuimen tuomio 6.9.2011, Patriciello, C-163/10, ECLI: EU:C:2011:543, tuomion 26 kohta.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9AED" w14:textId="77777777" w:rsidR="00A517B2" w:rsidRDefault="00A51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15365" w14:textId="77777777" w:rsidR="00A517B2" w:rsidRDefault="00A517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E4662" w14:textId="77777777" w:rsidR="00A517B2" w:rsidRDefault="00A51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517B2"/>
    <w:rsid w:val="00A87FB0"/>
    <w:rsid w:val="00B07676"/>
    <w:rsid w:val="00B47857"/>
    <w:rsid w:val="00B644ED"/>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325A"/>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993</Words>
  <Characters>7706</Characters>
  <Application>Microsoft Office Word</Application>
  <DocSecurity>0</DocSecurity>
  <Lines>157</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EDWARDS Katariina</cp:lastModifiedBy>
  <cp:revision>2</cp:revision>
  <cp:lastPrinted>2025-11-11T10:39:00Z</cp:lastPrinted>
  <dcterms:created xsi:type="dcterms:W3CDTF">2025-12-15T07:58:00Z</dcterms:created>
  <dcterms:modified xsi:type="dcterms:W3CDTF">2025-12-15T07:58:00Z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RR\1334156FI.docx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08:58</vt:lpwstr>
  </property>
  <property fmtid="{D5CDD505-2E9C-101B-9397-08002B2CF9AE}" pid="14" name="OriLang">
    <vt:lpwstr>EN</vt:lpwstr>
  </property>
  <property fmtid="{D5CDD505-2E9C-101B-9397-08002B2CF9AE}" pid="15" name="SDLStudio">
    <vt:lpwstr/>
  </property>
</Properties>
</file>