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3C464D" w14:paraId="76BEE35E" w14:textId="77777777" w:rsidTr="00C85D0F">
        <w:trPr>
          <w:trHeight w:hRule="exact" w:val="1418"/>
        </w:trPr>
        <w:tc>
          <w:tcPr>
            <w:tcW w:w="6804" w:type="dxa"/>
            <w:shd w:val="clear" w:color="auto" w:fill="auto"/>
            <w:vAlign w:val="center"/>
          </w:tcPr>
          <w:p w14:paraId="2B0BB657" w14:textId="77777777" w:rsidR="00CF16EE" w:rsidRPr="003C464D" w:rsidRDefault="00F33829" w:rsidP="00C85D0F">
            <w:pPr>
              <w:pStyle w:val="EPName"/>
            </w:pPr>
            <w:r w:rsidRPr="003C464D">
              <w:t>Európai Parlament</w:t>
            </w:r>
          </w:p>
          <w:p w14:paraId="7B5EEEF9" w14:textId="77777777" w:rsidR="00CF16EE" w:rsidRPr="003C464D" w:rsidRDefault="00833ECC" w:rsidP="00833ECC">
            <w:pPr>
              <w:pStyle w:val="EPTerm"/>
            </w:pPr>
            <w:r w:rsidRPr="003C464D">
              <w:t>2024-2029</w:t>
            </w:r>
          </w:p>
        </w:tc>
        <w:tc>
          <w:tcPr>
            <w:tcW w:w="2268" w:type="dxa"/>
            <w:shd w:val="clear" w:color="auto" w:fill="auto"/>
          </w:tcPr>
          <w:p w14:paraId="0402B3F8" w14:textId="77777777" w:rsidR="00CF16EE" w:rsidRPr="003C464D" w:rsidRDefault="00CF16EE" w:rsidP="00C85D0F">
            <w:pPr>
              <w:pStyle w:val="EPLogo"/>
            </w:pPr>
            <w:r w:rsidRPr="003C464D">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3C464D" w:rsidRDefault="00215FF9" w:rsidP="00215FF9">
      <w:pPr>
        <w:pStyle w:val="LineTop"/>
      </w:pPr>
    </w:p>
    <w:p w14:paraId="7EFD2F67" w14:textId="3575AF02" w:rsidR="00215FF9" w:rsidRPr="003C464D" w:rsidRDefault="00035C23" w:rsidP="00215FF9">
      <w:pPr>
        <w:pStyle w:val="EPBody"/>
      </w:pPr>
      <w:r w:rsidRPr="003C464D">
        <w:t>Plenárisülés-dokumentum</w:t>
      </w:r>
    </w:p>
    <w:p w14:paraId="52107EF3" w14:textId="77777777" w:rsidR="00215FF9" w:rsidRPr="003C464D" w:rsidRDefault="00215FF9" w:rsidP="00215FF9">
      <w:pPr>
        <w:pStyle w:val="LineBottom"/>
      </w:pPr>
    </w:p>
    <w:p w14:paraId="2E8A7A8E" w14:textId="7C41171E" w:rsidR="005922F7" w:rsidRPr="003C464D" w:rsidRDefault="00035C23" w:rsidP="00035C23">
      <w:pPr>
        <w:pStyle w:val="CoverReference"/>
      </w:pPr>
      <w:r w:rsidRPr="003C464D">
        <w:rPr>
          <w:rStyle w:val="HideTWBExt"/>
        </w:rPr>
        <w:t>&lt;NoDocSe&gt;</w:t>
      </w:r>
      <w:r w:rsidRPr="003C464D">
        <w:t>A10-0264/2025</w:t>
      </w:r>
      <w:r w:rsidRPr="003C464D">
        <w:rPr>
          <w:rStyle w:val="HideTWBExt"/>
        </w:rPr>
        <w:t>&lt;/NoDocSe&gt;</w:t>
      </w:r>
    </w:p>
    <w:p w14:paraId="118C52D6" w14:textId="4399B071" w:rsidR="005922F7" w:rsidRPr="003C464D" w:rsidRDefault="005922F7" w:rsidP="005922F7">
      <w:pPr>
        <w:pStyle w:val="CoverDate"/>
      </w:pPr>
      <w:r w:rsidRPr="003C464D">
        <w:rPr>
          <w:rStyle w:val="HideTWBExt"/>
        </w:rPr>
        <w:t>&lt;Date&gt;</w:t>
      </w:r>
      <w:r w:rsidRPr="003C464D">
        <w:rPr>
          <w:rStyle w:val="HideTWBInt"/>
        </w:rPr>
        <w:t>{12/12/2025}</w:t>
      </w:r>
      <w:r w:rsidRPr="003C464D">
        <w:t>12.12.2025</w:t>
      </w:r>
      <w:r w:rsidRPr="003C464D">
        <w:rPr>
          <w:rStyle w:val="HideTWBExt"/>
        </w:rPr>
        <w:t>&lt;/Date&gt;</w:t>
      </w:r>
    </w:p>
    <w:p w14:paraId="4F528687" w14:textId="0A56F9A2" w:rsidR="00142D49" w:rsidRPr="003C464D" w:rsidRDefault="00142D49">
      <w:pPr>
        <w:pStyle w:val="CoverDocType24a"/>
      </w:pPr>
      <w:r w:rsidRPr="003C464D">
        <w:rPr>
          <w:rStyle w:val="HideTWBExt"/>
          <w:b w:val="0"/>
        </w:rPr>
        <w:t>&lt;TitreType&gt;</w:t>
      </w:r>
      <w:r w:rsidRPr="003C464D">
        <w:t>JELENTÉS</w:t>
      </w:r>
      <w:r w:rsidRPr="003C464D">
        <w:rPr>
          <w:rStyle w:val="HideTWBExt"/>
          <w:b w:val="0"/>
        </w:rPr>
        <w:t>&lt;/TitreType&gt;</w:t>
      </w:r>
    </w:p>
    <w:p w14:paraId="2BFFB805" w14:textId="77777777" w:rsidR="00142D49" w:rsidRPr="003C464D" w:rsidRDefault="00142D49">
      <w:pPr>
        <w:pStyle w:val="CoverNormal"/>
      </w:pPr>
      <w:r w:rsidRPr="003C464D">
        <w:rPr>
          <w:rStyle w:val="HideTWBExt"/>
        </w:rPr>
        <w:t>&lt;Titre&gt;</w:t>
      </w:r>
      <w:r w:rsidRPr="003C464D">
        <w:t>Alessandra Moretti mentelmi jogának felfüggesztésére irányuló kérelemről</w:t>
      </w:r>
      <w:r w:rsidRPr="003C464D">
        <w:rPr>
          <w:rStyle w:val="HideTWBExt"/>
        </w:rPr>
        <w:t>&lt;/Titre&gt;</w:t>
      </w:r>
    </w:p>
    <w:p w14:paraId="0C435C87" w14:textId="77777777" w:rsidR="00142D49" w:rsidRPr="003C464D" w:rsidRDefault="00142D49">
      <w:pPr>
        <w:pStyle w:val="CoverNormal24a"/>
      </w:pPr>
      <w:r w:rsidRPr="003C464D">
        <w:rPr>
          <w:rStyle w:val="HideTWBExt"/>
        </w:rPr>
        <w:t>&lt;DocRef&gt;</w:t>
      </w:r>
      <w:r w:rsidRPr="003C464D">
        <w:t>(2025/2064(IMM))</w:t>
      </w:r>
      <w:r w:rsidRPr="003C464D">
        <w:rPr>
          <w:rStyle w:val="HideTWBExt"/>
        </w:rPr>
        <w:t>&lt;/DocRef&gt;</w:t>
      </w:r>
    </w:p>
    <w:p w14:paraId="0F41702D" w14:textId="77777777" w:rsidR="00142D49" w:rsidRPr="003C464D" w:rsidRDefault="00142D49">
      <w:pPr>
        <w:pStyle w:val="CoverNormal24a"/>
      </w:pPr>
      <w:r w:rsidRPr="003C464D">
        <w:rPr>
          <w:rStyle w:val="HideTWBExt"/>
        </w:rPr>
        <w:t>&lt;Commission&gt;</w:t>
      </w:r>
      <w:r w:rsidRPr="003C464D">
        <w:rPr>
          <w:rStyle w:val="HideTWBInt"/>
        </w:rPr>
        <w:t>{JURI}</w:t>
      </w:r>
      <w:r w:rsidRPr="003C464D">
        <w:t>Jogi Bizottság</w:t>
      </w:r>
      <w:r w:rsidRPr="003C464D">
        <w:rPr>
          <w:rStyle w:val="HideTWBExt"/>
        </w:rPr>
        <w:t>&lt;/Commission&gt;</w:t>
      </w:r>
    </w:p>
    <w:p w14:paraId="5C792C9D" w14:textId="77777777" w:rsidR="00142D49" w:rsidRPr="003C464D" w:rsidRDefault="00F33829">
      <w:pPr>
        <w:pStyle w:val="CoverNormal24a"/>
      </w:pPr>
      <w:r w:rsidRPr="003C464D">
        <w:t xml:space="preserve">Előadó: </w:t>
      </w:r>
      <w:r w:rsidRPr="003C464D">
        <w:rPr>
          <w:rStyle w:val="HideTWBExt"/>
        </w:rPr>
        <w:t>&lt;Depute&gt;</w:t>
      </w:r>
      <w:r w:rsidRPr="003C464D">
        <w:t>Marcin Sypniewski</w:t>
      </w:r>
      <w:r w:rsidRPr="003C464D">
        <w:rPr>
          <w:rStyle w:val="HideTWBExt"/>
        </w:rPr>
        <w:t>&lt;/Depute&gt;</w:t>
      </w:r>
    </w:p>
    <w:p w14:paraId="2FB15AB4" w14:textId="77777777" w:rsidR="0006105E" w:rsidRPr="003C464D" w:rsidRDefault="0006105E" w:rsidP="0006105E">
      <w:pPr>
        <w:pStyle w:val="CoverNormal"/>
      </w:pPr>
    </w:p>
    <w:p w14:paraId="41F172CC" w14:textId="77777777" w:rsidR="00142D49" w:rsidRPr="003C464D" w:rsidRDefault="00142D49" w:rsidP="00DF74F0">
      <w:pPr>
        <w:widowControl/>
        <w:tabs>
          <w:tab w:val="center" w:pos="4677"/>
        </w:tabs>
      </w:pPr>
      <w:r w:rsidRPr="003C464D">
        <w:br w:type="page"/>
      </w:r>
      <w:r w:rsidRPr="003C464D">
        <w:lastRenderedPageBreak/>
        <w:t>PR_IMM_Waiver</w:t>
      </w:r>
    </w:p>
    <w:p w14:paraId="66CDD9EB" w14:textId="77777777" w:rsidR="00142D49" w:rsidRPr="003C464D" w:rsidRDefault="00F33829">
      <w:pPr>
        <w:pStyle w:val="TOCHeading"/>
      </w:pPr>
      <w:r w:rsidRPr="003C464D">
        <w:t>TARTALOM</w:t>
      </w:r>
    </w:p>
    <w:p w14:paraId="022DF619" w14:textId="77777777" w:rsidR="00142D49" w:rsidRPr="003C464D" w:rsidRDefault="00F33829">
      <w:pPr>
        <w:pStyle w:val="TOCPage"/>
      </w:pPr>
      <w:r w:rsidRPr="003C464D">
        <w:t>Oldal</w:t>
      </w:r>
    </w:p>
    <w:p w14:paraId="06876DC3" w14:textId="2D44CAF2" w:rsidR="007153E8"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C464D">
        <w:fldChar w:fldCharType="begin"/>
      </w:r>
      <w:r w:rsidRPr="003C464D">
        <w:instrText xml:space="preserve"> TOC \t "PageHeading</w:instrText>
      </w:r>
      <w:r w:rsidR="007153E8">
        <w:instrText>;</w:instrText>
      </w:r>
      <w:r w:rsidRPr="003C464D">
        <w:instrText xml:space="preserve">1" </w:instrText>
      </w:r>
      <w:r w:rsidRPr="003C464D">
        <w:fldChar w:fldCharType="separate"/>
      </w:r>
      <w:r w:rsidR="007153E8">
        <w:rPr>
          <w:noProof/>
        </w:rPr>
        <w:t>AZ EURÓPAI PARLAMENT HATÁROZATÁRA IRÁNYULÓ JAVASLAT</w:t>
      </w:r>
      <w:r w:rsidR="007153E8">
        <w:rPr>
          <w:noProof/>
        </w:rPr>
        <w:tab/>
      </w:r>
      <w:r w:rsidR="007153E8">
        <w:rPr>
          <w:noProof/>
        </w:rPr>
        <w:fldChar w:fldCharType="begin"/>
      </w:r>
      <w:r w:rsidR="007153E8">
        <w:rPr>
          <w:noProof/>
        </w:rPr>
        <w:instrText xml:space="preserve"> PAGEREF _Toc216704237 \h </w:instrText>
      </w:r>
      <w:r w:rsidR="007153E8">
        <w:rPr>
          <w:noProof/>
        </w:rPr>
      </w:r>
      <w:r w:rsidR="007153E8">
        <w:rPr>
          <w:noProof/>
        </w:rPr>
        <w:fldChar w:fldCharType="separate"/>
      </w:r>
      <w:r w:rsidR="007153E8">
        <w:rPr>
          <w:noProof/>
        </w:rPr>
        <w:t>3</w:t>
      </w:r>
      <w:r w:rsidR="007153E8">
        <w:rPr>
          <w:noProof/>
        </w:rPr>
        <w:fldChar w:fldCharType="end"/>
      </w:r>
    </w:p>
    <w:p w14:paraId="148A7356" w14:textId="4FD00828" w:rsidR="007153E8" w:rsidRDefault="007153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INFORMÁCIÓ AZ ILLETÉKES BIZOTTSÁG ÁLTALI ELFOGADÁSRÓL</w:t>
      </w:r>
      <w:r>
        <w:rPr>
          <w:noProof/>
        </w:rPr>
        <w:tab/>
      </w:r>
      <w:r>
        <w:rPr>
          <w:noProof/>
        </w:rPr>
        <w:fldChar w:fldCharType="begin"/>
      </w:r>
      <w:r>
        <w:rPr>
          <w:noProof/>
        </w:rPr>
        <w:instrText xml:space="preserve"> PAGEREF _Toc216704238 \h </w:instrText>
      </w:r>
      <w:r>
        <w:rPr>
          <w:noProof/>
        </w:rPr>
      </w:r>
      <w:r>
        <w:rPr>
          <w:noProof/>
        </w:rPr>
        <w:fldChar w:fldCharType="separate"/>
      </w:r>
      <w:r>
        <w:rPr>
          <w:noProof/>
        </w:rPr>
        <w:t>6</w:t>
      </w:r>
      <w:r>
        <w:rPr>
          <w:noProof/>
        </w:rPr>
        <w:fldChar w:fldCharType="end"/>
      </w:r>
    </w:p>
    <w:p w14:paraId="116DDC19" w14:textId="1E776523" w:rsidR="0006105E" w:rsidRPr="003C464D" w:rsidRDefault="00142D49" w:rsidP="00273EFB">
      <w:r w:rsidRPr="003C464D">
        <w:fldChar w:fldCharType="end"/>
      </w:r>
    </w:p>
    <w:p w14:paraId="3EA16CA5" w14:textId="77777777" w:rsidR="00142D49" w:rsidRPr="003C464D" w:rsidRDefault="00142D49">
      <w:pPr>
        <w:pStyle w:val="PageHeading"/>
      </w:pPr>
      <w:r w:rsidRPr="003C464D">
        <w:br w:type="page"/>
      </w:r>
      <w:bookmarkStart w:id="0" w:name="_Toc216704237"/>
      <w:r w:rsidRPr="003C464D">
        <w:t>AZ EURÓPAI PARLAMENT HATÁROZATÁRA IRÁNYULÓ JAVASLAT</w:t>
      </w:r>
      <w:bookmarkEnd w:id="0"/>
    </w:p>
    <w:p w14:paraId="51D1CD4F" w14:textId="77777777" w:rsidR="00142D49" w:rsidRPr="003C464D" w:rsidRDefault="00F33829">
      <w:pPr>
        <w:pStyle w:val="NormalBold"/>
      </w:pPr>
      <w:r w:rsidRPr="003C464D">
        <w:t>Alessandra Moretti mentelmi jogának felfüggesztésére irányuló kérelemről</w:t>
      </w:r>
    </w:p>
    <w:p w14:paraId="78BE2198" w14:textId="77777777" w:rsidR="00142D49" w:rsidRPr="003C464D" w:rsidRDefault="00F33829" w:rsidP="00FD1F04">
      <w:pPr>
        <w:pStyle w:val="NormalBold"/>
      </w:pPr>
      <w:r w:rsidRPr="003C464D">
        <w:t>(2025/2064(IMM))</w:t>
      </w:r>
    </w:p>
    <w:p w14:paraId="311BB284" w14:textId="77777777" w:rsidR="00142D49" w:rsidRPr="003C464D" w:rsidRDefault="00F33829" w:rsidP="00FD1F04">
      <w:pPr>
        <w:pStyle w:val="EPComma"/>
      </w:pPr>
      <w:r w:rsidRPr="003C464D">
        <w:rPr>
          <w:i/>
          <w:iCs/>
        </w:rPr>
        <w:t>Az Európai Parlament</w:t>
      </w:r>
      <w:r w:rsidRPr="003C464D">
        <w:t>,</w:t>
      </w:r>
    </w:p>
    <w:p w14:paraId="0E9C33D2" w14:textId="39F7A15C" w:rsidR="00DF248B" w:rsidRPr="003C464D" w:rsidRDefault="00142D49" w:rsidP="00DF248B">
      <w:pPr>
        <w:pStyle w:val="NormalHanging12a"/>
      </w:pPr>
      <w:r w:rsidRPr="003C464D">
        <w:t>–</w:t>
      </w:r>
      <w:r w:rsidRPr="003C464D">
        <w:tab/>
        <w:t>tekintettel az Alessandra Moretti mentelmi jogának felfüggesztésére irányuló kérelemre, amely a belga szövetségi külügyi, külkereskedelmi és fejlesztési együttműködési minisztérium protokollszolgálatának 2025. február 27-i levelében érkezett, amelyben továbbították a belga szövetségi ügyészségnek az Alessandra Moretti ellen folytatott büntetőeljárással összefüggésben benyújtott kérelmét, és amelyet 2025. március 10-én a Parlamentben jelentettek be,</w:t>
      </w:r>
    </w:p>
    <w:p w14:paraId="197CA5CE" w14:textId="0DCB4516" w:rsidR="00DF248B" w:rsidRPr="003C464D" w:rsidRDefault="00DF248B" w:rsidP="00DF248B">
      <w:pPr>
        <w:pStyle w:val="NormalHanging12a"/>
      </w:pPr>
      <w:r w:rsidRPr="003C464D">
        <w:t>–</w:t>
      </w:r>
      <w:r w:rsidRPr="003C464D">
        <w:tab/>
        <w:t>miután eljárási szabályzata 9. cikke (6) bekezdésének megfelelően 2025. június 4-én meghallgatta Alessandra Morettit, továbbá tekintettel az általa benyújtott dokumentumokra,</w:t>
      </w:r>
    </w:p>
    <w:p w14:paraId="5DF1913F" w14:textId="77777777" w:rsidR="00DF248B" w:rsidRPr="003C464D" w:rsidRDefault="00DF248B" w:rsidP="00DF248B">
      <w:pPr>
        <w:pStyle w:val="NormalHanging12a"/>
      </w:pPr>
      <w:r w:rsidRPr="003C464D">
        <w:t>–</w:t>
      </w:r>
      <w:r w:rsidRPr="003C464D">
        <w:tab/>
        <w:t xml:space="preserve">tekintettel a belga szövetségi ügyészség által benyújtott kiegészítő információkra, </w:t>
      </w:r>
    </w:p>
    <w:p w14:paraId="175E0DAF" w14:textId="4A261E41" w:rsidR="00DF248B" w:rsidRPr="003C464D" w:rsidRDefault="00DF248B" w:rsidP="00DF248B">
      <w:pPr>
        <w:pStyle w:val="NormalHanging12a"/>
      </w:pPr>
      <w:r w:rsidRPr="003C464D">
        <w:t>–</w:t>
      </w:r>
      <w:r w:rsidRPr="003C464D">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0E3FA65A" w14:textId="7C2E4062" w:rsidR="00DF248B" w:rsidRPr="003C464D" w:rsidRDefault="00DF248B" w:rsidP="00DF248B">
      <w:pPr>
        <w:pStyle w:val="NormalHanging12a"/>
      </w:pPr>
      <w:r w:rsidRPr="003C464D">
        <w:t>–</w:t>
      </w:r>
      <w:r w:rsidRPr="003C464D">
        <w:tab/>
        <w:t>tekintettel az Európai Unió Bírósága által 2008. október 21-én, 2010. március 19-én, 2011. szeptember 6-án, 2013. január 17-én, 2019. december 19-én és 2023. július 5-én hozott ítéletekre</w:t>
      </w:r>
      <w:r w:rsidRPr="003C464D">
        <w:rPr>
          <w:rStyle w:val="FootnoteReference"/>
        </w:rPr>
        <w:footnoteReference w:id="1"/>
      </w:r>
      <w:r w:rsidRPr="003C464D">
        <w:t>,</w:t>
      </w:r>
    </w:p>
    <w:p w14:paraId="3ADD91E1" w14:textId="77777777" w:rsidR="00DF248B" w:rsidRPr="003C464D" w:rsidRDefault="00DF248B" w:rsidP="00DF248B">
      <w:pPr>
        <w:pStyle w:val="NormalHanging12a"/>
        <w:jc w:val="both"/>
      </w:pPr>
      <w:r w:rsidRPr="003C464D">
        <w:t>–</w:t>
      </w:r>
      <w:r w:rsidRPr="003C464D">
        <w:tab/>
        <w:t>tekintettel eljárási szabályzata 5. cikkének (2) bekezdésére, 6. cikkének (1) bekezdésére és 9. cikkére,</w:t>
      </w:r>
    </w:p>
    <w:p w14:paraId="61322DA4" w14:textId="50E89758" w:rsidR="00DF248B" w:rsidRPr="003C464D" w:rsidRDefault="00DF248B" w:rsidP="00DF248B">
      <w:pPr>
        <w:pStyle w:val="NormalHanging12a"/>
        <w:jc w:val="both"/>
      </w:pPr>
      <w:r w:rsidRPr="003C464D">
        <w:t>–</w:t>
      </w:r>
      <w:r w:rsidRPr="003C464D">
        <w:tab/>
        <w:t>tekintettel a Jogi Bizottság jelentésére (A10–0264/2025),</w:t>
      </w:r>
    </w:p>
    <w:p w14:paraId="5D0DE2AA" w14:textId="1BE40E81" w:rsidR="00DF248B" w:rsidRPr="003C464D" w:rsidRDefault="00DF248B" w:rsidP="00DF248B">
      <w:pPr>
        <w:pStyle w:val="NormalHanging12a"/>
        <w:jc w:val="both"/>
      </w:pPr>
      <w:r w:rsidRPr="003C464D">
        <w:t>A.</w:t>
      </w:r>
      <w:r w:rsidRPr="003C464D">
        <w:tab/>
        <w:t xml:space="preserve">mivel a belga szövetségi ügyészség egy Alessandra Morettivel szemben indítandó büntetőeljárással összefüggésben </w:t>
      </w:r>
      <w:bookmarkStart w:id="1" w:name="_Hlk210982066"/>
      <w:r w:rsidRPr="003C464D">
        <w:t>2025. február 27-én</w:t>
      </w:r>
      <w:bookmarkEnd w:id="1"/>
      <w:r w:rsidRPr="003C464D">
        <w:t xml:space="preserve"> kérte az Olaszországban megválasztott európai parlamenti képviselő mentelmi jogának felfüggesztését;</w:t>
      </w:r>
    </w:p>
    <w:p w14:paraId="78BD77C9" w14:textId="5C37DC66" w:rsidR="00DF248B" w:rsidRPr="003C464D" w:rsidRDefault="00DF248B" w:rsidP="00DF248B">
      <w:pPr>
        <w:pStyle w:val="NormalHanging12a"/>
        <w:jc w:val="both"/>
      </w:pPr>
      <w:r w:rsidRPr="003C464D">
        <w:t>B.</w:t>
      </w:r>
      <w:r w:rsidRPr="003C464D">
        <w:tab/>
        <w:t xml:space="preserve">mivel az úgynevezett Katargate-ügy kapcsán folyamatban lévő vizsgálat állítólag feltárta egy uniós intézményeken – elsősorban az Európai Parlamenten – belüli bűnszervezet létezését, amelynek célja, hogy a képviselőket megvesztegetve egyes harmadik országok geopolitikai érdekei szerint befolyást gyakoroljon a Parlament döntéshozatali folyamatára; </w:t>
      </w:r>
    </w:p>
    <w:p w14:paraId="17A946AB" w14:textId="2BA4A719" w:rsidR="00DF248B" w:rsidRPr="003C464D" w:rsidRDefault="00DF248B" w:rsidP="00DF248B">
      <w:pPr>
        <w:pStyle w:val="NormalHanging12a"/>
        <w:jc w:val="both"/>
      </w:pPr>
      <w:r w:rsidRPr="003C464D">
        <w:t>C.</w:t>
      </w:r>
      <w:r w:rsidRPr="003C464D">
        <w:tab/>
        <w:t xml:space="preserve">mivel a vizsgálat arra enged következtetni, hogy Alessandra Moretti állítólag számos konkrét előnyt is kínált, fogadott el, sőt maga is kért. mivel a belga szövetségi ügyész által szolgáltatott információk szerint az Alessandra Moretti által kért és/vagy elfogadott konkrét előnyökre vonatkozóan állítólag számos, különböző típusú bizonyítékot gyűjtöttek a társvádlottól és a vizsgálat alatt álló más gyanúsítottaktól; mivel ezeket a bizonyítékokat állítólag a rendőrség több ténymegállapítása is megerősítette; mivel e konkrét előnyökért cserébe Alessandra Moretti állítólag olyan eseményeken vagy találkozókon vett részt, amelyeken Katar mellett szólalt fel, miután állítólag nemcsak passzívan kapott utasításokat, hanem aktívan tanácsot kért arra vonatkozóan, hogy milyen lépéseket tegyen, továbbá hogy hol és mikor milyen mondatokat közöljön beszédeiben; mivel állítólag proaktívan felvette a kapcsolatot más képviselőkkel is, felajánlva, hogy a Katarral kapcsolatos bizonyos szavazások során helyettesíti őket; </w:t>
      </w:r>
    </w:p>
    <w:p w14:paraId="5408D048" w14:textId="1F741AF1" w:rsidR="00DF248B" w:rsidRPr="003C464D" w:rsidRDefault="00DF248B" w:rsidP="00DF248B">
      <w:pPr>
        <w:pStyle w:val="NormalHanging12a"/>
      </w:pPr>
      <w:r w:rsidRPr="003C464D">
        <w:t>D.</w:t>
      </w:r>
      <w:r w:rsidRPr="003C464D">
        <w:tab/>
        <w:t xml:space="preserve">mivel Alessandra Morettit ezért azzal gyanúsítják, hogy 2019. július 1. és 2022. december 10. között állítólag olyan jogellenes cselekményeket követett el, amelyek a belga jog szerint bűnszervezet tevékenységében való részvételnek és hivatali vesztegetés elfogadásának, a belga büntető törvénykönyv 324a. és 324b. cikke szerinti bűncselekményeknek, illetve a belga büntető törvénykönyv 246–250. cikke szerinti bűncselekményeknek minősülhetnek; </w:t>
      </w:r>
    </w:p>
    <w:p w14:paraId="712B42E7" w14:textId="77777777" w:rsidR="00DF248B" w:rsidRPr="003C464D" w:rsidRDefault="00DF248B" w:rsidP="00DF248B">
      <w:pPr>
        <w:pStyle w:val="NormalHanging12a"/>
        <w:jc w:val="both"/>
      </w:pPr>
      <w:r w:rsidRPr="003C464D">
        <w:t>E.</w:t>
      </w:r>
      <w:r w:rsidRPr="003C464D">
        <w:tab/>
        <w:t>mivel egyrészről a Parlamentet nem lehet bírósághoz hasonlítani, másrészről pedig a mentelmi jog felfüggesztésére irányuló eljárásban az érintett képviselő nem tekinthető „vádlottnak”</w:t>
      </w:r>
      <w:r w:rsidRPr="003C464D">
        <w:rPr>
          <w:rStyle w:val="FootnoteReference"/>
        </w:rPr>
        <w:footnoteReference w:id="2"/>
      </w:r>
      <w:r w:rsidRPr="003C464D">
        <w:t>;</w:t>
      </w:r>
    </w:p>
    <w:p w14:paraId="23B29593" w14:textId="77777777" w:rsidR="00DF248B" w:rsidRPr="003C464D" w:rsidRDefault="00DF248B" w:rsidP="00DF248B">
      <w:pPr>
        <w:pStyle w:val="NormalHanging12a"/>
      </w:pPr>
      <w:r w:rsidRPr="003C464D">
        <w:t>F.</w:t>
      </w:r>
      <w:r w:rsidRPr="003C464D">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1520F369" w14:textId="6C87242B" w:rsidR="00DF248B" w:rsidRPr="003C464D" w:rsidRDefault="00DF248B" w:rsidP="00DF248B">
      <w:pPr>
        <w:pStyle w:val="NormalHanging12a"/>
      </w:pPr>
      <w:r w:rsidRPr="003C464D">
        <w:t>G.</w:t>
      </w:r>
      <w:r w:rsidRPr="003C464D">
        <w:tab/>
        <w:t>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 mivel az Európai Unió kiváltságairól és mentességeiről szóló 7. jegyzőkönyv 8. cikke az európai parlamenti képviselők szabad véleménynyilvánításának és függetlenségének védelmére irányuló különös rendelkezést képez</w:t>
      </w:r>
      <w:r w:rsidRPr="003C464D">
        <w:rPr>
          <w:rStyle w:val="FootnoteReference"/>
        </w:rPr>
        <w:footnoteReference w:id="3"/>
      </w:r>
      <w:r w:rsidRPr="003C464D">
        <w:t>; mivel az állítások bűnszervezet tevékenységében való állítólagos részvétellel és hivatali vesztegetés állítólagos elfogadásával kapcsolatosak, amelyek – tekintettel az Európai Unió kiváltságairól és mentességeiről szóló 7. jegyzőkönyv 8. cikkének céljára és szövegére – nem tekinthetők Alessandra Moretti által a tisztségének gyakorlása során kifejtett véleménynek vagy leadott szavazatnak;</w:t>
      </w:r>
    </w:p>
    <w:p w14:paraId="2C26AFCE" w14:textId="77777777" w:rsidR="00DF248B" w:rsidRPr="003C464D" w:rsidRDefault="00DF248B" w:rsidP="00DF248B">
      <w:pPr>
        <w:pStyle w:val="NormalHanging12a"/>
      </w:pPr>
      <w:r w:rsidRPr="003C464D">
        <w:t>H.</w:t>
      </w:r>
      <w:r w:rsidRPr="003C464D">
        <w:tab/>
        <w:t xml:space="preserve">mivel az állítólagos bűncselekmények nem minősülnek az Alessandra Moretti által az Európai Unió kiváltságairól és mentességeiről szóló 7. jegyzőkönyv 8. cikkének értelmében vett feladatai ellátása során kifejtett véleménynek vagy leadott szavazatnak, és az Alessandra Moretti mentelmi jogának felfüggesztésére irányuló kérelem sem kapcsolódik ilyenhez; </w:t>
      </w:r>
    </w:p>
    <w:p w14:paraId="63332F33" w14:textId="77777777" w:rsidR="00DF248B" w:rsidRPr="003C464D" w:rsidRDefault="00DF248B" w:rsidP="00DF248B">
      <w:pPr>
        <w:pStyle w:val="NormalHanging12a"/>
      </w:pPr>
      <w:r w:rsidRPr="003C464D">
        <w:t>I.</w:t>
      </w:r>
      <w:r w:rsidRPr="003C464D">
        <w:tab/>
        <w:t>mivel az Európai Unió kiváltságairól és mentességeiről szóló 7. jegyzőkönyv 9. cikke első bekezdésének b) pontja szerint az európai parlamenti képviselők a saját államuktól eltérő bármely tagállam területén minden fogvatartási intézkedés és bírósági eljárás alól mentességet élveznek;</w:t>
      </w:r>
    </w:p>
    <w:p w14:paraId="3DA6AEAA" w14:textId="5B1325EE" w:rsidR="00DF248B" w:rsidRPr="003C464D" w:rsidRDefault="00DF248B" w:rsidP="00DF248B">
      <w:pPr>
        <w:pStyle w:val="NormalHanging12a"/>
      </w:pPr>
      <w:r w:rsidRPr="003C464D">
        <w:t xml:space="preserve">J. </w:t>
      </w:r>
      <w:r w:rsidRPr="003C464D">
        <w:tab/>
        <w:t>mivel eljárási szabályzata 5. cikkének (2) bekezdésével összhangban a parlamenti mentelmi jog nem a képviselők személyes kiváltsága, hanem a teljes Európai Parlament és az egyes képviselők függetlenségének biztosítéka;</w:t>
      </w:r>
    </w:p>
    <w:p w14:paraId="3E878241" w14:textId="6EB4DC20" w:rsidR="00DF248B" w:rsidRPr="003C464D" w:rsidRDefault="00DF248B" w:rsidP="00DF248B">
      <w:pPr>
        <w:pStyle w:val="NormalHanging12a"/>
      </w:pPr>
      <w:r w:rsidRPr="003C464D">
        <w:t>K.</w:t>
      </w:r>
      <w:r w:rsidRPr="003C464D">
        <w:tab/>
        <w:t>mivel a kérelem szerint mélyreható, összetett és időigényes vizsgálóbírói vizsgálat megindítására került sor, amelyben többek között számos személy vett részt, és vizsgálati feladatokat Belgiumon kívül, többek között az Unión kívül is végeztek, és jelentős mennyiségű számítógépes berendezést foglaltak le, és elemezték azok tartalmát; mivel a folyamatban lévő vizsgálat nem csupán Alessandra Morettit, hanem több személyt, köztük európai parlamenti képviselőket is érint; mivel ezért úgy tűnik, hogy az Alessandra Moretti mentelmi jogának felfüggesztésére irányuló kérelmet nem politikai tevékenysége aláásásának szándékával, hanem inkább a fent említett mélyreható és összetett vizsgálóbírói vizsgálat eredményeként nyújtották be;</w:t>
      </w:r>
    </w:p>
    <w:p w14:paraId="6F9CD0ED" w14:textId="2A8C8E98" w:rsidR="00DF248B" w:rsidRPr="003C464D" w:rsidRDefault="00DF248B" w:rsidP="00DF248B">
      <w:pPr>
        <w:pStyle w:val="NormalHanging12a"/>
      </w:pPr>
      <w:r w:rsidRPr="003C464D">
        <w:t>L.</w:t>
      </w:r>
      <w:r w:rsidRPr="003C464D">
        <w:tab/>
        <w:t xml:space="preserve">mivel a Parlament nem talált bizonyítékot a </w:t>
      </w:r>
      <w:r w:rsidRPr="003C464D">
        <w:rPr>
          <w:i/>
          <w:iCs/>
        </w:rPr>
        <w:t>fumus persecutionis</w:t>
      </w:r>
      <w:r w:rsidRPr="003C464D">
        <w:t>-ra, azaz arra, hogy gyanú állna fenn arra vonatkozóan, hogy a szóban forgó eljárás mögött az a szándék húzódik meg, hogy aláássák Alessandra Moretti európai parlamenti képviselőként folytatott politikai tevékenységét;</w:t>
      </w:r>
    </w:p>
    <w:p w14:paraId="6E0801B7" w14:textId="77777777" w:rsidR="00DF248B" w:rsidRPr="003C464D" w:rsidRDefault="00DF248B" w:rsidP="00DF248B">
      <w:pPr>
        <w:pStyle w:val="NormalHanging12a"/>
        <w:jc w:val="both"/>
      </w:pPr>
      <w:r w:rsidRPr="003C464D">
        <w:t>1.</w:t>
      </w:r>
      <w:r w:rsidRPr="003C464D">
        <w:tab/>
        <w:t>úgy határoz, hogy felfüggeszti Alessandra Moretti mentelmi jogát;</w:t>
      </w:r>
    </w:p>
    <w:p w14:paraId="4436BFCB" w14:textId="02715902" w:rsidR="00DF248B" w:rsidRPr="003C464D" w:rsidRDefault="00DF248B" w:rsidP="00035C23">
      <w:pPr>
        <w:pStyle w:val="NormalHanging12a"/>
      </w:pPr>
      <w:r w:rsidRPr="003C464D">
        <w:t>2.</w:t>
      </w:r>
      <w:r w:rsidRPr="003C464D">
        <w:tab/>
        <w:t>utasítja elnökét, hogy haladéktalanul továbbítsa ezt a határozatot és illetékes bizottsága jelentését a Belga Királyság illetékes hatóságának és Alessandra Morettinek.</w:t>
      </w:r>
    </w:p>
    <w:p w14:paraId="5170647D" w14:textId="7A8E286B" w:rsidR="00035C23" w:rsidRPr="003C464D" w:rsidRDefault="00035C23" w:rsidP="00F306AC"/>
    <w:p w14:paraId="13B0D0D7" w14:textId="77777777" w:rsidR="000B0123" w:rsidRPr="003C464D" w:rsidRDefault="000B0123" w:rsidP="00F306AC">
      <w:pPr>
        <w:sectPr w:rsidR="000B0123" w:rsidRPr="003C464D" w:rsidSect="003C464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3C464D" w:rsidRDefault="00F306AC" w:rsidP="00F306AC">
      <w:pPr>
        <w:pStyle w:val="PageHeading"/>
      </w:pPr>
      <w:bookmarkStart w:id="2" w:name="ProcPageRR"/>
      <w:bookmarkStart w:id="3" w:name="_Toc216704238"/>
      <w:r w:rsidRPr="003C464D">
        <w:t>INFORMÁCIÓ AZ ILLETÉKES BIZOTTSÁG ÁLTALI ELFOGADÁSRÓL</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3C464D"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3C464D" w:rsidRDefault="00F306AC">
            <w:pPr>
              <w:autoSpaceDE w:val="0"/>
              <w:autoSpaceDN w:val="0"/>
              <w:adjustRightInd w:val="0"/>
              <w:rPr>
                <w:b/>
                <w:bCs/>
                <w:color w:val="000000"/>
                <w:sz w:val="20"/>
              </w:rPr>
            </w:pPr>
            <w:r w:rsidRPr="003C464D">
              <w:rPr>
                <w:b/>
                <w:color w:val="000000"/>
                <w:sz w:val="20"/>
              </w:rPr>
              <w:t>Az elfogadás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3C464D" w:rsidRDefault="00F306AC">
            <w:pPr>
              <w:autoSpaceDE w:val="0"/>
              <w:autoSpaceDN w:val="0"/>
              <w:adjustRightInd w:val="0"/>
              <w:rPr>
                <w:color w:val="000000"/>
                <w:sz w:val="20"/>
              </w:rPr>
            </w:pPr>
            <w:r w:rsidRPr="003C464D">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3C464D"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3C464D"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3C464D" w:rsidRDefault="00F306AC">
            <w:pPr>
              <w:autoSpaceDE w:val="0"/>
              <w:autoSpaceDN w:val="0"/>
              <w:adjustRightInd w:val="0"/>
              <w:rPr>
                <w:rFonts w:ascii="sans-serif" w:hAnsi="sans-serif" w:cs="sans-serif"/>
                <w:color w:val="000000"/>
              </w:rPr>
            </w:pPr>
          </w:p>
        </w:tc>
      </w:tr>
      <w:tr w:rsidR="00F306AC" w:rsidRPr="003C464D"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3C464D" w:rsidRDefault="00F306AC">
            <w:pPr>
              <w:autoSpaceDE w:val="0"/>
              <w:autoSpaceDN w:val="0"/>
              <w:adjustRightInd w:val="0"/>
              <w:rPr>
                <w:b/>
                <w:bCs/>
                <w:color w:val="000000"/>
                <w:sz w:val="20"/>
              </w:rPr>
            </w:pPr>
            <w:r w:rsidRPr="003C464D">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3C464D" w:rsidRDefault="00F306AC">
            <w:pPr>
              <w:autoSpaceDE w:val="0"/>
              <w:autoSpaceDN w:val="0"/>
              <w:adjustRightInd w:val="0"/>
              <w:rPr>
                <w:color w:val="000000"/>
                <w:sz w:val="20"/>
              </w:rPr>
            </w:pPr>
            <w:r w:rsidRPr="003C464D">
              <w:rPr>
                <w:color w:val="000000"/>
                <w:sz w:val="20"/>
              </w:rPr>
              <w:t>+:</w:t>
            </w:r>
          </w:p>
          <w:p w14:paraId="05965491" w14:textId="77777777" w:rsidR="00F306AC" w:rsidRPr="003C464D" w:rsidRDefault="00F306AC">
            <w:pPr>
              <w:autoSpaceDE w:val="0"/>
              <w:autoSpaceDN w:val="0"/>
              <w:adjustRightInd w:val="0"/>
              <w:rPr>
                <w:color w:val="000000"/>
                <w:sz w:val="20"/>
              </w:rPr>
            </w:pPr>
            <w:r w:rsidRPr="003C464D">
              <w:rPr>
                <w:color w:val="000000"/>
                <w:sz w:val="20"/>
              </w:rPr>
              <w:t>–:</w:t>
            </w:r>
          </w:p>
          <w:p w14:paraId="7336FB37" w14:textId="77777777" w:rsidR="00F306AC" w:rsidRPr="003C464D" w:rsidRDefault="00F306AC">
            <w:pPr>
              <w:autoSpaceDE w:val="0"/>
              <w:autoSpaceDN w:val="0"/>
              <w:adjustRightInd w:val="0"/>
              <w:rPr>
                <w:color w:val="000000"/>
                <w:sz w:val="20"/>
              </w:rPr>
            </w:pPr>
            <w:r w:rsidRPr="003C464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3C464D" w:rsidRDefault="00F306AC">
            <w:pPr>
              <w:autoSpaceDE w:val="0"/>
              <w:autoSpaceDN w:val="0"/>
              <w:adjustRightInd w:val="0"/>
              <w:rPr>
                <w:color w:val="000000"/>
                <w:sz w:val="20"/>
              </w:rPr>
            </w:pPr>
            <w:r w:rsidRPr="003C464D">
              <w:rPr>
                <w:color w:val="000000"/>
                <w:sz w:val="20"/>
              </w:rPr>
              <w:t>16</w:t>
            </w:r>
          </w:p>
          <w:p w14:paraId="6A208556" w14:textId="77777777" w:rsidR="00F306AC" w:rsidRPr="003C464D" w:rsidRDefault="00F306AC">
            <w:pPr>
              <w:autoSpaceDE w:val="0"/>
              <w:autoSpaceDN w:val="0"/>
              <w:adjustRightInd w:val="0"/>
              <w:rPr>
                <w:color w:val="000000"/>
                <w:sz w:val="20"/>
              </w:rPr>
            </w:pPr>
            <w:r w:rsidRPr="003C464D">
              <w:rPr>
                <w:color w:val="000000"/>
                <w:sz w:val="20"/>
              </w:rPr>
              <w:t>8</w:t>
            </w:r>
          </w:p>
          <w:p w14:paraId="7CA836C4" w14:textId="77777777" w:rsidR="00F306AC" w:rsidRPr="003C464D" w:rsidRDefault="00F306AC">
            <w:pPr>
              <w:autoSpaceDE w:val="0"/>
              <w:autoSpaceDN w:val="0"/>
              <w:adjustRightInd w:val="0"/>
              <w:rPr>
                <w:color w:val="000000"/>
                <w:sz w:val="20"/>
              </w:rPr>
            </w:pPr>
            <w:r w:rsidRPr="003C464D">
              <w:rPr>
                <w:color w:val="000000"/>
                <w:sz w:val="20"/>
              </w:rPr>
              <w:t>1</w:t>
            </w:r>
          </w:p>
        </w:tc>
      </w:tr>
      <w:tr w:rsidR="00F306AC" w:rsidRPr="003C464D"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3C464D" w:rsidRDefault="00F306AC">
            <w:pPr>
              <w:autoSpaceDE w:val="0"/>
              <w:autoSpaceDN w:val="0"/>
              <w:adjustRightInd w:val="0"/>
              <w:rPr>
                <w:b/>
                <w:bCs/>
                <w:color w:val="000000"/>
                <w:sz w:val="20"/>
              </w:rPr>
            </w:pPr>
            <w:r w:rsidRPr="003C464D">
              <w:rPr>
                <w:b/>
                <w:color w:val="000000"/>
                <w:sz w:val="20"/>
              </w:rPr>
              <w:t>A 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3C464D" w:rsidRDefault="00F306AC">
            <w:pPr>
              <w:autoSpaceDE w:val="0"/>
              <w:autoSpaceDN w:val="0"/>
              <w:adjustRightInd w:val="0"/>
              <w:rPr>
                <w:color w:val="000000"/>
                <w:sz w:val="20"/>
              </w:rPr>
            </w:pPr>
            <w:r w:rsidRPr="003C464D">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3C464D"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3C464D" w:rsidRDefault="00F306AC">
            <w:pPr>
              <w:autoSpaceDE w:val="0"/>
              <w:autoSpaceDN w:val="0"/>
              <w:adjustRightInd w:val="0"/>
              <w:rPr>
                <w:b/>
                <w:bCs/>
                <w:color w:val="000000"/>
                <w:sz w:val="20"/>
              </w:rPr>
            </w:pPr>
            <w:r w:rsidRPr="003C464D">
              <w:rPr>
                <w:b/>
                <w:color w:val="000000"/>
                <w:sz w:val="20"/>
              </w:rPr>
              <w:t>A zárószavazáson 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3C464D" w:rsidRDefault="00F306AC">
            <w:pPr>
              <w:autoSpaceDE w:val="0"/>
              <w:autoSpaceDN w:val="0"/>
              <w:adjustRightInd w:val="0"/>
              <w:rPr>
                <w:color w:val="000000"/>
                <w:sz w:val="20"/>
              </w:rPr>
            </w:pPr>
            <w:r w:rsidRPr="003C464D">
              <w:rPr>
                <w:color w:val="000000"/>
                <w:sz w:val="20"/>
              </w:rPr>
              <w:t>David Cormand, Arkadiusz Mularczyk, Gheorghe Piperea, Ernő Schaller-Baross, Alessandro Zan</w:t>
            </w:r>
          </w:p>
        </w:tc>
      </w:tr>
      <w:tr w:rsidR="00F306AC" w:rsidRPr="003C464D"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3C464D" w:rsidRDefault="00F306AC">
            <w:pPr>
              <w:autoSpaceDE w:val="0"/>
              <w:autoSpaceDN w:val="0"/>
              <w:adjustRightInd w:val="0"/>
              <w:rPr>
                <w:b/>
                <w:bCs/>
                <w:color w:val="000000"/>
                <w:sz w:val="20"/>
              </w:rPr>
            </w:pPr>
            <w:r w:rsidRPr="003C464D">
              <w:rPr>
                <w:b/>
                <w:color w:val="000000"/>
                <w:sz w:val="20"/>
              </w:rPr>
              <w:t>A zárószavazáson jelen lévő képviselők (216.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3C464D" w:rsidRDefault="00F306AC">
            <w:pPr>
              <w:autoSpaceDE w:val="0"/>
              <w:autoSpaceDN w:val="0"/>
              <w:adjustRightInd w:val="0"/>
              <w:rPr>
                <w:color w:val="000000"/>
                <w:sz w:val="20"/>
              </w:rPr>
            </w:pPr>
            <w:r w:rsidRPr="003C464D">
              <w:rPr>
                <w:color w:val="000000"/>
                <w:sz w:val="20"/>
              </w:rPr>
              <w:t>Ilia Lazarov</w:t>
            </w:r>
          </w:p>
        </w:tc>
      </w:tr>
    </w:tbl>
    <w:p w14:paraId="425C2323" w14:textId="77777777" w:rsidR="00F306AC" w:rsidRPr="003C464D" w:rsidRDefault="00F306AC"/>
    <w:bookmarkEnd w:id="2"/>
    <w:p w14:paraId="3AB18A2E" w14:textId="505D2F6F" w:rsidR="000B0123" w:rsidRPr="003C464D" w:rsidRDefault="000B0123" w:rsidP="00F306AC"/>
    <w:sectPr w:rsidR="000B0123" w:rsidRPr="003C464D"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3C464D" w:rsidRDefault="00F33829">
      <w:r w:rsidRPr="003C464D">
        <w:separator/>
      </w:r>
    </w:p>
  </w:endnote>
  <w:endnote w:type="continuationSeparator" w:id="0">
    <w:p w14:paraId="256FB70E" w14:textId="77777777" w:rsidR="00F33829" w:rsidRPr="003C464D" w:rsidRDefault="00F33829">
      <w:r w:rsidRPr="003C46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75CE" w14:textId="77777777" w:rsidR="003C464D" w:rsidRPr="003C464D" w:rsidRDefault="003C464D" w:rsidP="003C464D">
    <w:pPr>
      <w:pStyle w:val="EPFooter"/>
    </w:pPr>
    <w:r w:rsidRPr="003C464D">
      <w:t>PE</w:t>
    </w:r>
    <w:r w:rsidRPr="003C464D">
      <w:rPr>
        <w:rStyle w:val="HideTWBExt"/>
      </w:rPr>
      <w:t>&lt;NoPE&gt;</w:t>
    </w:r>
    <w:r w:rsidRPr="003C464D">
      <w:t>774.386</w:t>
    </w:r>
    <w:r w:rsidRPr="003C464D">
      <w:rPr>
        <w:rStyle w:val="HideTWBExt"/>
      </w:rPr>
      <w:t>&lt;/NoPE&gt;&lt;Version&gt;</w:t>
    </w:r>
    <w:r w:rsidRPr="003C464D">
      <w:t>v02-00</w:t>
    </w:r>
    <w:r w:rsidRPr="003C464D">
      <w:rPr>
        <w:rStyle w:val="HideTWBExt"/>
      </w:rPr>
      <w:t>&lt;/Version&gt;</w:t>
    </w:r>
    <w:r w:rsidRPr="003C464D">
      <w:tab/>
    </w:r>
    <w:r w:rsidRPr="003C464D">
      <w:fldChar w:fldCharType="begin"/>
    </w:r>
    <w:r w:rsidRPr="003C464D">
      <w:instrText xml:space="preserve"> PAGE  \* MERGEFORMAT </w:instrText>
    </w:r>
    <w:r w:rsidRPr="003C464D">
      <w:fldChar w:fldCharType="separate"/>
    </w:r>
    <w:r w:rsidRPr="003C464D">
      <w:rPr>
        <w:noProof/>
      </w:rPr>
      <w:t>6</w:t>
    </w:r>
    <w:r w:rsidRPr="003C464D">
      <w:fldChar w:fldCharType="end"/>
    </w:r>
    <w:r w:rsidRPr="003C464D">
      <w:t>/</w:t>
    </w:r>
    <w:fldSimple w:instr=" NUMPAGES  \* MERGEFORMAT ">
      <w:r w:rsidRPr="003C464D">
        <w:rPr>
          <w:noProof/>
        </w:rPr>
        <w:t>6</w:t>
      </w:r>
    </w:fldSimple>
    <w:r w:rsidRPr="003C464D">
      <w:tab/>
    </w:r>
    <w:r w:rsidRPr="003C464D">
      <w:rPr>
        <w:rStyle w:val="HideTWBExt"/>
      </w:rPr>
      <w:t>&lt;PathFdR&gt;</w:t>
    </w:r>
    <w:r w:rsidRPr="003C464D">
      <w:t>RR\1334156HU.docx</w:t>
    </w:r>
    <w:r w:rsidRPr="003C464D">
      <w:rPr>
        <w:rStyle w:val="HideTWBExt"/>
      </w:rPr>
      <w:t>&lt;/PathFdR&gt;</w:t>
    </w:r>
  </w:p>
  <w:p w14:paraId="50C2D638" w14:textId="560404BC" w:rsidR="0023430B" w:rsidRPr="003C464D" w:rsidRDefault="003C464D" w:rsidP="003C464D">
    <w:pPr>
      <w:pStyle w:val="EPFooter2"/>
    </w:pPr>
    <w:r w:rsidRPr="003C464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F707" w14:textId="77777777" w:rsidR="003C464D" w:rsidRPr="003C464D" w:rsidRDefault="003C464D" w:rsidP="003C464D">
    <w:pPr>
      <w:pStyle w:val="EPFooter"/>
    </w:pPr>
    <w:r w:rsidRPr="003C464D">
      <w:rPr>
        <w:rStyle w:val="HideTWBExt"/>
      </w:rPr>
      <w:t>&lt;PathFdR&gt;</w:t>
    </w:r>
    <w:r w:rsidRPr="003C464D">
      <w:t>RR\1334156HU.docx</w:t>
    </w:r>
    <w:r w:rsidRPr="003C464D">
      <w:rPr>
        <w:rStyle w:val="HideTWBExt"/>
      </w:rPr>
      <w:t>&lt;/PathFdR&gt;</w:t>
    </w:r>
    <w:r w:rsidRPr="003C464D">
      <w:tab/>
    </w:r>
    <w:r w:rsidRPr="003C464D">
      <w:fldChar w:fldCharType="begin"/>
    </w:r>
    <w:r w:rsidRPr="003C464D">
      <w:instrText xml:space="preserve"> PAGE  \* MERGEFORMAT </w:instrText>
    </w:r>
    <w:r w:rsidRPr="003C464D">
      <w:fldChar w:fldCharType="separate"/>
    </w:r>
    <w:r w:rsidRPr="003C464D">
      <w:rPr>
        <w:noProof/>
      </w:rPr>
      <w:t>5</w:t>
    </w:r>
    <w:r w:rsidRPr="003C464D">
      <w:fldChar w:fldCharType="end"/>
    </w:r>
    <w:r w:rsidRPr="003C464D">
      <w:t>/</w:t>
    </w:r>
    <w:fldSimple w:instr=" NUMPAGES  \* MERGEFORMAT ">
      <w:r w:rsidRPr="003C464D">
        <w:rPr>
          <w:noProof/>
        </w:rPr>
        <w:t>6</w:t>
      </w:r>
    </w:fldSimple>
    <w:r w:rsidRPr="003C464D">
      <w:tab/>
      <w:t>PE</w:t>
    </w:r>
    <w:r w:rsidRPr="003C464D">
      <w:rPr>
        <w:rStyle w:val="HideTWBExt"/>
      </w:rPr>
      <w:t>&lt;NoPE&gt;</w:t>
    </w:r>
    <w:r w:rsidRPr="003C464D">
      <w:t>774.386</w:t>
    </w:r>
    <w:r w:rsidRPr="003C464D">
      <w:rPr>
        <w:rStyle w:val="HideTWBExt"/>
      </w:rPr>
      <w:t>&lt;/NoPE&gt;&lt;Version&gt;</w:t>
    </w:r>
    <w:r w:rsidRPr="003C464D">
      <w:t>v02-00</w:t>
    </w:r>
    <w:r w:rsidRPr="003C464D">
      <w:rPr>
        <w:rStyle w:val="HideTWBExt"/>
      </w:rPr>
      <w:t>&lt;/Version&gt;</w:t>
    </w:r>
  </w:p>
  <w:p w14:paraId="49672603" w14:textId="761AD24B" w:rsidR="0023430B" w:rsidRPr="003C464D" w:rsidRDefault="003C464D" w:rsidP="003C464D">
    <w:pPr>
      <w:pStyle w:val="EPFooter2"/>
    </w:pPr>
    <w:r w:rsidRPr="003C464D">
      <w:tab/>
    </w:r>
    <w:r w:rsidRPr="003C464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CB03" w14:textId="77777777" w:rsidR="003C464D" w:rsidRPr="003C464D" w:rsidRDefault="003C464D" w:rsidP="003C464D">
    <w:pPr>
      <w:pStyle w:val="EPFooter"/>
    </w:pPr>
    <w:r w:rsidRPr="003C464D">
      <w:rPr>
        <w:rStyle w:val="HideTWBExt"/>
      </w:rPr>
      <w:t>&lt;PathFdR&gt;</w:t>
    </w:r>
    <w:r w:rsidRPr="003C464D">
      <w:t>RR\1334156HU.docx</w:t>
    </w:r>
    <w:r w:rsidRPr="003C464D">
      <w:rPr>
        <w:rStyle w:val="HideTWBExt"/>
      </w:rPr>
      <w:t>&lt;/PathFdR&gt;</w:t>
    </w:r>
    <w:r w:rsidRPr="003C464D">
      <w:tab/>
    </w:r>
    <w:r w:rsidRPr="003C464D">
      <w:tab/>
      <w:t>PE</w:t>
    </w:r>
    <w:r w:rsidRPr="003C464D">
      <w:rPr>
        <w:rStyle w:val="HideTWBExt"/>
      </w:rPr>
      <w:t>&lt;NoPE&gt;</w:t>
    </w:r>
    <w:r w:rsidRPr="003C464D">
      <w:t>774.386</w:t>
    </w:r>
    <w:r w:rsidRPr="003C464D">
      <w:rPr>
        <w:rStyle w:val="HideTWBExt"/>
      </w:rPr>
      <w:t>&lt;/NoPE&gt;&lt;Version&gt;</w:t>
    </w:r>
    <w:r w:rsidRPr="003C464D">
      <w:t>v02-00</w:t>
    </w:r>
    <w:r w:rsidRPr="003C464D">
      <w:rPr>
        <w:rStyle w:val="HideTWBExt"/>
      </w:rPr>
      <w:t>&lt;/Version&gt;</w:t>
    </w:r>
  </w:p>
  <w:p w14:paraId="61E518B9" w14:textId="3E2FE3E5" w:rsidR="0023430B" w:rsidRPr="003C464D" w:rsidRDefault="003C464D" w:rsidP="003C464D">
    <w:pPr>
      <w:pStyle w:val="EPFooter2"/>
    </w:pPr>
    <w:r w:rsidRPr="003C464D">
      <w:t>HU</w:t>
    </w:r>
    <w:r w:rsidRPr="003C464D">
      <w:tab/>
    </w:r>
    <w:r w:rsidRPr="003C464D">
      <w:rPr>
        <w:b w:val="0"/>
        <w:i/>
        <w:color w:val="C0C0C0"/>
        <w:sz w:val="22"/>
      </w:rPr>
      <w:t>Egyesülve a sokféleségben</w:t>
    </w:r>
    <w:r w:rsidRPr="003C464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3C464D" w:rsidRDefault="00F33829">
      <w:r w:rsidRPr="003C464D">
        <w:separator/>
      </w:r>
    </w:p>
  </w:footnote>
  <w:footnote w:type="continuationSeparator" w:id="0">
    <w:p w14:paraId="66A918DA" w14:textId="77777777" w:rsidR="00F33829" w:rsidRPr="003C464D" w:rsidRDefault="00F33829">
      <w:r w:rsidRPr="003C464D">
        <w:continuationSeparator/>
      </w:r>
    </w:p>
  </w:footnote>
  <w:footnote w:id="1">
    <w:p w14:paraId="68A1300C" w14:textId="5BD35852" w:rsidR="00DF248B" w:rsidRPr="003C464D" w:rsidRDefault="00DF248B" w:rsidP="00DF248B">
      <w:pPr>
        <w:pStyle w:val="FootnoteText"/>
      </w:pPr>
      <w:r w:rsidRPr="003C464D">
        <w:rPr>
          <w:rStyle w:val="FootnoteReference"/>
        </w:rPr>
        <w:footnoteRef/>
      </w:r>
      <w:r w:rsidRPr="003C464D">
        <w:t xml:space="preserve"> A Bíróság 2008. október 21-i, </w:t>
      </w:r>
      <w:r w:rsidRPr="003C464D">
        <w:rPr>
          <w:i/>
          <w:iCs/>
        </w:rPr>
        <w:t>Marra kontra De Gregorio és Clemente</w:t>
      </w:r>
      <w:r w:rsidRPr="003C464D">
        <w:t xml:space="preserve"> ügyben hozott ítélete, C-200/07 és C-201/07, ECLI:EU:C:2008:579; a Törvényszék 2010. március 19-i ítélete, Gollnisch kontra Európai Parlament, T-42/06, ECLI:EU:T:2010:102; a Bíróság 2011. szeptember 6-i ítélete, </w:t>
      </w:r>
      <w:r w:rsidRPr="003C464D">
        <w:rPr>
          <w:i/>
          <w:iCs/>
        </w:rPr>
        <w:t>Patriciello</w:t>
      </w:r>
      <w:r w:rsidRPr="003C464D">
        <w:t xml:space="preserve">, C-163/10, ECLI: EU:C:2011:543; a Törvényszék 2013. január 17-i, </w:t>
      </w:r>
      <w:r w:rsidRPr="003C464D">
        <w:rPr>
          <w:i/>
          <w:iCs/>
        </w:rPr>
        <w:t>Gollnisch</w:t>
      </w:r>
      <w:r w:rsidRPr="003C464D">
        <w:t xml:space="preserve"> kontra </w:t>
      </w:r>
      <w:r w:rsidRPr="003C464D">
        <w:rPr>
          <w:i/>
          <w:iCs/>
        </w:rPr>
        <w:t>Európai Parlament</w:t>
      </w:r>
      <w:r w:rsidRPr="003C464D">
        <w:t xml:space="preserve"> ügyben hozott ítélete, T-346/11 és T-347/11, ECLI:EU:T:2013:23; a Bíróság 2019. december 19-i, </w:t>
      </w:r>
      <w:r w:rsidRPr="003C464D">
        <w:rPr>
          <w:i/>
          <w:iCs/>
        </w:rPr>
        <w:t>Junqueras Vies</w:t>
      </w:r>
      <w:r w:rsidRPr="003C464D">
        <w:t xml:space="preserve"> ügyben hozott ítélete, C-502/19, ECLI:EU:C:2019:1115; a Törvényszék 2023. július 5-i, </w:t>
      </w:r>
      <w:r w:rsidRPr="003C464D">
        <w:rPr>
          <w:i/>
          <w:iCs/>
        </w:rPr>
        <w:t>Puigdemont i Casamajó és társai kontra Európai Parlament</w:t>
      </w:r>
      <w:r w:rsidRPr="003C464D">
        <w:t xml:space="preserve"> ügyben hozott ítélete, T-272/21, ECLI:EU:T:2023:373.</w:t>
      </w:r>
    </w:p>
  </w:footnote>
  <w:footnote w:id="2">
    <w:p w14:paraId="0ABD1C92" w14:textId="55F03A7F" w:rsidR="00DF248B" w:rsidRPr="003C464D" w:rsidRDefault="00DF248B" w:rsidP="00DF248B">
      <w:pPr>
        <w:pStyle w:val="FootnoteText"/>
      </w:pPr>
      <w:r w:rsidRPr="003C464D">
        <w:rPr>
          <w:rStyle w:val="FootnoteReference"/>
        </w:rPr>
        <w:footnoteRef/>
      </w:r>
      <w:r w:rsidRPr="003C464D">
        <w:t xml:space="preserve"> A Törvényszék 2019. április 30-i,</w:t>
      </w:r>
      <w:r w:rsidRPr="003C464D">
        <w:rPr>
          <w:i/>
          <w:iCs/>
        </w:rPr>
        <w:t xml:space="preserve"> Briois kontra Parlament</w:t>
      </w:r>
      <w:r w:rsidRPr="003C464D">
        <w:t xml:space="preserve"> ügyben hozott ítélete, T-214/18, ECLI:EU:T:2019:266.</w:t>
      </w:r>
    </w:p>
  </w:footnote>
  <w:footnote w:id="3">
    <w:p w14:paraId="13FDC936" w14:textId="7C010BE0" w:rsidR="00DF248B" w:rsidRPr="003C464D" w:rsidRDefault="00DF248B" w:rsidP="00DF248B">
      <w:pPr>
        <w:pStyle w:val="FootnoteText"/>
      </w:pPr>
      <w:r w:rsidRPr="003C464D">
        <w:rPr>
          <w:rStyle w:val="FootnoteReference"/>
        </w:rPr>
        <w:footnoteRef/>
      </w:r>
      <w:r w:rsidRPr="003C464D">
        <w:t xml:space="preserve"> A Bíróság 2011. szeptember 6-i, </w:t>
      </w:r>
      <w:r w:rsidRPr="003C464D">
        <w:rPr>
          <w:i/>
          <w:iCs/>
        </w:rPr>
        <w:t xml:space="preserve">Patriciello </w:t>
      </w:r>
      <w:r w:rsidRPr="003C464D">
        <w:t>ügyben hozott ítélete, C-163/10, ECLI: EU:C:2011:543, 26. pont.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0102" w14:textId="77777777" w:rsidR="007153E8" w:rsidRDefault="00715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16EF" w14:textId="77777777" w:rsidR="007153E8" w:rsidRDefault="007153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28E5" w14:textId="77777777" w:rsidR="007153E8" w:rsidRDefault="00715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HU"/>
    <w:docVar w:name="TXTLANGUEMIN" w:val="hu"/>
    <w:docVar w:name="TXTNAME" w:val="Alessandra Moretti"/>
    <w:docVar w:name="TXTNRIMM" w:val="2025/2064"/>
    <w:docVar w:name="TXTNRPE" w:val="774.386"/>
    <w:docVar w:name="TXTPEorAP" w:val="PE"/>
    <w:docVar w:name="TXTROUTE" w:val="RR\1334156HU.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63F27"/>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C464D"/>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153E8"/>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1036</Words>
  <Characters>7377</Characters>
  <Application>Microsoft Office Word</Application>
  <DocSecurity>0</DocSecurity>
  <Lines>153</Lines>
  <Paragraphs>65</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KOVACS-BOKOR Karoly</cp:lastModifiedBy>
  <cp:revision>2</cp:revision>
  <cp:lastPrinted>2025-11-11T10:39:00Z</cp:lastPrinted>
  <dcterms:created xsi:type="dcterms:W3CDTF">2025-12-15T14:17:00Z</dcterms:created>
  <dcterms:modified xsi:type="dcterms:W3CDTF">2025-12-15T14:17:00Z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RR\1334156HU.docx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15:16</vt:lpwstr>
  </property>
  <property fmtid="{D5CDD505-2E9C-101B-9397-08002B2CF9AE}" pid="14" name="OriLang">
    <vt:lpwstr>EN</vt:lpwstr>
  </property>
  <property fmtid="{D5CDD505-2E9C-101B-9397-08002B2CF9AE}" pid="15" name="SDLStudio">
    <vt:lpwstr/>
  </property>
</Properties>
</file>