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C75D9" w:rsidRPr="00B81D1B" w14:paraId="36CAD1F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A77934" w14:textId="77777777" w:rsidR="00CF16EE" w:rsidRPr="00B81D1B" w:rsidRDefault="00AE615A" w:rsidP="00C85D0F">
            <w:pPr>
              <w:pStyle w:val="EPName"/>
            </w:pPr>
            <w:r w:rsidRPr="00B81D1B">
              <w:t>Parlament Ewropew</w:t>
            </w:r>
          </w:p>
          <w:p w14:paraId="35E1AE1C" w14:textId="77777777" w:rsidR="00CF16EE" w:rsidRPr="00B81D1B" w:rsidRDefault="00AE615A" w:rsidP="00833ECC">
            <w:pPr>
              <w:pStyle w:val="EPTerm"/>
            </w:pPr>
            <w:r w:rsidRPr="00B81D1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DE1496E" w14:textId="77777777" w:rsidR="00CF16EE" w:rsidRPr="00B81D1B" w:rsidRDefault="00AE615A" w:rsidP="00C85D0F">
            <w:pPr>
              <w:pStyle w:val="EPLogo"/>
            </w:pPr>
            <w:r w:rsidRPr="00B81D1B">
              <w:rPr>
                <w:noProof/>
              </w:rPr>
              <w:drawing>
                <wp:inline distT="0" distB="0" distL="0" distR="0" wp14:anchorId="607692E2" wp14:editId="3FEDD50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E58B68" w14:textId="77777777" w:rsidR="00215FF9" w:rsidRPr="00B81D1B" w:rsidRDefault="00215FF9" w:rsidP="00215FF9">
      <w:pPr>
        <w:pStyle w:val="LineTop"/>
      </w:pPr>
    </w:p>
    <w:p w14:paraId="0A21E1BC" w14:textId="77777777" w:rsidR="00215FF9" w:rsidRPr="00B81D1B" w:rsidRDefault="00AE615A" w:rsidP="00215FF9">
      <w:pPr>
        <w:pStyle w:val="EPBody"/>
      </w:pPr>
      <w:r w:rsidRPr="00B81D1B">
        <w:t>Dokument ta’ sessjoni</w:t>
      </w:r>
    </w:p>
    <w:p w14:paraId="50DDB1AD" w14:textId="77777777" w:rsidR="00215FF9" w:rsidRPr="00B81D1B" w:rsidRDefault="00215FF9" w:rsidP="00215FF9">
      <w:pPr>
        <w:pStyle w:val="LineBottom"/>
      </w:pPr>
    </w:p>
    <w:p w14:paraId="63F62585" w14:textId="77777777" w:rsidR="005922F7" w:rsidRPr="00B81D1B" w:rsidRDefault="00AE615A" w:rsidP="00035C23">
      <w:pPr>
        <w:pStyle w:val="CoverReference"/>
      </w:pPr>
      <w:r w:rsidRPr="00B81D1B">
        <w:rPr>
          <w:rStyle w:val="HideTWBExt"/>
        </w:rPr>
        <w:t>&lt;NoDocSe&gt;</w:t>
      </w:r>
      <w:r w:rsidRPr="00B81D1B">
        <w:t>A10-0264/2025</w:t>
      </w:r>
      <w:r w:rsidRPr="00B81D1B">
        <w:rPr>
          <w:rStyle w:val="HideTWBExt"/>
        </w:rPr>
        <w:t>&lt;/NoDocSe&gt;</w:t>
      </w:r>
    </w:p>
    <w:p w14:paraId="750A39D4" w14:textId="77777777" w:rsidR="005922F7" w:rsidRPr="00B81D1B" w:rsidRDefault="00AE615A" w:rsidP="005922F7">
      <w:pPr>
        <w:pStyle w:val="CoverDate"/>
      </w:pPr>
      <w:r w:rsidRPr="00B81D1B">
        <w:rPr>
          <w:rStyle w:val="HideTWBExt"/>
        </w:rPr>
        <w:t>&lt;Date&gt;</w:t>
      </w:r>
      <w:r w:rsidRPr="00B81D1B">
        <w:rPr>
          <w:rStyle w:val="HideTWBInt"/>
          <w:color w:val="auto"/>
        </w:rPr>
        <w:t>{12/12/2025}</w:t>
      </w:r>
      <w:r w:rsidRPr="00B81D1B">
        <w:t>12.12.2025</w:t>
      </w:r>
      <w:r w:rsidRPr="00B81D1B">
        <w:rPr>
          <w:rStyle w:val="HideTWBExt"/>
        </w:rPr>
        <w:t>&lt;/Date&gt;</w:t>
      </w:r>
    </w:p>
    <w:p w14:paraId="2459640B" w14:textId="77777777" w:rsidR="00142D49" w:rsidRPr="00B81D1B" w:rsidRDefault="00AE615A">
      <w:pPr>
        <w:pStyle w:val="CoverDocType24a"/>
      </w:pPr>
      <w:r w:rsidRPr="00B81D1B">
        <w:rPr>
          <w:rStyle w:val="HideTWBExt"/>
          <w:b w:val="0"/>
        </w:rPr>
        <w:t>&lt;TitreType&gt;</w:t>
      </w:r>
      <w:r w:rsidRPr="00B81D1B">
        <w:t>REPORT</w:t>
      </w:r>
      <w:r w:rsidRPr="00B81D1B">
        <w:rPr>
          <w:rStyle w:val="HideTWBExt"/>
          <w:b w:val="0"/>
        </w:rPr>
        <w:t>&lt;/TitreType&gt;</w:t>
      </w:r>
    </w:p>
    <w:p w14:paraId="145FAE60" w14:textId="77777777" w:rsidR="00142D49" w:rsidRPr="00B81D1B" w:rsidRDefault="00AE615A">
      <w:pPr>
        <w:pStyle w:val="CoverNormal"/>
      </w:pPr>
      <w:r w:rsidRPr="00B81D1B">
        <w:rPr>
          <w:rStyle w:val="HideTWBExt"/>
        </w:rPr>
        <w:t>&lt;Titre&gt;</w:t>
      </w:r>
      <w:r w:rsidRPr="00B81D1B">
        <w:t>dwar it-talba għat-tneħħija tal-immunità ta’ Alessandra Moretti</w:t>
      </w:r>
      <w:r w:rsidRPr="00B81D1B">
        <w:rPr>
          <w:rStyle w:val="HideTWBExt"/>
        </w:rPr>
        <w:t>&lt;/Titre&gt;</w:t>
      </w:r>
    </w:p>
    <w:p w14:paraId="35B14B14" w14:textId="77777777" w:rsidR="00142D49" w:rsidRPr="00B81D1B" w:rsidRDefault="00AE615A">
      <w:pPr>
        <w:pStyle w:val="CoverNormal24a"/>
      </w:pPr>
      <w:r w:rsidRPr="00B81D1B">
        <w:rPr>
          <w:rStyle w:val="HideTWBExt"/>
        </w:rPr>
        <w:t>&lt;DocRef&gt;</w:t>
      </w:r>
      <w:r w:rsidRPr="00B81D1B">
        <w:t>(2025/2064(IMM))</w:t>
      </w:r>
      <w:r w:rsidRPr="00B81D1B">
        <w:rPr>
          <w:rStyle w:val="HideTWBExt"/>
        </w:rPr>
        <w:t>&lt;/DocRef&gt;</w:t>
      </w:r>
    </w:p>
    <w:p w14:paraId="6D9A0C90" w14:textId="77777777" w:rsidR="00142D49" w:rsidRPr="00B81D1B" w:rsidRDefault="00AE615A">
      <w:pPr>
        <w:pStyle w:val="CoverNormal24a"/>
      </w:pPr>
      <w:r w:rsidRPr="00B81D1B">
        <w:rPr>
          <w:rStyle w:val="HideTWBExt"/>
        </w:rPr>
        <w:t>&lt;Commission&gt;</w:t>
      </w:r>
      <w:r w:rsidRPr="00B81D1B">
        <w:rPr>
          <w:rStyle w:val="HideTWBInt"/>
          <w:color w:val="auto"/>
        </w:rPr>
        <w:t>{JURI}</w:t>
      </w:r>
      <w:r w:rsidRPr="00B81D1B">
        <w:t>Kumitat għall-Affarijiet Legali</w:t>
      </w:r>
      <w:r w:rsidRPr="00B81D1B">
        <w:rPr>
          <w:rStyle w:val="HideTWBExt"/>
        </w:rPr>
        <w:t>&lt;/Commission&gt;</w:t>
      </w:r>
    </w:p>
    <w:p w14:paraId="49E0E965" w14:textId="77777777" w:rsidR="00142D49" w:rsidRPr="00B81D1B" w:rsidRDefault="00AE615A">
      <w:pPr>
        <w:pStyle w:val="CoverNormal24a"/>
      </w:pPr>
      <w:r w:rsidRPr="00B81D1B">
        <w:t xml:space="preserve">Rapporteur: </w:t>
      </w:r>
      <w:r w:rsidRPr="00B81D1B">
        <w:rPr>
          <w:rStyle w:val="HideTWBExt"/>
        </w:rPr>
        <w:t>&lt;Depute&gt;</w:t>
      </w:r>
      <w:r w:rsidRPr="00B81D1B">
        <w:t>Marcin Sypniewski</w:t>
      </w:r>
      <w:r w:rsidRPr="00B81D1B">
        <w:rPr>
          <w:rStyle w:val="HideTWBExt"/>
        </w:rPr>
        <w:t>&lt;/Depute&gt;</w:t>
      </w:r>
    </w:p>
    <w:p w14:paraId="5466B5E9" w14:textId="77777777" w:rsidR="0006105E" w:rsidRPr="00B81D1B" w:rsidRDefault="0006105E" w:rsidP="0006105E">
      <w:pPr>
        <w:pStyle w:val="CoverNormal"/>
      </w:pPr>
    </w:p>
    <w:p w14:paraId="035D8CE8" w14:textId="77777777" w:rsidR="00142D49" w:rsidRPr="00B81D1B" w:rsidRDefault="00AE615A" w:rsidP="00DF74F0">
      <w:pPr>
        <w:widowControl/>
        <w:tabs>
          <w:tab w:val="center" w:pos="4677"/>
        </w:tabs>
      </w:pPr>
      <w:r w:rsidRPr="00B81D1B">
        <w:br w:type="page"/>
      </w:r>
      <w:r w:rsidRPr="00B81D1B">
        <w:lastRenderedPageBreak/>
        <w:t>PR_IMM_Waiver</w:t>
      </w:r>
    </w:p>
    <w:p w14:paraId="36F34AEB" w14:textId="77777777" w:rsidR="00142D49" w:rsidRPr="00B81D1B" w:rsidRDefault="00AE615A">
      <w:pPr>
        <w:pStyle w:val="TOCHeading"/>
      </w:pPr>
      <w:r w:rsidRPr="00B81D1B">
        <w:t>WERREJ</w:t>
      </w:r>
    </w:p>
    <w:p w14:paraId="2E8DDA69" w14:textId="77777777" w:rsidR="00142D49" w:rsidRPr="00B81D1B" w:rsidRDefault="00AE615A">
      <w:pPr>
        <w:pStyle w:val="TOCPage"/>
      </w:pPr>
      <w:r w:rsidRPr="00B81D1B">
        <w:t>Page</w:t>
      </w:r>
    </w:p>
    <w:p w14:paraId="6B15098A" w14:textId="0A51AE0A" w:rsidR="00AE615A" w:rsidRDefault="00AE615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B81D1B">
        <w:fldChar w:fldCharType="begin"/>
      </w:r>
      <w:r w:rsidRPr="00B81D1B">
        <w:instrText xml:space="preserve"> TOC \t "PageHeading</w:instrText>
      </w:r>
      <w:r w:rsidR="000802BD" w:rsidRPr="00B81D1B">
        <w:instrText>;</w:instrText>
      </w:r>
      <w:r w:rsidRPr="00B81D1B">
        <w:instrText xml:space="preserve">1" </w:instrText>
      </w:r>
      <w:r w:rsidRPr="00B81D1B">
        <w:fldChar w:fldCharType="separate"/>
      </w:r>
      <w:r>
        <w:rPr>
          <w:noProof/>
        </w:rPr>
        <w:t>PROPOSTA GĦAL DEĊIŻJONI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_Toc216691480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14:paraId="211BE5ED" w14:textId="47AA8315" w:rsidR="00AE615A" w:rsidRDefault="00AE615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INFORMAZZJONI DWAR L-ADOZZJONI MILL-KUMITAT RESPONSABBLI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_Toc216691481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5ECB788A" w14:textId="46507310" w:rsidR="0006105E" w:rsidRPr="00B81D1B" w:rsidRDefault="00AE615A" w:rsidP="00273EFB">
      <w:r w:rsidRPr="00B81D1B">
        <w:fldChar w:fldCharType="end"/>
      </w:r>
    </w:p>
    <w:p w14:paraId="3EDC20A6" w14:textId="77777777" w:rsidR="00142D49" w:rsidRPr="00B81D1B" w:rsidRDefault="00AE615A">
      <w:pPr>
        <w:pStyle w:val="PageHeading"/>
      </w:pPr>
      <w:r w:rsidRPr="00B81D1B">
        <w:br w:type="page"/>
      </w:r>
      <w:bookmarkStart w:id="0" w:name="_Toc216691480"/>
      <w:r w:rsidRPr="00B81D1B">
        <w:lastRenderedPageBreak/>
        <w:t>PROPOSTA GĦAL DEĊIŻJONI TAL-PARLAMENT EWROPEW</w:t>
      </w:r>
      <w:bookmarkEnd w:id="0"/>
    </w:p>
    <w:p w14:paraId="1DDD43F8" w14:textId="77777777" w:rsidR="00142D49" w:rsidRPr="00B81D1B" w:rsidRDefault="00AE615A">
      <w:pPr>
        <w:pStyle w:val="NormalBold"/>
      </w:pPr>
      <w:r w:rsidRPr="00B81D1B">
        <w:t>dwar it-talba għat-tneħħija tal-immunità ta’ Alessandra Moretti</w:t>
      </w:r>
    </w:p>
    <w:p w14:paraId="4C853565" w14:textId="77777777" w:rsidR="00142D49" w:rsidRPr="00B81D1B" w:rsidRDefault="00AE615A" w:rsidP="00FD1F04">
      <w:pPr>
        <w:pStyle w:val="NormalBold"/>
      </w:pPr>
      <w:r w:rsidRPr="00B81D1B">
        <w:t>(2025/2064(IMM))</w:t>
      </w:r>
    </w:p>
    <w:p w14:paraId="2D5E354A" w14:textId="77777777" w:rsidR="00142D49" w:rsidRPr="00B81D1B" w:rsidRDefault="00AE615A" w:rsidP="00FD1F04">
      <w:pPr>
        <w:pStyle w:val="EPComma"/>
      </w:pPr>
      <w:r w:rsidRPr="00B81D1B">
        <w:rPr>
          <w:i/>
          <w:iCs/>
        </w:rPr>
        <w:t>Il-Parlament Ewropew</w:t>
      </w:r>
      <w:r w:rsidRPr="00B81D1B">
        <w:t>,</w:t>
      </w:r>
    </w:p>
    <w:p w14:paraId="122F2A4F" w14:textId="77777777" w:rsidR="00DF248B" w:rsidRPr="00B81D1B" w:rsidRDefault="00AE615A" w:rsidP="00DF248B">
      <w:pPr>
        <w:pStyle w:val="NormalHanging12a"/>
      </w:pPr>
      <w:r w:rsidRPr="00B81D1B">
        <w:t>–</w:t>
      </w:r>
      <w:r w:rsidRPr="00B81D1B">
        <w:tab/>
        <w:t>wara li kkunsidra t-talba għat-tneħħija tal-immunità ta’ Alessandra Moretti, imressqa fis-27 ta’ Frar 2025 mis-Servizz tal-Protokoll tas-Servizz Pubbliku Federali Belġjan għall-Affarijiet Barranin, il-Kummerċ Barrani u l-Kooperazzjoni għall-Iżvilupp, li bagħat talba mill-Uffiċċju tal-Prosekutur Federali Belġjan b’rabta mal-proċedimenti kriminali li għandhom jinbdew kontriha, u mħabbra fil-Parlament fl-10 ta’ Marzu 2025,</w:t>
      </w:r>
    </w:p>
    <w:p w14:paraId="3676C4AF" w14:textId="77777777" w:rsidR="00DF248B" w:rsidRPr="00B81D1B" w:rsidRDefault="00AE615A" w:rsidP="00DF248B">
      <w:pPr>
        <w:pStyle w:val="NormalHanging12a"/>
      </w:pPr>
      <w:r w:rsidRPr="00B81D1B">
        <w:t>–</w:t>
      </w:r>
      <w:r w:rsidRPr="00B81D1B">
        <w:tab/>
        <w:t>wara li sema’ lil Alessandra Moretti fl-4 ta’ Ġunju 2025 u wara li kkunsidra d-dokumenti ppreżentati minnha skont l-Artikolu 9(6) tar-Regoli ta’ Proċedura tiegħu,</w:t>
      </w:r>
    </w:p>
    <w:p w14:paraId="056438F5" w14:textId="77777777" w:rsidR="00DF248B" w:rsidRPr="00B81D1B" w:rsidRDefault="00AE615A" w:rsidP="00DF248B">
      <w:pPr>
        <w:pStyle w:val="NormalHanging12a"/>
      </w:pPr>
      <w:r w:rsidRPr="00B81D1B">
        <w:t>–</w:t>
      </w:r>
      <w:r w:rsidRPr="00B81D1B">
        <w:tab/>
        <w:t xml:space="preserve">wara li kkunsidra l-informazzjoni addizzjonali pprovduta mill-Prosekutur Federali Belġjan, </w:t>
      </w:r>
    </w:p>
    <w:p w14:paraId="70E9B823" w14:textId="77777777" w:rsidR="00DF248B" w:rsidRPr="00B81D1B" w:rsidRDefault="00AE615A" w:rsidP="00DF248B">
      <w:pPr>
        <w:pStyle w:val="NormalHanging12a"/>
      </w:pPr>
      <w:r w:rsidRPr="00B81D1B">
        <w:t>–</w:t>
      </w:r>
      <w:r w:rsidRPr="00B81D1B">
        <w:tab/>
        <w:t>wara li kkunsidra l-Artikoli 8 u 9 tal-Protokoll Nru 7 dwar il-Privileġġi u l-Immunitajiet tal-Unjoni Ewropea kif ukoll l-Artikolu 6(2) tal-Att dwar l-elezzjoni tal-Membri tal-Parlament Ewropew b’suffraġju universali dirett, tal-20 ta’ Settembru 1976,</w:t>
      </w:r>
    </w:p>
    <w:p w14:paraId="514A0C34" w14:textId="77777777" w:rsidR="00DF248B" w:rsidRPr="00B81D1B" w:rsidRDefault="00AE615A" w:rsidP="00DF248B">
      <w:pPr>
        <w:pStyle w:val="NormalHanging12a"/>
      </w:pPr>
      <w:r w:rsidRPr="00B81D1B">
        <w:t>–</w:t>
      </w:r>
      <w:r w:rsidRPr="00B81D1B">
        <w:tab/>
        <w:t>wara li kkunsidra s-sentenzi mogħtija mill-Qorti tal-Ġustizzja tal-Unjoni Ewropea fil-21 ta’ Ottubru 2008, fid-19 ta’ Marzu 2010, fis-6 ta’ Settembru 2011, fis-17 ta’ Jannar 2013, fid-19 ta’ Diċembru 2019 u fil-5 ta’ Lulju 2023</w:t>
      </w:r>
      <w:r w:rsidRPr="00B81D1B">
        <w:rPr>
          <w:rStyle w:val="FootnoteReference"/>
        </w:rPr>
        <w:footnoteReference w:id="1"/>
      </w:r>
      <w:r w:rsidRPr="00B81D1B">
        <w:t>,</w:t>
      </w:r>
    </w:p>
    <w:p w14:paraId="20C2F98A" w14:textId="77777777" w:rsidR="00DF248B" w:rsidRPr="00B81D1B" w:rsidRDefault="00AE615A" w:rsidP="00DF248B">
      <w:pPr>
        <w:pStyle w:val="NormalHanging12a"/>
        <w:jc w:val="both"/>
      </w:pPr>
      <w:r w:rsidRPr="00B81D1B">
        <w:t>–</w:t>
      </w:r>
      <w:r w:rsidRPr="00B81D1B">
        <w:tab/>
        <w:t>wara li kkunsidra l-Artikolu 5(2), l-Artikolu 6(1) u l-Artikolu 9 tar-Regoli ta’ Proċedura tiegħu,</w:t>
      </w:r>
    </w:p>
    <w:p w14:paraId="72EBE405" w14:textId="77777777" w:rsidR="00DF248B" w:rsidRPr="00B81D1B" w:rsidRDefault="00AE615A" w:rsidP="00DF248B">
      <w:pPr>
        <w:pStyle w:val="NormalHanging12a"/>
        <w:jc w:val="both"/>
      </w:pPr>
      <w:r w:rsidRPr="00B81D1B">
        <w:t>–</w:t>
      </w:r>
      <w:r w:rsidRPr="00B81D1B">
        <w:tab/>
        <w:t>wara li kkunsidra r-rapport tal-Kumitat għall-Affarijiet Legali (A10-0264/2025),</w:t>
      </w:r>
    </w:p>
    <w:p w14:paraId="5E977931" w14:textId="77777777" w:rsidR="00DF248B" w:rsidRPr="00B81D1B" w:rsidRDefault="00AE615A" w:rsidP="00DF248B">
      <w:pPr>
        <w:pStyle w:val="NormalHanging12a"/>
        <w:jc w:val="both"/>
      </w:pPr>
      <w:r w:rsidRPr="00B81D1B">
        <w:t>A.</w:t>
      </w:r>
      <w:r w:rsidRPr="00B81D1B">
        <w:tab/>
        <w:t>billi fis-</w:t>
      </w:r>
      <w:bookmarkStart w:id="1" w:name="_Hlk210982066"/>
      <w:r w:rsidRPr="00B81D1B">
        <w:t>27 ta’ Frar 2025</w:t>
      </w:r>
      <w:bookmarkEnd w:id="1"/>
      <w:r w:rsidRPr="00B81D1B">
        <w:t>, il-Prosekutur Federali Belġjan ħareġ talba għat-tneħħija tal-immunità ta’ Alessandra Moretti, Membru tal-Parlament Ewropew eletta fl-Italja, b’rabta mal-proċedimenti kriminali li se jitressqu kontriha;</w:t>
      </w:r>
    </w:p>
    <w:p w14:paraId="741143DC" w14:textId="77777777" w:rsidR="00DF248B" w:rsidRPr="00B81D1B" w:rsidRDefault="00AE615A" w:rsidP="00DF248B">
      <w:pPr>
        <w:pStyle w:val="NormalHanging12a"/>
        <w:jc w:val="both"/>
      </w:pPr>
      <w:r w:rsidRPr="00B81D1B">
        <w:t>B.</w:t>
      </w:r>
      <w:r w:rsidRPr="00B81D1B">
        <w:tab/>
        <w:t xml:space="preserve">billi investigazzjoni li għaddejja fil-kuntest tal-hekk imsejħa affari ta’ “Qatargate” allegatament żvelat l-eżistenza ta’ organizzazzjoni kriminali fi ħdan l-istituzzjonijiet tal-Unjoni, b’mod partikolari fil-Parlament Ewropew, li l-għan tagħha kien li jxaħħam lill-Membri sabiex jiġi influwenzat il-proċess tat-teħid ta’ deċiżjonijiet tal-Parlament favur l-interessi ġeopolitiċi ta’ ċerti pajjiżi terzi; </w:t>
      </w:r>
    </w:p>
    <w:p w14:paraId="556540D0" w14:textId="77777777" w:rsidR="00DF248B" w:rsidRPr="00B81D1B" w:rsidRDefault="00AE615A" w:rsidP="00DF248B">
      <w:pPr>
        <w:pStyle w:val="NormalHanging12a"/>
        <w:jc w:val="both"/>
      </w:pPr>
      <w:r w:rsidRPr="00B81D1B">
        <w:t>C.</w:t>
      </w:r>
      <w:r w:rsidRPr="00B81D1B">
        <w:tab/>
        <w:t xml:space="preserve">billi dik l-investigazzjoni tidher li turi li għadd ta’ vantaġġi speċifiċi allegatament ġew </w:t>
      </w:r>
      <w:r w:rsidRPr="00B81D1B">
        <w:lastRenderedPageBreak/>
        <w:t>offruti, aċċettati u saħansitra mitluba minn Alessandra Moretti; billi, skont l-informazzjoni pprovduta mill-Prosekutur Federali Belġjan, firxa ta’ tipi differenti ta’ evidenza ġiet allegatament miġbura mill-koakkużati u minn suspettati oħra taħt investigazzjoni ġudizzjarja dwar għadd ta’ vantaġġi speċifiċi li Alessandra Moretti fittxet u/jew kisbet; billi dik l-evidenza kienet allegatament ikkorroborata mid-diversi</w:t>
      </w:r>
      <w:r w:rsidRPr="00B81D1B">
        <w:t xml:space="preserve"> sejbiet tas-servizzi tal-pulizija; billi bi skambju għal dawk il-vantaġġi speċifiċi, Alessandra Moretti allegatament attendiet avvenimenti jew laqgħat fejn tkellmet favur il-Qatar wara li allegatament irċeviet istruzzjonijiet mhux biss b’mod passiv iżda fittxet b’mod attiv parir dwar x’azzjonijiet tista’ tieħu u tgħid fid-diskorsi tagħha, kif ukoll fejn u meta; billi allegatament ikkuntattjat ukoll b’mod proattiv lil Membri oħra, u offriet li tissostitwihom waqt ċerti voti relatati mal-Qatar; </w:t>
      </w:r>
    </w:p>
    <w:p w14:paraId="28744900" w14:textId="77777777" w:rsidR="00DF248B" w:rsidRPr="00B81D1B" w:rsidRDefault="00AE615A" w:rsidP="00DF248B">
      <w:pPr>
        <w:pStyle w:val="NormalHanging12a"/>
      </w:pPr>
      <w:r w:rsidRPr="00B81D1B">
        <w:t>D.</w:t>
      </w:r>
      <w:r w:rsidRPr="00B81D1B">
        <w:tab/>
        <w:t xml:space="preserve">billi Alessandra Moretti hija għalhekk suspettata li allegatament wettqet, bejn l-1 ta’ Lulju 2019 u l-10 ta’ Diċembru 2022, atti illegali li jistgħu jiġu kklassifikati skont il-liġi Belġjana bħala parteċipazzjoni fl-attività ta’ organizzazzjoni kriminali u tixħim passiv, reati kriminali skont l-Artikoli 324a u 324b u skont l-Artikoli 246 sa 250 tal-Kodiċi Kriminali Belġjan rispettivament; </w:t>
      </w:r>
    </w:p>
    <w:p w14:paraId="10214BE3" w14:textId="77777777" w:rsidR="00DF248B" w:rsidRPr="00B81D1B" w:rsidRDefault="00AE615A" w:rsidP="00DF248B">
      <w:pPr>
        <w:pStyle w:val="NormalHanging12a"/>
        <w:jc w:val="both"/>
      </w:pPr>
      <w:r w:rsidRPr="00B81D1B">
        <w:t>E.</w:t>
      </w:r>
      <w:r w:rsidRPr="00B81D1B">
        <w:tab/>
        <w:t>billi, minn naħa, il-Parlament ma jistax jitqies bħala qorti u, min-naħa l-oħra, il-Membru ma jistax, fil-kuntest ta’ proċedura għat-tneħħija tal-immunità, jitqies bħala “akkużat”</w:t>
      </w:r>
      <w:r w:rsidRPr="00B81D1B">
        <w:rPr>
          <w:rStyle w:val="FootnoteReference"/>
        </w:rPr>
        <w:footnoteReference w:id="2"/>
      </w:r>
      <w:r w:rsidRPr="00B81D1B">
        <w:t>;</w:t>
      </w:r>
    </w:p>
    <w:p w14:paraId="6868F07F" w14:textId="77777777" w:rsidR="00DF248B" w:rsidRPr="00B81D1B" w:rsidRDefault="00AE615A" w:rsidP="00DF248B">
      <w:pPr>
        <w:pStyle w:val="NormalHanging12a"/>
      </w:pPr>
      <w:r w:rsidRPr="00B81D1B">
        <w:t>F.</w:t>
      </w:r>
      <w:r w:rsidRPr="00B81D1B">
        <w:tab/>
        <w:t xml:space="preserve">billi l-għan </w:t>
      </w:r>
      <w:r w:rsidRPr="00B81D1B">
        <w:t>tal-immunità parlamentari prevista fil-Protokoll Nru 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14:paraId="1CDF1859" w14:textId="77777777" w:rsidR="00DF248B" w:rsidRPr="00B81D1B" w:rsidRDefault="00AE615A" w:rsidP="00DF248B">
      <w:pPr>
        <w:pStyle w:val="NormalHanging12a"/>
      </w:pPr>
      <w:r w:rsidRPr="00B81D1B">
        <w:t>G.</w:t>
      </w:r>
      <w:r w:rsidRPr="00B81D1B">
        <w:tab/>
        <w:t>billi l-Artikolu 8 tal-Protokoll Nru 7 dwar il-Privileġġi u l-Immunitajiet tal-Unjoni Ewropea jiddisponi li l-Membri tal-Parlament Ewropew m’għandhom ikunu suġġetti għal ebda forma ta’ investigazzjoni, detenzjoni jew proċedimenti ġudizzjarji, fir-rigward ta’ opinjonijiet espressi jew voti mogħtija minnhom fil-qadi ta’ dmirijiethom; billi l-Artikolu 8 tal-Protokoll Nru 7 dwar il-Privileġġi u l-Immunitajiet tal-Unjoni Ewropea jikkostitwixxi dispożizzjoni speċjali maħsuba biex tipproteġi l-libertà tal-espress</w:t>
      </w:r>
      <w:r w:rsidRPr="00B81D1B">
        <w:t>joni u l-indipendenza tal-Membri tal-Parlament Ewropew</w:t>
      </w:r>
      <w:r w:rsidRPr="00B81D1B">
        <w:rPr>
          <w:rStyle w:val="FootnoteReference"/>
        </w:rPr>
        <w:footnoteReference w:id="3"/>
      </w:r>
      <w:r w:rsidRPr="00B81D1B">
        <w:t>; billi l-allegazzjonijiet jikkonċernaw imġiba li tikkostitwixxi r-reati ta’ parteċipazzjoni allegata fl-attività ta’ organizzazzjoni kriminali u l-allegat tixħim passiv, li ma jistgħux jitqiesu bħala l-opinjonijiet espressi jew il-voti mogħtija ta’ Alessandra Moretti fil-qadi ta’ dmirijietha fid-dawl tal-objettiv u l-formulazzjoni tal-Artikolu 8 tal-Protokoll Nru 7 dwar il-Privileġġi u l-Immunitajiet tal-Unjoni Ewropea;</w:t>
      </w:r>
    </w:p>
    <w:p w14:paraId="35B5CA80" w14:textId="77777777" w:rsidR="00DF248B" w:rsidRPr="00B81D1B" w:rsidRDefault="00AE615A" w:rsidP="00DF248B">
      <w:pPr>
        <w:pStyle w:val="NormalHanging12a"/>
      </w:pPr>
      <w:r w:rsidRPr="00B81D1B">
        <w:t>H.</w:t>
      </w:r>
      <w:r w:rsidRPr="00B81D1B">
        <w:tab/>
        <w:t xml:space="preserve">billi l-allegati reati ma jikkostitwux opinjoni espressa jew vot mogħti minn Alessandra Moretti fil-qadi ta’ dmirijietha skont it-tifsira tal-Artikolu 8 tal-Protokoll Nru 7 dwar il-Privileġġi u l-Immunitajiet tal-Unjoni Ewropea, u lanqas it-talba sussegwenti għat-tneħħija tal-immunità tagħha ma hija għalhekk relatata ma’ opinjoni espressa jew vot mitfugħ minnha fil-qadi ta’ dmirijietha skont it-tifsira tal-istess Artikolu 8; </w:t>
      </w:r>
    </w:p>
    <w:p w14:paraId="1A2664DF" w14:textId="77777777" w:rsidR="00DF248B" w:rsidRPr="00B81D1B" w:rsidRDefault="00AE615A" w:rsidP="00DF248B">
      <w:pPr>
        <w:pStyle w:val="NormalHanging12a"/>
      </w:pPr>
      <w:r w:rsidRPr="00B81D1B">
        <w:t>I.</w:t>
      </w:r>
      <w:r w:rsidRPr="00B81D1B">
        <w:tab/>
        <w:t xml:space="preserve">billi l-Artikolu 9(1)(b) tal-Protokoll Nru 7 dwar il-Privileġġi u l-Immunitajiet tal-Unjoni Ewropea jiddisponi li l-Membri tal-Parlament Ewropew igawdu, fit-territorju ta’ kull </w:t>
      </w:r>
      <w:r w:rsidRPr="00B81D1B">
        <w:lastRenderedPageBreak/>
        <w:t>Stat Membru ieħor barra dak tagħhom stess, l-immunità minn kull tip ta’ detenzjoni u minn proċedimenti legali;</w:t>
      </w:r>
    </w:p>
    <w:p w14:paraId="4DF886B8" w14:textId="77777777" w:rsidR="00DF248B" w:rsidRPr="00B81D1B" w:rsidRDefault="00AE615A" w:rsidP="00DF248B">
      <w:pPr>
        <w:pStyle w:val="NormalHanging12a"/>
      </w:pPr>
      <w:r w:rsidRPr="00B81D1B">
        <w:t xml:space="preserve">J. </w:t>
      </w:r>
      <w:r w:rsidRPr="00B81D1B">
        <w:tab/>
        <w:t>billi, f’konformità mal-Artikolu 5(2) tar-Regoli ta’ Proċedura tiegħu, l-immunità parlamentari mhijiex privileġġ personali tal-Membru iżda garanzija tal-indipendenza tal-Parlament Ewropew kollu kemm hu u tal-Membri tiegħu;</w:t>
      </w:r>
    </w:p>
    <w:p w14:paraId="5255142A" w14:textId="77777777" w:rsidR="00DF248B" w:rsidRPr="00B81D1B" w:rsidRDefault="00AE615A" w:rsidP="00DF248B">
      <w:pPr>
        <w:pStyle w:val="NormalHanging12a"/>
      </w:pPr>
      <w:r w:rsidRPr="00B81D1B">
        <w:t>K.</w:t>
      </w:r>
      <w:r w:rsidRPr="00B81D1B">
        <w:tab/>
        <w:t>billi, skont it-talba, twettqet investigazzjoni ġudizzjarja fil-fond, kumplessa u fit-tul, u involviet, fost oħrajn, għadd kbir ta’ persuni u dmirijiet investigattivi mwettqa lil hinn mill-Belġju, inkluż barra mill-Unjoni, u ġie ssekwestrat ammont konsiderevoli ta’ tagħmir tal-kompjuter u l-kontenut tiegħu ġie analizzat; billi l-investigazzjoni li għaddejja kienet tikkonċerna diversi individwi, inklużi Membri tal-Parlament Ewropew, mhux biss Alessandra Moretti; billi għalhekk jidher li t-talba għat-tneħħij</w:t>
      </w:r>
      <w:r w:rsidRPr="00B81D1B">
        <w:t>a tal-immunità ta’ Alessandra Moretti ma għandhiex l-għeruq tagħha f’tentattiv li tagħmel ħsara lill-attività politika tagħha iżda hija, pjuttost, riżultat tal-investigazzjoni ġudizzjarja fil-fond u kumplessa msemmija hawn fuq;</w:t>
      </w:r>
    </w:p>
    <w:p w14:paraId="24F36880" w14:textId="77777777" w:rsidR="00DF248B" w:rsidRPr="00B81D1B" w:rsidRDefault="00AE615A" w:rsidP="00DF248B">
      <w:pPr>
        <w:pStyle w:val="NormalHanging12a"/>
      </w:pPr>
      <w:r w:rsidRPr="00B81D1B">
        <w:t>L.</w:t>
      </w:r>
      <w:r w:rsidRPr="00B81D1B">
        <w:tab/>
        <w:t xml:space="preserve">billi, f’dan il-każ, il-Parlament ma sab l-ebda evidenza ta’ </w:t>
      </w:r>
      <w:r w:rsidRPr="00B81D1B">
        <w:rPr>
          <w:i/>
        </w:rPr>
        <w:t>fumus persecutionis</w:t>
      </w:r>
      <w:r w:rsidRPr="00B81D1B">
        <w:t>, jiġifieri fi kliem ieħor li ma jidhirx li l-intenzjoni sottostanti tal-proċedimenti inkwistjoni hija li tiġi mminata l-attività politika ta’ Alessandra Moretti bħala Membru tal-Parlament Ewropew;</w:t>
      </w:r>
    </w:p>
    <w:p w14:paraId="28FCB6CA" w14:textId="77777777" w:rsidR="00DF248B" w:rsidRPr="00B81D1B" w:rsidRDefault="00AE615A" w:rsidP="00DF248B">
      <w:pPr>
        <w:pStyle w:val="NormalHanging12a"/>
        <w:jc w:val="both"/>
      </w:pPr>
      <w:r w:rsidRPr="00B81D1B">
        <w:t>1.</w:t>
      </w:r>
      <w:r w:rsidRPr="00B81D1B">
        <w:tab/>
        <w:t>Jiddeċiedi li jneħħi l-immunità ta’ Alessandra Moretti;</w:t>
      </w:r>
    </w:p>
    <w:p w14:paraId="01FD3762" w14:textId="77777777" w:rsidR="00DF248B" w:rsidRPr="00B81D1B" w:rsidRDefault="00AE615A" w:rsidP="00035C23">
      <w:pPr>
        <w:pStyle w:val="NormalHanging12a"/>
      </w:pPr>
      <w:r w:rsidRPr="00B81D1B">
        <w:t>2.</w:t>
      </w:r>
      <w:r w:rsidRPr="00B81D1B">
        <w:tab/>
        <w:t>Jagħti istruzzjonijiet lill-President tiegħu biex tgħaddi minnufih din id-deċiżjoni u r-rapport tal-kumitat responsabbli tiegħu lill-awtorità kompetenti tar-Renju tal-Belġju u lil Alessandra Moretti.</w:t>
      </w:r>
    </w:p>
    <w:p w14:paraId="6A424F77" w14:textId="77777777" w:rsidR="00035C23" w:rsidRPr="00B81D1B" w:rsidRDefault="00035C23" w:rsidP="00F306AC"/>
    <w:p w14:paraId="0CEF7029" w14:textId="77777777" w:rsidR="000B0123" w:rsidRPr="00B81D1B" w:rsidRDefault="000B0123" w:rsidP="00F306AC">
      <w:pPr>
        <w:sectPr w:rsidR="000B0123" w:rsidRPr="00B81D1B" w:rsidSect="00B81D1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58AE9CE6" w14:textId="77777777" w:rsidR="00F306AC" w:rsidRPr="00B81D1B" w:rsidRDefault="00AE615A" w:rsidP="00F306AC">
      <w:pPr>
        <w:pStyle w:val="PageHeading"/>
      </w:pPr>
      <w:bookmarkStart w:id="2" w:name="ProcPageRR"/>
      <w:bookmarkStart w:id="3" w:name="_Toc216691481"/>
      <w:r w:rsidRPr="00B81D1B">
        <w:lastRenderedPageBreak/>
        <w:t>INFORMAZZJONI DWAR L-ADOZZJONI MILL-KUMITAT RESPONSABBLI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C75D9" w:rsidRPr="00B81D1B" w14:paraId="49C907C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C612C0" w14:textId="77777777" w:rsidR="00F306AC" w:rsidRPr="00B81D1B" w:rsidRDefault="00AE61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81D1B"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2CA1881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3.12.2025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E1AF503" w14:textId="77777777" w:rsidR="00F306AC" w:rsidRPr="00B81D1B" w:rsidRDefault="00F306A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B366082" w14:textId="77777777" w:rsidR="00F306AC" w:rsidRPr="00B81D1B" w:rsidRDefault="00F306A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021550F" w14:textId="77777777" w:rsidR="00F306AC" w:rsidRPr="00B81D1B" w:rsidRDefault="00F306A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C75D9" w:rsidRPr="00B81D1B" w14:paraId="4EB9DD92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3C235A" w14:textId="77777777" w:rsidR="00F306AC" w:rsidRPr="00B81D1B" w:rsidRDefault="00AE61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81D1B"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E25072A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+:</w:t>
            </w:r>
          </w:p>
          <w:p w14:paraId="4D90BD6F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–:</w:t>
            </w:r>
          </w:p>
          <w:p w14:paraId="44C029BC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B0DE60B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16</w:t>
            </w:r>
          </w:p>
          <w:p w14:paraId="7F3EF82D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8</w:t>
            </w:r>
          </w:p>
          <w:p w14:paraId="2DC3E1CA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1</w:t>
            </w:r>
          </w:p>
        </w:tc>
      </w:tr>
      <w:tr w:rsidR="00CC75D9" w:rsidRPr="00B81D1B" w14:paraId="7E33B45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B76060D" w14:textId="77777777" w:rsidR="00F306AC" w:rsidRPr="00B81D1B" w:rsidRDefault="00AE61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81D1B">
              <w:rPr>
                <w:b/>
                <w:color w:val="000000"/>
                <w:sz w:val="20"/>
              </w:rPr>
              <w:t>Membri preżenti 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9D2FCAA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 xml:space="preserve">Maravillas Abadía Jover, Pascal Canfin, José Cepeda, Ton Diepeveen, Mario Furore, Mary Khan, Ilhan Kyuchyuk, Sergey Lagodinsky, Lukas Mandl, Mario </w:t>
            </w:r>
            <w:r w:rsidRPr="00B81D1B">
              <w:rPr>
                <w:color w:val="000000"/>
                <w:sz w:val="20"/>
              </w:rPr>
              <w:t>Mantovani, Pascale Piera, René Repasi, Krzysztof Śmiszek, Adrián Vázquez Lázara, Axel Voss, Marion Walsmann, Michał Wawrykiewicz, Lara Wolters, Dainius Žalimas</w:t>
            </w:r>
          </w:p>
        </w:tc>
      </w:tr>
      <w:tr w:rsidR="00CC75D9" w:rsidRPr="00B81D1B" w14:paraId="5BFD3C76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9B2CE1" w14:textId="77777777" w:rsidR="00F306AC" w:rsidRPr="00B81D1B" w:rsidRDefault="00AE61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81D1B">
              <w:rPr>
                <w:b/>
                <w:color w:val="000000"/>
                <w:sz w:val="20"/>
              </w:rPr>
              <w:t>Sostituti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156629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David Cormand, Arkadiusz Mularczyk, Gheorghe Piperea, Ernő Schaller-Baross, Alessandro Zan</w:t>
            </w:r>
          </w:p>
        </w:tc>
      </w:tr>
      <w:tr w:rsidR="00CC75D9" w:rsidRPr="00B81D1B" w14:paraId="57E8EC6F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056797" w14:textId="77777777" w:rsidR="00F306AC" w:rsidRPr="00B81D1B" w:rsidRDefault="00AE615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B81D1B">
              <w:rPr>
                <w:b/>
                <w:color w:val="000000"/>
                <w:sz w:val="20"/>
              </w:rPr>
              <w:t>Membri skont l-Artikolu 216(7) tar-Regoli ta’ Proċedura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363D4D5" w14:textId="77777777" w:rsidR="00F306AC" w:rsidRPr="00B81D1B" w:rsidRDefault="00AE615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B81D1B">
              <w:rPr>
                <w:color w:val="000000"/>
                <w:sz w:val="20"/>
              </w:rPr>
              <w:t>Ilia Lazarov</w:t>
            </w:r>
          </w:p>
        </w:tc>
      </w:tr>
    </w:tbl>
    <w:p w14:paraId="1DC33E4F" w14:textId="77777777" w:rsidR="00F306AC" w:rsidRPr="00B81D1B" w:rsidRDefault="00F306AC"/>
    <w:bookmarkEnd w:id="2"/>
    <w:p w14:paraId="663A2A53" w14:textId="77777777" w:rsidR="000B0123" w:rsidRPr="00B81D1B" w:rsidRDefault="000B0123" w:rsidP="00F306AC"/>
    <w:sectPr w:rsidR="000B0123" w:rsidRPr="00B81D1B" w:rsidSect="00F306AC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F302A" w14:textId="77777777" w:rsidR="00AE615A" w:rsidRPr="00B81D1B" w:rsidRDefault="00AE615A">
      <w:r w:rsidRPr="00B81D1B">
        <w:separator/>
      </w:r>
    </w:p>
  </w:endnote>
  <w:endnote w:type="continuationSeparator" w:id="0">
    <w:p w14:paraId="1E86FB84" w14:textId="77777777" w:rsidR="00AE615A" w:rsidRPr="00B81D1B" w:rsidRDefault="00AE615A">
      <w:r w:rsidRPr="00B81D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BEBA" w14:textId="77777777" w:rsidR="00B81D1B" w:rsidRPr="00B81D1B" w:rsidRDefault="00B81D1B" w:rsidP="00B81D1B">
    <w:pPr>
      <w:pStyle w:val="EPFooter"/>
    </w:pPr>
    <w:r w:rsidRPr="00B81D1B">
      <w:t>PE</w:t>
    </w:r>
    <w:r w:rsidRPr="00B81D1B">
      <w:rPr>
        <w:rStyle w:val="HideTWBExt"/>
      </w:rPr>
      <w:t>&lt;NoPE&gt;</w:t>
    </w:r>
    <w:r w:rsidRPr="00B81D1B">
      <w:t>774.386</w:t>
    </w:r>
    <w:r w:rsidRPr="00B81D1B">
      <w:rPr>
        <w:rStyle w:val="HideTWBExt"/>
      </w:rPr>
      <w:t>&lt;/NoPE&gt;&lt;Version&gt;</w:t>
    </w:r>
    <w:r w:rsidRPr="00B81D1B">
      <w:t>v02-00</w:t>
    </w:r>
    <w:r w:rsidRPr="00B81D1B">
      <w:rPr>
        <w:rStyle w:val="HideTWBExt"/>
      </w:rPr>
      <w:t>&lt;/Version&gt;</w:t>
    </w:r>
    <w:r w:rsidRPr="00B81D1B">
      <w:tab/>
    </w:r>
    <w:r w:rsidRPr="00B81D1B">
      <w:fldChar w:fldCharType="begin"/>
    </w:r>
    <w:r w:rsidRPr="00B81D1B">
      <w:instrText xml:space="preserve"> PAGE  \* MERGEFORMAT </w:instrText>
    </w:r>
    <w:r w:rsidRPr="00B81D1B">
      <w:fldChar w:fldCharType="separate"/>
    </w:r>
    <w:r w:rsidRPr="00B81D1B">
      <w:rPr>
        <w:noProof/>
      </w:rPr>
      <w:t>1</w:t>
    </w:r>
    <w:r w:rsidRPr="00B81D1B">
      <w:fldChar w:fldCharType="end"/>
    </w:r>
    <w:r w:rsidRPr="00B81D1B">
      <w:t>/</w:t>
    </w:r>
    <w:fldSimple w:instr=" NUMPAGES  \* MERGEFORMAT ">
      <w:r w:rsidRPr="00B81D1B">
        <w:rPr>
          <w:noProof/>
        </w:rPr>
        <w:t>1</w:t>
      </w:r>
    </w:fldSimple>
    <w:r w:rsidRPr="00B81D1B">
      <w:tab/>
    </w:r>
    <w:r w:rsidRPr="00B81D1B">
      <w:rPr>
        <w:rStyle w:val="HideTWBExt"/>
      </w:rPr>
      <w:t>&lt;PathFdR&gt;</w:t>
    </w:r>
    <w:r w:rsidRPr="00B81D1B">
      <w:t>RR\1334156MT.docx</w:t>
    </w:r>
    <w:r w:rsidRPr="00B81D1B">
      <w:rPr>
        <w:rStyle w:val="HideTWBExt"/>
      </w:rPr>
      <w:t>&lt;/PathFdR&gt;</w:t>
    </w:r>
  </w:p>
  <w:p w14:paraId="2226513C" w14:textId="2B550585" w:rsidR="0023430B" w:rsidRPr="00B81D1B" w:rsidRDefault="00B81D1B" w:rsidP="00B81D1B">
    <w:pPr>
      <w:pStyle w:val="EPFooter2"/>
    </w:pPr>
    <w:r w:rsidRPr="00B81D1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3A9B" w14:textId="77777777" w:rsidR="00B81D1B" w:rsidRPr="00B81D1B" w:rsidRDefault="00B81D1B" w:rsidP="00B81D1B">
    <w:pPr>
      <w:pStyle w:val="EPFooter"/>
    </w:pPr>
    <w:r w:rsidRPr="00B81D1B">
      <w:rPr>
        <w:rStyle w:val="HideTWBExt"/>
      </w:rPr>
      <w:t>&lt;PathFdR&gt;</w:t>
    </w:r>
    <w:r w:rsidRPr="00B81D1B">
      <w:t>RR\1334156MT.docx</w:t>
    </w:r>
    <w:r w:rsidRPr="00B81D1B">
      <w:rPr>
        <w:rStyle w:val="HideTWBExt"/>
      </w:rPr>
      <w:t>&lt;/PathFdR&gt;</w:t>
    </w:r>
    <w:r w:rsidRPr="00B81D1B">
      <w:tab/>
    </w:r>
    <w:r w:rsidRPr="00B81D1B">
      <w:fldChar w:fldCharType="begin"/>
    </w:r>
    <w:r w:rsidRPr="00B81D1B">
      <w:instrText xml:space="preserve"> PAGE  \* MERGEFORMAT </w:instrText>
    </w:r>
    <w:r w:rsidRPr="00B81D1B">
      <w:fldChar w:fldCharType="separate"/>
    </w:r>
    <w:r w:rsidRPr="00B81D1B">
      <w:rPr>
        <w:noProof/>
      </w:rPr>
      <w:t>1</w:t>
    </w:r>
    <w:r w:rsidRPr="00B81D1B">
      <w:fldChar w:fldCharType="end"/>
    </w:r>
    <w:r w:rsidRPr="00B81D1B">
      <w:t>/</w:t>
    </w:r>
    <w:fldSimple w:instr=" NUMPAGES  \* MERGEFORMAT ">
      <w:r w:rsidRPr="00B81D1B">
        <w:rPr>
          <w:noProof/>
        </w:rPr>
        <w:t>1</w:t>
      </w:r>
    </w:fldSimple>
    <w:r w:rsidRPr="00B81D1B">
      <w:tab/>
      <w:t>PE</w:t>
    </w:r>
    <w:r w:rsidRPr="00B81D1B">
      <w:rPr>
        <w:rStyle w:val="HideTWBExt"/>
      </w:rPr>
      <w:t>&lt;NoPE&gt;</w:t>
    </w:r>
    <w:r w:rsidRPr="00B81D1B">
      <w:t>774.386</w:t>
    </w:r>
    <w:r w:rsidRPr="00B81D1B">
      <w:rPr>
        <w:rStyle w:val="HideTWBExt"/>
      </w:rPr>
      <w:t>&lt;/NoPE&gt;&lt;Version&gt;</w:t>
    </w:r>
    <w:r w:rsidRPr="00B81D1B">
      <w:t>v02-00</w:t>
    </w:r>
    <w:r w:rsidRPr="00B81D1B">
      <w:rPr>
        <w:rStyle w:val="HideTWBExt"/>
      </w:rPr>
      <w:t>&lt;/Version&gt;</w:t>
    </w:r>
  </w:p>
  <w:p w14:paraId="0D96BD6E" w14:textId="425A291B" w:rsidR="0023430B" w:rsidRPr="00B81D1B" w:rsidRDefault="00B81D1B" w:rsidP="00B81D1B">
    <w:pPr>
      <w:pStyle w:val="EPFooter2"/>
    </w:pPr>
    <w:r w:rsidRPr="00B81D1B">
      <w:tab/>
    </w:r>
    <w:r w:rsidRPr="00B81D1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03308" w14:textId="77777777" w:rsidR="00B81D1B" w:rsidRPr="00B81D1B" w:rsidRDefault="00B81D1B" w:rsidP="00B81D1B">
    <w:pPr>
      <w:pStyle w:val="EPFooter"/>
    </w:pPr>
    <w:r w:rsidRPr="00B81D1B">
      <w:rPr>
        <w:rStyle w:val="HideTWBExt"/>
      </w:rPr>
      <w:t>&lt;PathFdR&gt;</w:t>
    </w:r>
    <w:r w:rsidRPr="00B81D1B">
      <w:t>RR\1334156MT.docx</w:t>
    </w:r>
    <w:r w:rsidRPr="00B81D1B">
      <w:rPr>
        <w:rStyle w:val="HideTWBExt"/>
      </w:rPr>
      <w:t>&lt;/PathFdR&gt;</w:t>
    </w:r>
    <w:r w:rsidRPr="00B81D1B">
      <w:tab/>
    </w:r>
    <w:r w:rsidRPr="00B81D1B">
      <w:tab/>
      <w:t>PE</w:t>
    </w:r>
    <w:r w:rsidRPr="00B81D1B">
      <w:rPr>
        <w:rStyle w:val="HideTWBExt"/>
      </w:rPr>
      <w:t>&lt;NoPE&gt;</w:t>
    </w:r>
    <w:r w:rsidRPr="00B81D1B">
      <w:t>774.386</w:t>
    </w:r>
    <w:r w:rsidRPr="00B81D1B">
      <w:rPr>
        <w:rStyle w:val="HideTWBExt"/>
      </w:rPr>
      <w:t>&lt;/NoPE&gt;&lt;Version&gt;</w:t>
    </w:r>
    <w:r w:rsidRPr="00B81D1B">
      <w:t>v02-00</w:t>
    </w:r>
    <w:r w:rsidRPr="00B81D1B">
      <w:rPr>
        <w:rStyle w:val="HideTWBExt"/>
      </w:rPr>
      <w:t>&lt;/Version&gt;</w:t>
    </w:r>
  </w:p>
  <w:p w14:paraId="3841328B" w14:textId="1E8C0B42" w:rsidR="0023430B" w:rsidRPr="00B81D1B" w:rsidRDefault="00B81D1B" w:rsidP="00B81D1B">
    <w:pPr>
      <w:pStyle w:val="EPFooter2"/>
    </w:pPr>
    <w:r w:rsidRPr="00B81D1B">
      <w:t>MT</w:t>
    </w:r>
    <w:r w:rsidRPr="00B81D1B">
      <w:tab/>
    </w:r>
    <w:r w:rsidRPr="00B81D1B">
      <w:rPr>
        <w:b w:val="0"/>
        <w:i/>
        <w:color w:val="C0C0C0"/>
        <w:sz w:val="22"/>
      </w:rPr>
      <w:t>Magħquda fid-diversità</w:t>
    </w:r>
    <w:r w:rsidRPr="00B81D1B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33A37" w14:textId="77777777" w:rsidR="00F33829" w:rsidRPr="00B81D1B" w:rsidRDefault="00AE615A">
      <w:r w:rsidRPr="00B81D1B">
        <w:separator/>
      </w:r>
    </w:p>
  </w:footnote>
  <w:footnote w:type="continuationSeparator" w:id="0">
    <w:p w14:paraId="634E228B" w14:textId="77777777" w:rsidR="00F33829" w:rsidRPr="00B81D1B" w:rsidRDefault="00AE615A">
      <w:r w:rsidRPr="00B81D1B">
        <w:continuationSeparator/>
      </w:r>
    </w:p>
  </w:footnote>
  <w:footnote w:id="1">
    <w:p w14:paraId="0DA5EE99" w14:textId="77777777" w:rsidR="00DF248B" w:rsidRPr="00B81D1B" w:rsidRDefault="00AE615A" w:rsidP="00DF248B">
      <w:pPr>
        <w:pStyle w:val="FootnoteText"/>
      </w:pPr>
      <w:r w:rsidRPr="00B81D1B">
        <w:rPr>
          <w:rStyle w:val="FootnoteReference"/>
        </w:rPr>
        <w:footnoteRef/>
      </w:r>
      <w:r w:rsidRPr="00B81D1B">
        <w:t xml:space="preserve"> Is-sentenza tal-Qorti tal-Ġustizzja tal-21 ta’ Ottubru 2008, </w:t>
      </w:r>
      <w:r w:rsidRPr="00B81D1B">
        <w:rPr>
          <w:i/>
        </w:rPr>
        <w:t>Marra</w:t>
      </w:r>
      <w:r w:rsidRPr="00B81D1B">
        <w:t xml:space="preserve"> vs </w:t>
      </w:r>
      <w:r w:rsidRPr="00B81D1B">
        <w:rPr>
          <w:i/>
        </w:rPr>
        <w:t>De Gregorio u Clemente</w:t>
      </w:r>
      <w:r w:rsidRPr="00B81D1B">
        <w:t xml:space="preserve">, C-200/07 u C-201/07, ECLI:EU:C:2008:579; is-sentenza tal-Qorti Ġenerali tad-19 ta’ Marzu 2010, </w:t>
      </w:r>
      <w:r w:rsidRPr="00B81D1B">
        <w:rPr>
          <w:i/>
        </w:rPr>
        <w:t>Gollnisch</w:t>
      </w:r>
      <w:r w:rsidRPr="00B81D1B">
        <w:t xml:space="preserve"> vs </w:t>
      </w:r>
      <w:r w:rsidRPr="00B81D1B">
        <w:rPr>
          <w:i/>
        </w:rPr>
        <w:t>Il-Parlament</w:t>
      </w:r>
      <w:r w:rsidRPr="00B81D1B">
        <w:t xml:space="preserve">, T-42/06, ECLI:EU:T:2010:102; is-sentenza tal-Qorti tal-Ġustizzja tas-6 ta’ Settembru 2011, </w:t>
      </w:r>
      <w:r w:rsidRPr="00B81D1B">
        <w:rPr>
          <w:i/>
        </w:rPr>
        <w:t>Patriciello</w:t>
      </w:r>
      <w:r w:rsidRPr="00B81D1B">
        <w:t xml:space="preserve">, C-163/10, ECLI:EU:C:2011:543; is-sentenza tal-Qorti Ġenerali tas-17 ta’ Jannar 2013, </w:t>
      </w:r>
      <w:r w:rsidRPr="00B81D1B">
        <w:rPr>
          <w:i/>
        </w:rPr>
        <w:t>Gollnisch</w:t>
      </w:r>
      <w:r w:rsidRPr="00B81D1B">
        <w:t xml:space="preserve"> vs </w:t>
      </w:r>
      <w:r w:rsidRPr="00B81D1B">
        <w:rPr>
          <w:i/>
        </w:rPr>
        <w:t>Il-Parlament</w:t>
      </w:r>
      <w:r w:rsidRPr="00B81D1B">
        <w:t>, T-346/11 u T-347/11, ECLI:EU:T:2013:23; is-sentenza tal-Qorti tal-Ġustizzja tad</w:t>
      </w:r>
      <w:r w:rsidRPr="00B81D1B">
        <w:t xml:space="preserve">-19 ta’ Diċembru 2019, </w:t>
      </w:r>
      <w:r w:rsidRPr="00B81D1B">
        <w:rPr>
          <w:i/>
        </w:rPr>
        <w:t>Junqueras Vies</w:t>
      </w:r>
      <w:r w:rsidRPr="00B81D1B">
        <w:t xml:space="preserve">, C-502/19, ECLI:EU:C:2019:1115; is-sentenza tal-Qorti Ġenerali tal-5 ta’ Lulju 2023, </w:t>
      </w:r>
      <w:r w:rsidRPr="00B81D1B">
        <w:rPr>
          <w:i/>
        </w:rPr>
        <w:t>Puigdemont i Casamajó u oħrajn</w:t>
      </w:r>
      <w:r w:rsidRPr="00B81D1B">
        <w:t xml:space="preserve"> vs </w:t>
      </w:r>
      <w:r w:rsidRPr="00B81D1B">
        <w:rPr>
          <w:i/>
        </w:rPr>
        <w:t>Il-Parlament</w:t>
      </w:r>
      <w:r w:rsidRPr="00B81D1B">
        <w:t>, T-272/21, ECLI:EU:T:2023:373.</w:t>
      </w:r>
    </w:p>
  </w:footnote>
  <w:footnote w:id="2">
    <w:p w14:paraId="31BF0C1F" w14:textId="77777777" w:rsidR="00DF248B" w:rsidRPr="00B81D1B" w:rsidRDefault="00AE615A" w:rsidP="00DF248B">
      <w:pPr>
        <w:pStyle w:val="FootnoteText"/>
      </w:pPr>
      <w:r w:rsidRPr="00B81D1B">
        <w:rPr>
          <w:rStyle w:val="FootnoteReference"/>
        </w:rPr>
        <w:footnoteRef/>
      </w:r>
      <w:r w:rsidRPr="00B81D1B">
        <w:t xml:space="preserve"> Is-sentenza tal-Qorti Ġenerali tat-30 ta’ April 2019, </w:t>
      </w:r>
      <w:r w:rsidRPr="00B81D1B">
        <w:rPr>
          <w:i/>
        </w:rPr>
        <w:t>Briois</w:t>
      </w:r>
      <w:r w:rsidRPr="00B81D1B">
        <w:t xml:space="preserve"> vs </w:t>
      </w:r>
      <w:r w:rsidRPr="00B81D1B">
        <w:rPr>
          <w:i/>
        </w:rPr>
        <w:t>Il-Parlament</w:t>
      </w:r>
      <w:r w:rsidRPr="00B81D1B">
        <w:t>, T-214/18, ECLI:EU:T:2019:266.</w:t>
      </w:r>
    </w:p>
  </w:footnote>
  <w:footnote w:id="3">
    <w:p w14:paraId="0940BF02" w14:textId="77777777" w:rsidR="00DF248B" w:rsidRPr="00B81D1B" w:rsidRDefault="00AE615A" w:rsidP="00DF248B">
      <w:pPr>
        <w:pStyle w:val="FootnoteText"/>
      </w:pPr>
      <w:r w:rsidRPr="00B81D1B">
        <w:rPr>
          <w:rStyle w:val="FootnoteReference"/>
        </w:rPr>
        <w:footnoteRef/>
      </w:r>
      <w:r w:rsidRPr="00B81D1B">
        <w:t xml:space="preserve"> Is-sentenza tal-Qorti tal-Ġustizzja tas-6 ta’ Settembru 2011, </w:t>
      </w:r>
      <w:r w:rsidRPr="00B81D1B">
        <w:rPr>
          <w:i/>
        </w:rPr>
        <w:t>Patriciello</w:t>
      </w:r>
      <w:r w:rsidRPr="00B81D1B">
        <w:t>, C-163/10, ECLI: EU:C:2011:543, il-punt 26;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36034" w14:textId="77777777" w:rsidR="00AE615A" w:rsidRDefault="00AE61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96EA" w14:textId="77777777" w:rsidR="00AE615A" w:rsidRDefault="00AE61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F27DF" w14:textId="77777777" w:rsidR="00AE615A" w:rsidRDefault="00AE61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6A33E2"/>
    <w:multiLevelType w:val="hybridMultilevel"/>
    <w:tmpl w:val="552A88EC"/>
    <w:lvl w:ilvl="0" w:tplc="BCDE2DD2">
      <w:start w:val="1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12439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6C25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72A5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3E7D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B4CD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64E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F003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005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738191">
    <w:abstractNumId w:val="9"/>
  </w:num>
  <w:num w:numId="2" w16cid:durableId="1658531295">
    <w:abstractNumId w:val="9"/>
  </w:num>
  <w:num w:numId="3" w16cid:durableId="66344046">
    <w:abstractNumId w:val="7"/>
  </w:num>
  <w:num w:numId="4" w16cid:durableId="1508448924">
    <w:abstractNumId w:val="7"/>
  </w:num>
  <w:num w:numId="5" w16cid:durableId="1504733918">
    <w:abstractNumId w:val="6"/>
  </w:num>
  <w:num w:numId="6" w16cid:durableId="731539856">
    <w:abstractNumId w:val="6"/>
  </w:num>
  <w:num w:numId="7" w16cid:durableId="1431316426">
    <w:abstractNumId w:val="5"/>
  </w:num>
  <w:num w:numId="8" w16cid:durableId="1297296562">
    <w:abstractNumId w:val="5"/>
  </w:num>
  <w:num w:numId="9" w16cid:durableId="271404040">
    <w:abstractNumId w:val="4"/>
  </w:num>
  <w:num w:numId="10" w16cid:durableId="1900631387">
    <w:abstractNumId w:val="4"/>
  </w:num>
  <w:num w:numId="11" w16cid:durableId="1915235639">
    <w:abstractNumId w:val="8"/>
  </w:num>
  <w:num w:numId="12" w16cid:durableId="695471106">
    <w:abstractNumId w:val="8"/>
  </w:num>
  <w:num w:numId="13" w16cid:durableId="516045755">
    <w:abstractNumId w:val="3"/>
  </w:num>
  <w:num w:numId="14" w16cid:durableId="845826404">
    <w:abstractNumId w:val="3"/>
  </w:num>
  <w:num w:numId="15" w16cid:durableId="8339785">
    <w:abstractNumId w:val="2"/>
  </w:num>
  <w:num w:numId="16" w16cid:durableId="2004813487">
    <w:abstractNumId w:val="2"/>
  </w:num>
  <w:num w:numId="17" w16cid:durableId="765999890">
    <w:abstractNumId w:val="1"/>
  </w:num>
  <w:num w:numId="18" w16cid:durableId="1348018669">
    <w:abstractNumId w:val="1"/>
  </w:num>
  <w:num w:numId="19" w16cid:durableId="1809322129">
    <w:abstractNumId w:val="0"/>
  </w:num>
  <w:num w:numId="20" w16cid:durableId="460223067">
    <w:abstractNumId w:val="0"/>
  </w:num>
  <w:num w:numId="21" w16cid:durableId="61829005">
    <w:abstractNumId w:val="9"/>
  </w:num>
  <w:num w:numId="22" w16cid:durableId="761923810">
    <w:abstractNumId w:val="7"/>
  </w:num>
  <w:num w:numId="23" w16cid:durableId="1920603418">
    <w:abstractNumId w:val="6"/>
  </w:num>
  <w:num w:numId="24" w16cid:durableId="605699190">
    <w:abstractNumId w:val="5"/>
  </w:num>
  <w:num w:numId="25" w16cid:durableId="1650356063">
    <w:abstractNumId w:val="4"/>
  </w:num>
  <w:num w:numId="26" w16cid:durableId="1617760875">
    <w:abstractNumId w:val="8"/>
  </w:num>
  <w:num w:numId="27" w16cid:durableId="2090421802">
    <w:abstractNumId w:val="3"/>
  </w:num>
  <w:num w:numId="28" w16cid:durableId="1227688502">
    <w:abstractNumId w:val="2"/>
  </w:num>
  <w:num w:numId="29" w16cid:durableId="405227473">
    <w:abstractNumId w:val="1"/>
  </w:num>
  <w:num w:numId="30" w16cid:durableId="465391868">
    <w:abstractNumId w:val="0"/>
  </w:num>
  <w:num w:numId="31" w16cid:durableId="1674144526">
    <w:abstractNumId w:val="9"/>
  </w:num>
  <w:num w:numId="32" w16cid:durableId="729036390">
    <w:abstractNumId w:val="7"/>
  </w:num>
  <w:num w:numId="33" w16cid:durableId="1640767127">
    <w:abstractNumId w:val="6"/>
  </w:num>
  <w:num w:numId="34" w16cid:durableId="1208684960">
    <w:abstractNumId w:val="5"/>
  </w:num>
  <w:num w:numId="35" w16cid:durableId="278728323">
    <w:abstractNumId w:val="4"/>
  </w:num>
  <w:num w:numId="36" w16cid:durableId="2066101122">
    <w:abstractNumId w:val="8"/>
  </w:num>
  <w:num w:numId="37" w16cid:durableId="2069302289">
    <w:abstractNumId w:val="3"/>
  </w:num>
  <w:num w:numId="38" w16cid:durableId="1034307329">
    <w:abstractNumId w:val="2"/>
  </w:num>
  <w:num w:numId="39" w16cid:durableId="1221207281">
    <w:abstractNumId w:val="1"/>
  </w:num>
  <w:num w:numId="40" w16cid:durableId="1359311956">
    <w:abstractNumId w:val="0"/>
  </w:num>
  <w:num w:numId="41" w16cid:durableId="19678815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TMNU" w:val=" 1"/>
    <w:docVar w:name="DOCDT" w:val="12/12/2025"/>
    <w:docVar w:name="EPPOMNU" w:val=" 1"/>
    <w:docVar w:name="HEARDMNU" w:val=" 1"/>
    <w:docVar w:name="JUDGMNU@" w:val=" 1"/>
    <w:docVar w:name="LastEditedSection" w:val=" 1"/>
    <w:docVar w:name="PLENARYDT" w:val="04/06/2025"/>
    <w:docVar w:name="REQUESTDT" w:val="04/06/2025"/>
    <w:docVar w:name="strDocTypeID" w:val="PR_IMM_Waiver"/>
    <w:docVar w:name="strSubDir" w:val="774"/>
    <w:docVar w:name="TXTAUTHOR" w:val="Marcin Sypniewski"/>
    <w:docVar w:name="TXTLANGUE" w:val="EN"/>
    <w:docVar w:name="TXTLANGUEMIN" w:val="en"/>
    <w:docVar w:name="TXTNAME" w:val="Alessandra Moretti"/>
    <w:docVar w:name="TXTNRIMM" w:val="2025/2064"/>
    <w:docVar w:name="TXTNRPE" w:val="774.386"/>
    <w:docVar w:name="TXTPEorAP" w:val="PE"/>
    <w:docVar w:name="TXTROUTE" w:val="RR\774386EN.docx"/>
    <w:docVar w:name="TXTVERSION" w:val="02-00"/>
    <w:docVar w:name="WAIVEMNU" w:val=" 2"/>
  </w:docVars>
  <w:rsids>
    <w:rsidRoot w:val="00F33829"/>
    <w:rsid w:val="00005F1B"/>
    <w:rsid w:val="000240CC"/>
    <w:rsid w:val="00035C23"/>
    <w:rsid w:val="00044B9B"/>
    <w:rsid w:val="00060E63"/>
    <w:rsid w:val="0006105E"/>
    <w:rsid w:val="000802BD"/>
    <w:rsid w:val="000B0123"/>
    <w:rsid w:val="000C0CAA"/>
    <w:rsid w:val="000E36C4"/>
    <w:rsid w:val="001366ED"/>
    <w:rsid w:val="00142D49"/>
    <w:rsid w:val="00160452"/>
    <w:rsid w:val="0019286C"/>
    <w:rsid w:val="001B6A99"/>
    <w:rsid w:val="001E4AB9"/>
    <w:rsid w:val="00205304"/>
    <w:rsid w:val="00215FF9"/>
    <w:rsid w:val="00232B4C"/>
    <w:rsid w:val="0023430B"/>
    <w:rsid w:val="002442B3"/>
    <w:rsid w:val="00273EFB"/>
    <w:rsid w:val="00285706"/>
    <w:rsid w:val="002915E6"/>
    <w:rsid w:val="002A2777"/>
    <w:rsid w:val="002D4262"/>
    <w:rsid w:val="002E3E85"/>
    <w:rsid w:val="00326E87"/>
    <w:rsid w:val="0035402F"/>
    <w:rsid w:val="0035595E"/>
    <w:rsid w:val="00355B0A"/>
    <w:rsid w:val="003629A9"/>
    <w:rsid w:val="00363D35"/>
    <w:rsid w:val="003702B8"/>
    <w:rsid w:val="00392A3D"/>
    <w:rsid w:val="003947EF"/>
    <w:rsid w:val="003A3FA0"/>
    <w:rsid w:val="003B026C"/>
    <w:rsid w:val="003B1888"/>
    <w:rsid w:val="003D30B4"/>
    <w:rsid w:val="003E24B5"/>
    <w:rsid w:val="004433B2"/>
    <w:rsid w:val="004456C8"/>
    <w:rsid w:val="0044752A"/>
    <w:rsid w:val="0045635E"/>
    <w:rsid w:val="0046532E"/>
    <w:rsid w:val="00493F90"/>
    <w:rsid w:val="004A4086"/>
    <w:rsid w:val="004E1937"/>
    <w:rsid w:val="004E7774"/>
    <w:rsid w:val="004F0A20"/>
    <w:rsid w:val="00542BE5"/>
    <w:rsid w:val="00563616"/>
    <w:rsid w:val="005922F7"/>
    <w:rsid w:val="005B5955"/>
    <w:rsid w:val="005D0EE0"/>
    <w:rsid w:val="00611991"/>
    <w:rsid w:val="00633DF2"/>
    <w:rsid w:val="00643CDE"/>
    <w:rsid w:val="00681E33"/>
    <w:rsid w:val="00687975"/>
    <w:rsid w:val="006A0A04"/>
    <w:rsid w:val="006C038C"/>
    <w:rsid w:val="006C6D01"/>
    <w:rsid w:val="006F4F35"/>
    <w:rsid w:val="00730B6B"/>
    <w:rsid w:val="00753DFC"/>
    <w:rsid w:val="007613CD"/>
    <w:rsid w:val="0076428C"/>
    <w:rsid w:val="00771E7F"/>
    <w:rsid w:val="0077436B"/>
    <w:rsid w:val="00775D7D"/>
    <w:rsid w:val="0078039D"/>
    <w:rsid w:val="00785C52"/>
    <w:rsid w:val="00797CAE"/>
    <w:rsid w:val="007A7BF5"/>
    <w:rsid w:val="007C040A"/>
    <w:rsid w:val="007D49EE"/>
    <w:rsid w:val="007E434A"/>
    <w:rsid w:val="007F4D6A"/>
    <w:rsid w:val="00800445"/>
    <w:rsid w:val="00804D57"/>
    <w:rsid w:val="00830AE1"/>
    <w:rsid w:val="00833ECC"/>
    <w:rsid w:val="008376BE"/>
    <w:rsid w:val="00851E2C"/>
    <w:rsid w:val="00867D72"/>
    <w:rsid w:val="00872381"/>
    <w:rsid w:val="008B57AE"/>
    <w:rsid w:val="008D1236"/>
    <w:rsid w:val="008D1C36"/>
    <w:rsid w:val="008D3F68"/>
    <w:rsid w:val="008E6FB9"/>
    <w:rsid w:val="008F39C8"/>
    <w:rsid w:val="0091636F"/>
    <w:rsid w:val="009442F2"/>
    <w:rsid w:val="009915DD"/>
    <w:rsid w:val="009A4162"/>
    <w:rsid w:val="009B47E5"/>
    <w:rsid w:val="009E7AD9"/>
    <w:rsid w:val="009F5083"/>
    <w:rsid w:val="00A33B09"/>
    <w:rsid w:val="00A34494"/>
    <w:rsid w:val="00A87FB0"/>
    <w:rsid w:val="00AE615A"/>
    <w:rsid w:val="00B07676"/>
    <w:rsid w:val="00B47857"/>
    <w:rsid w:val="00B75C6D"/>
    <w:rsid w:val="00B81D1B"/>
    <w:rsid w:val="00B81D30"/>
    <w:rsid w:val="00BE2428"/>
    <w:rsid w:val="00C42BD9"/>
    <w:rsid w:val="00C85D0F"/>
    <w:rsid w:val="00CC662F"/>
    <w:rsid w:val="00CC75D9"/>
    <w:rsid w:val="00CD438F"/>
    <w:rsid w:val="00CD6DFD"/>
    <w:rsid w:val="00CE5349"/>
    <w:rsid w:val="00CF16EE"/>
    <w:rsid w:val="00D1021A"/>
    <w:rsid w:val="00D1391D"/>
    <w:rsid w:val="00D77447"/>
    <w:rsid w:val="00DA67D6"/>
    <w:rsid w:val="00DB1E47"/>
    <w:rsid w:val="00DD480D"/>
    <w:rsid w:val="00DE6DA0"/>
    <w:rsid w:val="00DF248B"/>
    <w:rsid w:val="00DF2A85"/>
    <w:rsid w:val="00DF74F0"/>
    <w:rsid w:val="00E114BC"/>
    <w:rsid w:val="00EC401F"/>
    <w:rsid w:val="00F03A29"/>
    <w:rsid w:val="00F306AC"/>
    <w:rsid w:val="00F33829"/>
    <w:rsid w:val="00F452C6"/>
    <w:rsid w:val="00F857A1"/>
    <w:rsid w:val="00FA4CD8"/>
    <w:rsid w:val="00FB5B0C"/>
    <w:rsid w:val="00FD0353"/>
    <w:rsid w:val="00FD1F04"/>
    <w:rsid w:val="00FE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25712"/>
  <w15:chartTrackingRefBased/>
  <w15:docId w15:val="{B350C187-846D-4466-9308-D6E909EB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rsid w:val="00833EC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833ECC"/>
  </w:style>
  <w:style w:type="character" w:styleId="FootnoteReference">
    <w:name w:val="footnote reference"/>
    <w:basedOn w:val="DefaultParagraphFont"/>
    <w:rsid w:val="00833ECC"/>
    <w:rPr>
      <w:vertAlign w:val="superscript"/>
    </w:rPr>
  </w:style>
  <w:style w:type="paragraph" w:styleId="Footer">
    <w:name w:val="footer"/>
    <w:basedOn w:val="Normal"/>
    <w:link w:val="FooterChar"/>
    <w:semiHidden/>
    <w:rsid w:val="00DF24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F248B"/>
    <w:rPr>
      <w:sz w:val="24"/>
    </w:rPr>
  </w:style>
  <w:style w:type="paragraph" w:styleId="Revision">
    <w:name w:val="Revision"/>
    <w:hidden/>
    <w:uiPriority w:val="99"/>
    <w:semiHidden/>
    <w:rsid w:val="003947EF"/>
    <w:rPr>
      <w:sz w:val="24"/>
    </w:rPr>
  </w:style>
  <w:style w:type="character" w:styleId="CommentReference">
    <w:name w:val="annotation reference"/>
    <w:basedOn w:val="DefaultParagraphFont"/>
    <w:rsid w:val="00232B4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2B4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32B4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2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2B4C"/>
    <w:rPr>
      <w:b/>
      <w:bCs/>
    </w:rPr>
  </w:style>
  <w:style w:type="paragraph" w:customStyle="1" w:styleId="CoverReference">
    <w:name w:val="CoverReference"/>
    <w:basedOn w:val="Normal"/>
    <w:rsid w:val="00035C23"/>
    <w:pPr>
      <w:spacing w:before="1080"/>
      <w:jc w:val="right"/>
    </w:pPr>
    <w:rPr>
      <w:rFonts w:ascii="Arial" w:hAnsi="Arial" w:cs="Arial"/>
      <w:b/>
    </w:rPr>
  </w:style>
  <w:style w:type="paragraph" w:styleId="BalloonText">
    <w:name w:val="Balloon Text"/>
    <w:basedOn w:val="Normal"/>
    <w:link w:val="BalloonTextChar"/>
    <w:semiHidden/>
    <w:unhideWhenUsed/>
    <w:rsid w:val="000B01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B0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1064</Words>
  <Characters>7570</Characters>
  <Application>Microsoft Office Word</Application>
  <DocSecurity>0</DocSecurity>
  <Lines>151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8569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creator>GOCHEVA Petya-Gergana</dc:creator>
  <cp:lastModifiedBy>GRIMA Cherise-Marie</cp:lastModifiedBy>
  <cp:revision>2</cp:revision>
  <cp:lastPrinted>2025-11-11T10:39:00Z</cp:lastPrinted>
  <dcterms:created xsi:type="dcterms:W3CDTF">2025-12-15T10:44:00Z</dcterms:created>
  <dcterms:modified xsi:type="dcterms:W3CDTF">2025-12-15T10:44:00Z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1334156</vt:lpwstr>
  </property>
  <property fmtid="{D5CDD505-2E9C-101B-9397-08002B2CF9AE}" pid="4" name="&lt;Model&gt;">
    <vt:lpwstr>PR_IMM_Waiver</vt:lpwstr>
  </property>
  <property fmtid="{D5CDD505-2E9C-101B-9397-08002B2CF9AE}" pid="5" name="&lt;ModelCod&gt;">
    <vt:lpwstr>\\eiciBRUpr1\pdocep$\DocEP\DOCS\General\PR\PR_NonLeg\IMM\PR_IMM_Waiver.dotx(26/05/2023 17:52:03)</vt:lpwstr>
  </property>
  <property fmtid="{D5CDD505-2E9C-101B-9397-08002B2CF9AE}" pid="6" name="&lt;ModelTra&gt;">
    <vt:lpwstr>\\eiciBRUpr1\pdocep$\DocEP\TRANSFIL\EN\PR_IMM_Waiver.EN(20/08/2024 14:09:00)</vt:lpwstr>
  </property>
  <property fmtid="{D5CDD505-2E9C-101B-9397-08002B2CF9AE}" pid="7" name="&lt;Type&gt;">
    <vt:lpwstr>RR</vt:lpwstr>
  </property>
  <property fmtid="{D5CDD505-2E9C-101B-9397-08002B2CF9AE}" pid="8" name="Bookout">
    <vt:lpwstr>OK - 2025/12/15 11:44</vt:lpwstr>
  </property>
  <property fmtid="{D5CDD505-2E9C-101B-9397-08002B2CF9AE}" pid="9" name="Created with">
    <vt:lpwstr>10.1.1 Build [20250501]</vt:lpwstr>
  </property>
  <property fmtid="{D5CDD505-2E9C-101B-9397-08002B2CF9AE}" pid="10" name="FooterPath">
    <vt:lpwstr>RR\1334156MT.docx</vt:lpwstr>
  </property>
  <property fmtid="{D5CDD505-2E9C-101B-9397-08002B2CF9AE}" pid="11" name="LastEdited with">
    <vt:lpwstr>10.2.1 Build [20251202]</vt:lpwstr>
  </property>
  <property fmtid="{D5CDD505-2E9C-101B-9397-08002B2CF9AE}" pid="12" name="OriLang">
    <vt:lpwstr>EN</vt:lpwstr>
  </property>
  <property fmtid="{D5CDD505-2E9C-101B-9397-08002B2CF9AE}" pid="13" name="PE number">
    <vt:lpwstr>774.386</vt:lpwstr>
  </property>
  <property fmtid="{D5CDD505-2E9C-101B-9397-08002B2CF9AE}" pid="14" name="SDLStudio">
    <vt:lpwstr/>
  </property>
  <property fmtid="{D5CDD505-2E9C-101B-9397-08002B2CF9AE}" pid="15" name="SendToEpades">
    <vt:lpwstr/>
  </property>
</Properties>
</file>