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CA236E" w14:paraId="76BEE35E" w14:textId="77777777" w:rsidTr="00C85D0F">
        <w:trPr>
          <w:trHeight w:hRule="exact" w:val="1418"/>
        </w:trPr>
        <w:tc>
          <w:tcPr>
            <w:tcW w:w="6804" w:type="dxa"/>
            <w:shd w:val="clear" w:color="auto" w:fill="auto"/>
            <w:vAlign w:val="center"/>
          </w:tcPr>
          <w:p w14:paraId="2B0BB657" w14:textId="77777777" w:rsidR="00CF16EE" w:rsidRPr="00CA236E" w:rsidRDefault="00F33829" w:rsidP="00C85D0F">
            <w:pPr>
              <w:pStyle w:val="EPName"/>
            </w:pPr>
            <w:r>
              <w:t>Parlament Europejski</w:t>
            </w:r>
          </w:p>
          <w:p w14:paraId="7B5EEEF9" w14:textId="77777777" w:rsidR="00CF16EE" w:rsidRPr="00CA236E" w:rsidRDefault="00833ECC" w:rsidP="00833ECC">
            <w:pPr>
              <w:pStyle w:val="EPTerm"/>
            </w:pPr>
            <w:r>
              <w:t>2024-2029</w:t>
            </w:r>
          </w:p>
        </w:tc>
        <w:tc>
          <w:tcPr>
            <w:tcW w:w="2268" w:type="dxa"/>
            <w:shd w:val="clear" w:color="auto" w:fill="auto"/>
          </w:tcPr>
          <w:p w14:paraId="0402B3F8" w14:textId="77777777" w:rsidR="00CF16EE" w:rsidRPr="00CA236E" w:rsidRDefault="00CF16EE" w:rsidP="00C85D0F">
            <w:pPr>
              <w:pStyle w:val="EPLogo"/>
            </w:pPr>
            <w:r w:rsidRPr="00CA236E">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CA236E" w:rsidRDefault="00215FF9" w:rsidP="00215FF9">
      <w:pPr>
        <w:pStyle w:val="LineTop"/>
      </w:pPr>
    </w:p>
    <w:p w14:paraId="7EFD2F67" w14:textId="3575AF02" w:rsidR="00215FF9" w:rsidRPr="00D33AE8" w:rsidRDefault="00035C23" w:rsidP="00215FF9">
      <w:pPr>
        <w:pStyle w:val="EPBody"/>
      </w:pPr>
      <w:r>
        <w:t>Dokument z posiedzenia</w:t>
      </w:r>
    </w:p>
    <w:p w14:paraId="52107EF3" w14:textId="77777777" w:rsidR="00215FF9" w:rsidRPr="00241D1F" w:rsidRDefault="00215FF9" w:rsidP="00215FF9">
      <w:pPr>
        <w:pStyle w:val="LineBottom"/>
      </w:pPr>
    </w:p>
    <w:p w14:paraId="2E8A7A8E" w14:textId="7C41171E" w:rsidR="005922F7" w:rsidRPr="00D33AE8" w:rsidRDefault="00035C23" w:rsidP="00035C23">
      <w:pPr>
        <w:pStyle w:val="CoverReference"/>
      </w:pPr>
      <w:r w:rsidRPr="00241D1F">
        <w:rPr>
          <w:rStyle w:val="HideTWBExt"/>
        </w:rPr>
        <w:t>&lt;NoDocSe&gt;</w:t>
      </w:r>
      <w:r>
        <w:t>A10-0264/2025</w:t>
      </w:r>
      <w:r w:rsidRPr="00241D1F">
        <w:rPr>
          <w:rStyle w:val="HideTWBExt"/>
        </w:rPr>
        <w:t>&lt;/NoDocSe&gt;</w:t>
      </w:r>
    </w:p>
    <w:p w14:paraId="118C52D6" w14:textId="4399B071" w:rsidR="005922F7" w:rsidRPr="00241D1F" w:rsidRDefault="005922F7" w:rsidP="005922F7">
      <w:pPr>
        <w:pStyle w:val="CoverDate"/>
        <w:rPr>
          <w:lang w:val="fr-BE"/>
        </w:rPr>
      </w:pPr>
      <w:r w:rsidRPr="00241D1F">
        <w:rPr>
          <w:rStyle w:val="HideTWBExt"/>
          <w:lang w:val="fr-BE"/>
        </w:rPr>
        <w:t>&lt;Date&gt;</w:t>
      </w:r>
      <w:r w:rsidRPr="00241D1F">
        <w:rPr>
          <w:rStyle w:val="HideTWBInt"/>
          <w:lang w:val="fr-BE"/>
        </w:rPr>
        <w:t>{12/12/2025}</w:t>
      </w:r>
      <w:r w:rsidRPr="00241D1F">
        <w:rPr>
          <w:lang w:val="fr-BE"/>
        </w:rPr>
        <w:t>12.12.2025</w:t>
      </w:r>
      <w:r w:rsidRPr="00241D1F">
        <w:rPr>
          <w:rStyle w:val="HideTWBExt"/>
          <w:lang w:val="fr-BE"/>
        </w:rPr>
        <w:t>&lt;/Date&gt;</w:t>
      </w:r>
    </w:p>
    <w:p w14:paraId="4F528687" w14:textId="0A56F9A2" w:rsidR="00142D49" w:rsidRPr="00241D1F" w:rsidRDefault="00142D49">
      <w:pPr>
        <w:pStyle w:val="CoverDocType24a"/>
        <w:rPr>
          <w:lang w:val="fr-BE"/>
        </w:rPr>
      </w:pPr>
      <w:r w:rsidRPr="00241D1F">
        <w:rPr>
          <w:rStyle w:val="HideTWBExt"/>
          <w:b w:val="0"/>
          <w:lang w:val="fr-BE"/>
        </w:rPr>
        <w:t>&lt;TitreType&gt;</w:t>
      </w:r>
      <w:r w:rsidRPr="00241D1F">
        <w:rPr>
          <w:lang w:val="fr-BE"/>
        </w:rPr>
        <w:t>SPRAWOZDANIE</w:t>
      </w:r>
      <w:r w:rsidRPr="00241D1F">
        <w:rPr>
          <w:rStyle w:val="HideTWBExt"/>
          <w:b w:val="0"/>
          <w:lang w:val="fr-BE"/>
        </w:rPr>
        <w:t>&lt;/TitreType&gt;</w:t>
      </w:r>
    </w:p>
    <w:p w14:paraId="2BFFB805" w14:textId="77777777" w:rsidR="00142D49" w:rsidRPr="00D33AE8" w:rsidRDefault="00142D49">
      <w:pPr>
        <w:pStyle w:val="CoverNormal"/>
      </w:pPr>
      <w:r w:rsidRPr="00241D1F">
        <w:rPr>
          <w:rStyle w:val="HideTWBExt"/>
        </w:rPr>
        <w:t>&lt;Titre&gt;</w:t>
      </w:r>
      <w:r>
        <w:t>w sprawie wniosku o uchylenie immunitetu Alessandry Moretti</w:t>
      </w:r>
      <w:r w:rsidRPr="00241D1F">
        <w:rPr>
          <w:rStyle w:val="HideTWBExt"/>
        </w:rPr>
        <w:t>&lt;/Titre&gt;</w:t>
      </w:r>
    </w:p>
    <w:p w14:paraId="0C435C87" w14:textId="77777777" w:rsidR="00142D49" w:rsidRPr="00D33AE8" w:rsidRDefault="00142D49">
      <w:pPr>
        <w:pStyle w:val="CoverNormal24a"/>
      </w:pPr>
      <w:r w:rsidRPr="00241D1F">
        <w:rPr>
          <w:rStyle w:val="HideTWBExt"/>
        </w:rPr>
        <w:t>&lt;DocRef&gt;</w:t>
      </w:r>
      <w:r>
        <w:t>(2025/2064(IMM))</w:t>
      </w:r>
      <w:r w:rsidRPr="00241D1F">
        <w:rPr>
          <w:rStyle w:val="HideTWBExt"/>
        </w:rPr>
        <w:t>&lt;/DocRef&gt;</w:t>
      </w:r>
    </w:p>
    <w:p w14:paraId="0F41702D" w14:textId="77777777" w:rsidR="00142D49" w:rsidRPr="00D33AE8" w:rsidRDefault="00142D49">
      <w:pPr>
        <w:pStyle w:val="CoverNormal24a"/>
      </w:pPr>
      <w:r w:rsidRPr="00241D1F">
        <w:rPr>
          <w:rStyle w:val="HideTWBExt"/>
        </w:rPr>
        <w:t>&lt;Commission&gt;</w:t>
      </w:r>
      <w:r w:rsidRPr="00241D1F">
        <w:rPr>
          <w:rStyle w:val="HideTWBInt"/>
        </w:rPr>
        <w:t>{JURI}</w:t>
      </w:r>
      <w:r>
        <w:t>Komisja Prawna</w:t>
      </w:r>
      <w:r w:rsidRPr="00241D1F">
        <w:rPr>
          <w:rStyle w:val="HideTWBExt"/>
        </w:rPr>
        <w:t>&lt;/Commission&gt;</w:t>
      </w:r>
    </w:p>
    <w:p w14:paraId="5C792C9D" w14:textId="77777777" w:rsidR="00142D49" w:rsidRPr="00D33AE8" w:rsidRDefault="00F33829">
      <w:pPr>
        <w:pStyle w:val="CoverNormal24a"/>
      </w:pPr>
      <w:r>
        <w:t xml:space="preserve">Sprawozdawca: </w:t>
      </w:r>
      <w:r w:rsidRPr="00241D1F">
        <w:rPr>
          <w:rStyle w:val="HideTWBExt"/>
        </w:rPr>
        <w:t>&lt;Depute&gt;</w:t>
      </w:r>
      <w:r>
        <w:t>Marcin Sypniewski</w:t>
      </w:r>
      <w:r w:rsidRPr="00241D1F">
        <w:rPr>
          <w:rStyle w:val="HideTWBExt"/>
        </w:rPr>
        <w:t>&lt;/Depute&gt;</w:t>
      </w:r>
    </w:p>
    <w:p w14:paraId="2FB15AB4" w14:textId="77777777" w:rsidR="0006105E" w:rsidRPr="00241D1F" w:rsidRDefault="0006105E" w:rsidP="0006105E">
      <w:pPr>
        <w:pStyle w:val="CoverNormal"/>
      </w:pPr>
    </w:p>
    <w:p w14:paraId="41F172CC" w14:textId="77777777" w:rsidR="00142D49" w:rsidRPr="00D33AE8" w:rsidRDefault="00142D49" w:rsidP="00DF74F0">
      <w:pPr>
        <w:widowControl/>
        <w:tabs>
          <w:tab w:val="center" w:pos="4677"/>
        </w:tabs>
      </w:pPr>
      <w:r>
        <w:br w:type="page"/>
      </w:r>
      <w:r>
        <w:lastRenderedPageBreak/>
        <w:t>PR_IMM_Waiver</w:t>
      </w:r>
    </w:p>
    <w:p w14:paraId="66CDD9EB" w14:textId="77777777" w:rsidR="00142D49" w:rsidRPr="00D33AE8" w:rsidRDefault="00F33829">
      <w:pPr>
        <w:pStyle w:val="TOCHeading"/>
      </w:pPr>
      <w:r>
        <w:t>SPIS TREŚCI</w:t>
      </w:r>
    </w:p>
    <w:p w14:paraId="022DF619" w14:textId="77777777" w:rsidR="00142D49" w:rsidRPr="00D33AE8" w:rsidRDefault="00F33829">
      <w:pPr>
        <w:pStyle w:val="TOCPage"/>
      </w:pPr>
      <w:r>
        <w:t>Strona</w:t>
      </w:r>
    </w:p>
    <w:p w14:paraId="7215E65D" w14:textId="455CF499" w:rsidR="00241D1F"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A236E">
        <w:fldChar w:fldCharType="begin"/>
      </w:r>
      <w:r w:rsidRPr="00D33AE8">
        <w:instrText xml:space="preserve"> TOC \t "PageHeading</w:instrText>
      </w:r>
      <w:r w:rsidR="000802BD" w:rsidRPr="00D33AE8">
        <w:instrText>;</w:instrText>
      </w:r>
      <w:r w:rsidRPr="00D33AE8">
        <w:instrText xml:space="preserve">1" </w:instrText>
      </w:r>
      <w:r w:rsidRPr="00CA236E">
        <w:fldChar w:fldCharType="separate"/>
      </w:r>
      <w:r w:rsidR="00241D1F">
        <w:rPr>
          <w:noProof/>
        </w:rPr>
        <w:t>PROJEKT DECYZJI PARLAMENTU EUROPEJSKIEGO</w:t>
      </w:r>
      <w:r w:rsidR="00241D1F">
        <w:rPr>
          <w:noProof/>
        </w:rPr>
        <w:tab/>
      </w:r>
      <w:r w:rsidR="00241D1F">
        <w:rPr>
          <w:noProof/>
        </w:rPr>
        <w:fldChar w:fldCharType="begin"/>
      </w:r>
      <w:r w:rsidR="00241D1F">
        <w:rPr>
          <w:noProof/>
        </w:rPr>
        <w:instrText xml:space="preserve"> PAGEREF _Toc216702096 \h </w:instrText>
      </w:r>
      <w:r w:rsidR="00241D1F">
        <w:rPr>
          <w:noProof/>
        </w:rPr>
      </w:r>
      <w:r w:rsidR="00241D1F">
        <w:rPr>
          <w:noProof/>
        </w:rPr>
        <w:fldChar w:fldCharType="separate"/>
      </w:r>
      <w:r w:rsidR="00241D1F">
        <w:rPr>
          <w:noProof/>
        </w:rPr>
        <w:t>3</w:t>
      </w:r>
      <w:r w:rsidR="00241D1F">
        <w:rPr>
          <w:noProof/>
        </w:rPr>
        <w:fldChar w:fldCharType="end"/>
      </w:r>
    </w:p>
    <w:p w14:paraId="4D338481" w14:textId="65F1807F" w:rsidR="00241D1F" w:rsidRDefault="00241D1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INFORMACJE O PRZYJĘCIU PRZEZ KOMISJĘ PRZEDMIOTOWO WŁAŚCIWĄ</w:t>
      </w:r>
      <w:r>
        <w:rPr>
          <w:noProof/>
        </w:rPr>
        <w:tab/>
      </w:r>
      <w:r>
        <w:rPr>
          <w:noProof/>
        </w:rPr>
        <w:fldChar w:fldCharType="begin"/>
      </w:r>
      <w:r>
        <w:rPr>
          <w:noProof/>
        </w:rPr>
        <w:instrText xml:space="preserve"> PAGEREF _Toc216702097 \h </w:instrText>
      </w:r>
      <w:r>
        <w:rPr>
          <w:noProof/>
        </w:rPr>
      </w:r>
      <w:r>
        <w:rPr>
          <w:noProof/>
        </w:rPr>
        <w:fldChar w:fldCharType="separate"/>
      </w:r>
      <w:r>
        <w:rPr>
          <w:noProof/>
        </w:rPr>
        <w:t>6</w:t>
      </w:r>
      <w:r>
        <w:rPr>
          <w:noProof/>
        </w:rPr>
        <w:fldChar w:fldCharType="end"/>
      </w:r>
    </w:p>
    <w:p w14:paraId="116DDC19" w14:textId="4C6F397B" w:rsidR="0006105E" w:rsidRPr="00D33AE8" w:rsidRDefault="00142D49" w:rsidP="00273EFB">
      <w:r w:rsidRPr="00CA236E">
        <w:fldChar w:fldCharType="end"/>
      </w:r>
    </w:p>
    <w:p w14:paraId="3EA16CA5" w14:textId="77777777" w:rsidR="00142D49" w:rsidRPr="00D33AE8" w:rsidRDefault="00142D49">
      <w:pPr>
        <w:pStyle w:val="PageHeading"/>
      </w:pPr>
      <w:r>
        <w:br w:type="page"/>
      </w:r>
      <w:bookmarkStart w:id="0" w:name="_Toc216702096"/>
      <w:r>
        <w:lastRenderedPageBreak/>
        <w:t>PROJEKT DECYZJI PARLAMENTU EUROPEJSKIEGO</w:t>
      </w:r>
      <w:bookmarkEnd w:id="0"/>
    </w:p>
    <w:p w14:paraId="51D1CD4F" w14:textId="77777777" w:rsidR="00142D49" w:rsidRPr="00D33AE8" w:rsidRDefault="00F33829">
      <w:pPr>
        <w:pStyle w:val="NormalBold"/>
      </w:pPr>
      <w:r>
        <w:t>w sprawie wniosku o uchylenie immunitetu Alessandry Moretti</w:t>
      </w:r>
    </w:p>
    <w:p w14:paraId="78BE2198" w14:textId="77777777" w:rsidR="00142D49" w:rsidRPr="00D33AE8" w:rsidRDefault="00F33829" w:rsidP="00FD1F04">
      <w:pPr>
        <w:pStyle w:val="NormalBold"/>
      </w:pPr>
      <w:r>
        <w:t>(2025/2064(IMM))</w:t>
      </w:r>
    </w:p>
    <w:p w14:paraId="311BB284" w14:textId="77777777" w:rsidR="00142D49" w:rsidRPr="00D33AE8" w:rsidRDefault="00F33829" w:rsidP="00FD1F04">
      <w:pPr>
        <w:pStyle w:val="EPComma"/>
      </w:pPr>
      <w:r>
        <w:rPr>
          <w:i/>
        </w:rPr>
        <w:t>Parlament Europejski</w:t>
      </w:r>
      <w:r>
        <w:t>,</w:t>
      </w:r>
    </w:p>
    <w:p w14:paraId="0E9C33D2" w14:textId="39F7A15C" w:rsidR="00DF248B" w:rsidRPr="00D33AE8" w:rsidRDefault="00142D49" w:rsidP="00DF248B">
      <w:pPr>
        <w:pStyle w:val="NormalHanging12a"/>
      </w:pPr>
      <w:r>
        <w:t>–</w:t>
      </w:r>
      <w:r>
        <w:tab/>
        <w:t>uwzględniając wniosek o uchylenie immunitetu Alessandry Moretti, otrzymany pismem z 27 lutego 2025 r. od służby protokolarnej belgijskiego ministerstwa federalnego spraw zagranicznych, handlu zagranicznego i współpracy na rzecz rozwoju, przekazującym wniosek belgijskiej prokuratury federalnej w związku z postępowaniem karnym, które ma zostać wszczęte przeciwko niej, ogłoszony w Parlamencie 10 marca 2025 r.,</w:t>
      </w:r>
    </w:p>
    <w:p w14:paraId="197CA5CE" w14:textId="0DCB4516" w:rsidR="00DF248B" w:rsidRPr="00D33AE8" w:rsidRDefault="00DF248B" w:rsidP="00DF248B">
      <w:pPr>
        <w:pStyle w:val="NormalHanging12a"/>
      </w:pPr>
      <w:r>
        <w:t>–</w:t>
      </w:r>
      <w:r>
        <w:tab/>
        <w:t>po wysłuchaniu Alessandry Moretti 4 czerwca 2025 r. i uwzględniając dokumenty przedstawione przez nią zgodnie z art. 9 ust. 6 Regulaminu,</w:t>
      </w:r>
    </w:p>
    <w:p w14:paraId="5DF1913F" w14:textId="77777777" w:rsidR="00DF248B" w:rsidRPr="00D33AE8" w:rsidRDefault="00DF248B" w:rsidP="00DF248B">
      <w:pPr>
        <w:pStyle w:val="NormalHanging12a"/>
      </w:pPr>
      <w:r>
        <w:t>–</w:t>
      </w:r>
      <w:r>
        <w:tab/>
        <w:t xml:space="preserve">uwzględniając dodatkowe informacje przekazane przez belgijskiego prokuratora federalnego, </w:t>
      </w:r>
    </w:p>
    <w:p w14:paraId="175E0DAF" w14:textId="4A261E41" w:rsidR="00DF248B" w:rsidRPr="00D33AE8" w:rsidRDefault="00DF248B" w:rsidP="00DF248B">
      <w:pPr>
        <w:pStyle w:val="NormalHanging12a"/>
      </w:pPr>
      <w:r>
        <w:t>–</w:t>
      </w:r>
      <w:r>
        <w:tab/>
        <w:t>uwzględniając art. 8 i 9 protokołu nr 7 w sprawie przywilejów i immunitetów Unii Europejskiej, jak również art. 6 ust. 2 aktu dotyczącego wyboru członków Parlamentu Europejskiego w powszechnych wyborach bezpośrednich z dnia 20 września 1976 r.,</w:t>
      </w:r>
    </w:p>
    <w:p w14:paraId="0E3FA65A" w14:textId="7C2E4062" w:rsidR="00DF248B" w:rsidRPr="00D33AE8" w:rsidRDefault="00DF248B" w:rsidP="00DF248B">
      <w:pPr>
        <w:pStyle w:val="NormalHanging12a"/>
      </w:pPr>
      <w:r>
        <w:t>–</w:t>
      </w:r>
      <w:r>
        <w:tab/>
        <w:t>uwzględniając wyroki wydane przez Trybunał Sprawiedliwości Unii Europejskiej 21 października 2008 r., 19 marca 2010 r., 6 września 2011 r., 17 stycznia 2013 r., 19 grudnia 2019 r. oraz 5 lipca 2023 r.</w:t>
      </w:r>
      <w:r w:rsidRPr="00CA236E">
        <w:rPr>
          <w:rStyle w:val="FootnoteReference"/>
        </w:rPr>
        <w:footnoteReference w:id="1"/>
      </w:r>
      <w:r>
        <w:t>,</w:t>
      </w:r>
    </w:p>
    <w:p w14:paraId="3ADD91E1" w14:textId="77777777" w:rsidR="00DF248B" w:rsidRPr="00D33AE8" w:rsidRDefault="00DF248B" w:rsidP="00DF248B">
      <w:pPr>
        <w:pStyle w:val="NormalHanging12a"/>
        <w:jc w:val="both"/>
      </w:pPr>
      <w:r>
        <w:t>–</w:t>
      </w:r>
      <w:r>
        <w:tab/>
        <w:t>uwzględniając art. 5 ust. 2, art. 6 ust. 1 oraz art. 9 Regulaminu,</w:t>
      </w:r>
    </w:p>
    <w:p w14:paraId="61322DA4" w14:textId="50E89758" w:rsidR="00DF248B" w:rsidRPr="00D33AE8" w:rsidRDefault="00DF248B" w:rsidP="00DF248B">
      <w:pPr>
        <w:pStyle w:val="NormalHanging12a"/>
        <w:jc w:val="both"/>
      </w:pPr>
      <w:r>
        <w:t>–</w:t>
      </w:r>
      <w:r>
        <w:tab/>
        <w:t>uwzględniając sprawozdanie Komisji Prawnej (A10-0264/2025),</w:t>
      </w:r>
    </w:p>
    <w:p w14:paraId="5D0DE2AA" w14:textId="1BE40E81" w:rsidR="00DF248B" w:rsidRPr="00D33AE8" w:rsidRDefault="00DF248B" w:rsidP="00DF248B">
      <w:pPr>
        <w:pStyle w:val="NormalHanging12a"/>
        <w:jc w:val="both"/>
      </w:pPr>
      <w:r>
        <w:t>A.</w:t>
      </w:r>
      <w:r>
        <w:tab/>
        <w:t xml:space="preserve">mając na uwadze, że </w:t>
      </w:r>
      <w:bookmarkStart w:id="1" w:name="_Hlk210982066"/>
      <w:r>
        <w:t>27 lutego 2025 r.</w:t>
      </w:r>
      <w:bookmarkEnd w:id="1"/>
      <w:r>
        <w:t xml:space="preserve"> belgijski prokurator federalny złożył wniosek o uchylenie immunitetu Alessandry Moretti, posłanki do Parlamentu Europejskiego wybranej we Włoszech, w związku z zamierzonym postępowaniem karnym przeciwko niej;</w:t>
      </w:r>
    </w:p>
    <w:p w14:paraId="78BD77C9" w14:textId="5C37DC66" w:rsidR="00DF248B" w:rsidRPr="00D33AE8" w:rsidRDefault="00DF248B" w:rsidP="00DF248B">
      <w:pPr>
        <w:pStyle w:val="NormalHanging12a"/>
        <w:jc w:val="both"/>
      </w:pPr>
      <w:r>
        <w:t>B.</w:t>
      </w:r>
      <w:r>
        <w:tab/>
        <w:t xml:space="preserve">mając na uwadze, że trwające śledztwo w kontekście tzw. sprawy Qatargate miało ujawnić istnienie w instytucjach Unii, w szczególności w Parlamencie Europejskim, grupy przestępczej, której celem było przekupywanie posłów w celu wywarcia wpływu na proces decyzyjny Parlamentu na rzecz interesów geopolitycznych niektórych państw trzecich; </w:t>
      </w:r>
    </w:p>
    <w:p w14:paraId="17A946AB" w14:textId="2BA4A719" w:rsidR="00DF248B" w:rsidRPr="00D33AE8" w:rsidRDefault="00DF248B" w:rsidP="00DF248B">
      <w:pPr>
        <w:pStyle w:val="NormalHanging12a"/>
        <w:jc w:val="both"/>
      </w:pPr>
      <w:r>
        <w:t>C.</w:t>
      </w:r>
      <w:r>
        <w:tab/>
        <w:t xml:space="preserve">mając na uwadze, że śledztwo pokazało, iż szereg konkretnych korzyści miało zostać </w:t>
      </w:r>
      <w:r>
        <w:lastRenderedPageBreak/>
        <w:t xml:space="preserve">zaproponowanych Alessandrze Moretti, zaakceptowanych przez nią, a nawet zażądanych przez nią; mając na uwadze, że zgodnie z informacjami przekazanymi przez belgijskiego prokuratora federalnego u współoskarżonych i innych podejrzanych objętych śledztwem sądowym zajęto wiele dowodów różnego rodzaju dotyczących szeregu konkretnych korzyści, o które Alessandra Moretti starała się lub które uzyskała; mając na uwadze, że dowody te miały zostać potwierdzone licznymi ustaleniami służb policyjnych; mając na uwadze, że w zamian za te konkretne korzyści Alessandra Moretti miała uczestniczyć w wydarzeniach lub spotkaniach, podczas których wypowiadała się na korzyść Kataru, po tym, jak miała nie tylko biernie otrzymać instrukcje, ale także aktywnie zasięgnąć porady co do tego, gdzie i kiedy oraz jakie działania powinna podjąć i co ma mówić w swoich przemówieniach; mając na uwadze, że miała proaktywnie kontaktować się również z innymi posłami, proponując im zastąpienie podczas niektórych głosowań dotyczących Kataru; </w:t>
      </w:r>
    </w:p>
    <w:p w14:paraId="5408D048" w14:textId="1F741AF1" w:rsidR="00DF248B" w:rsidRPr="00D33AE8" w:rsidRDefault="00DF248B" w:rsidP="00DF248B">
      <w:pPr>
        <w:pStyle w:val="NormalHanging12a"/>
      </w:pPr>
      <w:r>
        <w:t>D.</w:t>
      </w:r>
      <w:r>
        <w:tab/>
        <w:t xml:space="preserve">mając na uwadze, że Alessandra Moretti jest w związku z tym podejrzana o popełnienie w okresie od 1 lipca 2019 r. do 10 grudnia 2022 r. czynów bezprawnych, które zgodnie z prawem belgijskim można zakwalifikować jako udział w działalności grupy przestępczej i bierne przekupstwo, czyli przestępstwa z art. 324a i 324b oraz art. 246–250 belgijskiego kodeksu karnego, odpowiednio; </w:t>
      </w:r>
    </w:p>
    <w:p w14:paraId="712B42E7" w14:textId="77777777" w:rsidR="00DF248B" w:rsidRPr="00D33AE8" w:rsidRDefault="00DF248B" w:rsidP="00DF248B">
      <w:pPr>
        <w:pStyle w:val="NormalHanging12a"/>
        <w:jc w:val="both"/>
      </w:pPr>
      <w:r>
        <w:t>E.</w:t>
      </w:r>
      <w:r>
        <w:tab/>
        <w:t>mając na uwadze, że w kontekście procedury uchylenia immunitetu Parlamentu nie można uznawać za sąd, a posła – za „oskarżonego”</w:t>
      </w:r>
      <w:r w:rsidRPr="00CA236E">
        <w:rPr>
          <w:rStyle w:val="FootnoteReference"/>
        </w:rPr>
        <w:footnoteReference w:id="2"/>
      </w:r>
      <w:r>
        <w:t>;</w:t>
      </w:r>
    </w:p>
    <w:p w14:paraId="23B29593" w14:textId="77777777" w:rsidR="00DF248B" w:rsidRPr="00D33AE8" w:rsidRDefault="00DF248B" w:rsidP="00DF248B">
      <w:pPr>
        <w:pStyle w:val="NormalHanging12a"/>
      </w:pPr>
      <w:r>
        <w:t>F.</w:t>
      </w:r>
      <w:r>
        <w:tab/>
        <w:t>mając na uwadze, że immunitet parlamentarny, o którym mowa w protokole nr 7 w sprawie przywilejów i immunitetów Unii Europejskiej, ma chronić Parlament i posłów do niego przed postępowaniami sądowymi w związku z działaniami podejmowanymi w ramach wykonywania obowiązków parlamentarnych i niemożliwych do oddzielenia od tych obowiązków;</w:t>
      </w:r>
    </w:p>
    <w:p w14:paraId="1520F369" w14:textId="6C87242B" w:rsidR="00DF248B" w:rsidRPr="00D33AE8" w:rsidRDefault="00DF248B" w:rsidP="00DF248B">
      <w:pPr>
        <w:pStyle w:val="NormalHanging12a"/>
      </w:pPr>
      <w:r>
        <w:t>G.</w:t>
      </w:r>
      <w:r>
        <w:tab/>
        <w:t>mając na uwadze, że art. 8 Protokołu nr 7 w sprawie przywilejów i immunitetów Unii Europejskiej przewiduje, że wobec posłów do Parlamentu Europejskiego nie można prowadzić dochodzenia, postępowania sądowego, ani też ich zatrzymywać z powodu ich opinii lub stanowiska zajętego przez nich w głosowaniu w czasie wykonywania przez nich obowiązków służbowych; mając na uwadze, że art. 8 Protokołu nr 7 w sprawie przywilejów i immunitetów Unii Europejskiej stanowi przepis szczególny mający na celu ochronę swobody wypowiedzi i niezależności posłów do Parlamentu Europejskiego</w:t>
      </w:r>
      <w:r w:rsidRPr="00CA236E">
        <w:rPr>
          <w:rStyle w:val="FootnoteReference"/>
        </w:rPr>
        <w:footnoteReference w:id="3"/>
      </w:r>
      <w:r>
        <w:t>; mając na uwadze, że rozpatrywane zarzuty dotyczą czynów mogących stanowić przestępstwo udziału w działalności grupy przestępczej i przekupstwa biernego, których w świetle celu i brzmienia art. 8 Protokołu nr 7 w sprawie przywilejów i immunitetów Unii Europejskiej nie można uznać za opinie Alessandry Moretti ani za stanowisko zajęte w głosowaniu w czasie wykonywania obowiązków służbowych;</w:t>
      </w:r>
    </w:p>
    <w:p w14:paraId="2C26AFCE" w14:textId="77777777" w:rsidR="00DF248B" w:rsidRPr="00D33AE8" w:rsidRDefault="00DF248B" w:rsidP="00DF248B">
      <w:pPr>
        <w:pStyle w:val="NormalHanging12a"/>
      </w:pPr>
      <w:r>
        <w:t>H.</w:t>
      </w:r>
      <w:r>
        <w:tab/>
        <w:t xml:space="preserve">mając na uwadze, że zarzucane czyny i późniejszy wniosek o uchylenie immunitetu Alessandry Moretti nie dotyczą opinii ani stanowiska zajętego przez nią w głosowaniu w czasie wykonywania obowiązków posła w rozumieniu art. 8 Protokołu nr 7 w </w:t>
      </w:r>
      <w:r>
        <w:lastRenderedPageBreak/>
        <w:t xml:space="preserve">sprawie przywilejów i immunitetów Unii Europejskiej; </w:t>
      </w:r>
    </w:p>
    <w:p w14:paraId="63332F33" w14:textId="77777777" w:rsidR="00DF248B" w:rsidRPr="00D33AE8" w:rsidRDefault="00DF248B" w:rsidP="00DF248B">
      <w:pPr>
        <w:pStyle w:val="NormalHanging12a"/>
      </w:pPr>
      <w:r>
        <w:t>I.</w:t>
      </w:r>
      <w:r>
        <w:tab/>
        <w:t>mając na uwadze, że art. 9 ust. 1 lit. b) Protokołu nr 7 w sprawie przywilejów i immunitetów Unii Europejskiej stanowi, iż posłowie do Parlamentu Europejskiego korzystają na terytorium państwa członkowskiego, innego niż ich państwo, z immunitetu chroniącego przed zatrzymaniem oraz immunitetu jurysdykcyjnego;</w:t>
      </w:r>
    </w:p>
    <w:p w14:paraId="3DA6AEAA" w14:textId="5B1325EE" w:rsidR="00DF248B" w:rsidRPr="00D33AE8" w:rsidRDefault="00DF248B" w:rsidP="00DF248B">
      <w:pPr>
        <w:pStyle w:val="NormalHanging12a"/>
      </w:pPr>
      <w:r>
        <w:t xml:space="preserve">J. </w:t>
      </w:r>
      <w:r>
        <w:tab/>
        <w:t>mając na uwadze, że zgodnie z art. 5 ust. 2 Regulaminu immunitet parlamentarny nie jest osobistym przywilejem posła, lecz gwarancją niezależności Parlamentu Europejskiego jako całości oraz jego posłów;</w:t>
      </w:r>
    </w:p>
    <w:p w14:paraId="3E878241" w14:textId="6EB4DC20" w:rsidR="00DF248B" w:rsidRPr="00D33AE8" w:rsidRDefault="00DF248B" w:rsidP="00DF248B">
      <w:pPr>
        <w:pStyle w:val="NormalHanging12a"/>
      </w:pPr>
      <w:r>
        <w:t>K.</w:t>
      </w:r>
      <w:r>
        <w:tab/>
        <w:t>mając na uwadze, że zgodnie z wnioskiem przeprowadzono dogłębne, złożone i czasochłonne śledztwo sądowe, które obejmowało, między innymi, dużą liczbę osób i szereg czynności śledczych wykonywanych poza Belgią, w tym poza granicami Unii, a także skonfiskowano znaczną ilość sprzętu komputerowego i przeanalizowano znajdujące się na nim informacje; mając na uwadze, że trwające śledztwo dotyczyło szeregu osób, w tym posłów do Parlamentu Europejskiego, a nie tylko Alessandry Moretti; mając na uwadze, że w związku z tym wydaje się, iż wniosek o uchylenie immunitetu Alessandry Moretti nie jest próbą zaszkodzenia jej działalności politycznej, lecz wynikiem wyżej wspomnianego dogłębnego i złożonego śledztwa sądowego;</w:t>
      </w:r>
    </w:p>
    <w:p w14:paraId="6F9CD0ED" w14:textId="2A8C8E98" w:rsidR="00DF248B" w:rsidRPr="00D33AE8" w:rsidRDefault="00DF248B" w:rsidP="00DF248B">
      <w:pPr>
        <w:pStyle w:val="NormalHanging12a"/>
      </w:pPr>
      <w:r>
        <w:t>L.</w:t>
      </w:r>
      <w:r>
        <w:tab/>
        <w:t xml:space="preserve">mając na uwadze, że w tym przypadku Parlament nie znalazł dowodów wskazujących na zaistnienie </w:t>
      </w:r>
      <w:r>
        <w:rPr>
          <w:i/>
        </w:rPr>
        <w:t>fumus persecutionis</w:t>
      </w:r>
      <w:r>
        <w:t>, innymi słowy, nie wydaje się, aby celem rozpatrywanego postępowania było osłabienie działalności politycznej Alessandry Moretti jako posłanki do Parlamentu Europejskiego;</w:t>
      </w:r>
    </w:p>
    <w:p w14:paraId="6E0801B7" w14:textId="77777777" w:rsidR="00DF248B" w:rsidRPr="00D33AE8" w:rsidRDefault="00DF248B" w:rsidP="00DF248B">
      <w:pPr>
        <w:pStyle w:val="NormalHanging12a"/>
        <w:jc w:val="both"/>
      </w:pPr>
      <w:r>
        <w:t>1.</w:t>
      </w:r>
      <w:r>
        <w:tab/>
        <w:t>podejmuje decyzję o uchyleniu immunitetu Alessandry Moretti;</w:t>
      </w:r>
    </w:p>
    <w:p w14:paraId="4436BFCB" w14:textId="02715902" w:rsidR="00DF248B" w:rsidRPr="00D33AE8" w:rsidRDefault="00DF248B" w:rsidP="00035C23">
      <w:pPr>
        <w:pStyle w:val="NormalHanging12a"/>
      </w:pPr>
      <w:r>
        <w:t>2.</w:t>
      </w:r>
      <w:r>
        <w:tab/>
        <w:t>zobowiązuje swoją przewodniczącą do bezzwłocznego przekazania niniejszej decyzji i sprawozdania właściwej komisji właściwemu organowi Królestwa Belgii oraz Alessandrze Moretti.</w:t>
      </w:r>
    </w:p>
    <w:p w14:paraId="5170647D" w14:textId="7A8E286B" w:rsidR="00035C23" w:rsidRPr="00241D1F" w:rsidRDefault="00035C23" w:rsidP="00D33AE8"/>
    <w:p w14:paraId="13B0D0D7" w14:textId="77777777" w:rsidR="000B0123" w:rsidRPr="00241D1F" w:rsidRDefault="000B0123" w:rsidP="00D33AE8">
      <w:pPr>
        <w:sectPr w:rsidR="000B0123" w:rsidRPr="00241D1F" w:rsidSect="00F1776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59279885" w14:textId="54D4F2EF" w:rsidR="00D33AE8" w:rsidRDefault="00D33AE8" w:rsidP="00D33AE8">
      <w:pPr>
        <w:pStyle w:val="PageHeading"/>
      </w:pPr>
      <w:bookmarkStart w:id="2" w:name="ProcPageRR"/>
      <w:bookmarkStart w:id="3" w:name="_Toc216702097"/>
      <w:r>
        <w:lastRenderedPageBreak/>
        <w:t>INFORMACJE O PRZYJĘCIU PRZEZ KOMISJĘ PRZEDMIOTOWO WŁAŚCIWĄ</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D33AE8" w14:paraId="02CC6544"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F130224" w14:textId="77777777" w:rsidR="00D33AE8" w:rsidRDefault="00D33AE8">
            <w:pPr>
              <w:autoSpaceDE w:val="0"/>
              <w:autoSpaceDN w:val="0"/>
              <w:adjustRightInd w:val="0"/>
              <w:rPr>
                <w:b/>
                <w:bCs/>
                <w:color w:val="000000"/>
                <w:sz w:val="20"/>
              </w:rPr>
            </w:pPr>
            <w:r>
              <w:rPr>
                <w:b/>
                <w:color w:val="000000"/>
                <w:sz w:val="20"/>
              </w:rPr>
              <w:t>Data przyjęcia</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7745FCBC" w14:textId="77777777" w:rsidR="00D33AE8" w:rsidRDefault="00D33AE8">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52FDBA72" w14:textId="77777777" w:rsidR="00D33AE8" w:rsidRDefault="00D33A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6AE694E2" w14:textId="77777777" w:rsidR="00D33AE8" w:rsidRDefault="00D33AE8">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AEA8A67" w14:textId="77777777" w:rsidR="00D33AE8" w:rsidRDefault="00D33AE8">
            <w:pPr>
              <w:autoSpaceDE w:val="0"/>
              <w:autoSpaceDN w:val="0"/>
              <w:adjustRightInd w:val="0"/>
              <w:rPr>
                <w:rFonts w:ascii="sans-serif" w:hAnsi="sans-serif" w:cs="sans-serif"/>
                <w:color w:val="000000"/>
              </w:rPr>
            </w:pPr>
          </w:p>
        </w:tc>
      </w:tr>
      <w:tr w:rsidR="00D33AE8" w14:paraId="28A6556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76559EFE" w14:textId="77777777" w:rsidR="00D33AE8" w:rsidRDefault="00D33AE8">
            <w:pPr>
              <w:autoSpaceDE w:val="0"/>
              <w:autoSpaceDN w:val="0"/>
              <w:adjustRightInd w:val="0"/>
              <w:rPr>
                <w:b/>
                <w:bCs/>
                <w:color w:val="000000"/>
                <w:sz w:val="20"/>
              </w:rPr>
            </w:pPr>
            <w:r>
              <w:rPr>
                <w:b/>
                <w:color w:val="000000"/>
                <w:sz w:val="20"/>
              </w:rPr>
              <w:t>Wynik głosowania końcowego</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DC16671" w14:textId="77777777" w:rsidR="00D33AE8" w:rsidRDefault="00D33AE8">
            <w:pPr>
              <w:autoSpaceDE w:val="0"/>
              <w:autoSpaceDN w:val="0"/>
              <w:adjustRightInd w:val="0"/>
              <w:rPr>
                <w:color w:val="000000"/>
                <w:sz w:val="20"/>
              </w:rPr>
            </w:pPr>
            <w:r>
              <w:rPr>
                <w:color w:val="000000"/>
                <w:sz w:val="20"/>
              </w:rPr>
              <w:t>+:</w:t>
            </w:r>
          </w:p>
          <w:p w14:paraId="0F83EAAD" w14:textId="77777777" w:rsidR="00D33AE8" w:rsidRDefault="00D33AE8">
            <w:pPr>
              <w:autoSpaceDE w:val="0"/>
              <w:autoSpaceDN w:val="0"/>
              <w:adjustRightInd w:val="0"/>
              <w:rPr>
                <w:color w:val="000000"/>
                <w:sz w:val="20"/>
              </w:rPr>
            </w:pPr>
            <w:r>
              <w:rPr>
                <w:color w:val="000000"/>
                <w:sz w:val="20"/>
              </w:rPr>
              <w:t>–:</w:t>
            </w:r>
          </w:p>
          <w:p w14:paraId="52CE985B" w14:textId="77777777" w:rsidR="00D33AE8" w:rsidRDefault="00D33AE8">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5AB7CD06" w14:textId="77777777" w:rsidR="00D33AE8" w:rsidRDefault="00D33AE8">
            <w:pPr>
              <w:autoSpaceDE w:val="0"/>
              <w:autoSpaceDN w:val="0"/>
              <w:adjustRightInd w:val="0"/>
              <w:rPr>
                <w:color w:val="000000"/>
                <w:sz w:val="20"/>
              </w:rPr>
            </w:pPr>
            <w:r>
              <w:rPr>
                <w:color w:val="000000"/>
                <w:sz w:val="20"/>
              </w:rPr>
              <w:t>16</w:t>
            </w:r>
          </w:p>
          <w:p w14:paraId="58414395" w14:textId="77777777" w:rsidR="00D33AE8" w:rsidRDefault="00D33AE8">
            <w:pPr>
              <w:autoSpaceDE w:val="0"/>
              <w:autoSpaceDN w:val="0"/>
              <w:adjustRightInd w:val="0"/>
              <w:rPr>
                <w:color w:val="000000"/>
                <w:sz w:val="20"/>
              </w:rPr>
            </w:pPr>
            <w:r>
              <w:rPr>
                <w:color w:val="000000"/>
                <w:sz w:val="20"/>
              </w:rPr>
              <w:t>8</w:t>
            </w:r>
          </w:p>
          <w:p w14:paraId="5ACA9441" w14:textId="77777777" w:rsidR="00D33AE8" w:rsidRDefault="00D33AE8">
            <w:pPr>
              <w:autoSpaceDE w:val="0"/>
              <w:autoSpaceDN w:val="0"/>
              <w:adjustRightInd w:val="0"/>
              <w:rPr>
                <w:color w:val="000000"/>
                <w:sz w:val="20"/>
              </w:rPr>
            </w:pPr>
            <w:r>
              <w:rPr>
                <w:color w:val="000000"/>
                <w:sz w:val="20"/>
              </w:rPr>
              <w:t>1</w:t>
            </w:r>
          </w:p>
        </w:tc>
      </w:tr>
      <w:tr w:rsidR="00D33AE8" w14:paraId="5E564471"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10266D4B" w14:textId="77777777" w:rsidR="00D33AE8" w:rsidRDefault="00D33AE8">
            <w:pPr>
              <w:autoSpaceDE w:val="0"/>
              <w:autoSpaceDN w:val="0"/>
              <w:adjustRightInd w:val="0"/>
              <w:rPr>
                <w:b/>
                <w:bCs/>
                <w:color w:val="000000"/>
                <w:sz w:val="20"/>
              </w:rPr>
            </w:pPr>
            <w:r>
              <w:rPr>
                <w:b/>
                <w:color w:val="000000"/>
                <w:sz w:val="20"/>
              </w:rPr>
              <w:t>Posłowie obecni podczas głosowania końcowego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2D3B7DCF" w14:textId="77777777" w:rsidR="00D33AE8" w:rsidRDefault="00D33AE8">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D33AE8" w14:paraId="50136A10"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2E8C7F84" w14:textId="77777777" w:rsidR="00D33AE8" w:rsidRDefault="00D33AE8">
            <w:pPr>
              <w:autoSpaceDE w:val="0"/>
              <w:autoSpaceDN w:val="0"/>
              <w:adjustRightInd w:val="0"/>
              <w:rPr>
                <w:b/>
                <w:bCs/>
                <w:color w:val="000000"/>
                <w:sz w:val="20"/>
              </w:rPr>
            </w:pPr>
            <w:r>
              <w:rPr>
                <w:b/>
                <w:color w:val="000000"/>
                <w:sz w:val="20"/>
              </w:rPr>
              <w:t>Zastępcy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F04A3F9" w14:textId="77777777" w:rsidR="00D33AE8" w:rsidRDefault="00D33AE8">
            <w:pPr>
              <w:autoSpaceDE w:val="0"/>
              <w:autoSpaceDN w:val="0"/>
              <w:adjustRightInd w:val="0"/>
              <w:rPr>
                <w:color w:val="000000"/>
                <w:sz w:val="20"/>
              </w:rPr>
            </w:pPr>
            <w:r>
              <w:rPr>
                <w:color w:val="000000"/>
                <w:sz w:val="20"/>
              </w:rPr>
              <w:t>David Cormand, Arkadiusz Mularczyk, Gheorghe Piperea, Ernő Schaller-Baross, Alessandro Zan</w:t>
            </w:r>
          </w:p>
        </w:tc>
      </w:tr>
      <w:tr w:rsidR="00D33AE8" w14:paraId="4E1629CF"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13D8C327" w14:textId="77777777" w:rsidR="00D33AE8" w:rsidRDefault="00D33AE8">
            <w:pPr>
              <w:autoSpaceDE w:val="0"/>
              <w:autoSpaceDN w:val="0"/>
              <w:adjustRightInd w:val="0"/>
              <w:rPr>
                <w:b/>
                <w:bCs/>
                <w:color w:val="000000"/>
                <w:sz w:val="20"/>
              </w:rPr>
            </w:pPr>
            <w:r>
              <w:rPr>
                <w:b/>
                <w:color w:val="000000"/>
                <w:sz w:val="20"/>
              </w:rPr>
              <w:t>Posłowie, o których mowa w art. 216 ust. 7 Regulaminu, obecni podczas głosowania końcowego</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DC372C0" w14:textId="77777777" w:rsidR="00D33AE8" w:rsidRDefault="00D33AE8">
            <w:pPr>
              <w:autoSpaceDE w:val="0"/>
              <w:autoSpaceDN w:val="0"/>
              <w:adjustRightInd w:val="0"/>
              <w:rPr>
                <w:color w:val="000000"/>
                <w:sz w:val="20"/>
              </w:rPr>
            </w:pPr>
            <w:r>
              <w:rPr>
                <w:color w:val="000000"/>
                <w:sz w:val="20"/>
              </w:rPr>
              <w:t>Ilia Lazarov</w:t>
            </w:r>
          </w:p>
        </w:tc>
      </w:tr>
    </w:tbl>
    <w:p w14:paraId="434EBFFE" w14:textId="77777777" w:rsidR="00D33AE8" w:rsidRDefault="00D33AE8"/>
    <w:bookmarkEnd w:id="2"/>
    <w:p w14:paraId="3AB18A2E" w14:textId="0A03F4DA" w:rsidR="000B0123" w:rsidRPr="00D33AE8" w:rsidRDefault="000B0123" w:rsidP="00D33AE8"/>
    <w:sectPr w:rsidR="000B0123" w:rsidRPr="00D33AE8" w:rsidSect="00D33AE8">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CA236E" w:rsidRDefault="00F33829">
      <w:r w:rsidRPr="00CA236E">
        <w:separator/>
      </w:r>
    </w:p>
  </w:endnote>
  <w:endnote w:type="continuationSeparator" w:id="0">
    <w:p w14:paraId="256FB70E" w14:textId="77777777" w:rsidR="00F33829" w:rsidRPr="00CA236E" w:rsidRDefault="00F33829">
      <w:r w:rsidRPr="00CA23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98B72E" w14:textId="77777777" w:rsidR="00F17760" w:rsidRPr="00CA236E" w:rsidRDefault="00F17760" w:rsidP="00F17760">
    <w:pPr>
      <w:pStyle w:val="EPFooter"/>
    </w:pPr>
    <w:r w:rsidRPr="00CA236E">
      <w:t>PE</w:t>
    </w:r>
    <w:r w:rsidRPr="00CA236E">
      <w:rPr>
        <w:rStyle w:val="HideTWBExt"/>
      </w:rPr>
      <w:t>&lt;NoPE&gt;</w:t>
    </w:r>
    <w:r w:rsidRPr="00CA236E">
      <w:t>774.386</w:t>
    </w:r>
    <w:r w:rsidRPr="00CA236E">
      <w:rPr>
        <w:rStyle w:val="HideTWBExt"/>
      </w:rPr>
      <w:t>&lt;/NoPE&gt;&lt;Version&gt;</w:t>
    </w:r>
    <w:r w:rsidRPr="00CA236E">
      <w:t>v02-00</w:t>
    </w:r>
    <w:r w:rsidRPr="00CA236E">
      <w:rPr>
        <w:rStyle w:val="HideTWBExt"/>
      </w:rPr>
      <w:t>&lt;/Version&gt;</w:t>
    </w:r>
    <w:r w:rsidRPr="00CA236E">
      <w:tab/>
    </w:r>
    <w:r w:rsidRPr="00CA236E">
      <w:fldChar w:fldCharType="begin"/>
    </w:r>
    <w:r w:rsidRPr="00CA236E">
      <w:instrText xml:space="preserve"> PAGE  \* MERGEFORMAT </w:instrText>
    </w:r>
    <w:r w:rsidRPr="00CA236E">
      <w:fldChar w:fldCharType="separate"/>
    </w:r>
    <w:r w:rsidRPr="00CA236E">
      <w:rPr>
        <w:noProof/>
      </w:rPr>
      <w:t>4</w:t>
    </w:r>
    <w:r w:rsidRPr="00CA236E">
      <w:fldChar w:fldCharType="end"/>
    </w:r>
    <w:r w:rsidRPr="00CA236E">
      <w:t>/</w:t>
    </w:r>
    <w:r w:rsidR="00241D1F">
      <w:fldChar w:fldCharType="begin"/>
    </w:r>
    <w:r w:rsidR="00241D1F">
      <w:instrText xml:space="preserve"> NUMPAGES  \* MERGEFORMAT </w:instrText>
    </w:r>
    <w:r w:rsidR="00241D1F">
      <w:fldChar w:fldCharType="separate"/>
    </w:r>
    <w:r w:rsidRPr="00CA236E">
      <w:rPr>
        <w:noProof/>
      </w:rPr>
      <w:t>6</w:t>
    </w:r>
    <w:r w:rsidR="00241D1F">
      <w:rPr>
        <w:noProof/>
      </w:rPr>
      <w:fldChar w:fldCharType="end"/>
    </w:r>
    <w:r w:rsidRPr="00CA236E">
      <w:tab/>
    </w:r>
    <w:r w:rsidRPr="00CA236E">
      <w:rPr>
        <w:rStyle w:val="HideTWBExt"/>
      </w:rPr>
      <w:t>&lt;PathFdR&gt;</w:t>
    </w:r>
    <w:r w:rsidRPr="00CA236E">
      <w:t>RR\1334156PL.docx</w:t>
    </w:r>
    <w:r w:rsidRPr="00CA236E">
      <w:rPr>
        <w:rStyle w:val="HideTWBExt"/>
      </w:rPr>
      <w:t>&lt;/PathFdR&gt;</w:t>
    </w:r>
  </w:p>
  <w:p w14:paraId="50C2D638" w14:textId="273DC4E5" w:rsidR="0023430B" w:rsidRPr="00CA236E" w:rsidRDefault="00F17760" w:rsidP="00F17760">
    <w:pPr>
      <w:pStyle w:val="EPFooter2"/>
    </w:pPr>
    <w:r w:rsidRPr="00CA236E">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A7E3A" w14:textId="77777777" w:rsidR="00F17760" w:rsidRPr="00CA236E" w:rsidRDefault="00F17760" w:rsidP="00F17760">
    <w:pPr>
      <w:pStyle w:val="EPFooter"/>
    </w:pPr>
    <w:r w:rsidRPr="00CA236E">
      <w:rPr>
        <w:rStyle w:val="HideTWBExt"/>
      </w:rPr>
      <w:t>&lt;PathFdR&gt;</w:t>
    </w:r>
    <w:r w:rsidRPr="00CA236E">
      <w:t>RR\1334156PL.docx</w:t>
    </w:r>
    <w:r w:rsidRPr="00CA236E">
      <w:rPr>
        <w:rStyle w:val="HideTWBExt"/>
      </w:rPr>
      <w:t>&lt;/PathFdR&gt;</w:t>
    </w:r>
    <w:r w:rsidRPr="00CA236E">
      <w:tab/>
    </w:r>
    <w:r w:rsidRPr="00CA236E">
      <w:fldChar w:fldCharType="begin"/>
    </w:r>
    <w:r w:rsidRPr="00CA236E">
      <w:instrText xml:space="preserve"> PAGE  \* MERGEFORMAT </w:instrText>
    </w:r>
    <w:r w:rsidRPr="00CA236E">
      <w:fldChar w:fldCharType="separate"/>
    </w:r>
    <w:r w:rsidRPr="00CA236E">
      <w:rPr>
        <w:noProof/>
      </w:rPr>
      <w:t>5</w:t>
    </w:r>
    <w:r w:rsidRPr="00CA236E">
      <w:fldChar w:fldCharType="end"/>
    </w:r>
    <w:r w:rsidRPr="00CA236E">
      <w:t>/</w:t>
    </w:r>
    <w:r w:rsidR="00241D1F">
      <w:fldChar w:fldCharType="begin"/>
    </w:r>
    <w:r w:rsidR="00241D1F">
      <w:instrText xml:space="preserve"> NUMPAGES  \* MERGEFORMAT </w:instrText>
    </w:r>
    <w:r w:rsidR="00241D1F">
      <w:fldChar w:fldCharType="separate"/>
    </w:r>
    <w:r w:rsidRPr="00CA236E">
      <w:rPr>
        <w:noProof/>
      </w:rPr>
      <w:t>6</w:t>
    </w:r>
    <w:r w:rsidR="00241D1F">
      <w:rPr>
        <w:noProof/>
      </w:rPr>
      <w:fldChar w:fldCharType="end"/>
    </w:r>
    <w:r w:rsidRPr="00CA236E">
      <w:tab/>
      <w:t>PE</w:t>
    </w:r>
    <w:r w:rsidRPr="00CA236E">
      <w:rPr>
        <w:rStyle w:val="HideTWBExt"/>
      </w:rPr>
      <w:t>&lt;NoPE&gt;</w:t>
    </w:r>
    <w:r w:rsidRPr="00CA236E">
      <w:t>774.386</w:t>
    </w:r>
    <w:r w:rsidRPr="00CA236E">
      <w:rPr>
        <w:rStyle w:val="HideTWBExt"/>
      </w:rPr>
      <w:t>&lt;/NoPE&gt;&lt;Version&gt;</w:t>
    </w:r>
    <w:r w:rsidRPr="00CA236E">
      <w:t>v02-00</w:t>
    </w:r>
    <w:r w:rsidRPr="00CA236E">
      <w:rPr>
        <w:rStyle w:val="HideTWBExt"/>
      </w:rPr>
      <w:t>&lt;/Version&gt;</w:t>
    </w:r>
  </w:p>
  <w:p w14:paraId="49672603" w14:textId="0CB18D4D" w:rsidR="0023430B" w:rsidRPr="00CA236E" w:rsidRDefault="00F17760" w:rsidP="00F17760">
    <w:pPr>
      <w:pStyle w:val="EPFooter2"/>
    </w:pPr>
    <w:r w:rsidRPr="00CA236E">
      <w:tab/>
    </w:r>
    <w:r w:rsidRPr="00CA236E">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33ABF" w14:textId="77777777" w:rsidR="00F17760" w:rsidRPr="00CA236E" w:rsidRDefault="00F17760" w:rsidP="00F17760">
    <w:pPr>
      <w:pStyle w:val="EPFooter"/>
    </w:pPr>
    <w:r w:rsidRPr="00CA236E">
      <w:rPr>
        <w:rStyle w:val="HideTWBExt"/>
      </w:rPr>
      <w:t>&lt;PathFdR&gt;</w:t>
    </w:r>
    <w:r w:rsidRPr="00CA236E">
      <w:t>RR\1334156PL.docx</w:t>
    </w:r>
    <w:r w:rsidRPr="00CA236E">
      <w:rPr>
        <w:rStyle w:val="HideTWBExt"/>
      </w:rPr>
      <w:t>&lt;/PathFdR&gt;</w:t>
    </w:r>
    <w:r w:rsidRPr="00CA236E">
      <w:tab/>
    </w:r>
    <w:r w:rsidRPr="00CA236E">
      <w:tab/>
      <w:t>PE</w:t>
    </w:r>
    <w:r w:rsidRPr="00CA236E">
      <w:rPr>
        <w:rStyle w:val="HideTWBExt"/>
      </w:rPr>
      <w:t>&lt;NoPE&gt;</w:t>
    </w:r>
    <w:r w:rsidRPr="00CA236E">
      <w:t>774.386</w:t>
    </w:r>
    <w:r w:rsidRPr="00CA236E">
      <w:rPr>
        <w:rStyle w:val="HideTWBExt"/>
      </w:rPr>
      <w:t>&lt;/NoPE&gt;&lt;Version&gt;</w:t>
    </w:r>
    <w:r w:rsidRPr="00CA236E">
      <w:t>v02-00</w:t>
    </w:r>
    <w:r w:rsidRPr="00CA236E">
      <w:rPr>
        <w:rStyle w:val="HideTWBExt"/>
      </w:rPr>
      <w:t>&lt;/Version&gt;</w:t>
    </w:r>
  </w:p>
  <w:p w14:paraId="61E518B9" w14:textId="277CF581" w:rsidR="0023430B" w:rsidRPr="00CA236E" w:rsidRDefault="00F17760" w:rsidP="00F17760">
    <w:pPr>
      <w:pStyle w:val="EPFooter2"/>
    </w:pPr>
    <w:r w:rsidRPr="00CA236E">
      <w:t>PL</w:t>
    </w:r>
    <w:r w:rsidRPr="00CA236E">
      <w:tab/>
    </w:r>
    <w:r w:rsidRPr="00CA236E">
      <w:rPr>
        <w:b w:val="0"/>
        <w:i/>
        <w:color w:val="C0C0C0"/>
        <w:sz w:val="22"/>
      </w:rPr>
      <w:t>Zjednoczona w różnorodności</w:t>
    </w:r>
    <w:r w:rsidRPr="00CA236E">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CA236E" w:rsidRDefault="00F33829">
      <w:r w:rsidRPr="00CA236E">
        <w:separator/>
      </w:r>
    </w:p>
  </w:footnote>
  <w:footnote w:type="continuationSeparator" w:id="0">
    <w:p w14:paraId="66A918DA" w14:textId="77777777" w:rsidR="00F33829" w:rsidRPr="00CA236E" w:rsidRDefault="00F33829">
      <w:r w:rsidRPr="00CA236E">
        <w:continuationSeparator/>
      </w:r>
    </w:p>
  </w:footnote>
  <w:footnote w:id="1">
    <w:p w14:paraId="68A1300C" w14:textId="5BD35852" w:rsidR="00DF248B" w:rsidRPr="00CA236E" w:rsidRDefault="00DF248B" w:rsidP="00DF248B">
      <w:pPr>
        <w:pStyle w:val="FootnoteText"/>
      </w:pPr>
      <w:r>
        <w:rPr>
          <w:rStyle w:val="FootnoteReference"/>
        </w:rPr>
        <w:footnoteRef/>
      </w:r>
      <w:r>
        <w:t xml:space="preserve"> Wyrok Trybunału Sprawiedliwości z dnia 21 października 2008 r., Marra/De Gregorio i Clemente, C-200/07 i C-201/07, ECLI:EU:C:2008:579; wyrok Sądu z dnia 19 marca 2010 r., Gollnisch/Parlament, T-42/06, ECLI:EU:T:2010:102; wyrok Trybunału Sprawiedliwości z dnia 6 września 2011 r., Patriciello, C-163/10, ECLI: EU:C:2011:543; wyrok Sądu z dnia 17 stycznia 2013 r., Gollnisch/Parlament, T-346/11 i T-347/11, ECLI:EU:T:2013:23. wyrok Trybunału Sprawiedliwości z dnia 19 grudnia 2019 r., Junqueras Vies, C-502/19, ECLI:EU:C:2019:1115. wyrok Sądu z 5 lipca 2023 r., Puigdemont i Casamajó i in./Parlament, T-272/21, ECLI:EU:T:2023:373.</w:t>
      </w:r>
    </w:p>
  </w:footnote>
  <w:footnote w:id="2">
    <w:p w14:paraId="0ABD1C92" w14:textId="55F03A7F" w:rsidR="00DF248B" w:rsidRPr="00CA236E" w:rsidRDefault="00DF248B" w:rsidP="00DF248B">
      <w:pPr>
        <w:pStyle w:val="FootnoteText"/>
      </w:pPr>
      <w:r>
        <w:rPr>
          <w:rStyle w:val="FootnoteReference"/>
        </w:rPr>
        <w:footnoteRef/>
      </w:r>
      <w:r>
        <w:t xml:space="preserve"> Wyrok Sądu z dnia 30 kwietnia 2019 r., Briois/Parlement, T-214/18, ECLI:EU:T:2019:266.</w:t>
      </w:r>
    </w:p>
  </w:footnote>
  <w:footnote w:id="3">
    <w:p w14:paraId="13FDC936" w14:textId="7C010BE0" w:rsidR="00DF248B" w:rsidRPr="00CA236E" w:rsidRDefault="00DF248B" w:rsidP="00DF248B">
      <w:pPr>
        <w:pStyle w:val="FootnoteText"/>
      </w:pPr>
      <w:r>
        <w:rPr>
          <w:rStyle w:val="FootnoteReference"/>
        </w:rPr>
        <w:footnoteRef/>
      </w:r>
      <w:r>
        <w:t xml:space="preserve"> Wyrok Trybunału Sprawiedliwości z dnia 6 września 2011 r., Patriciello, C-163/10, ECLI: EU:C:2011:543; pkt.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3DAD8" w14:textId="77777777" w:rsidR="00D33AE8" w:rsidRDefault="00D33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CD657" w14:textId="77777777" w:rsidR="00D33AE8" w:rsidRDefault="00D33A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2A8234" w14:textId="77777777" w:rsidR="00D33AE8" w:rsidRDefault="00D33A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31738191">
    <w:abstractNumId w:val="9"/>
  </w:num>
  <w:num w:numId="2" w16cid:durableId="1658531295">
    <w:abstractNumId w:val="9"/>
  </w:num>
  <w:num w:numId="3" w16cid:durableId="66344046">
    <w:abstractNumId w:val="7"/>
  </w:num>
  <w:num w:numId="4" w16cid:durableId="1508448924">
    <w:abstractNumId w:val="7"/>
  </w:num>
  <w:num w:numId="5" w16cid:durableId="1504733918">
    <w:abstractNumId w:val="6"/>
  </w:num>
  <w:num w:numId="6" w16cid:durableId="731539856">
    <w:abstractNumId w:val="6"/>
  </w:num>
  <w:num w:numId="7" w16cid:durableId="1431316426">
    <w:abstractNumId w:val="5"/>
  </w:num>
  <w:num w:numId="8" w16cid:durableId="1297296562">
    <w:abstractNumId w:val="5"/>
  </w:num>
  <w:num w:numId="9" w16cid:durableId="271404040">
    <w:abstractNumId w:val="4"/>
  </w:num>
  <w:num w:numId="10" w16cid:durableId="1900631387">
    <w:abstractNumId w:val="4"/>
  </w:num>
  <w:num w:numId="11" w16cid:durableId="1915235639">
    <w:abstractNumId w:val="8"/>
  </w:num>
  <w:num w:numId="12" w16cid:durableId="695471106">
    <w:abstractNumId w:val="8"/>
  </w:num>
  <w:num w:numId="13" w16cid:durableId="516045755">
    <w:abstractNumId w:val="3"/>
  </w:num>
  <w:num w:numId="14" w16cid:durableId="845826404">
    <w:abstractNumId w:val="3"/>
  </w:num>
  <w:num w:numId="15" w16cid:durableId="8339785">
    <w:abstractNumId w:val="2"/>
  </w:num>
  <w:num w:numId="16" w16cid:durableId="2004813487">
    <w:abstractNumId w:val="2"/>
  </w:num>
  <w:num w:numId="17" w16cid:durableId="765999890">
    <w:abstractNumId w:val="1"/>
  </w:num>
  <w:num w:numId="18" w16cid:durableId="1348018669">
    <w:abstractNumId w:val="1"/>
  </w:num>
  <w:num w:numId="19" w16cid:durableId="1809322129">
    <w:abstractNumId w:val="0"/>
  </w:num>
  <w:num w:numId="20" w16cid:durableId="460223067">
    <w:abstractNumId w:val="0"/>
  </w:num>
  <w:num w:numId="21" w16cid:durableId="61829005">
    <w:abstractNumId w:val="9"/>
  </w:num>
  <w:num w:numId="22" w16cid:durableId="761923810">
    <w:abstractNumId w:val="7"/>
  </w:num>
  <w:num w:numId="23" w16cid:durableId="1920603418">
    <w:abstractNumId w:val="6"/>
  </w:num>
  <w:num w:numId="24" w16cid:durableId="605699190">
    <w:abstractNumId w:val="5"/>
  </w:num>
  <w:num w:numId="25" w16cid:durableId="1650356063">
    <w:abstractNumId w:val="4"/>
  </w:num>
  <w:num w:numId="26" w16cid:durableId="1617760875">
    <w:abstractNumId w:val="8"/>
  </w:num>
  <w:num w:numId="27" w16cid:durableId="2090421802">
    <w:abstractNumId w:val="3"/>
  </w:num>
  <w:num w:numId="28" w16cid:durableId="1227688502">
    <w:abstractNumId w:val="2"/>
  </w:num>
  <w:num w:numId="29" w16cid:durableId="405227473">
    <w:abstractNumId w:val="1"/>
  </w:num>
  <w:num w:numId="30" w16cid:durableId="465391868">
    <w:abstractNumId w:val="0"/>
  </w:num>
  <w:num w:numId="31" w16cid:durableId="1674144526">
    <w:abstractNumId w:val="9"/>
  </w:num>
  <w:num w:numId="32" w16cid:durableId="729036390">
    <w:abstractNumId w:val="7"/>
  </w:num>
  <w:num w:numId="33" w16cid:durableId="1640767127">
    <w:abstractNumId w:val="6"/>
  </w:num>
  <w:num w:numId="34" w16cid:durableId="1208684960">
    <w:abstractNumId w:val="5"/>
  </w:num>
  <w:num w:numId="35" w16cid:durableId="278728323">
    <w:abstractNumId w:val="4"/>
  </w:num>
  <w:num w:numId="36" w16cid:durableId="2066101122">
    <w:abstractNumId w:val="8"/>
  </w:num>
  <w:num w:numId="37" w16cid:durableId="2069302289">
    <w:abstractNumId w:val="3"/>
  </w:num>
  <w:num w:numId="38" w16cid:durableId="1034307329">
    <w:abstractNumId w:val="2"/>
  </w:num>
  <w:num w:numId="39" w16cid:durableId="1221207281">
    <w:abstractNumId w:val="1"/>
  </w:num>
  <w:num w:numId="40" w16cid:durableId="1359311956">
    <w:abstractNumId w:val="0"/>
  </w:num>
  <w:num w:numId="41" w16cid:durableId="19678815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12/12/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PL"/>
    <w:docVar w:name="TXTLANGUEMIN" w:val="pl"/>
    <w:docVar w:name="TXTNAME" w:val="Alessandra Moretti"/>
    <w:docVar w:name="TXTNRIMM" w:val="2025/2064"/>
    <w:docVar w:name="TXTNRPE" w:val="774.386"/>
    <w:docVar w:name="TXTPEorAP" w:val="PE"/>
    <w:docVar w:name="TXTROUTE" w:val="RR\1334156PL.docx"/>
    <w:docVar w:name="TXTVERSION" w:val="02-00"/>
    <w:docVar w:name="WAIVEMNU" w:val=" 2"/>
  </w:docVars>
  <w:rsids>
    <w:rsidRoot w:val="00F33829"/>
    <w:rsid w:val="00005F1B"/>
    <w:rsid w:val="00035C23"/>
    <w:rsid w:val="00044B9B"/>
    <w:rsid w:val="00060E63"/>
    <w:rsid w:val="0006105E"/>
    <w:rsid w:val="000802BD"/>
    <w:rsid w:val="000B0123"/>
    <w:rsid w:val="000C0CAA"/>
    <w:rsid w:val="000E2CBB"/>
    <w:rsid w:val="000E36C4"/>
    <w:rsid w:val="001366ED"/>
    <w:rsid w:val="00142D49"/>
    <w:rsid w:val="00160452"/>
    <w:rsid w:val="0019286C"/>
    <w:rsid w:val="001B6A99"/>
    <w:rsid w:val="001E4AB9"/>
    <w:rsid w:val="00205304"/>
    <w:rsid w:val="00215FF9"/>
    <w:rsid w:val="00232B4C"/>
    <w:rsid w:val="0023430B"/>
    <w:rsid w:val="00241D1F"/>
    <w:rsid w:val="002442B3"/>
    <w:rsid w:val="00273EFB"/>
    <w:rsid w:val="00285706"/>
    <w:rsid w:val="002915E6"/>
    <w:rsid w:val="002A2777"/>
    <w:rsid w:val="002D4262"/>
    <w:rsid w:val="002E3E85"/>
    <w:rsid w:val="00326E87"/>
    <w:rsid w:val="0035402F"/>
    <w:rsid w:val="0035595E"/>
    <w:rsid w:val="00355B0A"/>
    <w:rsid w:val="003629A9"/>
    <w:rsid w:val="00363D35"/>
    <w:rsid w:val="003702B8"/>
    <w:rsid w:val="00392A3D"/>
    <w:rsid w:val="003947EF"/>
    <w:rsid w:val="003A3FA0"/>
    <w:rsid w:val="003B026C"/>
    <w:rsid w:val="003B1888"/>
    <w:rsid w:val="003D30B4"/>
    <w:rsid w:val="003E24B5"/>
    <w:rsid w:val="004433B2"/>
    <w:rsid w:val="004456C8"/>
    <w:rsid w:val="0044752A"/>
    <w:rsid w:val="0045635E"/>
    <w:rsid w:val="0046532E"/>
    <w:rsid w:val="00493F90"/>
    <w:rsid w:val="004A4086"/>
    <w:rsid w:val="004E1937"/>
    <w:rsid w:val="004E7774"/>
    <w:rsid w:val="004F0A20"/>
    <w:rsid w:val="00542BE5"/>
    <w:rsid w:val="00563616"/>
    <w:rsid w:val="005922F7"/>
    <w:rsid w:val="005B5955"/>
    <w:rsid w:val="005D0EE0"/>
    <w:rsid w:val="00611991"/>
    <w:rsid w:val="00633DF2"/>
    <w:rsid w:val="00643CDE"/>
    <w:rsid w:val="00681E33"/>
    <w:rsid w:val="00687975"/>
    <w:rsid w:val="006A0A04"/>
    <w:rsid w:val="006C038C"/>
    <w:rsid w:val="006C6D01"/>
    <w:rsid w:val="006F4F35"/>
    <w:rsid w:val="00730B6B"/>
    <w:rsid w:val="00753DFC"/>
    <w:rsid w:val="007613CD"/>
    <w:rsid w:val="0076428C"/>
    <w:rsid w:val="00771E7F"/>
    <w:rsid w:val="0077436B"/>
    <w:rsid w:val="00775C1D"/>
    <w:rsid w:val="00775D7D"/>
    <w:rsid w:val="0078039D"/>
    <w:rsid w:val="00785C52"/>
    <w:rsid w:val="00797CAE"/>
    <w:rsid w:val="007A7BF5"/>
    <w:rsid w:val="007C040A"/>
    <w:rsid w:val="007D49EE"/>
    <w:rsid w:val="007E434A"/>
    <w:rsid w:val="007F4D6A"/>
    <w:rsid w:val="00800445"/>
    <w:rsid w:val="00804D57"/>
    <w:rsid w:val="00830AE1"/>
    <w:rsid w:val="00833ECC"/>
    <w:rsid w:val="008376BE"/>
    <w:rsid w:val="00851E2C"/>
    <w:rsid w:val="00867D72"/>
    <w:rsid w:val="00872381"/>
    <w:rsid w:val="008B57AE"/>
    <w:rsid w:val="008D1236"/>
    <w:rsid w:val="008D1C36"/>
    <w:rsid w:val="008D3F68"/>
    <w:rsid w:val="008E6FB9"/>
    <w:rsid w:val="008F39C8"/>
    <w:rsid w:val="0091636F"/>
    <w:rsid w:val="009442F2"/>
    <w:rsid w:val="009915DD"/>
    <w:rsid w:val="009A4162"/>
    <w:rsid w:val="009B47E5"/>
    <w:rsid w:val="009E7AD9"/>
    <w:rsid w:val="009F5083"/>
    <w:rsid w:val="00A33B09"/>
    <w:rsid w:val="00A34494"/>
    <w:rsid w:val="00A87FB0"/>
    <w:rsid w:val="00B07676"/>
    <w:rsid w:val="00B47857"/>
    <w:rsid w:val="00B75C6D"/>
    <w:rsid w:val="00B81D30"/>
    <w:rsid w:val="00BE2428"/>
    <w:rsid w:val="00C42BD9"/>
    <w:rsid w:val="00CA236E"/>
    <w:rsid w:val="00CC662F"/>
    <w:rsid w:val="00CD438F"/>
    <w:rsid w:val="00CD6DFD"/>
    <w:rsid w:val="00CE5349"/>
    <w:rsid w:val="00CF16EE"/>
    <w:rsid w:val="00D1021A"/>
    <w:rsid w:val="00D1391D"/>
    <w:rsid w:val="00D33AE8"/>
    <w:rsid w:val="00D77447"/>
    <w:rsid w:val="00DA67D6"/>
    <w:rsid w:val="00DB1E47"/>
    <w:rsid w:val="00DD480D"/>
    <w:rsid w:val="00DE6DA0"/>
    <w:rsid w:val="00DF248B"/>
    <w:rsid w:val="00DF2A85"/>
    <w:rsid w:val="00DF74F0"/>
    <w:rsid w:val="00E114BC"/>
    <w:rsid w:val="00EC401F"/>
    <w:rsid w:val="00F03A29"/>
    <w:rsid w:val="00F17760"/>
    <w:rsid w:val="00F306AC"/>
    <w:rsid w:val="00F33829"/>
    <w:rsid w:val="00F452C6"/>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035C23"/>
    <w:pPr>
      <w:spacing w:before="1080"/>
      <w:jc w:val="right"/>
    </w:pPr>
    <w:rPr>
      <w:rFonts w:ascii="Arial" w:hAnsi="Arial" w:cs="Arial"/>
      <w:b/>
    </w:rPr>
  </w:style>
  <w:style w:type="paragraph" w:styleId="BalloonText">
    <w:name w:val="Balloon Text"/>
    <w:basedOn w:val="Normal"/>
    <w:link w:val="BalloonTextChar"/>
    <w:semiHidden/>
    <w:unhideWhenUsed/>
    <w:rsid w:val="000B0123"/>
    <w:rPr>
      <w:rFonts w:ascii="Segoe UI" w:hAnsi="Segoe UI" w:cs="Segoe UI"/>
      <w:sz w:val="18"/>
      <w:szCs w:val="18"/>
    </w:rPr>
  </w:style>
  <w:style w:type="character" w:customStyle="1" w:styleId="BalloonTextChar">
    <w:name w:val="Balloon Text Char"/>
    <w:basedOn w:val="DefaultParagraphFont"/>
    <w:link w:val="BalloonText"/>
    <w:semiHidden/>
    <w:rsid w:val="000B012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1139</Words>
  <Characters>7143</Characters>
  <Application>Microsoft Office Word</Application>
  <DocSecurity>0</DocSecurity>
  <Lines>155</Lines>
  <Paragraphs>66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WIERTLEWSKA Maria</cp:lastModifiedBy>
  <cp:revision>2</cp:revision>
  <cp:lastPrinted>2025-11-11T10:39:00Z</cp:lastPrinted>
  <dcterms:created xsi:type="dcterms:W3CDTF">2025-12-15T13:41:00Z</dcterms:created>
  <dcterms:modified xsi:type="dcterms:W3CDTF">2025-12-15T13:41:00Z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RR\1334156PL.docx</vt:lpwstr>
  </property>
  <property fmtid="{D5CDD505-2E9C-101B-9397-08002B2CF9AE}" pid="11" name="PE number">
    <vt:lpwstr>774.386</vt:lpwstr>
  </property>
  <property fmtid="{D5CDD505-2E9C-101B-9397-08002B2CF9AE}" pid="12" name="SendToEpades">
    <vt:lpwstr/>
  </property>
  <property fmtid="{D5CDD505-2E9C-101B-9397-08002B2CF9AE}" pid="13" name="Bookout">
    <vt:lpwstr>OK - 2025/12/15 14:41</vt:lpwstr>
  </property>
  <property fmtid="{D5CDD505-2E9C-101B-9397-08002B2CF9AE}" pid="14" name="OriLang">
    <vt:lpwstr>EN</vt:lpwstr>
  </property>
  <property fmtid="{D5CDD505-2E9C-101B-9397-08002B2CF9AE}" pid="15" name="SDLStudio">
    <vt:lpwstr/>
  </property>
</Properties>
</file>