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B05B5C" w14:paraId="76BEE35E" w14:textId="77777777" w:rsidTr="00C85D0F">
        <w:trPr>
          <w:trHeight w:hRule="exact" w:val="1418"/>
        </w:trPr>
        <w:tc>
          <w:tcPr>
            <w:tcW w:w="6804" w:type="dxa"/>
            <w:shd w:val="clear" w:color="auto" w:fill="auto"/>
            <w:vAlign w:val="center"/>
          </w:tcPr>
          <w:p w14:paraId="2B0BB657" w14:textId="77777777" w:rsidR="00CF16EE" w:rsidRPr="00B05B5C" w:rsidRDefault="00F33829" w:rsidP="00C85D0F">
            <w:pPr>
              <w:pStyle w:val="EPName"/>
            </w:pPr>
            <w:r>
              <w:t>Parlamentul European</w:t>
            </w:r>
          </w:p>
          <w:p w14:paraId="7B5EEEF9" w14:textId="77777777" w:rsidR="00CF16EE" w:rsidRPr="00B05B5C" w:rsidRDefault="00833ECC" w:rsidP="00833ECC">
            <w:pPr>
              <w:pStyle w:val="EPTerm"/>
            </w:pPr>
            <w:r>
              <w:t>2024-2029</w:t>
            </w:r>
          </w:p>
        </w:tc>
        <w:tc>
          <w:tcPr>
            <w:tcW w:w="2268" w:type="dxa"/>
            <w:shd w:val="clear" w:color="auto" w:fill="auto"/>
          </w:tcPr>
          <w:p w14:paraId="0402B3F8" w14:textId="77777777" w:rsidR="00CF16EE" w:rsidRPr="00B05B5C" w:rsidRDefault="00CF16EE" w:rsidP="00C85D0F">
            <w:pPr>
              <w:pStyle w:val="EPLogo"/>
            </w:pPr>
            <w:r w:rsidRPr="00B05B5C">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B05B5C" w:rsidRDefault="00215FF9" w:rsidP="00215FF9">
      <w:pPr>
        <w:pStyle w:val="LineTop"/>
      </w:pPr>
    </w:p>
    <w:p w14:paraId="7EFD2F67" w14:textId="3575AF02" w:rsidR="00215FF9" w:rsidRPr="00B05B5C" w:rsidRDefault="00035C23" w:rsidP="00215FF9">
      <w:pPr>
        <w:pStyle w:val="EPBody"/>
      </w:pPr>
      <w:r>
        <w:t>Document de ședință</w:t>
      </w:r>
    </w:p>
    <w:p w14:paraId="52107EF3" w14:textId="77777777" w:rsidR="00215FF9" w:rsidRPr="00B05B5C" w:rsidRDefault="00215FF9" w:rsidP="00215FF9">
      <w:pPr>
        <w:pStyle w:val="LineBottom"/>
      </w:pPr>
    </w:p>
    <w:p w14:paraId="2E8A7A8E" w14:textId="7C41171E" w:rsidR="005922F7" w:rsidRPr="00B05B5C" w:rsidRDefault="00035C23" w:rsidP="00035C23">
      <w:pPr>
        <w:pStyle w:val="CoverReference"/>
      </w:pPr>
      <w:r>
        <w:rPr>
          <w:rStyle w:val="HideTWBExt"/>
        </w:rPr>
        <w:t>&lt;NoDocSe&gt;</w:t>
      </w:r>
      <w:r>
        <w:t>A10-0264/2025</w:t>
      </w:r>
      <w:r>
        <w:rPr>
          <w:rStyle w:val="HideTWBExt"/>
        </w:rPr>
        <w:t>&lt;/NoDocSe&gt;</w:t>
      </w:r>
    </w:p>
    <w:p w14:paraId="118C52D6" w14:textId="4399B071" w:rsidR="005922F7" w:rsidRPr="00B05B5C" w:rsidRDefault="005922F7" w:rsidP="005922F7">
      <w:pPr>
        <w:pStyle w:val="CoverDate"/>
      </w:pPr>
      <w:r>
        <w:rPr>
          <w:rStyle w:val="HideTWBExt"/>
        </w:rPr>
        <w:t>&lt;Date&gt;</w:t>
      </w:r>
      <w:r>
        <w:rPr>
          <w:rStyle w:val="HideTWBInt"/>
        </w:rPr>
        <w:t>{12/12/2025}</w:t>
      </w:r>
      <w:r>
        <w:t>12.12.2025</w:t>
      </w:r>
      <w:r>
        <w:rPr>
          <w:rStyle w:val="HideTWBExt"/>
        </w:rPr>
        <w:t>&lt;/Date&gt;</w:t>
      </w:r>
    </w:p>
    <w:p w14:paraId="4F528687" w14:textId="0A56F9A2" w:rsidR="00142D49" w:rsidRPr="00B05B5C" w:rsidRDefault="00142D49">
      <w:pPr>
        <w:pStyle w:val="CoverDocType24a"/>
      </w:pPr>
      <w:r>
        <w:rPr>
          <w:rStyle w:val="HideTWBExt"/>
          <w:b w:val="0"/>
        </w:rPr>
        <w:t>&lt;TitreType&gt;</w:t>
      </w:r>
      <w:r>
        <w:t>RAPORT</w:t>
      </w:r>
      <w:r>
        <w:rPr>
          <w:rStyle w:val="HideTWBExt"/>
          <w:b w:val="0"/>
        </w:rPr>
        <w:t>&lt;/TitreType&gt;</w:t>
      </w:r>
    </w:p>
    <w:p w14:paraId="2BFFB805" w14:textId="77777777" w:rsidR="00142D49" w:rsidRPr="00B05B5C" w:rsidRDefault="00142D49">
      <w:pPr>
        <w:pStyle w:val="CoverNormal"/>
      </w:pPr>
      <w:r>
        <w:rPr>
          <w:rStyle w:val="HideTWBExt"/>
        </w:rPr>
        <w:t>&lt;Titre&gt;</w:t>
      </w:r>
      <w:r>
        <w:t>referitor la cererea de ridicare a imunității deputatei Alessandra Moretti</w:t>
      </w:r>
      <w:r>
        <w:rPr>
          <w:rStyle w:val="HideTWBExt"/>
        </w:rPr>
        <w:t>&lt;/Titre&gt;</w:t>
      </w:r>
    </w:p>
    <w:p w14:paraId="0C435C87" w14:textId="77777777" w:rsidR="00142D49" w:rsidRPr="00B05B5C" w:rsidRDefault="00142D49">
      <w:pPr>
        <w:pStyle w:val="CoverNormal24a"/>
      </w:pPr>
      <w:r>
        <w:rPr>
          <w:rStyle w:val="HideTWBExt"/>
        </w:rPr>
        <w:t>&lt;DocRef&gt;</w:t>
      </w:r>
      <w:r>
        <w:t>(2025/2064(IMM))</w:t>
      </w:r>
      <w:r>
        <w:rPr>
          <w:rStyle w:val="HideTWBExt"/>
        </w:rPr>
        <w:t>&lt;/DocRef&gt;</w:t>
      </w:r>
    </w:p>
    <w:p w14:paraId="0F41702D" w14:textId="77777777" w:rsidR="00142D49" w:rsidRPr="00B05B5C" w:rsidRDefault="00142D49">
      <w:pPr>
        <w:pStyle w:val="CoverNormal24a"/>
      </w:pPr>
      <w:r>
        <w:rPr>
          <w:rStyle w:val="HideTWBExt"/>
        </w:rPr>
        <w:t>&lt;Commission&gt;</w:t>
      </w:r>
      <w:r>
        <w:rPr>
          <w:rStyle w:val="HideTWBInt"/>
        </w:rPr>
        <w:t>{JURI}</w:t>
      </w:r>
      <w:r>
        <w:t>Comisia pentru afaceri juridice</w:t>
      </w:r>
      <w:r>
        <w:rPr>
          <w:rStyle w:val="HideTWBExt"/>
        </w:rPr>
        <w:t>&lt;/Commission&gt;</w:t>
      </w:r>
    </w:p>
    <w:p w14:paraId="5C792C9D" w14:textId="77777777" w:rsidR="00142D49" w:rsidRPr="00B05B5C" w:rsidRDefault="00F33829">
      <w:pPr>
        <w:pStyle w:val="CoverNormal24a"/>
      </w:pPr>
      <w:r>
        <w:t xml:space="preserve">Raportor: </w:t>
      </w:r>
      <w:r>
        <w:rPr>
          <w:rStyle w:val="HideTWBExt"/>
        </w:rPr>
        <w:t>&lt;Depute&gt;</w:t>
      </w:r>
      <w:r>
        <w:t>Marcin Sypniewski</w:t>
      </w:r>
      <w:r>
        <w:rPr>
          <w:rStyle w:val="HideTWBExt"/>
        </w:rPr>
        <w:t>&lt;/Depute&gt;</w:t>
      </w:r>
    </w:p>
    <w:p w14:paraId="2FB15AB4" w14:textId="77777777" w:rsidR="0006105E" w:rsidRPr="00B05B5C" w:rsidRDefault="0006105E" w:rsidP="0006105E">
      <w:pPr>
        <w:pStyle w:val="CoverNormal"/>
      </w:pPr>
    </w:p>
    <w:p w14:paraId="41F172CC" w14:textId="77777777" w:rsidR="00142D49" w:rsidRPr="00B05B5C" w:rsidRDefault="00142D49" w:rsidP="00DF74F0">
      <w:pPr>
        <w:widowControl/>
        <w:tabs>
          <w:tab w:val="center" w:pos="4677"/>
        </w:tabs>
      </w:pPr>
      <w:r>
        <w:br w:type="page"/>
      </w:r>
      <w:r>
        <w:lastRenderedPageBreak/>
        <w:t>PR_IMM_Waiver</w:t>
      </w:r>
    </w:p>
    <w:p w14:paraId="66CDD9EB" w14:textId="77777777" w:rsidR="00142D49" w:rsidRPr="00B05B5C" w:rsidRDefault="00F33829">
      <w:pPr>
        <w:pStyle w:val="TOCHeading"/>
      </w:pPr>
      <w:r>
        <w:t>CUPRINS</w:t>
      </w:r>
    </w:p>
    <w:p w14:paraId="022DF619" w14:textId="77777777" w:rsidR="00142D49" w:rsidRPr="00B05B5C" w:rsidRDefault="00F33829">
      <w:pPr>
        <w:pStyle w:val="TOCPage"/>
      </w:pPr>
      <w:r>
        <w:t>Pagina</w:t>
      </w:r>
    </w:p>
    <w:p w14:paraId="5B682040" w14:textId="776635E5" w:rsidR="00F23B9A"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05B5C">
        <w:fldChar w:fldCharType="begin"/>
      </w:r>
      <w:r w:rsidRPr="00B05B5C">
        <w:instrText xml:space="preserve"> TOC \t "PageHeading</w:instrText>
      </w:r>
      <w:r w:rsidR="000802BD" w:rsidRPr="00B05B5C">
        <w:instrText>;</w:instrText>
      </w:r>
      <w:r w:rsidRPr="00B05B5C">
        <w:instrText xml:space="preserve">1" </w:instrText>
      </w:r>
      <w:r w:rsidRPr="00B05B5C">
        <w:fldChar w:fldCharType="separate"/>
      </w:r>
      <w:r w:rsidR="00F23B9A">
        <w:rPr>
          <w:noProof/>
        </w:rPr>
        <w:t>PROPUNERE DE DECIZIE A PARLAMENTULUI EUROPEAN</w:t>
      </w:r>
      <w:r w:rsidR="00F23B9A">
        <w:rPr>
          <w:noProof/>
        </w:rPr>
        <w:tab/>
      </w:r>
      <w:r w:rsidR="00F23B9A">
        <w:rPr>
          <w:noProof/>
        </w:rPr>
        <w:fldChar w:fldCharType="begin"/>
      </w:r>
      <w:r w:rsidR="00F23B9A">
        <w:rPr>
          <w:noProof/>
        </w:rPr>
        <w:instrText xml:space="preserve"> PAGEREF _Toc216705866 \h </w:instrText>
      </w:r>
      <w:r w:rsidR="00F23B9A">
        <w:rPr>
          <w:noProof/>
        </w:rPr>
      </w:r>
      <w:r w:rsidR="00F23B9A">
        <w:rPr>
          <w:noProof/>
        </w:rPr>
        <w:fldChar w:fldCharType="separate"/>
      </w:r>
      <w:r w:rsidR="00F23B9A">
        <w:rPr>
          <w:noProof/>
        </w:rPr>
        <w:t>3</w:t>
      </w:r>
      <w:r w:rsidR="00F23B9A">
        <w:rPr>
          <w:noProof/>
        </w:rPr>
        <w:fldChar w:fldCharType="end"/>
      </w:r>
    </w:p>
    <w:p w14:paraId="44AA2099" w14:textId="3D493CAF" w:rsidR="00F23B9A" w:rsidRDefault="00F23B9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INFORMAȚII PRIVIND ADOPTAREA DE CĂTRE COMISIA COMPETENTĂ</w:t>
      </w:r>
      <w:r>
        <w:rPr>
          <w:noProof/>
        </w:rPr>
        <w:tab/>
      </w:r>
      <w:r>
        <w:rPr>
          <w:noProof/>
        </w:rPr>
        <w:fldChar w:fldCharType="begin"/>
      </w:r>
      <w:r>
        <w:rPr>
          <w:noProof/>
        </w:rPr>
        <w:instrText xml:space="preserve"> PAGEREF _Toc216705867 \h </w:instrText>
      </w:r>
      <w:r>
        <w:rPr>
          <w:noProof/>
        </w:rPr>
      </w:r>
      <w:r>
        <w:rPr>
          <w:noProof/>
        </w:rPr>
        <w:fldChar w:fldCharType="separate"/>
      </w:r>
      <w:r>
        <w:rPr>
          <w:noProof/>
        </w:rPr>
        <w:t>6</w:t>
      </w:r>
      <w:r>
        <w:rPr>
          <w:noProof/>
        </w:rPr>
        <w:fldChar w:fldCharType="end"/>
      </w:r>
    </w:p>
    <w:p w14:paraId="116DDC19" w14:textId="4DB17642" w:rsidR="0006105E" w:rsidRPr="00B05B5C" w:rsidRDefault="00142D49" w:rsidP="00273EFB">
      <w:r w:rsidRPr="00B05B5C">
        <w:fldChar w:fldCharType="end"/>
      </w:r>
    </w:p>
    <w:p w14:paraId="3EA16CA5" w14:textId="77777777" w:rsidR="00142D49" w:rsidRPr="00B05B5C" w:rsidRDefault="00142D49">
      <w:pPr>
        <w:pStyle w:val="PageHeading"/>
      </w:pPr>
      <w:r>
        <w:br w:type="page"/>
      </w:r>
      <w:bookmarkStart w:id="0" w:name="_Toc216705866"/>
      <w:r>
        <w:lastRenderedPageBreak/>
        <w:t>PROPUNERE DE DECIZIE A PARLAMENTULUI EUROPEAN</w:t>
      </w:r>
      <w:bookmarkEnd w:id="0"/>
    </w:p>
    <w:p w14:paraId="51D1CD4F" w14:textId="77777777" w:rsidR="00142D49" w:rsidRPr="00B05B5C" w:rsidRDefault="00F33829">
      <w:pPr>
        <w:pStyle w:val="NormalBold"/>
      </w:pPr>
      <w:r>
        <w:t>privind cererea de ridicare a imunității deputatei Alessandra Moretti</w:t>
      </w:r>
    </w:p>
    <w:p w14:paraId="78BE2198" w14:textId="77777777" w:rsidR="00142D49" w:rsidRPr="00B05B5C" w:rsidRDefault="00F33829" w:rsidP="00FD1F04">
      <w:pPr>
        <w:pStyle w:val="NormalBold"/>
      </w:pPr>
      <w:r>
        <w:t>(2025/2064(IMM))</w:t>
      </w:r>
    </w:p>
    <w:p w14:paraId="311BB284" w14:textId="77777777" w:rsidR="00142D49" w:rsidRPr="00B05B5C" w:rsidRDefault="00F33829" w:rsidP="00FD1F04">
      <w:pPr>
        <w:pStyle w:val="EPComma"/>
      </w:pPr>
      <w:r>
        <w:rPr>
          <w:i/>
          <w:iCs/>
        </w:rPr>
        <w:t>Parlamentul European</w:t>
      </w:r>
      <w:r>
        <w:t>,</w:t>
      </w:r>
    </w:p>
    <w:p w14:paraId="0E9C33D2" w14:textId="39F7A15C" w:rsidR="00DF248B" w:rsidRPr="00B05B5C" w:rsidRDefault="00142D49" w:rsidP="00DF248B">
      <w:pPr>
        <w:pStyle w:val="NormalHanging12a"/>
      </w:pPr>
      <w:r>
        <w:t>–</w:t>
      </w:r>
      <w:r>
        <w:tab/>
        <w:t>având în vedere cererea de ridicare a imunității deputatei Alessandra Moretti, primită prin scrisoarea din 27 februarie 2025 din partea Direcției de protocol din cadrul Serviciului public federal belgian „Afaceri externe, comerț exterior și cooperare pentru dezvoltare”, care a transmis o cerere din partea Parchetului Federal al Belgiei în legătură cu procedurile penale care urmează să fie inițiate împotriva sa, și anunțată în Parlament la 10 martie 2025,</w:t>
      </w:r>
    </w:p>
    <w:p w14:paraId="197CA5CE" w14:textId="0DCB4516" w:rsidR="00DF248B" w:rsidRPr="00B05B5C" w:rsidRDefault="00DF248B" w:rsidP="00DF248B">
      <w:pPr>
        <w:pStyle w:val="NormalHanging12a"/>
      </w:pPr>
      <w:r>
        <w:t>–</w:t>
      </w:r>
      <w:r>
        <w:tab/>
        <w:t>după audierea Alessandrei Moretti la 4 iunie 2025 și având în vedere documentele prezentate de aceasta în conformitate cu articolul 9 alineatul (6) din Regulamentul său de procedură,</w:t>
      </w:r>
    </w:p>
    <w:p w14:paraId="5DF1913F" w14:textId="77777777" w:rsidR="00DF248B" w:rsidRPr="00B05B5C" w:rsidRDefault="00DF248B" w:rsidP="00DF248B">
      <w:pPr>
        <w:pStyle w:val="NormalHanging12a"/>
      </w:pPr>
      <w:r>
        <w:t>–</w:t>
      </w:r>
      <w:r>
        <w:tab/>
        <w:t xml:space="preserve">având în vedere informațiile suplimentare furnizate de procurorul federal al Belgiei, </w:t>
      </w:r>
    </w:p>
    <w:p w14:paraId="175E0DAF" w14:textId="4A261E41" w:rsidR="00DF248B" w:rsidRPr="00B05B5C" w:rsidRDefault="00DF248B" w:rsidP="00DF248B">
      <w:pPr>
        <w:pStyle w:val="NormalHanging12a"/>
      </w:pPr>
      <w:r>
        <w:t>–</w:t>
      </w:r>
      <w:r>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0E3FA65A" w14:textId="7C2E4062" w:rsidR="00DF248B" w:rsidRPr="00B05B5C" w:rsidRDefault="00DF248B" w:rsidP="00DF248B">
      <w:pPr>
        <w:pStyle w:val="NormalHanging12a"/>
      </w:pPr>
      <w:r>
        <w:t>–</w:t>
      </w:r>
      <w:r>
        <w:tab/>
        <w:t>având în vedere hotărârile Curții de Justiție a Uniunii Europene din 21 octombrie 2008, 19 martie 2010, 6 septembrie 2011, 17 ianuarie 2013, 19 decembrie 2019 și 5 iulie 2023</w:t>
      </w:r>
      <w:r w:rsidRPr="00B05B5C">
        <w:rPr>
          <w:rStyle w:val="FootnoteReference"/>
        </w:rPr>
        <w:footnoteReference w:id="1"/>
      </w:r>
      <w:r>
        <w:t>,</w:t>
      </w:r>
    </w:p>
    <w:p w14:paraId="3ADD91E1" w14:textId="77777777" w:rsidR="00DF248B" w:rsidRPr="00B05B5C" w:rsidRDefault="00DF248B" w:rsidP="00DF248B">
      <w:pPr>
        <w:pStyle w:val="NormalHanging12a"/>
        <w:jc w:val="both"/>
      </w:pPr>
      <w:r>
        <w:t>–</w:t>
      </w:r>
      <w:r>
        <w:tab/>
        <w:t>având în vedere articolul 5 alineatul (2), articolul 6 alineatul (1) și articolul 9 din Regulamentul său de procedură,</w:t>
      </w:r>
    </w:p>
    <w:p w14:paraId="61322DA4" w14:textId="50E89758" w:rsidR="00DF248B" w:rsidRPr="00B05B5C" w:rsidRDefault="00DF248B" w:rsidP="00DF248B">
      <w:pPr>
        <w:pStyle w:val="NormalHanging12a"/>
        <w:jc w:val="both"/>
      </w:pPr>
      <w:r>
        <w:t>–</w:t>
      </w:r>
      <w:r>
        <w:tab/>
        <w:t>având în vedere raportul Comisiei pentru afaceri juridice (A10-0264/2025),</w:t>
      </w:r>
    </w:p>
    <w:p w14:paraId="5D0DE2AA" w14:textId="1BE40E81" w:rsidR="00DF248B" w:rsidRPr="00B05B5C" w:rsidRDefault="00DF248B" w:rsidP="00DF248B">
      <w:pPr>
        <w:pStyle w:val="NormalHanging12a"/>
        <w:jc w:val="both"/>
      </w:pPr>
      <w:r>
        <w:t>A.</w:t>
      </w:r>
      <w:r>
        <w:tab/>
        <w:t xml:space="preserve">întrucât, la </w:t>
      </w:r>
      <w:bookmarkStart w:id="1" w:name="_Hlk210982066"/>
      <w:r>
        <w:t>27 februarie 2025</w:t>
      </w:r>
      <w:bookmarkEnd w:id="1"/>
      <w:r>
        <w:t>, procurorul federal al Belgiei a solicitat ridicarea imunității Alessandrei Moretti, deputată în Parlamentul European aleasă în Italia, în legătură cu procedurile penale care urmează să fie inițiate împotriva sa;</w:t>
      </w:r>
    </w:p>
    <w:p w14:paraId="78BD77C9" w14:textId="5C37DC66" w:rsidR="00DF248B" w:rsidRPr="00B05B5C" w:rsidRDefault="00DF248B" w:rsidP="00DF248B">
      <w:pPr>
        <w:pStyle w:val="NormalHanging12a"/>
        <w:jc w:val="both"/>
      </w:pPr>
      <w:r>
        <w:t>B.</w:t>
      </w:r>
      <w:r>
        <w:tab/>
        <w:t xml:space="preserve">întrucât o anchetă în curs în contextul așa-numitului Qatargate ar fi dezvăluit existența unei organizații criminale în cadrul instituțiilor Uniunii, în special în cadrul Parlamentului European, al cărei scop a fost coruperea deputaților cu scopul de a influența procesul decizional al Parlamentului în favoarea intereselor geopolitice ale anumitor țări terțe; </w:t>
      </w:r>
    </w:p>
    <w:p w14:paraId="17A946AB" w14:textId="2BA4A719" w:rsidR="00DF248B" w:rsidRPr="00B05B5C" w:rsidRDefault="00DF248B" w:rsidP="00DF248B">
      <w:pPr>
        <w:pStyle w:val="NormalHanging12a"/>
        <w:jc w:val="both"/>
      </w:pPr>
      <w:r>
        <w:lastRenderedPageBreak/>
        <w:t>C.</w:t>
      </w:r>
      <w:r>
        <w:tab/>
        <w:t xml:space="preserve">întrucât ancheta tinde să arate că mai multe beneficii specifice au fost propuse Alessandrei Moretti, acceptate și chiar solicitate de către aceasta; întrucât, potrivit informațiilor furnizate de procurorul federal belgian, ar fi fost colectate mai multe diferite tipuri de probe de la coinculpați și de la alți suspecți care fac obiectul unei anchete judiciare cu privire la o serie de beneficii specifice pe care Alessandra Moretti le-a solicitat și/sau le-a obținut; întrucât aceste dovezi ar fi fost confirmate de numeroasele constatări ale autorităților polițienești; întrucât, în schimbul acestor beneficii specifice, Alessandra Moretti ar fi participat la evenimente sau reuniuni în cadrul cărora s-a exprimat în favoarea Qatarului, după ce ar fi primit instrucțiuni atât în mod pasiv, ci și activ, prin solicitările sale de consiliere referitoare la acțiunile necesare, la conținutul discursurilor și la locul și data intervențiilor; întrucât ea ar fi contactat, de asemenea, în mod proactiv alți deputați, oferindu-se să îi înlocuiască în timpul anumitor voturi legate de Qatar; </w:t>
      </w:r>
    </w:p>
    <w:p w14:paraId="5408D048" w14:textId="1F741AF1" w:rsidR="00DF248B" w:rsidRPr="00B05B5C" w:rsidRDefault="00DF248B" w:rsidP="00DF248B">
      <w:pPr>
        <w:pStyle w:val="NormalHanging12a"/>
      </w:pPr>
      <w:r>
        <w:t>D.</w:t>
      </w:r>
      <w:r>
        <w:tab/>
        <w:t xml:space="preserve">întrucât Alessandra Moretti este, prin urmare, suspectată că ar fi săvârșit, între 1 iulie 2019 și 10 decembrie 2022, fapte penale care pot fi calificate, conform cu dreptul belgian, participare la activitatea unei organizații criminale și corupție pasivă, infracțiuni în conformitate cu articolele 324a și 324b și, respectiv, articolele 246-250 din Codul penal belgian; </w:t>
      </w:r>
    </w:p>
    <w:p w14:paraId="712B42E7" w14:textId="77777777" w:rsidR="00DF248B" w:rsidRPr="00B05B5C" w:rsidRDefault="00DF248B" w:rsidP="00DF248B">
      <w:pPr>
        <w:pStyle w:val="NormalHanging12a"/>
        <w:jc w:val="both"/>
      </w:pPr>
      <w:r>
        <w:t>E.</w:t>
      </w:r>
      <w:r>
        <w:tab/>
        <w:t>întrucât, pe de o parte, Parlamentul nu poate fi asimilat unei instanțe judecătorești și, pe de altă parte, în contextul unei proceduri de ridicare a imunității, deputatul în cauză nu poate fi considerat „persoană acuzată”</w:t>
      </w:r>
      <w:r w:rsidRPr="00B05B5C">
        <w:rPr>
          <w:rStyle w:val="FootnoteReference"/>
        </w:rPr>
        <w:footnoteReference w:id="2"/>
      </w:r>
      <w:r>
        <w:t>;</w:t>
      </w:r>
    </w:p>
    <w:p w14:paraId="23B29593" w14:textId="77777777" w:rsidR="00DF248B" w:rsidRPr="00B05B5C" w:rsidRDefault="00DF248B" w:rsidP="00DF248B">
      <w:pPr>
        <w:pStyle w:val="NormalHanging12a"/>
      </w:pPr>
      <w:r>
        <w:t>F.</w:t>
      </w:r>
      <w:r>
        <w:tab/>
        <w:t>întrucât scopul imunității parlamentare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1520F369" w14:textId="6C87242B" w:rsidR="00DF248B" w:rsidRPr="00B05B5C" w:rsidRDefault="00DF248B" w:rsidP="00DF248B">
      <w:pPr>
        <w:pStyle w:val="NormalHanging12a"/>
      </w:pPr>
      <w:r>
        <w:t>G.</w:t>
      </w:r>
      <w:r>
        <w:tab/>
        <w:t>întrucât articolul 8 din Protocolul nr. 7 privind privilegiile și imunitățile Uniunii Europene prevede că „[m]embrii Parlamentului European nu pot fi cercetați, reținuți sau urmăriți datorită opiniilor sau voturilor exprimate în cadrul exercitării funcțiilor lor”; întrucât articolul 8 din Protocolul nr. 7 privind privilegiile și imunitățile Uniunii Europene constituie o dispoziție specială menită să protejeze libertatea de exprimare și independența deputaților în Parlamentul European</w:t>
      </w:r>
      <w:r w:rsidRPr="00B05B5C">
        <w:rPr>
          <w:rStyle w:val="FootnoteReference"/>
        </w:rPr>
        <w:footnoteReference w:id="3"/>
      </w:r>
      <w:r>
        <w:t>; întrucât acuzațiile se referă la fapte care constituie infracțiuni de presupusă participare la activitatea unei organizații criminale și de presupusă corupție pasivă, care nu pot fi considerate ca fiind opiniile sau voturile exprimate de Alessandra Moretti în exercitarea atribuțiilor sale, având în vedere obiectivul și formularea articolului 8 din Protocolul nr. 7 privind privilegiile și imunitățile Uniunii Europene;</w:t>
      </w:r>
    </w:p>
    <w:p w14:paraId="2C26AFCE" w14:textId="77777777" w:rsidR="00DF248B" w:rsidRPr="00B05B5C" w:rsidRDefault="00DF248B" w:rsidP="00DF248B">
      <w:pPr>
        <w:pStyle w:val="NormalHanging12a"/>
      </w:pPr>
      <w:r>
        <w:t>H.</w:t>
      </w:r>
      <w:r>
        <w:tab/>
        <w:t xml:space="preserve">întrucât presupusele infracțiuni nu constituie o opinie sau un vot exprimat de Alessandra Moretti în exercitarea funcțiilor sale în calitate de deputată în Parlamentul European în sensul articolului 8 din Protocolul nr. 7 privind privilegiile și imunitățile Uniunii Europene, iar cererea subsecventă de ridicare a imunității sale nu are legătură cu acestea; </w:t>
      </w:r>
    </w:p>
    <w:p w14:paraId="63332F33" w14:textId="77777777" w:rsidR="00DF248B" w:rsidRPr="00B05B5C" w:rsidRDefault="00DF248B" w:rsidP="00DF248B">
      <w:pPr>
        <w:pStyle w:val="NormalHanging12a"/>
      </w:pPr>
      <w:r>
        <w:t>I.</w:t>
      </w:r>
      <w:r>
        <w:tab/>
        <w:t xml:space="preserve">întrucât articolul 9 primul paragraf litera (b) din Protocolul nr. 7 privind privilegiile și </w:t>
      </w:r>
      <w:r>
        <w:lastRenderedPageBreak/>
        <w:t>imunitățile Uniunii Europene stipulează că deputații în Parlamentul European beneficiază, pe teritoriul oricărui alt stat membru, de exceptare privind orice măsură de detenție sau urmărire penală;</w:t>
      </w:r>
    </w:p>
    <w:p w14:paraId="3DA6AEAA" w14:textId="5B1325EE" w:rsidR="00DF248B" w:rsidRPr="00B05B5C" w:rsidRDefault="00DF248B" w:rsidP="00DF248B">
      <w:pPr>
        <w:pStyle w:val="NormalHanging12a"/>
      </w:pPr>
      <w:r>
        <w:t xml:space="preserve">J. </w:t>
      </w:r>
      <w:r>
        <w:tab/>
        <w:t>întrucât, în conformitate cu articolul 5 alineatul (2) din Regulamentul său de procedură, imunitatea parlamentară nu este un privilegiu personal al deputaților, ci o garanție a independenței Parlamentului European în ansamblu și a deputaților săi;</w:t>
      </w:r>
    </w:p>
    <w:p w14:paraId="3E878241" w14:textId="6EB4DC20" w:rsidR="00DF248B" w:rsidRPr="00B05B5C" w:rsidRDefault="00DF248B" w:rsidP="00DF248B">
      <w:pPr>
        <w:pStyle w:val="NormalHanging12a"/>
      </w:pPr>
      <w:r>
        <w:t>K.</w:t>
      </w:r>
      <w:r>
        <w:tab/>
        <w:t>întrucât, potrivit cererii, a fost efectuată o anchetă judiciară aprofundată, complexă și îndelungată, care a implicat, printre altele, un număr mare de persoane și sarcini de anchetă desfășurate în afara Belgiei, inclusiv în afara Uniunii, și un număr considerabil de echipamente informatice au fost confiscate, iar conținutul acestora a fost analizat; întrucât ancheta în curs a vizat mai multe persoane, inclusiv deputați în Parlamentul European, nu doar pe Alessandra Moretti; întrucât, prin urmare, se pare că cererea de ridicare a imunității deputatei Alessandra Moretti nu își are originea într-o încercare de a-i afecta activitatea politică, ci este mai degrabă rezultatul anchetei judiciare aprofundate și complexe menționate mai sus;</w:t>
      </w:r>
    </w:p>
    <w:p w14:paraId="6F9CD0ED" w14:textId="2A8C8E98" w:rsidR="00DF248B" w:rsidRPr="00B05B5C" w:rsidRDefault="00DF248B" w:rsidP="00DF248B">
      <w:pPr>
        <w:pStyle w:val="NormalHanging12a"/>
      </w:pPr>
      <w:r>
        <w:t>L.</w:t>
      </w:r>
      <w:r>
        <w:tab/>
        <w:t xml:space="preserve">întrucât, în acest caz, Parlamentul nu a găsit nicio dovadă de </w:t>
      </w:r>
      <w:r>
        <w:rPr>
          <w:i/>
          <w:iCs/>
        </w:rPr>
        <w:t>fumus persecutionis</w:t>
      </w:r>
      <w:r>
        <w:t>, cu alte cuvinte se pare că intenția care stă la baza procedurii în cauză nu ar putea fi dăunarea activității politice a Alessandrei Moretti în calitatea sa de deputată în Parlamentul European,</w:t>
      </w:r>
    </w:p>
    <w:p w14:paraId="6E0801B7" w14:textId="77777777" w:rsidR="00DF248B" w:rsidRPr="00B05B5C" w:rsidRDefault="00DF248B" w:rsidP="00DF248B">
      <w:pPr>
        <w:pStyle w:val="NormalHanging12a"/>
        <w:jc w:val="both"/>
      </w:pPr>
      <w:r>
        <w:t>1.</w:t>
      </w:r>
      <w:r>
        <w:tab/>
        <w:t>hotărăște să ridice imunitatea deputatei Alessandra Moretti;</w:t>
      </w:r>
    </w:p>
    <w:p w14:paraId="4436BFCB" w14:textId="02715902" w:rsidR="00DF248B" w:rsidRPr="00B05B5C" w:rsidRDefault="00DF248B" w:rsidP="00035C23">
      <w:pPr>
        <w:pStyle w:val="NormalHanging12a"/>
      </w:pPr>
      <w:r>
        <w:t>2.</w:t>
      </w:r>
      <w:r>
        <w:tab/>
        <w:t>încredințează Președintei sarcina de a transmite imediat prezenta decizie, precum și raportul comisiei competente autorității competente a Regatului Belgiei și deputatei Alessandra Moretti.</w:t>
      </w:r>
    </w:p>
    <w:p w14:paraId="5170647D" w14:textId="7A8E286B" w:rsidR="00035C23" w:rsidRPr="00A4715E" w:rsidRDefault="00035C23" w:rsidP="00A4715E"/>
    <w:p w14:paraId="13B0D0D7" w14:textId="77777777" w:rsidR="000B0123" w:rsidRPr="00A4715E" w:rsidRDefault="000B0123" w:rsidP="00A4715E">
      <w:pPr>
        <w:sectPr w:rsidR="000B0123" w:rsidRPr="00A4715E" w:rsidSect="0081727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447E31E1" w14:textId="26AA5ABB" w:rsidR="00A4715E" w:rsidRDefault="00A4715E" w:rsidP="00A4715E">
      <w:pPr>
        <w:pStyle w:val="PageHeading"/>
      </w:pPr>
      <w:bookmarkStart w:id="2" w:name="ProcPageRR"/>
      <w:bookmarkStart w:id="3" w:name="_Toc216705867"/>
      <w:r>
        <w:lastRenderedPageBreak/>
        <w:t>INFORMAȚII PRIVIND ADOPTAREA</w:t>
      </w:r>
      <w:r>
        <w:br/>
        <w:t>DE CĂTRE COMISIA COMPETENTĂ</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4715E" w14:paraId="2E06050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4C6A91" w14:textId="77777777" w:rsidR="00A4715E" w:rsidRDefault="00A4715E">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A110BE" w14:textId="77777777" w:rsidR="00A4715E" w:rsidRDefault="00A4715E">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0C4195" w14:textId="77777777" w:rsidR="00A4715E" w:rsidRDefault="00A4715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3CD4F0" w14:textId="77777777" w:rsidR="00A4715E" w:rsidRDefault="00A4715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C1AC90" w14:textId="77777777" w:rsidR="00A4715E" w:rsidRDefault="00A4715E">
            <w:pPr>
              <w:autoSpaceDE w:val="0"/>
              <w:autoSpaceDN w:val="0"/>
              <w:adjustRightInd w:val="0"/>
              <w:rPr>
                <w:rFonts w:ascii="sans-serif" w:hAnsi="sans-serif" w:cs="sans-serif"/>
                <w:color w:val="000000"/>
              </w:rPr>
            </w:pPr>
          </w:p>
        </w:tc>
      </w:tr>
      <w:tr w:rsidR="00A4715E" w14:paraId="44EC417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FC9D90" w14:textId="77777777" w:rsidR="00A4715E" w:rsidRDefault="00A4715E">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356EFB" w14:textId="77777777" w:rsidR="00A4715E" w:rsidRDefault="00A4715E">
            <w:pPr>
              <w:autoSpaceDE w:val="0"/>
              <w:autoSpaceDN w:val="0"/>
              <w:adjustRightInd w:val="0"/>
              <w:rPr>
                <w:color w:val="000000"/>
                <w:sz w:val="20"/>
              </w:rPr>
            </w:pPr>
            <w:r>
              <w:rPr>
                <w:color w:val="000000"/>
                <w:sz w:val="20"/>
              </w:rPr>
              <w:t>+:</w:t>
            </w:r>
          </w:p>
          <w:p w14:paraId="29EF92F0" w14:textId="77777777" w:rsidR="00A4715E" w:rsidRDefault="00A4715E">
            <w:pPr>
              <w:autoSpaceDE w:val="0"/>
              <w:autoSpaceDN w:val="0"/>
              <w:adjustRightInd w:val="0"/>
              <w:rPr>
                <w:color w:val="000000"/>
                <w:sz w:val="20"/>
              </w:rPr>
            </w:pPr>
            <w:r>
              <w:rPr>
                <w:color w:val="000000"/>
                <w:sz w:val="20"/>
              </w:rPr>
              <w:t>–:</w:t>
            </w:r>
          </w:p>
          <w:p w14:paraId="66E4CF7C" w14:textId="77777777" w:rsidR="00A4715E" w:rsidRDefault="00A4715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F8C121" w14:textId="77777777" w:rsidR="00A4715E" w:rsidRDefault="00A4715E">
            <w:pPr>
              <w:autoSpaceDE w:val="0"/>
              <w:autoSpaceDN w:val="0"/>
              <w:adjustRightInd w:val="0"/>
              <w:rPr>
                <w:color w:val="000000"/>
                <w:sz w:val="20"/>
              </w:rPr>
            </w:pPr>
            <w:r>
              <w:rPr>
                <w:color w:val="000000"/>
                <w:sz w:val="20"/>
              </w:rPr>
              <w:t>16</w:t>
            </w:r>
          </w:p>
          <w:p w14:paraId="4C15FD35" w14:textId="77777777" w:rsidR="00A4715E" w:rsidRDefault="00A4715E">
            <w:pPr>
              <w:autoSpaceDE w:val="0"/>
              <w:autoSpaceDN w:val="0"/>
              <w:adjustRightInd w:val="0"/>
              <w:rPr>
                <w:color w:val="000000"/>
                <w:sz w:val="20"/>
              </w:rPr>
            </w:pPr>
            <w:r>
              <w:rPr>
                <w:color w:val="000000"/>
                <w:sz w:val="20"/>
              </w:rPr>
              <w:t>8</w:t>
            </w:r>
          </w:p>
          <w:p w14:paraId="029FBB97" w14:textId="77777777" w:rsidR="00A4715E" w:rsidRDefault="00A4715E">
            <w:pPr>
              <w:autoSpaceDE w:val="0"/>
              <w:autoSpaceDN w:val="0"/>
              <w:adjustRightInd w:val="0"/>
              <w:rPr>
                <w:color w:val="000000"/>
                <w:sz w:val="20"/>
              </w:rPr>
            </w:pPr>
            <w:r>
              <w:rPr>
                <w:color w:val="000000"/>
                <w:sz w:val="20"/>
              </w:rPr>
              <w:t>1</w:t>
            </w:r>
          </w:p>
        </w:tc>
      </w:tr>
      <w:tr w:rsidR="00A4715E" w14:paraId="6F72977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9808CA" w14:textId="77777777" w:rsidR="00A4715E" w:rsidRDefault="00A4715E">
            <w:pPr>
              <w:autoSpaceDE w:val="0"/>
              <w:autoSpaceDN w:val="0"/>
              <w:adjustRightInd w:val="0"/>
              <w:rPr>
                <w:b/>
                <w:bCs/>
                <w:color w:val="000000"/>
                <w:sz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95EB5A" w14:textId="77777777" w:rsidR="00A4715E" w:rsidRDefault="00A4715E">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A4715E" w14:paraId="045CB9E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A2A6E4E" w14:textId="77777777" w:rsidR="00A4715E" w:rsidRDefault="00A4715E">
            <w:pPr>
              <w:autoSpaceDE w:val="0"/>
              <w:autoSpaceDN w:val="0"/>
              <w:adjustRightInd w:val="0"/>
              <w:rPr>
                <w:b/>
                <w:bCs/>
                <w:color w:val="000000"/>
                <w:sz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D667E5" w14:textId="77777777" w:rsidR="00A4715E" w:rsidRDefault="00A4715E">
            <w:pPr>
              <w:autoSpaceDE w:val="0"/>
              <w:autoSpaceDN w:val="0"/>
              <w:adjustRightInd w:val="0"/>
              <w:rPr>
                <w:color w:val="000000"/>
                <w:sz w:val="20"/>
              </w:rPr>
            </w:pPr>
            <w:r>
              <w:rPr>
                <w:color w:val="000000"/>
                <w:sz w:val="20"/>
              </w:rPr>
              <w:t>David Cormand, Arkadiusz Mularczyk, Gheorghe Piperea, Ernő Schaller-Baross, Alessandro Zan</w:t>
            </w:r>
          </w:p>
        </w:tc>
      </w:tr>
      <w:tr w:rsidR="00A4715E" w14:paraId="75947AE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45564A1" w14:textId="77777777" w:rsidR="00A4715E" w:rsidRDefault="00A4715E">
            <w:pPr>
              <w:autoSpaceDE w:val="0"/>
              <w:autoSpaceDN w:val="0"/>
              <w:adjustRightInd w:val="0"/>
              <w:rPr>
                <w:b/>
                <w:bCs/>
                <w:color w:val="000000"/>
                <w:sz w:val="20"/>
              </w:rPr>
            </w:pPr>
            <w:r>
              <w:rPr>
                <w:b/>
                <w:color w:val="000000"/>
                <w:sz w:val="20"/>
              </w:rPr>
              <w:t>Deputații vizați de articolul 216 alineatul (7) din Regulamentul de procedură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0262C9" w14:textId="77777777" w:rsidR="00A4715E" w:rsidRDefault="00A4715E">
            <w:pPr>
              <w:autoSpaceDE w:val="0"/>
              <w:autoSpaceDN w:val="0"/>
              <w:adjustRightInd w:val="0"/>
              <w:rPr>
                <w:color w:val="000000"/>
                <w:sz w:val="20"/>
              </w:rPr>
            </w:pPr>
            <w:r>
              <w:rPr>
                <w:color w:val="000000"/>
                <w:sz w:val="20"/>
              </w:rPr>
              <w:t>Ilia Lazarov</w:t>
            </w:r>
          </w:p>
        </w:tc>
      </w:tr>
    </w:tbl>
    <w:p w14:paraId="5C3AFCFA" w14:textId="77777777" w:rsidR="00A4715E" w:rsidRDefault="00A4715E"/>
    <w:bookmarkEnd w:id="2"/>
    <w:p w14:paraId="3AB18A2E" w14:textId="62B65602" w:rsidR="000B0123" w:rsidRPr="00A4715E" w:rsidRDefault="000B0123" w:rsidP="00A4715E"/>
    <w:sectPr w:rsidR="000B0123" w:rsidRPr="00A4715E" w:rsidSect="00A4715E">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B05B5C" w:rsidRDefault="00F33829">
      <w:r w:rsidRPr="00B05B5C">
        <w:separator/>
      </w:r>
    </w:p>
  </w:endnote>
  <w:endnote w:type="continuationSeparator" w:id="0">
    <w:p w14:paraId="256FB70E" w14:textId="77777777" w:rsidR="00F33829" w:rsidRPr="00B05B5C" w:rsidRDefault="00F33829">
      <w:r w:rsidRPr="00B05B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8622" w14:textId="77777777" w:rsidR="00817270" w:rsidRPr="00B05B5C" w:rsidRDefault="00817270" w:rsidP="00817270">
    <w:pPr>
      <w:pStyle w:val="EPFooter"/>
    </w:pPr>
    <w:r w:rsidRPr="00B05B5C">
      <w:t>PE</w:t>
    </w:r>
    <w:r w:rsidRPr="00B05B5C">
      <w:rPr>
        <w:rStyle w:val="HideTWBExt"/>
      </w:rPr>
      <w:t>&lt;NoPE&gt;</w:t>
    </w:r>
    <w:r w:rsidRPr="00B05B5C">
      <w:t>774.386</w:t>
    </w:r>
    <w:r w:rsidRPr="00B05B5C">
      <w:rPr>
        <w:rStyle w:val="HideTWBExt"/>
      </w:rPr>
      <w:t>&lt;/NoPE&gt;&lt;Version&gt;</w:t>
    </w:r>
    <w:r w:rsidRPr="00B05B5C">
      <w:t>v02-00</w:t>
    </w:r>
    <w:r w:rsidRPr="00B05B5C">
      <w:rPr>
        <w:rStyle w:val="HideTWBExt"/>
      </w:rPr>
      <w:t>&lt;/Version&gt;</w:t>
    </w:r>
    <w:r w:rsidRPr="00B05B5C">
      <w:tab/>
    </w:r>
    <w:r w:rsidRPr="00B05B5C">
      <w:fldChar w:fldCharType="begin"/>
    </w:r>
    <w:r w:rsidRPr="00B05B5C">
      <w:instrText xml:space="preserve"> PAGE  \* MERGEFORMAT </w:instrText>
    </w:r>
    <w:r w:rsidRPr="00B05B5C">
      <w:fldChar w:fldCharType="separate"/>
    </w:r>
    <w:r w:rsidRPr="00B05B5C">
      <w:rPr>
        <w:noProof/>
      </w:rPr>
      <w:t>6</w:t>
    </w:r>
    <w:r w:rsidRPr="00B05B5C">
      <w:fldChar w:fldCharType="end"/>
    </w:r>
    <w:r w:rsidRPr="00B05B5C">
      <w:t>/</w:t>
    </w:r>
    <w:r w:rsidR="00F23B9A">
      <w:fldChar w:fldCharType="begin"/>
    </w:r>
    <w:r w:rsidR="00F23B9A">
      <w:instrText xml:space="preserve"> NUMPAGES  \* MERGEFORMAT </w:instrText>
    </w:r>
    <w:r w:rsidR="00F23B9A">
      <w:fldChar w:fldCharType="separate"/>
    </w:r>
    <w:r w:rsidRPr="00B05B5C">
      <w:rPr>
        <w:noProof/>
      </w:rPr>
      <w:t>6</w:t>
    </w:r>
    <w:r w:rsidR="00F23B9A">
      <w:rPr>
        <w:noProof/>
      </w:rPr>
      <w:fldChar w:fldCharType="end"/>
    </w:r>
    <w:r w:rsidRPr="00B05B5C">
      <w:tab/>
    </w:r>
    <w:r w:rsidRPr="00B05B5C">
      <w:rPr>
        <w:rStyle w:val="HideTWBExt"/>
      </w:rPr>
      <w:t>&lt;PathFdR&gt;</w:t>
    </w:r>
    <w:r w:rsidRPr="00B05B5C">
      <w:t>RR\1334156RO.docx</w:t>
    </w:r>
    <w:r w:rsidRPr="00B05B5C">
      <w:rPr>
        <w:rStyle w:val="HideTWBExt"/>
      </w:rPr>
      <w:t>&lt;/PathFdR&gt;</w:t>
    </w:r>
  </w:p>
  <w:p w14:paraId="50C2D638" w14:textId="4DCBF2C4" w:rsidR="0023430B" w:rsidRPr="00B05B5C" w:rsidRDefault="00817270" w:rsidP="00817270">
    <w:pPr>
      <w:pStyle w:val="EPFooter2"/>
    </w:pPr>
    <w:r w:rsidRPr="00B05B5C">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829C" w14:textId="77777777" w:rsidR="00817270" w:rsidRPr="00B05B5C" w:rsidRDefault="00817270" w:rsidP="00817270">
    <w:pPr>
      <w:pStyle w:val="EPFooter"/>
    </w:pPr>
    <w:r w:rsidRPr="00B05B5C">
      <w:rPr>
        <w:rStyle w:val="HideTWBExt"/>
      </w:rPr>
      <w:t>&lt;PathFdR&gt;</w:t>
    </w:r>
    <w:r w:rsidRPr="00B05B5C">
      <w:t>RR\1334156RO.docx</w:t>
    </w:r>
    <w:r w:rsidRPr="00B05B5C">
      <w:rPr>
        <w:rStyle w:val="HideTWBExt"/>
      </w:rPr>
      <w:t>&lt;/PathFdR&gt;</w:t>
    </w:r>
    <w:r w:rsidRPr="00B05B5C">
      <w:tab/>
    </w:r>
    <w:r w:rsidRPr="00B05B5C">
      <w:fldChar w:fldCharType="begin"/>
    </w:r>
    <w:r w:rsidRPr="00B05B5C">
      <w:instrText xml:space="preserve"> PAGE  \* MERGEFORMAT </w:instrText>
    </w:r>
    <w:r w:rsidRPr="00B05B5C">
      <w:fldChar w:fldCharType="separate"/>
    </w:r>
    <w:r w:rsidRPr="00B05B5C">
      <w:rPr>
        <w:noProof/>
      </w:rPr>
      <w:t>5</w:t>
    </w:r>
    <w:r w:rsidRPr="00B05B5C">
      <w:fldChar w:fldCharType="end"/>
    </w:r>
    <w:r w:rsidRPr="00B05B5C">
      <w:t>/</w:t>
    </w:r>
    <w:r w:rsidR="00F23B9A">
      <w:fldChar w:fldCharType="begin"/>
    </w:r>
    <w:r w:rsidR="00F23B9A">
      <w:instrText xml:space="preserve"> NUMPAGES  \* MERGEFORMAT </w:instrText>
    </w:r>
    <w:r w:rsidR="00F23B9A">
      <w:fldChar w:fldCharType="separate"/>
    </w:r>
    <w:r w:rsidRPr="00B05B5C">
      <w:rPr>
        <w:noProof/>
      </w:rPr>
      <w:t>6</w:t>
    </w:r>
    <w:r w:rsidR="00F23B9A">
      <w:rPr>
        <w:noProof/>
      </w:rPr>
      <w:fldChar w:fldCharType="end"/>
    </w:r>
    <w:r w:rsidRPr="00B05B5C">
      <w:tab/>
      <w:t>PE</w:t>
    </w:r>
    <w:r w:rsidRPr="00B05B5C">
      <w:rPr>
        <w:rStyle w:val="HideTWBExt"/>
      </w:rPr>
      <w:t>&lt;NoPE&gt;</w:t>
    </w:r>
    <w:r w:rsidRPr="00B05B5C">
      <w:t>774.386</w:t>
    </w:r>
    <w:r w:rsidRPr="00B05B5C">
      <w:rPr>
        <w:rStyle w:val="HideTWBExt"/>
      </w:rPr>
      <w:t>&lt;/NoPE&gt;&lt;Version&gt;</w:t>
    </w:r>
    <w:r w:rsidRPr="00B05B5C">
      <w:t>v02-00</w:t>
    </w:r>
    <w:r w:rsidRPr="00B05B5C">
      <w:rPr>
        <w:rStyle w:val="HideTWBExt"/>
      </w:rPr>
      <w:t>&lt;/Version&gt;</w:t>
    </w:r>
  </w:p>
  <w:p w14:paraId="49672603" w14:textId="5DCA36C6" w:rsidR="0023430B" w:rsidRPr="00B05B5C" w:rsidRDefault="00817270" w:rsidP="00817270">
    <w:pPr>
      <w:pStyle w:val="EPFooter2"/>
    </w:pPr>
    <w:r w:rsidRPr="00B05B5C">
      <w:tab/>
    </w:r>
    <w:r w:rsidRPr="00B05B5C">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8CAD" w14:textId="77777777" w:rsidR="00817270" w:rsidRPr="00B05B5C" w:rsidRDefault="00817270" w:rsidP="00817270">
    <w:pPr>
      <w:pStyle w:val="EPFooter"/>
    </w:pPr>
    <w:r w:rsidRPr="00B05B5C">
      <w:rPr>
        <w:rStyle w:val="HideTWBExt"/>
      </w:rPr>
      <w:t>&lt;PathFdR&gt;</w:t>
    </w:r>
    <w:r w:rsidRPr="00B05B5C">
      <w:t>RR\1334156RO.docx</w:t>
    </w:r>
    <w:r w:rsidRPr="00B05B5C">
      <w:rPr>
        <w:rStyle w:val="HideTWBExt"/>
      </w:rPr>
      <w:t>&lt;/PathFdR&gt;</w:t>
    </w:r>
    <w:r w:rsidRPr="00B05B5C">
      <w:tab/>
    </w:r>
    <w:r w:rsidRPr="00B05B5C">
      <w:tab/>
      <w:t>PE</w:t>
    </w:r>
    <w:r w:rsidRPr="00B05B5C">
      <w:rPr>
        <w:rStyle w:val="HideTWBExt"/>
      </w:rPr>
      <w:t>&lt;NoPE&gt;</w:t>
    </w:r>
    <w:r w:rsidRPr="00B05B5C">
      <w:t>774.386</w:t>
    </w:r>
    <w:r w:rsidRPr="00B05B5C">
      <w:rPr>
        <w:rStyle w:val="HideTWBExt"/>
      </w:rPr>
      <w:t>&lt;/NoPE&gt;&lt;Version&gt;</w:t>
    </w:r>
    <w:r w:rsidRPr="00B05B5C">
      <w:t>v02-00</w:t>
    </w:r>
    <w:r w:rsidRPr="00B05B5C">
      <w:rPr>
        <w:rStyle w:val="HideTWBExt"/>
      </w:rPr>
      <w:t>&lt;/Version&gt;</w:t>
    </w:r>
  </w:p>
  <w:p w14:paraId="61E518B9" w14:textId="58A98D8A" w:rsidR="0023430B" w:rsidRPr="00B05B5C" w:rsidRDefault="00817270" w:rsidP="00817270">
    <w:pPr>
      <w:pStyle w:val="EPFooter2"/>
    </w:pPr>
    <w:r w:rsidRPr="00B05B5C">
      <w:t>RO</w:t>
    </w:r>
    <w:r w:rsidRPr="00B05B5C">
      <w:tab/>
    </w:r>
    <w:r w:rsidRPr="00B05B5C">
      <w:rPr>
        <w:b w:val="0"/>
        <w:i/>
        <w:color w:val="C0C0C0"/>
        <w:sz w:val="22"/>
      </w:rPr>
      <w:t>Unită în diversitate</w:t>
    </w:r>
    <w:r w:rsidRPr="00B05B5C">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B05B5C" w:rsidRDefault="00F33829">
      <w:r w:rsidRPr="00B05B5C">
        <w:separator/>
      </w:r>
    </w:p>
  </w:footnote>
  <w:footnote w:type="continuationSeparator" w:id="0">
    <w:p w14:paraId="66A918DA" w14:textId="77777777" w:rsidR="00F33829" w:rsidRPr="00B05B5C" w:rsidRDefault="00F33829">
      <w:r w:rsidRPr="00B05B5C">
        <w:continuationSeparator/>
      </w:r>
    </w:p>
  </w:footnote>
  <w:footnote w:id="1">
    <w:p w14:paraId="68A1300C" w14:textId="5BD35852" w:rsidR="00DF248B" w:rsidRPr="00B05B5C" w:rsidRDefault="00DF248B" w:rsidP="00DF248B">
      <w:pPr>
        <w:pStyle w:val="FootnoteText"/>
      </w:pPr>
      <w:r>
        <w:rPr>
          <w:rStyle w:val="FootnoteReference"/>
        </w:rPr>
        <w:footnoteRef/>
      </w:r>
      <w:r>
        <w:t xml:space="preserve"> Hotărârea Curții de Justiție din 21 octombrie 2008, Marra/De Gregorio și Clemente, pronunțată în cauzele conexe C-200/07 și C-201/07, ECLI:EU:C:2008:579, Hotărârea Tribunalului din 19 martie 2010, Gollnisch/Parlamentul, T-42/06, ECLI:EU:T:2010:102, Hotărârea Curții de Justiție din 6 septembrie 2011,</w:t>
      </w:r>
      <w:r>
        <w:rPr>
          <w:i/>
        </w:rPr>
        <w:t xml:space="preserve"> </w:t>
      </w:r>
      <w:r>
        <w:t>Patriciello, C-163/10, ECLI:EU:C:2011:543, Hotărârea Tribunalului din 17 ianuarie 2013, Gollnisch/Parlamentul, pronunțată în cauzele conexe T-346/11 și T-347/11, ECLI:EU:T:2013:23, Hotărârea Curții de Justiție din 19 decembrie 2019, Junqueras Vies, C-502/19, ECLI:EU:C:2019:1115, Hotărârea Tribunalului din 5 iulie 2023, Puigdemont i Casamajó și alții/Parlamentul, T-272/21, ECLI:EU:T:2023:373.</w:t>
      </w:r>
    </w:p>
  </w:footnote>
  <w:footnote w:id="2">
    <w:p w14:paraId="0ABD1C92" w14:textId="55F03A7F" w:rsidR="00DF248B" w:rsidRPr="00B05B5C" w:rsidRDefault="00DF248B" w:rsidP="00DF248B">
      <w:pPr>
        <w:pStyle w:val="FootnoteText"/>
      </w:pPr>
      <w:r>
        <w:rPr>
          <w:rStyle w:val="FootnoteReference"/>
        </w:rPr>
        <w:footnoteRef/>
      </w:r>
      <w:r>
        <w:t xml:space="preserve"> Hotărârea Tribunalului din 30 aprilie 2019, Briois/Parlamentul, T-214/18, ECLI:EU:T:2019:266.</w:t>
      </w:r>
    </w:p>
  </w:footnote>
  <w:footnote w:id="3">
    <w:p w14:paraId="13FDC936" w14:textId="7C010BE0" w:rsidR="00DF248B" w:rsidRPr="00B05B5C" w:rsidRDefault="00DF248B" w:rsidP="00DF248B">
      <w:pPr>
        <w:pStyle w:val="FootnoteText"/>
      </w:pPr>
      <w:r>
        <w:rPr>
          <w:rStyle w:val="FootnoteReference"/>
        </w:rPr>
        <w:footnoteRef/>
      </w:r>
      <w:r>
        <w:t xml:space="preserve"> Hotărârea Curții de Justiție din 6 septembrie 2011, Patriciello, C-163/10, ECLI: EU:C:2011:543, punctul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B90A2" w14:textId="77777777" w:rsidR="00A4715E" w:rsidRDefault="00A471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C5294" w14:textId="77777777" w:rsidR="00A4715E" w:rsidRDefault="00A471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066F" w14:textId="77777777" w:rsidR="00A4715E" w:rsidRDefault="00A471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RO"/>
    <w:docVar w:name="TXTLANGUEMIN" w:val="ro"/>
    <w:docVar w:name="TXTNAME" w:val="Alessandra Moretti"/>
    <w:docVar w:name="TXTNRIMM" w:val="2025/2064"/>
    <w:docVar w:name="TXTNRPE" w:val="774.386"/>
    <w:docVar w:name="TXTPEorAP" w:val="PE"/>
    <w:docVar w:name="TXTROUTE" w:val="RR\1334156RO.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8648E"/>
    <w:rsid w:val="00797CAE"/>
    <w:rsid w:val="007A7BF5"/>
    <w:rsid w:val="007C040A"/>
    <w:rsid w:val="007D49EE"/>
    <w:rsid w:val="007E434A"/>
    <w:rsid w:val="007F4D6A"/>
    <w:rsid w:val="00800445"/>
    <w:rsid w:val="00804D57"/>
    <w:rsid w:val="00817270"/>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4715E"/>
    <w:rsid w:val="00A87FB0"/>
    <w:rsid w:val="00B05B5C"/>
    <w:rsid w:val="00B07676"/>
    <w:rsid w:val="00B47857"/>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23B9A"/>
    <w:rsid w:val="00F3040F"/>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1231</Words>
  <Characters>7374</Characters>
  <Application>Microsoft Office Word</Application>
  <DocSecurity>0</DocSecurity>
  <Lines>153</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OBADA Liliana</cp:lastModifiedBy>
  <cp:revision>2</cp:revision>
  <cp:lastPrinted>2025-11-11T10:39:00Z</cp:lastPrinted>
  <dcterms:created xsi:type="dcterms:W3CDTF">2025-12-15T14:44:00Z</dcterms:created>
  <dcterms:modified xsi:type="dcterms:W3CDTF">2025-12-15T14:44:00Z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RR\1334156RO.docx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15:44</vt:lpwstr>
  </property>
  <property fmtid="{D5CDD505-2E9C-101B-9397-08002B2CF9AE}" pid="14" name="OriLang">
    <vt:lpwstr>EN</vt:lpwstr>
  </property>
  <property fmtid="{D5CDD505-2E9C-101B-9397-08002B2CF9AE}" pid="15" name="SDLStudio">
    <vt:lpwstr/>
  </property>
</Properties>
</file>