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96B4F" w:rsidRPr="00DF7EF6" w14:paraId="4D8A6B33" w14:textId="77777777" w:rsidTr="00C85D0F">
        <w:trPr>
          <w:trHeight w:hRule="exact" w:val="1418"/>
        </w:trPr>
        <w:tc>
          <w:tcPr>
            <w:tcW w:w="6804" w:type="dxa"/>
            <w:shd w:val="clear" w:color="auto" w:fill="auto"/>
            <w:vAlign w:val="center"/>
          </w:tcPr>
          <w:p w14:paraId="67F36554" w14:textId="77777777" w:rsidR="00E96B4F" w:rsidRPr="00DF7EF6" w:rsidRDefault="003E1025" w:rsidP="00C85D0F">
            <w:pPr>
              <w:pStyle w:val="EPName"/>
            </w:pPr>
            <w:r>
              <w:t>Parlement européen</w:t>
            </w:r>
          </w:p>
          <w:p w14:paraId="7F832BC4" w14:textId="723A9A49" w:rsidR="00E96B4F" w:rsidRPr="00DF7EF6" w:rsidRDefault="00CC3152" w:rsidP="00C85D0F">
            <w:pPr>
              <w:pStyle w:val="EPTerm"/>
            </w:pPr>
            <w:r>
              <w:t>2024-2029</w:t>
            </w:r>
          </w:p>
        </w:tc>
        <w:tc>
          <w:tcPr>
            <w:tcW w:w="2268" w:type="dxa"/>
            <w:shd w:val="clear" w:color="auto" w:fill="auto"/>
          </w:tcPr>
          <w:p w14:paraId="6632FFC1" w14:textId="77777777" w:rsidR="00E96B4F" w:rsidRPr="00DF7EF6" w:rsidRDefault="00E96B4F" w:rsidP="00C85D0F">
            <w:pPr>
              <w:pStyle w:val="EPLogo"/>
            </w:pPr>
            <w:r w:rsidRPr="00DF7EF6">
              <w:rPr>
                <w:noProof/>
                <w:lang w:eastAsia="ja-JP"/>
              </w:rPr>
              <w:drawing>
                <wp:inline distT="0" distB="0" distL="0" distR="0" wp14:anchorId="1D6BEAF2" wp14:editId="50211A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3F666F" w14:textId="77777777" w:rsidR="00D461B7" w:rsidRPr="00DF7EF6" w:rsidRDefault="00D461B7" w:rsidP="00D461B7">
      <w:pPr>
        <w:pStyle w:val="LineTop"/>
      </w:pPr>
    </w:p>
    <w:p w14:paraId="6549812B" w14:textId="4F76CB40" w:rsidR="00D461B7" w:rsidRPr="00EF0CD1" w:rsidRDefault="00EE286A" w:rsidP="00D461B7">
      <w:pPr>
        <w:pStyle w:val="EPBody"/>
      </w:pPr>
      <w:r>
        <w:t>Document de séance</w:t>
      </w:r>
    </w:p>
    <w:p w14:paraId="4FED4E73" w14:textId="77777777" w:rsidR="00D461B7" w:rsidRPr="0043302F" w:rsidRDefault="00D461B7" w:rsidP="00D461B7">
      <w:pPr>
        <w:pStyle w:val="LineBottom"/>
        <w:rPr>
          <w:lang w:val="fr-BE"/>
        </w:rPr>
      </w:pPr>
    </w:p>
    <w:p w14:paraId="5DE766F8" w14:textId="71E4ACE5" w:rsidR="004D2440" w:rsidRPr="00EF0CD1" w:rsidRDefault="00EE286A">
      <w:pPr>
        <w:pStyle w:val="CoverReference"/>
        <w:rPr>
          <w:noProof/>
        </w:rPr>
      </w:pPr>
      <w:r w:rsidRPr="0043302F">
        <w:rPr>
          <w:rStyle w:val="HideTWBExt"/>
          <w:lang w:val="fr-BE"/>
        </w:rPr>
        <w:t>&lt;NoDocSe&gt;</w:t>
      </w:r>
      <w:r>
        <w:t>A10-0006/2026</w:t>
      </w:r>
      <w:r w:rsidRPr="0043302F">
        <w:rPr>
          <w:rStyle w:val="HideTWBExt"/>
          <w:lang w:val="fr-BE"/>
        </w:rPr>
        <w:t>&lt;/NoDocSe&gt;</w:t>
      </w:r>
    </w:p>
    <w:p w14:paraId="11662617" w14:textId="73581A89" w:rsidR="004D2440" w:rsidRPr="00EF0CD1" w:rsidRDefault="004D2440">
      <w:pPr>
        <w:pStyle w:val="CoverDate"/>
        <w:rPr>
          <w:noProof/>
        </w:rPr>
      </w:pPr>
      <w:r w:rsidRPr="0043302F">
        <w:rPr>
          <w:rStyle w:val="HideTWBExt"/>
          <w:lang w:val="fr-BE"/>
        </w:rPr>
        <w:t>&lt;Date&gt;</w:t>
      </w:r>
      <w:r w:rsidRPr="0043302F">
        <w:rPr>
          <w:rStyle w:val="HideTWBInt"/>
          <w:lang w:val="fr-BE"/>
        </w:rPr>
        <w:t>{29/01/2026}</w:t>
      </w:r>
      <w:r>
        <w:t>29.1.2026</w:t>
      </w:r>
      <w:r w:rsidRPr="0043302F">
        <w:rPr>
          <w:rStyle w:val="HideTWBExt"/>
          <w:lang w:val="fr-BE"/>
        </w:rPr>
        <w:t>&lt;/Date&gt;</w:t>
      </w:r>
    </w:p>
    <w:p w14:paraId="16D00CB6" w14:textId="6E83C0FF" w:rsidR="004D2440" w:rsidRPr="00EF0CD1" w:rsidRDefault="004D2440">
      <w:pPr>
        <w:pStyle w:val="CoverDocType24a"/>
        <w:rPr>
          <w:noProof/>
        </w:rPr>
      </w:pPr>
      <w:r w:rsidRPr="0043302F">
        <w:rPr>
          <w:rStyle w:val="HideTWBExt"/>
          <w:b w:val="0"/>
          <w:lang w:val="fr-BE"/>
        </w:rPr>
        <w:t>&lt;TitreType&gt;</w:t>
      </w:r>
      <w:r>
        <w:t>RAPPORT</w:t>
      </w:r>
      <w:r w:rsidRPr="0043302F">
        <w:rPr>
          <w:rStyle w:val="HideTWBExt"/>
          <w:b w:val="0"/>
          <w:lang w:val="fr-BE"/>
        </w:rPr>
        <w:t>&lt;/TitreType&gt;</w:t>
      </w:r>
    </w:p>
    <w:p w14:paraId="4684591D" w14:textId="287D337F" w:rsidR="004D2440" w:rsidRPr="00EF0CD1" w:rsidRDefault="004D2440">
      <w:pPr>
        <w:pStyle w:val="CoverNormal"/>
        <w:rPr>
          <w:noProof/>
        </w:rPr>
      </w:pPr>
      <w:r w:rsidRPr="0043302F">
        <w:rPr>
          <w:rStyle w:val="HideTWBExt"/>
          <w:lang w:val="fr-BE"/>
        </w:rPr>
        <w:t>&lt;Titre&gt;</w:t>
      </w:r>
      <w:r>
        <w:t>sur la proposition de décision du Parlement européen et du Conseil relative à la mobilisation du Fonds européen d</w:t>
      </w:r>
      <w:r w:rsidR="00F6032D">
        <w:t>’</w:t>
      </w:r>
      <w:r>
        <w:t>ajustement à la mondialisation en faveur des travailleurs licenciés à la suite d</w:t>
      </w:r>
      <w:r w:rsidR="00F6032D">
        <w:t>’</w:t>
      </w:r>
      <w:r>
        <w:t>une demande de la Belgique – EGF/2025/006 BE/Audi</w:t>
      </w:r>
      <w:r w:rsidRPr="0043302F">
        <w:rPr>
          <w:rStyle w:val="HideTWBExt"/>
          <w:lang w:val="fr-BE"/>
        </w:rPr>
        <w:t>&lt;/Titre&gt;</w:t>
      </w:r>
    </w:p>
    <w:p w14:paraId="5E5B93D0" w14:textId="7CBB1DF1" w:rsidR="004D2440" w:rsidRPr="00EF0CD1" w:rsidRDefault="004D2440">
      <w:pPr>
        <w:pStyle w:val="CoverNormal24a"/>
        <w:rPr>
          <w:noProof/>
        </w:rPr>
      </w:pPr>
      <w:r w:rsidRPr="0043302F">
        <w:rPr>
          <w:rStyle w:val="HideTWBExt"/>
          <w:lang w:val="fr-BE"/>
        </w:rPr>
        <w:t>&lt;DocRef&gt;</w:t>
      </w:r>
      <w:r>
        <w:t>(COM(2026)0002 – C10</w:t>
      </w:r>
      <w:r>
        <w:noBreakHyphen/>
        <w:t>0002/2026 – 2026/0001(BUD))</w:t>
      </w:r>
      <w:r w:rsidRPr="0043302F">
        <w:rPr>
          <w:rStyle w:val="HideTWBExt"/>
          <w:lang w:val="fr-BE"/>
        </w:rPr>
        <w:t>&lt;/DocRef&gt;</w:t>
      </w:r>
    </w:p>
    <w:p w14:paraId="7A426A13" w14:textId="77777777" w:rsidR="004D2440" w:rsidRPr="00EF0CD1" w:rsidRDefault="004D2440">
      <w:pPr>
        <w:pStyle w:val="CoverNormal24a"/>
        <w:rPr>
          <w:noProof/>
        </w:rPr>
      </w:pPr>
      <w:r w:rsidRPr="0043302F">
        <w:rPr>
          <w:rStyle w:val="HideTWBExt"/>
          <w:lang w:val="fr-BE"/>
        </w:rPr>
        <w:t>&lt;Commission&gt;</w:t>
      </w:r>
      <w:r w:rsidRPr="0043302F">
        <w:rPr>
          <w:rStyle w:val="HideTWBInt"/>
          <w:lang w:val="fr-BE"/>
        </w:rPr>
        <w:t>{BUDG}</w:t>
      </w:r>
      <w:r>
        <w:t>Commission des budgets</w:t>
      </w:r>
      <w:r w:rsidRPr="0043302F">
        <w:rPr>
          <w:rStyle w:val="HideTWBExt"/>
          <w:lang w:val="fr-BE"/>
        </w:rPr>
        <w:t>&lt;/Commission&gt;</w:t>
      </w:r>
    </w:p>
    <w:p w14:paraId="60EC6119" w14:textId="7BEA1422" w:rsidR="004D2440" w:rsidRPr="00EF0CD1" w:rsidRDefault="003E1025">
      <w:pPr>
        <w:pStyle w:val="CoverNormal24a"/>
        <w:rPr>
          <w:noProof/>
        </w:rPr>
      </w:pPr>
      <w:r>
        <w:t xml:space="preserve">Rapporteur: </w:t>
      </w:r>
      <w:r w:rsidRPr="0043302F">
        <w:rPr>
          <w:rStyle w:val="HideTWBExt"/>
          <w:lang w:val="fr-BE"/>
        </w:rPr>
        <w:t>&lt;Depute&gt;</w:t>
      </w:r>
      <w:r>
        <w:t>Nicolae Ștefănuță</w:t>
      </w:r>
      <w:r w:rsidRPr="0043302F">
        <w:rPr>
          <w:rStyle w:val="HideTWBExt"/>
          <w:lang w:val="fr-BE"/>
        </w:rPr>
        <w:t>&lt;/Depute&gt;</w:t>
      </w:r>
    </w:p>
    <w:p w14:paraId="6755E235" w14:textId="77777777" w:rsidR="0058028A" w:rsidRPr="0043302F" w:rsidRDefault="0058028A" w:rsidP="0058028A">
      <w:pPr>
        <w:pStyle w:val="CoverNormal"/>
        <w:rPr>
          <w:noProof/>
          <w:lang w:val="fr-BE"/>
        </w:rPr>
      </w:pPr>
    </w:p>
    <w:p w14:paraId="64D3FB32" w14:textId="77777777" w:rsidR="004D2440" w:rsidRPr="00EF0CD1" w:rsidRDefault="004D2440" w:rsidP="00300158">
      <w:pPr>
        <w:widowControl/>
        <w:tabs>
          <w:tab w:val="center" w:pos="4677"/>
        </w:tabs>
        <w:rPr>
          <w:noProof/>
        </w:rPr>
      </w:pPr>
      <w:r>
        <w:br w:type="page"/>
      </w:r>
      <w:r>
        <w:lastRenderedPageBreak/>
        <w:t>PR_BUD_Funds</w:t>
      </w:r>
    </w:p>
    <w:p w14:paraId="3358953E" w14:textId="77777777" w:rsidR="004D2440" w:rsidRPr="00EF0CD1" w:rsidRDefault="003E1025">
      <w:pPr>
        <w:pStyle w:val="TOCHeading"/>
        <w:rPr>
          <w:noProof/>
        </w:rPr>
      </w:pPr>
      <w:r>
        <w:t>SOMMAIRE</w:t>
      </w:r>
    </w:p>
    <w:p w14:paraId="68622A76" w14:textId="77777777" w:rsidR="004D2440" w:rsidRPr="00EF0CD1" w:rsidRDefault="003E1025">
      <w:pPr>
        <w:pStyle w:val="TOCPage"/>
        <w:rPr>
          <w:noProof/>
        </w:rPr>
      </w:pPr>
      <w:r>
        <w:t>Page</w:t>
      </w:r>
    </w:p>
    <w:p w14:paraId="45C92745" w14:textId="69F61D65" w:rsidR="007565FE" w:rsidRDefault="004D244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F7EF6">
        <w:fldChar w:fldCharType="begin"/>
      </w:r>
      <w:r w:rsidRPr="00EF0CD1">
        <w:instrText xml:space="preserve"> TOC \t "PageHeading</w:instrText>
      </w:r>
      <w:r w:rsidR="00665FB7">
        <w:instrText>;</w:instrText>
      </w:r>
      <w:r w:rsidRPr="00EF0CD1">
        <w:instrText xml:space="preserve">1" </w:instrText>
      </w:r>
      <w:r w:rsidRPr="00DF7EF6">
        <w:fldChar w:fldCharType="separate"/>
      </w:r>
      <w:r w:rsidR="007565FE">
        <w:rPr>
          <w:noProof/>
        </w:rPr>
        <w:t>PROPOSITION DE RÉSOLUTION DU PARLEMENT EUROPÉEN</w:t>
      </w:r>
      <w:r w:rsidR="007565FE">
        <w:rPr>
          <w:noProof/>
        </w:rPr>
        <w:tab/>
      </w:r>
      <w:r w:rsidR="007565FE">
        <w:rPr>
          <w:noProof/>
        </w:rPr>
        <w:fldChar w:fldCharType="begin"/>
      </w:r>
      <w:r w:rsidR="007565FE">
        <w:rPr>
          <w:noProof/>
        </w:rPr>
        <w:instrText xml:space="preserve"> PAGEREF _Toc221112093 \h </w:instrText>
      </w:r>
      <w:r w:rsidR="007565FE">
        <w:rPr>
          <w:noProof/>
        </w:rPr>
      </w:r>
      <w:r w:rsidR="007565FE">
        <w:rPr>
          <w:noProof/>
        </w:rPr>
        <w:fldChar w:fldCharType="separate"/>
      </w:r>
      <w:r w:rsidR="007565FE">
        <w:rPr>
          <w:noProof/>
        </w:rPr>
        <w:t>3</w:t>
      </w:r>
      <w:r w:rsidR="007565FE">
        <w:rPr>
          <w:noProof/>
        </w:rPr>
        <w:fldChar w:fldCharType="end"/>
      </w:r>
    </w:p>
    <w:p w14:paraId="50F46472" w14:textId="272B039E" w:rsidR="007565FE" w:rsidRDefault="007565F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DÉCISION DU PARLEMENT EUROPÉEN ET DU CONSEIL</w:t>
      </w:r>
      <w:r>
        <w:rPr>
          <w:noProof/>
        </w:rPr>
        <w:tab/>
      </w:r>
      <w:r>
        <w:rPr>
          <w:noProof/>
        </w:rPr>
        <w:fldChar w:fldCharType="begin"/>
      </w:r>
      <w:r>
        <w:rPr>
          <w:noProof/>
        </w:rPr>
        <w:instrText xml:space="preserve"> PAGEREF _Toc221112094 \h </w:instrText>
      </w:r>
      <w:r>
        <w:rPr>
          <w:noProof/>
        </w:rPr>
      </w:r>
      <w:r>
        <w:rPr>
          <w:noProof/>
        </w:rPr>
        <w:fldChar w:fldCharType="separate"/>
      </w:r>
      <w:r>
        <w:rPr>
          <w:noProof/>
        </w:rPr>
        <w:t>8</w:t>
      </w:r>
      <w:r>
        <w:rPr>
          <w:noProof/>
        </w:rPr>
        <w:fldChar w:fldCharType="end"/>
      </w:r>
    </w:p>
    <w:p w14:paraId="4ABE5636" w14:textId="2286BA27" w:rsidR="007565FE" w:rsidRDefault="007565F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_Toc221112095 \h </w:instrText>
      </w:r>
      <w:r>
        <w:rPr>
          <w:noProof/>
        </w:rPr>
      </w:r>
      <w:r>
        <w:rPr>
          <w:noProof/>
        </w:rPr>
        <w:fldChar w:fldCharType="separate"/>
      </w:r>
      <w:r>
        <w:rPr>
          <w:noProof/>
        </w:rPr>
        <w:t>10</w:t>
      </w:r>
      <w:r>
        <w:rPr>
          <w:noProof/>
        </w:rPr>
        <w:fldChar w:fldCharType="end"/>
      </w:r>
    </w:p>
    <w:p w14:paraId="02FE2592" w14:textId="0E050D6E" w:rsidR="007565FE" w:rsidRDefault="007565F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_Toc221112096 \h </w:instrText>
      </w:r>
      <w:r>
        <w:rPr>
          <w:noProof/>
        </w:rPr>
      </w:r>
      <w:r>
        <w:rPr>
          <w:noProof/>
        </w:rPr>
        <w:fldChar w:fldCharType="separate"/>
      </w:r>
      <w:r>
        <w:rPr>
          <w:noProof/>
        </w:rPr>
        <w:t>13</w:t>
      </w:r>
      <w:r>
        <w:rPr>
          <w:noProof/>
        </w:rPr>
        <w:fldChar w:fldCharType="end"/>
      </w:r>
    </w:p>
    <w:p w14:paraId="6AF3FE3F" w14:textId="3BC8A543" w:rsidR="007565FE" w:rsidRDefault="007565F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270C0">
        <w:rPr>
          <w:noProof/>
          <w:lang w:val="fr-BE"/>
        </w:rPr>
        <w:t>LETTRE DE LA COMMISSION DE L’EMPLOI ET DES AFFAIRES SOCIALES</w:t>
      </w:r>
      <w:r>
        <w:rPr>
          <w:noProof/>
        </w:rPr>
        <w:tab/>
      </w:r>
      <w:r>
        <w:rPr>
          <w:noProof/>
        </w:rPr>
        <w:fldChar w:fldCharType="begin"/>
      </w:r>
      <w:r>
        <w:rPr>
          <w:noProof/>
        </w:rPr>
        <w:instrText xml:space="preserve"> PAGEREF _Toc221112097 \h </w:instrText>
      </w:r>
      <w:r>
        <w:rPr>
          <w:noProof/>
        </w:rPr>
      </w:r>
      <w:r>
        <w:rPr>
          <w:noProof/>
        </w:rPr>
        <w:fldChar w:fldCharType="separate"/>
      </w:r>
      <w:r>
        <w:rPr>
          <w:noProof/>
        </w:rPr>
        <w:t>14</w:t>
      </w:r>
      <w:r>
        <w:rPr>
          <w:noProof/>
        </w:rPr>
        <w:fldChar w:fldCharType="end"/>
      </w:r>
    </w:p>
    <w:p w14:paraId="2D6D972C" w14:textId="048EA349" w:rsidR="007565FE" w:rsidRDefault="007565F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_Toc221112098 \h </w:instrText>
      </w:r>
      <w:r>
        <w:rPr>
          <w:noProof/>
        </w:rPr>
      </w:r>
      <w:r>
        <w:rPr>
          <w:noProof/>
        </w:rPr>
        <w:fldChar w:fldCharType="separate"/>
      </w:r>
      <w:r>
        <w:rPr>
          <w:noProof/>
        </w:rPr>
        <w:t>19</w:t>
      </w:r>
      <w:r>
        <w:rPr>
          <w:noProof/>
        </w:rPr>
        <w:fldChar w:fldCharType="end"/>
      </w:r>
    </w:p>
    <w:p w14:paraId="604D4D1F" w14:textId="739282D7" w:rsidR="007565FE" w:rsidRDefault="007565F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_Toc221112099 \h </w:instrText>
      </w:r>
      <w:r>
        <w:rPr>
          <w:noProof/>
        </w:rPr>
      </w:r>
      <w:r>
        <w:rPr>
          <w:noProof/>
        </w:rPr>
        <w:fldChar w:fldCharType="separate"/>
      </w:r>
      <w:r>
        <w:rPr>
          <w:noProof/>
        </w:rPr>
        <w:t>20</w:t>
      </w:r>
      <w:r>
        <w:rPr>
          <w:noProof/>
        </w:rPr>
        <w:fldChar w:fldCharType="end"/>
      </w:r>
    </w:p>
    <w:p w14:paraId="0DEBC5A0" w14:textId="10948BCF" w:rsidR="004D2440" w:rsidRPr="00E00022" w:rsidRDefault="004D2440" w:rsidP="006E4E08">
      <w:r w:rsidRPr="00DF7EF6">
        <w:fldChar w:fldCharType="end"/>
      </w:r>
    </w:p>
    <w:p w14:paraId="29095528" w14:textId="77777777" w:rsidR="004D2440" w:rsidRPr="00EF0CD1" w:rsidRDefault="004D2440">
      <w:pPr>
        <w:pStyle w:val="PageHeading"/>
        <w:rPr>
          <w:noProof/>
        </w:rPr>
      </w:pPr>
      <w:r>
        <w:br w:type="page"/>
      </w:r>
      <w:bookmarkStart w:id="0" w:name="_Toc221112093"/>
      <w:r>
        <w:lastRenderedPageBreak/>
        <w:t>PROPOSITION DE RÉSOLUTION DU PARLEMENT EUROPÉEN</w:t>
      </w:r>
      <w:bookmarkEnd w:id="0"/>
    </w:p>
    <w:p w14:paraId="6614A4B0" w14:textId="5FD228B6" w:rsidR="004D2440" w:rsidRPr="00EF0CD1" w:rsidRDefault="003E1025">
      <w:pPr>
        <w:pStyle w:val="NormalBold"/>
        <w:rPr>
          <w:noProof/>
        </w:rPr>
      </w:pPr>
      <w:r>
        <w:t>sur la proposition de décision du Parlement européen et du Conseil relative à la mobilisation du Fonds européen d</w:t>
      </w:r>
      <w:r w:rsidR="00F6032D">
        <w:t>’</w:t>
      </w:r>
      <w:r>
        <w:t>ajustement à la mondialisation en faveur des travailleurs licenciés à la suite d</w:t>
      </w:r>
      <w:r w:rsidR="00F6032D">
        <w:t>’</w:t>
      </w:r>
      <w:r>
        <w:t>une demande de la Belgique – EGF/2025/006 BE/Audi</w:t>
      </w:r>
    </w:p>
    <w:p w14:paraId="40FEE6E1" w14:textId="397094BF" w:rsidR="004D2440" w:rsidRPr="00EF0CD1" w:rsidRDefault="003E1025" w:rsidP="006E4E08">
      <w:pPr>
        <w:pStyle w:val="NormalBold"/>
        <w:rPr>
          <w:noProof/>
        </w:rPr>
      </w:pPr>
      <w:r>
        <w:t>(COM(2026)0002 – C10</w:t>
      </w:r>
      <w:r>
        <w:noBreakHyphen/>
        <w:t>0002/2026 – 2026/0001(BUD))</w:t>
      </w:r>
    </w:p>
    <w:p w14:paraId="5DCBD733" w14:textId="77777777" w:rsidR="00CC3152" w:rsidRPr="00EF0CD1" w:rsidRDefault="00CC3152" w:rsidP="00CC3152">
      <w:pPr>
        <w:pStyle w:val="EPComma"/>
        <w:rPr>
          <w:noProof/>
        </w:rPr>
      </w:pPr>
      <w:r>
        <w:rPr>
          <w:i/>
        </w:rPr>
        <w:t>Le Parlement européen</w:t>
      </w:r>
      <w:r>
        <w:t>,</w:t>
      </w:r>
    </w:p>
    <w:p w14:paraId="700BA2A8" w14:textId="4075ABD0" w:rsidR="00CC3152" w:rsidRPr="00EF0CD1" w:rsidRDefault="00CC3152" w:rsidP="00CC3152">
      <w:pPr>
        <w:pStyle w:val="NormalHanging12a"/>
        <w:rPr>
          <w:noProof/>
        </w:rPr>
      </w:pPr>
      <w:r>
        <w:t>–</w:t>
      </w:r>
      <w:r>
        <w:tab/>
        <w:t>vu la proposition de la Commission au Parlement européen et au Conseil (COM(2026)0002 – C10-0002/2026),</w:t>
      </w:r>
    </w:p>
    <w:p w14:paraId="096BECCA" w14:textId="2DF5B97B" w:rsidR="00CC3152" w:rsidRPr="00EF0CD1" w:rsidRDefault="00CC3152" w:rsidP="00CC3152">
      <w:pPr>
        <w:pStyle w:val="NormalHanging12a"/>
      </w:pPr>
      <w:r>
        <w:t>–</w:t>
      </w:r>
      <w:r>
        <w:tab/>
        <w:t>vu le règlement (UE) 2021/691 du Parlement européen et du Conseil du 28 avril 2021 relatif au Fonds européen d</w:t>
      </w:r>
      <w:r w:rsidR="00F6032D">
        <w:t>’</w:t>
      </w:r>
      <w:r>
        <w:t>ajustement à la mondialisation en faveur des travailleurs licenciés (FEM) et abrogeant le règlement (UE) nº 1309/2013</w:t>
      </w:r>
      <w:r w:rsidRPr="00DF7EF6">
        <w:rPr>
          <w:vertAlign w:val="superscript"/>
        </w:rPr>
        <w:footnoteReference w:id="1"/>
      </w:r>
      <w:r>
        <w:t xml:space="preserve"> (ci-après dénommé «règlement FEM»), </w:t>
      </w:r>
    </w:p>
    <w:p w14:paraId="0C67A846" w14:textId="7AB9DD3A" w:rsidR="00CC3152" w:rsidRPr="00EF0CD1" w:rsidRDefault="00CC3152" w:rsidP="00CC3152">
      <w:pPr>
        <w:pStyle w:val="NormalHanging12a"/>
        <w:rPr>
          <w:noProof/>
        </w:rPr>
      </w:pPr>
      <w:r>
        <w:t>–</w:t>
      </w:r>
      <w:r>
        <w:tab/>
        <w:t>vu le règlement (UE, Euratom) 2020/2093 du Conseil du 17 décembre 2020 fixant le cadre financier pluriannuel pour les années 2021 à 2027</w:t>
      </w:r>
      <w:r w:rsidRPr="00DF7EF6">
        <w:rPr>
          <w:noProof/>
          <w:vertAlign w:val="superscript"/>
        </w:rPr>
        <w:footnoteReference w:id="2"/>
      </w:r>
      <w:r>
        <w:t>, tel que modifié par le règlement (UE, Euratom) 2024/765</w:t>
      </w:r>
      <w:r w:rsidRPr="00DF7EF6">
        <w:rPr>
          <w:noProof/>
          <w:vertAlign w:val="superscript"/>
        </w:rPr>
        <w:footnoteReference w:id="3"/>
      </w:r>
      <w:r>
        <w:t xml:space="preserve"> (ci-après dénommé «règlement CFP»), et notamment son article 8, </w:t>
      </w:r>
    </w:p>
    <w:p w14:paraId="7FAF4351" w14:textId="0E46FAB9" w:rsidR="00CC3152" w:rsidRPr="00EF0CD1" w:rsidRDefault="00CC3152" w:rsidP="00CC3152">
      <w:pPr>
        <w:pStyle w:val="NormalHanging12a"/>
        <w:rPr>
          <w:noProof/>
        </w:rPr>
      </w:pPr>
      <w:r>
        <w:t>–</w:t>
      </w:r>
      <w:r>
        <w:tab/>
        <w:t>vu l</w:t>
      </w:r>
      <w:r w:rsidR="00F6032D">
        <w:t>’</w:t>
      </w:r>
      <w:r>
        <w:t>accord interinstitutionnel du 16 décembre 2020 entre le Parlement européen, le Conseil de l</w:t>
      </w:r>
      <w:r w:rsidR="00F6032D">
        <w:t>’</w:t>
      </w:r>
      <w:r>
        <w:t>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DF7EF6">
        <w:rPr>
          <w:rStyle w:val="FootnoteReference"/>
          <w:noProof/>
        </w:rPr>
        <w:footnoteReference w:id="4"/>
      </w:r>
      <w:r>
        <w:t>, et notamment son point 9,</w:t>
      </w:r>
    </w:p>
    <w:p w14:paraId="3052CE03" w14:textId="4BC38653" w:rsidR="008607AD" w:rsidRPr="00EF0CD1" w:rsidRDefault="008607AD" w:rsidP="008607AD">
      <w:pPr>
        <w:pStyle w:val="NormalHanging12a"/>
      </w:pPr>
      <w:r>
        <w:t>–</w:t>
      </w:r>
      <w:r>
        <w:tab/>
        <w:t>vu le socle européen des droits sociaux,</w:t>
      </w:r>
    </w:p>
    <w:p w14:paraId="01B67BFB" w14:textId="1C1086E7" w:rsidR="00CC3152" w:rsidRPr="00EF0CD1" w:rsidRDefault="00CC3152" w:rsidP="00CC3152">
      <w:pPr>
        <w:pStyle w:val="NormalHanging12a"/>
      </w:pPr>
      <w:r>
        <w:t>–</w:t>
      </w:r>
      <w:r>
        <w:tab/>
        <w:t>vu la lettre de la commission de l</w:t>
      </w:r>
      <w:r w:rsidR="00F6032D">
        <w:t>’</w:t>
      </w:r>
      <w:r>
        <w:t>emploi et des affaires sociales,</w:t>
      </w:r>
    </w:p>
    <w:p w14:paraId="4AB90430" w14:textId="1377DD46" w:rsidR="00CC3152" w:rsidRPr="00EF0CD1" w:rsidRDefault="00CC3152" w:rsidP="008607AD">
      <w:pPr>
        <w:pStyle w:val="NormalHanging12a"/>
      </w:pPr>
      <w:r>
        <w:t>–</w:t>
      </w:r>
      <w:r>
        <w:tab/>
        <w:t>vu le rapport de la commission des budgets (A10-0006/2026),</w:t>
      </w:r>
    </w:p>
    <w:p w14:paraId="36E28D4A" w14:textId="28C45C9C" w:rsidR="00CC3152" w:rsidRPr="00EF0CD1" w:rsidRDefault="00CC3152" w:rsidP="00CC3152">
      <w:pPr>
        <w:pStyle w:val="NormalHanging12a"/>
        <w:rPr>
          <w:noProof/>
        </w:rPr>
      </w:pPr>
      <w:r>
        <w:t>A.</w:t>
      </w:r>
      <w:r>
        <w:tab/>
        <w:t>considérant que l</w:t>
      </w:r>
      <w:r w:rsidR="00F6032D">
        <w:t>’</w:t>
      </w:r>
      <w:r>
        <w:t>Union a mis en place des instruments législatifs et budgétaires pour apporter une aide complémentaire aux travailleurs subissant les conséquences d</w:t>
      </w:r>
      <w:r w:rsidR="00F6032D">
        <w:t>’</w:t>
      </w:r>
      <w:r>
        <w:t>événements et de changements majeurs touchant la structure du commerce international et pour les accompagner dans leur réinsertion sur le marché du travail; que cette aide est fournie sous la forme d</w:t>
      </w:r>
      <w:r w:rsidR="00F6032D">
        <w:t>’</w:t>
      </w:r>
      <w:r>
        <w:t>un soutien financier accordé aux travailleurs;</w:t>
      </w:r>
    </w:p>
    <w:p w14:paraId="2C532048" w14:textId="2AB4DFCD" w:rsidR="00CC3152" w:rsidRPr="00EF0CD1" w:rsidRDefault="00CC3152" w:rsidP="00CC3152">
      <w:pPr>
        <w:pStyle w:val="NormalHanging12a"/>
      </w:pPr>
      <w:r>
        <w:t xml:space="preserve">B. </w:t>
      </w:r>
      <w:r>
        <w:tab/>
        <w:t>considérant que la Belgique a présenté la demande EGF/2025/006 BE/Audi en vue d</w:t>
      </w:r>
      <w:r w:rsidR="00F6032D">
        <w:t>’</w:t>
      </w:r>
      <w:r>
        <w:t>obtenir une contribution financière du FEM à la suite de 3 414 licenciements</w:t>
      </w:r>
      <w:r w:rsidRPr="00DF7EF6">
        <w:rPr>
          <w:vertAlign w:val="superscript"/>
        </w:rPr>
        <w:footnoteReference w:id="5"/>
      </w:r>
      <w:r>
        <w:t xml:space="preserve"> </w:t>
      </w:r>
      <w:r>
        <w:lastRenderedPageBreak/>
        <w:t>survenus dans le secteur économique relevant de la division 29 (Industrie automobile) de la NACE rév. 2 dans la Région de Bruxelles-Capitale (BE10), la Provincie Oost-Vlaanderen (BE23) et la Province du Hainaut (BE32), 3 148 personnes ayant perdu leur emploi au cours d</w:t>
      </w:r>
      <w:r w:rsidR="00F6032D">
        <w:t>’</w:t>
      </w:r>
      <w:r>
        <w:t>une période de référence comprise entre le 28 février 2025 et le 28 juin 2025, dont 2 580 travailleurs licenciés dont l</w:t>
      </w:r>
      <w:r w:rsidR="00F6032D">
        <w:t>’</w:t>
      </w:r>
      <w:r>
        <w:t xml:space="preserve">activité a cessé chez Audi S.A./n.V. (Audi) et ses filiales, 568 travailleurs licenciés chez cinq fournisseurs et producteurs en aval, et 266 travailleurs licenciés avant ou après la période de référence; </w:t>
      </w:r>
    </w:p>
    <w:p w14:paraId="0C0A402D" w14:textId="1C9CBB49" w:rsidR="00CC3152" w:rsidRPr="00EF0CD1" w:rsidRDefault="00CC3152" w:rsidP="00CC3152">
      <w:pPr>
        <w:pStyle w:val="NormalHanging12a"/>
      </w:pPr>
      <w:r>
        <w:t>C.</w:t>
      </w:r>
      <w:r>
        <w:tab/>
        <w:t>considérant que la demande est fondée sur les critères d</w:t>
      </w:r>
      <w:r w:rsidR="00F6032D">
        <w:t>’</w:t>
      </w:r>
      <w:r>
        <w:t>intervention visés à l</w:t>
      </w:r>
      <w:r w:rsidR="00F6032D">
        <w:t>’</w:t>
      </w:r>
      <w:r>
        <w:t>article 4, paragraphe 2, point a), du règlement FEM; que, pour les 266 travailleurs licenciés dont l</w:t>
      </w:r>
      <w:r w:rsidR="00F6032D">
        <w:t>’</w:t>
      </w:r>
      <w:r>
        <w:t>activité a cessé avant ou après la période de référence de quatre mois, un lien de causalité clair peut être établi avec l</w:t>
      </w:r>
      <w:r w:rsidR="00F6032D">
        <w:t>’</w:t>
      </w:r>
      <w:r>
        <w:t>événement qui a déclenché les cessations d</w:t>
      </w:r>
      <w:r w:rsidR="00F6032D">
        <w:t>’</w:t>
      </w:r>
      <w:r>
        <w:t>activité des travailleurs licenciés au cours de la période de référence, comme l</w:t>
      </w:r>
      <w:r w:rsidR="00F6032D">
        <w:t>’</w:t>
      </w:r>
      <w:r>
        <w:t>exige l</w:t>
      </w:r>
      <w:r w:rsidR="00F6032D">
        <w:t>’</w:t>
      </w:r>
      <w:r>
        <w:t xml:space="preserve">article 6, deuxième alinéa, du règlement FEM; </w:t>
      </w:r>
    </w:p>
    <w:p w14:paraId="004CC5E9" w14:textId="6AB49241" w:rsidR="00CC3152" w:rsidRPr="00EF0CD1" w:rsidRDefault="00CC3152" w:rsidP="00CC3152">
      <w:pPr>
        <w:pStyle w:val="NormalHanging12a"/>
      </w:pPr>
      <w:r>
        <w:t xml:space="preserve">D. </w:t>
      </w:r>
      <w:r>
        <w:tab/>
        <w:t>considérant que, dans l</w:t>
      </w:r>
      <w:r w:rsidR="00F6032D">
        <w:t>’</w:t>
      </w:r>
      <w:r>
        <w:t>usine concernée d</w:t>
      </w:r>
      <w:r w:rsidR="00F6032D">
        <w:t>’</w:t>
      </w:r>
      <w:r>
        <w:t>Audi, un seul modèle était produit, et que sa production a été arrêtée plus tôt que prévu en raison des coûts de production élevés liés à la localisation de l</w:t>
      </w:r>
      <w:r w:rsidR="00F6032D">
        <w:t>’</w:t>
      </w:r>
      <w:r>
        <w:t>usine; que l</w:t>
      </w:r>
      <w:r w:rsidR="00F6032D">
        <w:t>’</w:t>
      </w:r>
      <w:r>
        <w:t xml:space="preserve">usine a fermé le 28 février 2025; </w:t>
      </w:r>
    </w:p>
    <w:p w14:paraId="1C511AAB" w14:textId="77777777" w:rsidR="00CC3152" w:rsidRPr="00EF0CD1" w:rsidRDefault="00CC3152" w:rsidP="00CC3152">
      <w:pPr>
        <w:pStyle w:val="NormalHanging12a"/>
      </w:pPr>
      <w:r>
        <w:t>E.</w:t>
      </w:r>
      <w:r>
        <w:tab/>
        <w:t>considérant que le préfinancement et le cofinancement nationaux des mesures sont assurés par la Belgique;</w:t>
      </w:r>
    </w:p>
    <w:p w14:paraId="6E78CD3D" w14:textId="539B21CF" w:rsidR="00CC3152" w:rsidRPr="00EF0CD1" w:rsidRDefault="00CC3152" w:rsidP="00CC3152">
      <w:pPr>
        <w:pStyle w:val="NormalHanging12a"/>
      </w:pPr>
      <w:r>
        <w:t>F.</w:t>
      </w:r>
      <w:r>
        <w:tab/>
        <w:t>considérant que les exigences fixées dans la législation nationale et dans celle de l</w:t>
      </w:r>
      <w:r w:rsidR="00F6032D">
        <w:t>’</w:t>
      </w:r>
      <w:r>
        <w:t>Union concernant les licenciements collectifs ont été respectées par les entreprises concernées;</w:t>
      </w:r>
    </w:p>
    <w:p w14:paraId="2B669173" w14:textId="223E7918" w:rsidR="00CC3152" w:rsidRPr="00EF0CD1" w:rsidRDefault="00CC3152" w:rsidP="00CC3152">
      <w:pPr>
        <w:pStyle w:val="NormalHanging12a"/>
      </w:pPr>
      <w:r>
        <w:t>G.</w:t>
      </w:r>
      <w:r>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en leur offrant des formations afin de faciliter leur accès au marché du travail, tout en les préparant à une économie européenne plus verte et plus numérique;</w:t>
      </w:r>
    </w:p>
    <w:p w14:paraId="18E6BF06" w14:textId="37EFFA02" w:rsidR="00CC3152" w:rsidRPr="00EF0CD1" w:rsidRDefault="00CC3152" w:rsidP="00CC3152">
      <w:pPr>
        <w:pStyle w:val="NormalHanging12a"/>
      </w:pPr>
      <w:r>
        <w:t>H.</w:t>
      </w:r>
      <w:r>
        <w:tab/>
        <w:t>considérant que la dotation annuelle du FEM n</w:t>
      </w:r>
      <w:r w:rsidR="00F6032D">
        <w:t>’</w:t>
      </w:r>
      <w:r>
        <w:t>excède pas 30 millions d</w:t>
      </w:r>
      <w:r w:rsidR="00F6032D">
        <w:t>’</w:t>
      </w:r>
      <w:r>
        <w:t>EUR (aux prix de 2018)</w:t>
      </w:r>
      <w:r w:rsidR="008607AD" w:rsidRPr="00DF7EF6">
        <w:rPr>
          <w:rStyle w:val="FootnoteReference"/>
        </w:rPr>
        <w:footnoteReference w:id="6"/>
      </w:r>
      <w:r>
        <w:t xml:space="preserve">; </w:t>
      </w:r>
    </w:p>
    <w:p w14:paraId="673AFF47" w14:textId="71409427" w:rsidR="00CC3152" w:rsidRPr="00EF0CD1" w:rsidRDefault="00CC3152" w:rsidP="00CC3152">
      <w:pPr>
        <w:pStyle w:val="NormalHanging12a"/>
      </w:pPr>
      <w:r>
        <w:t>1.</w:t>
      </w:r>
      <w:r>
        <w:tab/>
        <w:t>convient avec la Commission que les conditions fixées dans le règlement FEM, et notamment à l</w:t>
      </w:r>
      <w:r w:rsidR="00F6032D">
        <w:t>’</w:t>
      </w:r>
      <w:r>
        <w:t>article 4, paragraphe 2, point a), sont remplies et que la Belgique a droit, au titre de ce règlement, à une contribution financière d</w:t>
      </w:r>
      <w:r w:rsidR="00F6032D">
        <w:t>’</w:t>
      </w:r>
      <w:r>
        <w:t>un montant de 7 527 625 EUR, soit 85 % du coût total de 8 856 030 EUR, qui correspond aux dépenses afférentes aux services personnalisés à concurrence de 8 738 968 EUR et aux dépenses afférentes aux activités de préparation, de gestion, d</w:t>
      </w:r>
      <w:r w:rsidR="00F6032D">
        <w:t>’</w:t>
      </w:r>
      <w:r>
        <w:t>information et de publicité, ainsi qu</w:t>
      </w:r>
      <w:r w:rsidR="00F6032D">
        <w:t>’</w:t>
      </w:r>
      <w:r>
        <w:t>aux activités de contrôle et d</w:t>
      </w:r>
      <w:r w:rsidR="00F6032D">
        <w:t>’</w:t>
      </w:r>
      <w:r>
        <w:t>établissement de rapports, à concurrence de 117 062 EUR;</w:t>
      </w:r>
    </w:p>
    <w:p w14:paraId="5D60262D" w14:textId="68163C79" w:rsidR="00CC3152" w:rsidRPr="00EF0CD1" w:rsidRDefault="00CC3152" w:rsidP="00CC3152">
      <w:pPr>
        <w:pStyle w:val="NormalHanging12a"/>
      </w:pPr>
      <w:r>
        <w:t xml:space="preserve">2. </w:t>
      </w:r>
      <w:r>
        <w:tab/>
        <w:t>constate que les autorités belges ont présenté leur demande le 18 septembre 2025 et que, après avoir reçu des informations complémentaires de leur part, la Commission a achevé son évaluation le 9 janvier 2026 et l</w:t>
      </w:r>
      <w:r w:rsidR="00F6032D">
        <w:t>’</w:t>
      </w:r>
      <w:r>
        <w:t>a communiquée au Parlement le même jour; souligne qu</w:t>
      </w:r>
      <w:r w:rsidR="00F6032D">
        <w:t>’</w:t>
      </w:r>
      <w:r>
        <w:t>il importe de raccourcir le délai entre la présentation d</w:t>
      </w:r>
      <w:r w:rsidR="00F6032D">
        <w:t>’</w:t>
      </w:r>
      <w:r>
        <w:t>une demande d</w:t>
      </w:r>
      <w:r w:rsidR="00F6032D">
        <w:t>’</w:t>
      </w:r>
      <w:r>
        <w:t xml:space="preserve">aide au titre du FEM et la décision de financement, tout en préservant pleinement les droits </w:t>
      </w:r>
      <w:r>
        <w:lastRenderedPageBreak/>
        <w:t>du Parlement européen en tant que branche de l</w:t>
      </w:r>
      <w:r w:rsidR="00F6032D">
        <w:t>’</w:t>
      </w:r>
      <w:r>
        <w:t>autorité budgétaire;</w:t>
      </w:r>
    </w:p>
    <w:p w14:paraId="3F1E425F" w14:textId="79388EB5" w:rsidR="009B36A1" w:rsidRPr="00EF0CD1" w:rsidRDefault="00CC3152" w:rsidP="00AA3111">
      <w:pPr>
        <w:pStyle w:val="NormalHanging12a"/>
      </w:pPr>
      <w:r>
        <w:t>3.</w:t>
      </w:r>
      <w:r>
        <w:tab/>
        <w:t>relève que la demande concerne des travailleurs dont l</w:t>
      </w:r>
      <w:r w:rsidR="00F6032D">
        <w:t>’</w:t>
      </w:r>
      <w:r>
        <w:t>activité a cessé chez Audi et chez cinq fournisseurs et producteurs en aval et qui seront tous des bénéficiaires visés;</w:t>
      </w:r>
    </w:p>
    <w:p w14:paraId="019E61FB" w14:textId="3E5BDFC9" w:rsidR="00CC3152" w:rsidRPr="00EF0CD1" w:rsidRDefault="00CC3152" w:rsidP="00CC3152">
      <w:pPr>
        <w:pStyle w:val="NormalHanging12a"/>
      </w:pPr>
      <w:r>
        <w:t>4.</w:t>
      </w:r>
      <w:r>
        <w:tab/>
        <w:t>constate qu</w:t>
      </w:r>
      <w:r w:rsidR="00F6032D">
        <w:t>’</w:t>
      </w:r>
      <w:r>
        <w:t>en raison de l</w:t>
      </w:r>
      <w:r w:rsidR="00F6032D">
        <w:t>’</w:t>
      </w:r>
      <w:r>
        <w:t>augmentation des faillites au cours des deux dernières années, le taux de chômage a considérablement augmenté dans certaines régions de Belgique, en particulier à Bruxelles et dans le Hainaut (Wallonie); souligne que le risque de chômage est corrélé au niveau d</w:t>
      </w:r>
      <w:r w:rsidR="00F6032D">
        <w:t>’</w:t>
      </w:r>
      <w:r>
        <w:t>éducation et qu</w:t>
      </w:r>
      <w:r w:rsidR="00F6032D">
        <w:t>’</w:t>
      </w:r>
      <w:r>
        <w:t>une personne sur deux ayant un faible niveau d</w:t>
      </w:r>
      <w:r w:rsidR="00F6032D">
        <w:t>’</w:t>
      </w:r>
      <w:r>
        <w:t>éducation et une personne sur trois ayant un niveau d</w:t>
      </w:r>
      <w:r w:rsidR="00F6032D">
        <w:t>’</w:t>
      </w:r>
      <w:r>
        <w:t>éducation moyen sont exposées à un risque de chômage plus élevé, ces groupes représentant 83 % des travailleurs licenciés; déplore que ces licenciements aggravent encore la situation; invite les autorités belges à prendre des mesures pour réduire le nombre de faillites afin d</w:t>
      </w:r>
      <w:r w:rsidR="00F6032D">
        <w:t>’</w:t>
      </w:r>
      <w:r>
        <w:t>éviter le déclin structurel et régional, tout en remédiant aux disparités sociales conduisant à l</w:t>
      </w:r>
      <w:r w:rsidR="00F6032D">
        <w:t>’</w:t>
      </w:r>
      <w:r>
        <w:t>exclusion de la main-d</w:t>
      </w:r>
      <w:r w:rsidR="00F6032D">
        <w:t>’</w:t>
      </w:r>
      <w:r>
        <w:t>œuvre, telles que les inégalités entre les hommes et les femmes et le faible niveau d</w:t>
      </w:r>
      <w:r w:rsidR="00F6032D">
        <w:t>’</w:t>
      </w:r>
      <w:r>
        <w:t>éducation;</w:t>
      </w:r>
    </w:p>
    <w:p w14:paraId="34219DC5" w14:textId="7F7C7EE4" w:rsidR="00CC3152" w:rsidRPr="00EF0CD1" w:rsidRDefault="00CC3152" w:rsidP="00CC3152">
      <w:pPr>
        <w:pStyle w:val="NormalHanging12a"/>
        <w:rPr>
          <w:noProof/>
        </w:rPr>
      </w:pPr>
      <w:r>
        <w:t>5.</w:t>
      </w:r>
      <w:r>
        <w:tab/>
        <w:t>constate que le marché mondial de la production et de la vente de voitures, en particulier de voitures électriques, se caractérise par une concurrence mondiale de plus en plus agressive; souligne les obstacles croissants auxquels sont confrontés les constructeurs automobiles européens pour commercialiser des modèles innovants et abordables dans des segments d</w:t>
      </w:r>
      <w:r w:rsidR="00F6032D">
        <w:t>’</w:t>
      </w:r>
      <w:r>
        <w:t>avenir tels que les véhicules électriques à batterie;  déplore qu</w:t>
      </w:r>
      <w:r w:rsidR="00F6032D">
        <w:t>’</w:t>
      </w:r>
      <w:r>
        <w:t>Audi ait cessé ses activités en Belgique alors qu</w:t>
      </w:r>
      <w:r w:rsidR="00F6032D">
        <w:t>’</w:t>
      </w:r>
      <w:r>
        <w:t>elle restait rentable et que la production soit, à l</w:t>
      </w:r>
      <w:r w:rsidR="00F6032D">
        <w:t>’</w:t>
      </w:r>
      <w:r>
        <w:t>avenir, déplacée en Chine et au Mexique, entraînant le licenciement de 3 414 travailleurs; constate avec inquiétude que les conditions de production difficiles, notamment un accès insuffisant à des sources d</w:t>
      </w:r>
      <w:r w:rsidR="00F6032D">
        <w:t>’</w:t>
      </w:r>
      <w:r>
        <w:t>énergie propre moins chères et un déploiement insuffisant de celles-ci, ont contribué à la relocalisation des installations d</w:t>
      </w:r>
      <w:r w:rsidR="00F6032D">
        <w:t>’</w:t>
      </w:r>
      <w:r>
        <w:t>Audi en dehors de l</w:t>
      </w:r>
      <w:r w:rsidR="00F6032D">
        <w:t>’</w:t>
      </w:r>
      <w:r>
        <w:t>Union;</w:t>
      </w:r>
    </w:p>
    <w:p w14:paraId="2C8FB3CD" w14:textId="51752AB8" w:rsidR="00E954D3" w:rsidRPr="00EF0CD1" w:rsidRDefault="0016456A" w:rsidP="00CC3152">
      <w:pPr>
        <w:pStyle w:val="NormalHanging12a"/>
        <w:rPr>
          <w:bCs/>
          <w:iCs/>
        </w:rPr>
      </w:pPr>
      <w:r>
        <w:t>6.</w:t>
      </w:r>
      <w:r>
        <w:tab/>
        <w:t>souligne que la fermeture de l</w:t>
      </w:r>
      <w:r w:rsidR="00F6032D">
        <w:t>’</w:t>
      </w:r>
      <w:r>
        <w:t>usine après plus de 70 ans d</w:t>
      </w:r>
      <w:r w:rsidR="00F6032D">
        <w:t>’</w:t>
      </w:r>
      <w:r>
        <w:t>activité, malgré sa production de véhicules électriques, démontre que les difficultés auxquelles l</w:t>
      </w:r>
      <w:r w:rsidR="00F6032D">
        <w:t>’</w:t>
      </w:r>
      <w:r>
        <w:t>industrie européenne est confrontée sont de nature structurelle, plutôt qu</w:t>
      </w:r>
      <w:r w:rsidR="00F6032D">
        <w:t>’</w:t>
      </w:r>
      <w:r>
        <w:t>uniquement technologique;</w:t>
      </w:r>
    </w:p>
    <w:p w14:paraId="08AE6244" w14:textId="183B8C54" w:rsidR="00CC3152" w:rsidRPr="00EF0CD1" w:rsidRDefault="0016456A" w:rsidP="00CC3152">
      <w:pPr>
        <w:pStyle w:val="NormalHanging12a"/>
      </w:pPr>
      <w:r>
        <w:t xml:space="preserve">7. </w:t>
      </w:r>
      <w:r>
        <w:tab/>
        <w:t>souligne qu</w:t>
      </w:r>
      <w:r w:rsidR="00F6032D">
        <w:t>’</w:t>
      </w:r>
      <w:r>
        <w:t>il importe de trouver une solution durable pour la réaffectation de l</w:t>
      </w:r>
      <w:r w:rsidR="00F6032D">
        <w:t>’</w:t>
      </w:r>
      <w:r>
        <w:t>usine fermée afin de créer des emplois de qualité dans la région; prie instamment les autorités belges de prendre les mesures nécessaires pour faciliter l</w:t>
      </w:r>
      <w:r w:rsidR="00F6032D">
        <w:t>’</w:t>
      </w:r>
      <w:r>
        <w:t>ouverture d</w:t>
      </w:r>
      <w:r w:rsidR="00F6032D">
        <w:t>’</w:t>
      </w:r>
      <w:r>
        <w:t>un nouveau site de fabrication dans l</w:t>
      </w:r>
      <w:r w:rsidR="00F6032D">
        <w:t>’</w:t>
      </w:r>
      <w:r>
        <w:t>ancienne usine Audi;</w:t>
      </w:r>
    </w:p>
    <w:p w14:paraId="33770842" w14:textId="4BAA5A2B" w:rsidR="00E954D3" w:rsidRPr="00EF0CD1" w:rsidRDefault="0016456A" w:rsidP="00AA3111">
      <w:pPr>
        <w:pStyle w:val="NormalHanging12a"/>
        <w:rPr>
          <w:bCs/>
          <w:iCs/>
        </w:rPr>
      </w:pPr>
      <w:r>
        <w:t>8.</w:t>
      </w:r>
      <w:r>
        <w:tab/>
        <w:t>souligne que les qualifications et les compétences des travailleurs licenciés restent essentielles pour une économie européenne à l</w:t>
      </w:r>
      <w:r w:rsidR="00F6032D">
        <w:t>’</w:t>
      </w:r>
      <w:r>
        <w:t>épreuve du temps qui réalise la transition écologique tout en maintenant une base industrielle solide; estime dès lors que la mobilisation du FEM doit s</w:t>
      </w:r>
      <w:r w:rsidR="00F6032D">
        <w:t>’</w:t>
      </w:r>
      <w:r>
        <w:t>inscrire dans une réponse politique plus large à tous les niveaux politiques afin de garantir que les travailleurs concernés trouvent des possibilités appropriées correspondant à leurs qualifications et compétences;</w:t>
      </w:r>
    </w:p>
    <w:p w14:paraId="24FC8590" w14:textId="1A8E5CDD" w:rsidR="00CC3152" w:rsidRPr="00EF0CD1" w:rsidRDefault="0016456A" w:rsidP="00CC3152">
      <w:pPr>
        <w:pStyle w:val="NormalHanging12a"/>
      </w:pPr>
      <w:r>
        <w:t>9.</w:t>
      </w:r>
      <w:r>
        <w:tab/>
        <w:t>rappelle que, dans le cadre d</w:t>
      </w:r>
      <w:r w:rsidR="00F6032D">
        <w:t>’</w:t>
      </w:r>
      <w:r>
        <w:t>accords avec les syndicats et les partenaires sociaux, les services personnalisés devant être fournis aux travailleurs comprennent les mesures suivantes: services de conseil, d</w:t>
      </w:r>
      <w:r w:rsidR="00F6032D">
        <w:t>’</w:t>
      </w:r>
      <w:r>
        <w:t>information et de placement; formations, notamment en ce qui concerne les compétences informatiques; journée de l</w:t>
      </w:r>
      <w:r w:rsidR="00F6032D">
        <w:t>’</w:t>
      </w:r>
      <w:r>
        <w:t xml:space="preserve">emploi; contribution à la </w:t>
      </w:r>
      <w:r>
        <w:lastRenderedPageBreak/>
        <w:t>création d</w:t>
      </w:r>
      <w:r w:rsidR="00F6032D">
        <w:t>’</w:t>
      </w:r>
      <w:r>
        <w:t>entreprise; incitations à la participation à des activités de recherche d</w:t>
      </w:r>
      <w:r w:rsidR="00F6032D">
        <w:t>’</w:t>
      </w:r>
      <w:r>
        <w:t>emploi; souligne qu</w:t>
      </w:r>
      <w:r w:rsidR="00F6032D">
        <w:t>’</w:t>
      </w:r>
      <w:r>
        <w:t>il importe de favoriser la création d</w:t>
      </w:r>
      <w:r w:rsidR="00F6032D">
        <w:t>’</w:t>
      </w:r>
      <w:r>
        <w:t>emplois de qualité et tournés vers l</w:t>
      </w:r>
      <w:r w:rsidR="00F6032D">
        <w:t>’</w:t>
      </w:r>
      <w:r>
        <w:t>avenir afin de garantir la résilience économique et sociale à long terme;</w:t>
      </w:r>
    </w:p>
    <w:p w14:paraId="069C9FA6" w14:textId="5EC69C2D" w:rsidR="00CC3152" w:rsidRPr="00813F0D" w:rsidRDefault="0016456A" w:rsidP="00CC3152">
      <w:pPr>
        <w:pStyle w:val="NormalHanging12a"/>
        <w:rPr>
          <w:bCs/>
          <w:iCs/>
        </w:rPr>
      </w:pPr>
      <w:r>
        <w:t>10.</w:t>
      </w:r>
      <w:r>
        <w:tab/>
        <w:t>souligne que les autorités belges garantissent la visibilité du financement de l</w:t>
      </w:r>
      <w:r w:rsidR="00F6032D">
        <w:t>’</w:t>
      </w:r>
      <w:r>
        <w:t>Union et mettent en évidence sa valeur ajoutée en fournissant des informations efficaces et ciblées aux bénéficiaires, aux autorités régionales et locales, aux partenaires sociaux et au grand public;</w:t>
      </w:r>
    </w:p>
    <w:p w14:paraId="41A55339" w14:textId="2BDBC10A" w:rsidR="00CC3152" w:rsidRPr="00813F0D" w:rsidRDefault="0016456A" w:rsidP="00CC3152">
      <w:pPr>
        <w:pStyle w:val="NormalHanging12a"/>
      </w:pPr>
      <w:r>
        <w:t>11.</w:t>
      </w:r>
      <w:r>
        <w:tab/>
        <w:t>demande que les mesures mises en œuvre fassent l</w:t>
      </w:r>
      <w:r w:rsidR="00F6032D">
        <w:t>’</w:t>
      </w:r>
      <w:r>
        <w:t>objet d</w:t>
      </w:r>
      <w:r w:rsidR="00F6032D">
        <w:t>’</w:t>
      </w:r>
      <w:r>
        <w:t>évaluations finales approfondies, intégrant des informations précises sur la manière dont les fonds ont été utilisés et sur la question de savoir s</w:t>
      </w:r>
      <w:r w:rsidR="00F6032D">
        <w:t>’</w:t>
      </w:r>
      <w:r>
        <w:t>ils ont effectivement permis d</w:t>
      </w:r>
      <w:r w:rsidR="00F6032D">
        <w:t>’</w:t>
      </w:r>
      <w:r>
        <w:t>atteindre les objectifs aux fins desquels le FEM a été créé, y compris des données et des chronologies concernant le nombre de travailleurs réintégrés avec succès sur le marché du travail et les emplois auxquels ils ont eu accès, ainsi que sur ceux qui ont achevé des mesures de formation et de renforcement des compétences et les chronologies pertinentes;</w:t>
      </w:r>
    </w:p>
    <w:p w14:paraId="7E767E78" w14:textId="5E87DF58" w:rsidR="00CC3152" w:rsidRPr="00813F0D" w:rsidRDefault="008D0C76" w:rsidP="00CC3152">
      <w:pPr>
        <w:pStyle w:val="NormalHanging12a"/>
      </w:pPr>
      <w:r>
        <w:t>12.</w:t>
      </w:r>
      <w:r>
        <w:tab/>
        <w:t>relève que la Belgique a commencé à fournir des services personnalisés aux bénéficiaires visés le 17 février 2025 et que la période d</w:t>
      </w:r>
      <w:r w:rsidR="00F6032D">
        <w:t>’</w:t>
      </w:r>
      <w:r>
        <w:t>éligibilité au bénéfice d</w:t>
      </w:r>
      <w:r w:rsidR="00F6032D">
        <w:t>’</w:t>
      </w:r>
      <w:r>
        <w:t>une contribution financière du FEM débutera donc à partir de cette date, pour une durée de 24 mois après la date d</w:t>
      </w:r>
      <w:r w:rsidR="00F6032D">
        <w:t>’</w:t>
      </w:r>
      <w:r>
        <w:t>entrée en vigueur de la décision de financement;</w:t>
      </w:r>
    </w:p>
    <w:p w14:paraId="22DEB223" w14:textId="2924AE74" w:rsidR="00CC3152" w:rsidRPr="00813F0D" w:rsidRDefault="0016456A" w:rsidP="00CC3152">
      <w:pPr>
        <w:pStyle w:val="NormalHanging12a"/>
        <w:rPr>
          <w:sz w:val="23"/>
          <w:szCs w:val="23"/>
        </w:rPr>
      </w:pPr>
      <w:r>
        <w:t>13.</w:t>
      </w:r>
      <w:r>
        <w:tab/>
        <w:t>relève que la Belgique a commencé à engager des dépenses administratives pour mettre en œuvre le FEM le 9 juillet 2024 et que ces dépenses peuvent donc faire l</w:t>
      </w:r>
      <w:r w:rsidR="00F6032D">
        <w:t>’</w:t>
      </w:r>
      <w:r>
        <w:t>objet d</w:t>
      </w:r>
      <w:r w:rsidR="00F6032D">
        <w:t>’</w:t>
      </w:r>
      <w:r>
        <w:t>une contribution financière du FEM à partir de cette date, pour une durée de 31 mois après la date d</w:t>
      </w:r>
      <w:r w:rsidR="00F6032D">
        <w:t>’</w:t>
      </w:r>
      <w:r>
        <w:t>entrée en vigueur de la décision de financement;</w:t>
      </w:r>
    </w:p>
    <w:p w14:paraId="6B710876" w14:textId="00B67FB6" w:rsidR="00B5141E" w:rsidRPr="00813F0D" w:rsidRDefault="0016456A" w:rsidP="00B5141E">
      <w:pPr>
        <w:pStyle w:val="NormalHanging12a"/>
      </w:pPr>
      <w:r>
        <w:t>14.</w:t>
      </w:r>
      <w:r>
        <w:tab/>
        <w:t>relève que les autorités belges ont apporté l</w:t>
      </w:r>
      <w:r w:rsidR="00F6032D">
        <w:t>’</w:t>
      </w:r>
      <w:r>
        <w:t>assurance que les principes d</w:t>
      </w:r>
      <w:r w:rsidR="00F6032D">
        <w:t>’</w:t>
      </w:r>
      <w:r>
        <w:t>égalité de traitement et de non-discrimination seront respectés pour l</w:t>
      </w:r>
      <w:r w:rsidR="00F6032D">
        <w:t>’</w:t>
      </w:r>
      <w:r>
        <w:t>accès aux mesures proposées et leur réalisation et que les doubles financements seront évités;</w:t>
      </w:r>
    </w:p>
    <w:p w14:paraId="378B9EA4" w14:textId="74B718DD" w:rsidR="00CC3152" w:rsidRPr="00813F0D" w:rsidRDefault="0016456A" w:rsidP="00CC3152">
      <w:pPr>
        <w:pStyle w:val="NormalHanging12a"/>
      </w:pPr>
      <w:r>
        <w:t>15.</w:t>
      </w:r>
      <w:r>
        <w:tab/>
        <w:t>rappelle que l</w:t>
      </w:r>
      <w:r w:rsidR="00F6032D">
        <w:t>’</w:t>
      </w:r>
      <w:r>
        <w:t>aide du FEM ne doit pas se substituer aux actions relevant de la responsabilité des entreprises en vertu de la législation nationale ou de conventions collectives;</w:t>
      </w:r>
    </w:p>
    <w:p w14:paraId="6267474D" w14:textId="0593B26E" w:rsidR="00B5141E" w:rsidRPr="00813F0D" w:rsidRDefault="0016456A" w:rsidP="007565FE">
      <w:pPr>
        <w:pStyle w:val="NormalHanging12a"/>
        <w:widowControl/>
        <w:rPr>
          <w:bCs/>
          <w:iCs/>
        </w:rPr>
      </w:pPr>
      <w:r>
        <w:t>16.</w:t>
      </w:r>
      <w:r>
        <w:tab/>
        <w:t>rappelle que le FEM est un instrument de solidarité et de transition juste et que, s</w:t>
      </w:r>
      <w:r w:rsidR="00F6032D">
        <w:t>’</w:t>
      </w:r>
      <w:r>
        <w:t>il apporte un soutien après la perte d</w:t>
      </w:r>
      <w:r w:rsidR="00F6032D">
        <w:t>’</w:t>
      </w:r>
      <w:r>
        <w:t>emplois, il ne peut remplacer une politique industrielle proactive, cohérente et coordonnée visant à préserver les emplois dans le secteur industriel et à garantir la sécurité sociale et la résilience économique et sociale à long terme en Europe, ainsi qu</w:t>
      </w:r>
      <w:r w:rsidR="00F6032D">
        <w:t>’</w:t>
      </w:r>
      <w:r>
        <w:t>à prévenir le déclin structurel régional; souligne que la mission première de l</w:t>
      </w:r>
      <w:r w:rsidR="00F6032D">
        <w:t>’</w:t>
      </w:r>
      <w:r>
        <w:t>Union doit consister à empêcher de telles fermetures en créant les conditions d</w:t>
      </w:r>
      <w:r w:rsidR="00F6032D">
        <w:t>’</w:t>
      </w:r>
      <w:r>
        <w:t>une énergie abordable, propre et fiable afin de maintenir la compétitivité de la production industrielle, tout en investissant dans les compétences tant des travailleurs hautement qualifiés que des travailleurs industriels; attire en outre l</w:t>
      </w:r>
      <w:r w:rsidR="00F6032D">
        <w:t>’</w:t>
      </w:r>
      <w:r>
        <w:t>attention sur l</w:t>
      </w:r>
      <w:r w:rsidR="00F6032D">
        <w:t>’</w:t>
      </w:r>
      <w:r>
        <w:t>urgence, pour l</w:t>
      </w:r>
      <w:r w:rsidR="00F6032D">
        <w:t>’</w:t>
      </w:r>
      <w:r>
        <w:t>Union, de déployer des efforts cohérents et coordonnés en matière de compétitivité, en partenariat étroit avec les États membres, afin de préserver les emplois dans le secteur industriel et la sécurité sociale en Europe et souligne que seules la robustesse et la résilience de l</w:t>
      </w:r>
      <w:r w:rsidR="00F6032D">
        <w:t>’</w:t>
      </w:r>
      <w:r>
        <w:t xml:space="preserve">économie européenne peuvent </w:t>
      </w:r>
      <w:r>
        <w:lastRenderedPageBreak/>
        <w:t>prévenir efficacement les licenciements à grande échelle, diminuant ainsi la nécessité d</w:t>
      </w:r>
      <w:r w:rsidR="00F6032D">
        <w:t>’</w:t>
      </w:r>
      <w:r>
        <w:t xml:space="preserve">une intervention du FEM; </w:t>
      </w:r>
    </w:p>
    <w:p w14:paraId="0251BDFE" w14:textId="54C21E42" w:rsidR="00CC3152" w:rsidRPr="00813F0D" w:rsidRDefault="0016456A" w:rsidP="00CC3152">
      <w:pPr>
        <w:pStyle w:val="NormalHanging12a"/>
      </w:pPr>
      <w:r>
        <w:t>17.</w:t>
      </w:r>
      <w:r>
        <w:tab/>
        <w:t>approuve la décision annexée à la présente résolution;</w:t>
      </w:r>
    </w:p>
    <w:p w14:paraId="14F26688" w14:textId="786E2E9F" w:rsidR="00CC3152" w:rsidRPr="00813F0D" w:rsidRDefault="0016456A" w:rsidP="00CC3152">
      <w:pPr>
        <w:pStyle w:val="NormalHanging12a"/>
      </w:pPr>
      <w:r>
        <w:t>18.</w:t>
      </w:r>
      <w:r>
        <w:tab/>
        <w:t>charge sa Présidente de signer cette décision avec le Président du Conseil et d</w:t>
      </w:r>
      <w:r w:rsidR="00F6032D">
        <w:t>’</w:t>
      </w:r>
      <w:r>
        <w:t xml:space="preserve">en assurer la publication au </w:t>
      </w:r>
      <w:r>
        <w:rPr>
          <w:i/>
        </w:rPr>
        <w:t>Journal officiel de l</w:t>
      </w:r>
      <w:r w:rsidR="00F6032D">
        <w:rPr>
          <w:i/>
        </w:rPr>
        <w:t>’</w:t>
      </w:r>
      <w:r>
        <w:rPr>
          <w:i/>
        </w:rPr>
        <w:t>Union européenne</w:t>
      </w:r>
      <w:r>
        <w:t>;</w:t>
      </w:r>
    </w:p>
    <w:p w14:paraId="32543E29" w14:textId="12D2862B" w:rsidR="00CC3152" w:rsidRPr="00813F0D" w:rsidRDefault="0016456A" w:rsidP="00CC3152">
      <w:pPr>
        <w:pStyle w:val="NormalHanging12a"/>
      </w:pPr>
      <w:r>
        <w:t>19.</w:t>
      </w:r>
      <w:r>
        <w:tab/>
        <w:t>charge sa Présidente de transmettre la présente résolution, y compris son annexe, au Conseil et à la Commission.</w:t>
      </w:r>
    </w:p>
    <w:p w14:paraId="5FEFED55" w14:textId="77777777" w:rsidR="008F3176" w:rsidRPr="0043302F" w:rsidRDefault="008F3176" w:rsidP="00CC3152">
      <w:pPr>
        <w:pStyle w:val="NormalHanging12a"/>
        <w:rPr>
          <w:lang w:val="fr-BE"/>
        </w:rPr>
      </w:pPr>
    </w:p>
    <w:p w14:paraId="642BC698" w14:textId="77777777" w:rsidR="00CB60B8" w:rsidRPr="0043302F" w:rsidRDefault="00CB60B8">
      <w:pPr>
        <w:pStyle w:val="PageHeading"/>
        <w:rPr>
          <w:noProof/>
          <w:lang w:val="fr-BE"/>
        </w:rPr>
        <w:sectPr w:rsidR="00CB60B8" w:rsidRPr="0043302F" w:rsidSect="004330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21ABFB9" w14:textId="77777777" w:rsidR="00CB60B8" w:rsidRPr="00813F0D" w:rsidRDefault="00CB60B8" w:rsidP="00CB60B8">
      <w:pPr>
        <w:pStyle w:val="PageHeading"/>
      </w:pPr>
      <w:bookmarkStart w:id="1" w:name="_Toc221112094"/>
      <w:r>
        <w:lastRenderedPageBreak/>
        <w:t>ANNEXE:</w:t>
      </w:r>
      <w:bookmarkStart w:id="2" w:name="_Hlk219192825"/>
      <w:r>
        <w:t xml:space="preserve"> DÉCISION DU PARLEMENT EUROPÉEN ET DU CONSEIL</w:t>
      </w:r>
      <w:bookmarkEnd w:id="1"/>
    </w:p>
    <w:p w14:paraId="63028346" w14:textId="5C7003B9" w:rsidR="00CB60B8" w:rsidRPr="00813F0D" w:rsidRDefault="00665FB7" w:rsidP="00CB60B8">
      <w:pPr>
        <w:pStyle w:val="NormalHanging12a"/>
        <w:ind w:left="0" w:firstLine="0"/>
        <w:rPr>
          <w:b/>
          <w:bCs/>
        </w:rPr>
      </w:pPr>
      <w:bookmarkStart w:id="3" w:name="_Hlk212804276"/>
      <w:bookmarkStart w:id="4" w:name="_Hlk212804598"/>
      <w:r w:rsidRPr="00665FB7">
        <w:rPr>
          <w:b/>
        </w:rPr>
        <w:t>relative à la mobilisation du Fonds européen d</w:t>
      </w:r>
      <w:r w:rsidR="007565FE">
        <w:rPr>
          <w:b/>
        </w:rPr>
        <w:t>’</w:t>
      </w:r>
      <w:r w:rsidRPr="00665FB7">
        <w:rPr>
          <w:b/>
        </w:rPr>
        <w:t>ajustement à la mondialisation en faveur des travailleurs licenciés à la suite d</w:t>
      </w:r>
      <w:r w:rsidR="007565FE">
        <w:rPr>
          <w:b/>
        </w:rPr>
        <w:t>’</w:t>
      </w:r>
      <w:r w:rsidRPr="00665FB7">
        <w:rPr>
          <w:b/>
        </w:rPr>
        <w:t xml:space="preserve">une demande de la </w:t>
      </w:r>
      <w:r w:rsidR="000647C9">
        <w:rPr>
          <w:b/>
        </w:rPr>
        <w:t>Belgique</w:t>
      </w:r>
      <w:r w:rsidR="002C66FA">
        <w:rPr>
          <w:b/>
        </w:rPr>
        <w:t xml:space="preserve"> </w:t>
      </w:r>
      <w:r w:rsidRPr="00665FB7">
        <w:rPr>
          <w:b/>
        </w:rPr>
        <w:t>-EGF/2025/006</w:t>
      </w:r>
      <w:r w:rsidR="000647C9">
        <w:rPr>
          <w:b/>
        </w:rPr>
        <w:t> </w:t>
      </w:r>
      <w:r w:rsidRPr="00665FB7">
        <w:rPr>
          <w:b/>
        </w:rPr>
        <w:t>BE/Audi</w:t>
      </w:r>
      <w:r w:rsidR="00CB60B8">
        <w:rPr>
          <w:b/>
        </w:rPr>
        <w:t xml:space="preserve"> </w:t>
      </w:r>
    </w:p>
    <w:bookmarkEnd w:id="3"/>
    <w:bookmarkEnd w:id="4"/>
    <w:p w14:paraId="72730711" w14:textId="3754A46F" w:rsidR="00CB60B8" w:rsidRPr="00813F0D" w:rsidRDefault="00665FB7" w:rsidP="00CB60B8">
      <w:pPr>
        <w:pStyle w:val="NormalHanging12a"/>
      </w:pPr>
      <w:r w:rsidRPr="00665FB7">
        <w:t>LE PARLEMENT EUROPÉEN ET LE CONSEIL DE L'UNION EUROPÉENNE</w:t>
      </w:r>
      <w:r w:rsidR="00CB60B8">
        <w:t>,</w:t>
      </w:r>
    </w:p>
    <w:p w14:paraId="41E313EE" w14:textId="3C4944B3" w:rsidR="00CB60B8" w:rsidRPr="00813F0D" w:rsidRDefault="00665FB7" w:rsidP="00CB60B8">
      <w:pPr>
        <w:pStyle w:val="NormalHanging12a"/>
      </w:pPr>
      <w:r w:rsidRPr="00665FB7">
        <w:t>vu le traité sur le fonctionnement de l’Union européenne</w:t>
      </w:r>
      <w:r w:rsidR="00CB60B8">
        <w:t>,</w:t>
      </w:r>
    </w:p>
    <w:p w14:paraId="3F807BEF" w14:textId="085B93B0" w:rsidR="00CB60B8" w:rsidRPr="00813F0D" w:rsidRDefault="00665FB7" w:rsidP="00CB60B8">
      <w:pPr>
        <w:pStyle w:val="NormalHanging12a"/>
        <w:ind w:left="0" w:firstLine="0"/>
      </w:pPr>
      <w:r w:rsidRPr="00665FB7">
        <w:t>vu le règlement (UE) 2021/691 du Parlement européen et du Conseil du 28</w:t>
      </w:r>
      <w:r w:rsidR="000647C9">
        <w:t> </w:t>
      </w:r>
      <w:r w:rsidRPr="00665FB7">
        <w:t>avril 2021 relatif au Fonds européen d’ajustement à la mondialisation en faveur des travailleurs licenciés (FEM) et abrogeant le règlement (UE) nº</w:t>
      </w:r>
      <w:r w:rsidR="000647C9">
        <w:t> </w:t>
      </w:r>
      <w:r w:rsidRPr="00665FB7">
        <w:t>1309/2013</w:t>
      </w:r>
      <w:r w:rsidR="00CB60B8" w:rsidRPr="00DF7EF6">
        <w:rPr>
          <w:vertAlign w:val="superscript"/>
        </w:rPr>
        <w:footnoteReference w:id="7"/>
      </w:r>
      <w:r w:rsidR="00CB60B8">
        <w:t xml:space="preserve">, </w:t>
      </w:r>
      <w:r w:rsidRPr="00665FB7">
        <w:t>et notamment son article</w:t>
      </w:r>
      <w:r w:rsidR="000647C9">
        <w:t> </w:t>
      </w:r>
      <w:r w:rsidRPr="00665FB7">
        <w:t>15, paragraphe</w:t>
      </w:r>
      <w:r w:rsidR="000647C9">
        <w:t> </w:t>
      </w:r>
      <w:r w:rsidRPr="00665FB7">
        <w:t>1, premier alinéa</w:t>
      </w:r>
      <w:r w:rsidR="00CB60B8">
        <w:t>,</w:t>
      </w:r>
    </w:p>
    <w:p w14:paraId="3F1F5DEF" w14:textId="325290ED" w:rsidR="00CB60B8" w:rsidRPr="00813F0D" w:rsidRDefault="00665FB7" w:rsidP="00CB60B8">
      <w:pPr>
        <w:pStyle w:val="NormalHanging12a"/>
        <w:ind w:left="0" w:firstLine="0"/>
      </w:pPr>
      <w:r w:rsidRPr="00665FB7">
        <w:t>vu l</w:t>
      </w:r>
      <w:r w:rsidR="007565FE">
        <w:t>’</w:t>
      </w:r>
      <w:r w:rsidRPr="00665FB7">
        <w:t>accord interinstitutionnel du 16</w:t>
      </w:r>
      <w:r w:rsidR="000647C9">
        <w:t> </w:t>
      </w:r>
      <w:r w:rsidRPr="00665FB7">
        <w:t>décembre 2020 entre le Parlement européen, le Conseil de l</w:t>
      </w:r>
      <w:r w:rsidR="007565FE">
        <w:t>’</w:t>
      </w:r>
      <w:r w:rsidRPr="00665FB7">
        <w:t>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00CB60B8" w:rsidRPr="00DF7EF6">
        <w:rPr>
          <w:vertAlign w:val="superscript"/>
        </w:rPr>
        <w:footnoteReference w:id="8"/>
      </w:r>
      <w:r w:rsidR="00CB60B8">
        <w:t xml:space="preserve">, </w:t>
      </w:r>
      <w:r w:rsidRPr="00665FB7">
        <w:t>et notamment son point</w:t>
      </w:r>
      <w:r w:rsidR="000647C9">
        <w:t> </w:t>
      </w:r>
      <w:r w:rsidRPr="00665FB7">
        <w:t>9</w:t>
      </w:r>
      <w:r w:rsidR="00CB60B8">
        <w:t>,</w:t>
      </w:r>
    </w:p>
    <w:p w14:paraId="3163790F" w14:textId="42D31847" w:rsidR="00CB60B8" w:rsidRPr="00813F0D" w:rsidRDefault="00665FB7" w:rsidP="00CB60B8">
      <w:pPr>
        <w:pStyle w:val="NormalHanging12a"/>
      </w:pPr>
      <w:r w:rsidRPr="00665FB7">
        <w:t>vu la proposition de la Commission européenne</w:t>
      </w:r>
      <w:r w:rsidR="00CB60B8">
        <w:t>,</w:t>
      </w:r>
    </w:p>
    <w:p w14:paraId="5028091E" w14:textId="4157F691" w:rsidR="00CB60B8" w:rsidRPr="00813F0D" w:rsidRDefault="00665FB7" w:rsidP="00CB60B8">
      <w:pPr>
        <w:pStyle w:val="NormalHanging12a"/>
      </w:pPr>
      <w:r w:rsidRPr="00665FB7">
        <w:t>considérant ce qui suit</w:t>
      </w:r>
      <w:r w:rsidR="00CB60B8">
        <w:t>:</w:t>
      </w:r>
    </w:p>
    <w:p w14:paraId="2AF2A77B" w14:textId="5DE8F949" w:rsidR="00CB60B8" w:rsidRPr="00813F0D" w:rsidRDefault="00CB60B8" w:rsidP="00CB60B8">
      <w:pPr>
        <w:pStyle w:val="NormalHanging12a"/>
      </w:pPr>
      <w:r>
        <w:t>(1)</w:t>
      </w:r>
      <w:r>
        <w:tab/>
      </w:r>
      <w:r w:rsidR="00665FB7" w:rsidRPr="00665FB7">
        <w:t>Le Fonds européen d</w:t>
      </w:r>
      <w:r w:rsidR="007565FE">
        <w:t>’</w:t>
      </w:r>
      <w:r w:rsidR="00665FB7" w:rsidRPr="00665FB7">
        <w:t>ajustement à la mondialisation en faveur des travailleurs licenciés (FEM) vise à faire preuve de solidarité et à promouvoir des emplois décents et durables dans l</w:t>
      </w:r>
      <w:r w:rsidR="007565FE">
        <w:t>’</w:t>
      </w:r>
      <w:r w:rsidR="00665FB7" w:rsidRPr="00665FB7">
        <w:t>Union en apportant un soutien aux travailleurs licenciés et aux travailleurs indépendants dont l</w:t>
      </w:r>
      <w:r w:rsidR="007565FE">
        <w:t>’</w:t>
      </w:r>
      <w:r w:rsidR="00665FB7" w:rsidRPr="00665FB7">
        <w:t>activité a cessé par suite de restructurations de grande ampleur et en les aidant à retrouver, dès que possible, un emploi décent et durable.</w:t>
      </w:r>
      <w:r>
        <w:t xml:space="preserve"> </w:t>
      </w:r>
    </w:p>
    <w:p w14:paraId="3A0FDC85" w14:textId="04B309A8" w:rsidR="00CB60B8" w:rsidRPr="00813F0D" w:rsidRDefault="00CB60B8" w:rsidP="00CB60B8">
      <w:pPr>
        <w:pStyle w:val="NormalHanging12a"/>
      </w:pPr>
      <w:r>
        <w:t>(2)</w:t>
      </w:r>
      <w:r>
        <w:tab/>
      </w:r>
      <w:r w:rsidR="00665FB7" w:rsidRPr="00665FB7">
        <w:t>La dotation annuelle du FEM n</w:t>
      </w:r>
      <w:r w:rsidR="007565FE">
        <w:t>’</w:t>
      </w:r>
      <w:r w:rsidR="00665FB7" w:rsidRPr="00665FB7">
        <w:t>excède pas un montant maximal de 30</w:t>
      </w:r>
      <w:r w:rsidR="000647C9">
        <w:t> </w:t>
      </w:r>
      <w:r w:rsidR="00665FB7" w:rsidRPr="00665FB7">
        <w:t>000</w:t>
      </w:r>
      <w:r w:rsidR="000647C9">
        <w:t> </w:t>
      </w:r>
      <w:r w:rsidR="00665FB7" w:rsidRPr="00665FB7">
        <w:t>000</w:t>
      </w:r>
      <w:r w:rsidR="000647C9">
        <w:t> </w:t>
      </w:r>
      <w:r w:rsidR="00665FB7" w:rsidRPr="00665FB7">
        <w:t>EUR (aux prix de 2018), comme le prévoient l</w:t>
      </w:r>
      <w:r w:rsidR="007565FE">
        <w:t>’</w:t>
      </w:r>
      <w:r w:rsidR="00665FB7" w:rsidRPr="00665FB7">
        <w:t>article</w:t>
      </w:r>
      <w:r w:rsidR="000647C9">
        <w:t> </w:t>
      </w:r>
      <w:r w:rsidR="00665FB7" w:rsidRPr="00665FB7">
        <w:t>8 du règlement (UE, Euratom) 2020/2093 du Conseil</w:t>
      </w:r>
      <w:r w:rsidRPr="00DF7EF6">
        <w:rPr>
          <w:vertAlign w:val="superscript"/>
        </w:rPr>
        <w:footnoteReference w:id="9"/>
      </w:r>
      <w:r>
        <w:t xml:space="preserve">, </w:t>
      </w:r>
      <w:r w:rsidR="00665FB7" w:rsidRPr="00665FB7">
        <w:t>modifié par le règlement (UE, Euratom) 2024/765 du Conseil</w:t>
      </w:r>
      <w:r w:rsidRPr="00DF7EF6">
        <w:rPr>
          <w:vertAlign w:val="superscript"/>
        </w:rPr>
        <w:footnoteReference w:id="10"/>
      </w:r>
      <w:r>
        <w:t xml:space="preserve">, </w:t>
      </w:r>
      <w:r w:rsidR="00665FB7" w:rsidRPr="00665FB7">
        <w:t>et l</w:t>
      </w:r>
      <w:r w:rsidR="007565FE">
        <w:t>’</w:t>
      </w:r>
      <w:r w:rsidR="00665FB7" w:rsidRPr="00665FB7">
        <w:t>article</w:t>
      </w:r>
      <w:r w:rsidR="000647C9">
        <w:t> </w:t>
      </w:r>
      <w:r w:rsidR="00665FB7" w:rsidRPr="00665FB7">
        <w:t>16 du règlement (UE) 2021/691</w:t>
      </w:r>
      <w:r>
        <w:t>.</w:t>
      </w:r>
    </w:p>
    <w:p w14:paraId="0D8BB50F" w14:textId="0FC6AFD5" w:rsidR="00CB60B8" w:rsidRPr="00813F0D" w:rsidRDefault="00CB60B8" w:rsidP="00CB60B8">
      <w:pPr>
        <w:pStyle w:val="NormalHanging12a"/>
      </w:pPr>
      <w:r>
        <w:t>(3)</w:t>
      </w:r>
      <w:r>
        <w:tab/>
      </w:r>
      <w:r w:rsidR="00665FB7" w:rsidRPr="00665FB7">
        <w:t>Le 18</w:t>
      </w:r>
      <w:r w:rsidR="000647C9">
        <w:t> </w:t>
      </w:r>
      <w:r w:rsidR="00665FB7" w:rsidRPr="00665FB7">
        <w:t>septembre 2025, la Belgique a présenté, conformément à l</w:t>
      </w:r>
      <w:r w:rsidR="007565FE">
        <w:t>’</w:t>
      </w:r>
      <w:r w:rsidR="00665FB7" w:rsidRPr="00665FB7">
        <w:t>article</w:t>
      </w:r>
      <w:r w:rsidR="000647C9">
        <w:t> </w:t>
      </w:r>
      <w:r w:rsidR="00665FB7" w:rsidRPr="00665FB7">
        <w:t>8, paragraphe</w:t>
      </w:r>
      <w:r w:rsidR="000647C9">
        <w:t> </w:t>
      </w:r>
      <w:r w:rsidR="00665FB7" w:rsidRPr="00665FB7">
        <w:t>1, du règlement (UE) 2021/691, une demande d'intervention du FEM en ce qui concerne les licenciements survenus chez Audi Brussels S.A.:n.V. et cinq de ses fournisseurs et producteurs en aval en Belgique. Des informations complémentaires ont été fournies conformément à l’article</w:t>
      </w:r>
      <w:r w:rsidR="008F6390">
        <w:t> </w:t>
      </w:r>
      <w:r w:rsidR="00665FB7" w:rsidRPr="00665FB7">
        <w:t>8, paragraphe</w:t>
      </w:r>
      <w:r w:rsidR="008F6390">
        <w:t> </w:t>
      </w:r>
      <w:r w:rsidR="00665FB7" w:rsidRPr="00665FB7">
        <w:t xml:space="preserve">5, du règlement (UE) 2021/691. Cette demande </w:t>
      </w:r>
      <w:r w:rsidR="00665FB7" w:rsidRPr="00665FB7">
        <w:lastRenderedPageBreak/>
        <w:t>est considérée comme remplissant les conditions d</w:t>
      </w:r>
      <w:r w:rsidR="007565FE">
        <w:t>’</w:t>
      </w:r>
      <w:r w:rsidR="00665FB7" w:rsidRPr="00665FB7">
        <w:t>octroi d</w:t>
      </w:r>
      <w:r w:rsidR="007565FE">
        <w:t>’</w:t>
      </w:r>
      <w:r w:rsidR="00665FB7" w:rsidRPr="00665FB7">
        <w:t>une contribution financière du FEM conformément à l</w:t>
      </w:r>
      <w:r w:rsidR="007565FE">
        <w:t>’</w:t>
      </w:r>
      <w:r w:rsidR="00665FB7" w:rsidRPr="00665FB7">
        <w:t>article</w:t>
      </w:r>
      <w:r w:rsidR="008F6390">
        <w:t> </w:t>
      </w:r>
      <w:r w:rsidR="00665FB7" w:rsidRPr="00665FB7">
        <w:t>13 du règlement (UE) 2021/691, sur la base de l</w:t>
      </w:r>
      <w:r w:rsidR="007565FE">
        <w:t>’</w:t>
      </w:r>
      <w:r w:rsidR="00665FB7" w:rsidRPr="00665FB7">
        <w:t>évaluation effectuée par la Commission dans la proposition de décision du Parlement européen et du Conseil relative à la mobilisation du FEM</w:t>
      </w:r>
      <w:r w:rsidRPr="00DF7EF6">
        <w:rPr>
          <w:iCs/>
          <w:vertAlign w:val="superscript"/>
        </w:rPr>
        <w:footnoteReference w:id="11"/>
      </w:r>
      <w:r>
        <w:t>.</w:t>
      </w:r>
    </w:p>
    <w:p w14:paraId="43ADB2A7" w14:textId="1B6EFBEC" w:rsidR="00CB60B8" w:rsidRPr="00813F0D" w:rsidRDefault="00CB60B8" w:rsidP="00CB60B8">
      <w:pPr>
        <w:pStyle w:val="NormalHanging12a"/>
      </w:pPr>
      <w:r>
        <w:t>(4)</w:t>
      </w:r>
      <w:r>
        <w:tab/>
      </w:r>
      <w:r w:rsidR="00665FB7" w:rsidRPr="00665FB7">
        <w:t>Il convient, par conséquent, de mobiliser le FEM en vue d</w:t>
      </w:r>
      <w:r w:rsidR="007565FE">
        <w:t>’</w:t>
      </w:r>
      <w:r w:rsidR="00665FB7" w:rsidRPr="00665FB7">
        <w:t>octroyer une contribution financière d</w:t>
      </w:r>
      <w:r w:rsidR="007565FE">
        <w:t>’</w:t>
      </w:r>
      <w:r w:rsidR="00665FB7" w:rsidRPr="00665FB7">
        <w:t>un montant de 7</w:t>
      </w:r>
      <w:r w:rsidR="008F6390">
        <w:t> </w:t>
      </w:r>
      <w:r w:rsidR="00665FB7" w:rsidRPr="00665FB7">
        <w:t>527</w:t>
      </w:r>
      <w:r w:rsidR="008F6390">
        <w:t> </w:t>
      </w:r>
      <w:r w:rsidR="00665FB7" w:rsidRPr="00665FB7">
        <w:t>625</w:t>
      </w:r>
      <w:r w:rsidR="008F6390">
        <w:t> </w:t>
      </w:r>
      <w:r w:rsidR="00665FB7" w:rsidRPr="00665FB7">
        <w:t>EUR en réponse à la demande présentée par la Belgique.</w:t>
      </w:r>
    </w:p>
    <w:p w14:paraId="79AB7EF7" w14:textId="0F48A580" w:rsidR="00CB60B8" w:rsidRPr="00813F0D" w:rsidRDefault="00CB60B8" w:rsidP="00CB60B8">
      <w:pPr>
        <w:pStyle w:val="NormalHanging12a"/>
      </w:pPr>
      <w:r>
        <w:t>(5)</w:t>
      </w:r>
      <w:r>
        <w:tab/>
      </w:r>
      <w:r w:rsidR="00665FB7" w:rsidRPr="00665FB7">
        <w:t>Afin de limiter au maximum le délai de mobilisation du FEM, la présente décision devrait être applicable à partir de la date de son adoption</w:t>
      </w:r>
      <w:r>
        <w:t>,</w:t>
      </w:r>
    </w:p>
    <w:p w14:paraId="4332C2D1" w14:textId="64152F1E" w:rsidR="00CB60B8" w:rsidRPr="00813F0D" w:rsidRDefault="00665FB7" w:rsidP="00CB60B8">
      <w:pPr>
        <w:pStyle w:val="NormalHanging12a"/>
      </w:pPr>
      <w:r w:rsidRPr="00665FB7">
        <w:t>ONT ADOPTÉ LA PRÉSENTE DÉCISION</w:t>
      </w:r>
      <w:r w:rsidR="00CB60B8">
        <w:t xml:space="preserve">: </w:t>
      </w:r>
    </w:p>
    <w:p w14:paraId="0D6893C9" w14:textId="75F5F384" w:rsidR="00CB60B8" w:rsidRPr="00813F0D" w:rsidRDefault="00665FB7" w:rsidP="002C66FA">
      <w:pPr>
        <w:pStyle w:val="NormalHanging12a"/>
        <w:jc w:val="center"/>
        <w:rPr>
          <w:i/>
        </w:rPr>
      </w:pPr>
      <w:r w:rsidRPr="00665FB7">
        <w:rPr>
          <w:i/>
        </w:rPr>
        <w:t>Article premier</w:t>
      </w:r>
    </w:p>
    <w:p w14:paraId="7FFA40E9" w14:textId="41530A5A" w:rsidR="00CB60B8" w:rsidRPr="00813F0D" w:rsidRDefault="00665FB7" w:rsidP="00CB60B8">
      <w:pPr>
        <w:pStyle w:val="NormalHanging12a"/>
        <w:ind w:left="0" w:firstLine="0"/>
      </w:pPr>
      <w:r w:rsidRPr="00665FB7">
        <w:t>Dans le cadre du budget général de l</w:t>
      </w:r>
      <w:r w:rsidR="007565FE">
        <w:t>’</w:t>
      </w:r>
      <w:r w:rsidRPr="00665FB7">
        <w:t>Union établi pour l'exercice</w:t>
      </w:r>
      <w:r w:rsidR="008F6390">
        <w:t> </w:t>
      </w:r>
      <w:r w:rsidRPr="00665FB7">
        <w:t>2026, un montant de</w:t>
      </w:r>
      <w:r w:rsidR="007565FE">
        <w:t> </w:t>
      </w:r>
      <w:r w:rsidRPr="00665FB7">
        <w:t>7</w:t>
      </w:r>
      <w:r w:rsidR="008F6390">
        <w:t> </w:t>
      </w:r>
      <w:r w:rsidRPr="00665FB7">
        <w:t>527</w:t>
      </w:r>
      <w:r w:rsidR="008F6390">
        <w:t> </w:t>
      </w:r>
      <w:r w:rsidRPr="00665FB7">
        <w:t>625</w:t>
      </w:r>
      <w:r w:rsidR="008F6390">
        <w:t> </w:t>
      </w:r>
      <w:r w:rsidRPr="00665FB7">
        <w:t>EUR en crédits d</w:t>
      </w:r>
      <w:r w:rsidR="007565FE">
        <w:t>’</w:t>
      </w:r>
      <w:r w:rsidRPr="00665FB7">
        <w:t>engagement et de paiement est mobilisé au titre du Fonds européen d</w:t>
      </w:r>
      <w:r w:rsidR="007565FE">
        <w:t>’</w:t>
      </w:r>
      <w:r w:rsidRPr="00665FB7">
        <w:t>ajustement à la mondialisation en faveur des travailleurs licenciés.</w:t>
      </w:r>
    </w:p>
    <w:p w14:paraId="3E992201" w14:textId="20DFC765" w:rsidR="00CB60B8" w:rsidRPr="00813F0D" w:rsidRDefault="00665FB7" w:rsidP="002C66FA">
      <w:pPr>
        <w:pStyle w:val="NormalHanging12a"/>
        <w:jc w:val="center"/>
        <w:rPr>
          <w:i/>
        </w:rPr>
      </w:pPr>
      <w:r w:rsidRPr="00665FB7">
        <w:rPr>
          <w:i/>
        </w:rPr>
        <w:t>Article 2</w:t>
      </w:r>
    </w:p>
    <w:p w14:paraId="13BA67D8" w14:textId="69ACC138" w:rsidR="00CB60B8" w:rsidRPr="00813F0D" w:rsidRDefault="00665FB7" w:rsidP="00CB60B8">
      <w:pPr>
        <w:pStyle w:val="NormalHanging12a"/>
        <w:ind w:left="0" w:firstLine="0"/>
      </w:pPr>
      <w:r w:rsidRPr="00665FB7">
        <w:t xml:space="preserve">La présente décision entre en vigueur le jour de sa publication au </w:t>
      </w:r>
      <w:r w:rsidRPr="00665FB7">
        <w:rPr>
          <w:i/>
          <w:iCs/>
        </w:rPr>
        <w:t>Journal officiel de l</w:t>
      </w:r>
      <w:r w:rsidR="007565FE">
        <w:t>’</w:t>
      </w:r>
      <w:r w:rsidRPr="00665FB7">
        <w:rPr>
          <w:i/>
          <w:iCs/>
        </w:rPr>
        <w:t>Union européenne</w:t>
      </w:r>
      <w:r w:rsidRPr="00665FB7">
        <w:t>. Elle est applicable à partir du [</w:t>
      </w:r>
      <w:r w:rsidRPr="00665FB7">
        <w:rPr>
          <w:i/>
          <w:iCs/>
        </w:rPr>
        <w:t>date de son adoption</w:t>
      </w:r>
      <w:r w:rsidRPr="00665FB7">
        <w:t>]</w:t>
      </w:r>
      <w:r w:rsidR="00CB60B8" w:rsidRPr="0043302F">
        <w:rPr>
          <w:vertAlign w:val="superscript"/>
          <w:lang w:val="fr-BE"/>
        </w:rPr>
        <w:footnoteReference w:customMarkFollows="1" w:id="12"/>
        <w:t>*</w:t>
      </w:r>
      <w:r w:rsidR="00CB60B8">
        <w:t>.</w:t>
      </w:r>
    </w:p>
    <w:p w14:paraId="712E7706" w14:textId="42BF4F60" w:rsidR="00CB60B8" w:rsidRPr="00813F0D" w:rsidRDefault="000647C9" w:rsidP="00CB60B8">
      <w:pPr>
        <w:pStyle w:val="NormalHanging12a"/>
      </w:pPr>
      <w:r w:rsidRPr="000647C9">
        <w:t>Fait à Bruxelles, le</w:t>
      </w:r>
    </w:p>
    <w:p w14:paraId="1E990BCE" w14:textId="77777777" w:rsidR="00CB60B8" w:rsidRPr="0043302F" w:rsidRDefault="00CB60B8" w:rsidP="00CB60B8">
      <w:pPr>
        <w:pStyle w:val="NormalHanging12a"/>
        <w:rPr>
          <w:i/>
          <w:lang w:val="fr-BE"/>
        </w:rPr>
      </w:pPr>
    </w:p>
    <w:p w14:paraId="7066A397" w14:textId="68C5A6E4" w:rsidR="00CB60B8" w:rsidRPr="00813F0D" w:rsidRDefault="000647C9" w:rsidP="00CB60B8">
      <w:pPr>
        <w:pStyle w:val="NormalHanging12a"/>
        <w:spacing w:after="0"/>
        <w:rPr>
          <w:i/>
        </w:rPr>
      </w:pPr>
      <w:r w:rsidRPr="000647C9">
        <w:rPr>
          <w:i/>
        </w:rPr>
        <w:t>Par le Parlement européen</w:t>
      </w:r>
      <w:r w:rsidR="00CB60B8">
        <w:rPr>
          <w:i/>
        </w:rPr>
        <w:tab/>
      </w:r>
      <w:r w:rsidR="00CB60B8">
        <w:rPr>
          <w:i/>
        </w:rPr>
        <w:tab/>
      </w:r>
      <w:r w:rsidR="002C66FA">
        <w:rPr>
          <w:i/>
        </w:rPr>
        <w:tab/>
      </w:r>
      <w:r w:rsidR="002C66FA">
        <w:rPr>
          <w:i/>
        </w:rPr>
        <w:tab/>
      </w:r>
      <w:r w:rsidR="002C66FA">
        <w:rPr>
          <w:i/>
        </w:rPr>
        <w:tab/>
      </w:r>
      <w:r w:rsidRPr="000647C9">
        <w:rPr>
          <w:i/>
        </w:rPr>
        <w:t>Par le Conseil</w:t>
      </w:r>
    </w:p>
    <w:p w14:paraId="2C9EDC2E" w14:textId="3E70DDC4" w:rsidR="00CB60B8" w:rsidRPr="00813F0D" w:rsidRDefault="00CB60B8" w:rsidP="00CB60B8">
      <w:pPr>
        <w:pStyle w:val="NormalHanging12a"/>
        <w:spacing w:after="0"/>
        <w:rPr>
          <w:i/>
        </w:rPr>
      </w:pPr>
      <w:r>
        <w:rPr>
          <w:i/>
        </w:rPr>
        <w:t>La Présidente</w:t>
      </w:r>
      <w:r>
        <w:rPr>
          <w:i/>
        </w:rPr>
        <w:tab/>
      </w:r>
      <w:r>
        <w:rPr>
          <w:i/>
        </w:rPr>
        <w:tab/>
      </w:r>
      <w:r>
        <w:rPr>
          <w:i/>
        </w:rPr>
        <w:tab/>
      </w:r>
      <w:r>
        <w:rPr>
          <w:i/>
        </w:rPr>
        <w:tab/>
      </w:r>
      <w:r w:rsidR="002C66FA">
        <w:rPr>
          <w:i/>
        </w:rPr>
        <w:tab/>
      </w:r>
      <w:r w:rsidR="002C66FA">
        <w:rPr>
          <w:i/>
        </w:rPr>
        <w:tab/>
      </w:r>
      <w:r w:rsidR="002C66FA">
        <w:rPr>
          <w:i/>
        </w:rPr>
        <w:tab/>
        <w:t xml:space="preserve">Le </w:t>
      </w:r>
      <w:r>
        <w:rPr>
          <w:i/>
        </w:rPr>
        <w:t>Président</w:t>
      </w:r>
    </w:p>
    <w:bookmarkEnd w:id="2"/>
    <w:p w14:paraId="6571A228" w14:textId="77777777" w:rsidR="00CB60B8" w:rsidRPr="0043302F" w:rsidRDefault="00CB60B8" w:rsidP="00CB60B8">
      <w:pPr>
        <w:rPr>
          <w:lang w:val="fr-BE"/>
        </w:rPr>
      </w:pPr>
    </w:p>
    <w:p w14:paraId="7FBE7B5B" w14:textId="1B62EAEC" w:rsidR="00CB60B8" w:rsidRPr="0043302F" w:rsidRDefault="00CB60B8" w:rsidP="00CB60B8">
      <w:pPr>
        <w:pStyle w:val="PageHeading"/>
        <w:rPr>
          <w:lang w:val="fr-BE"/>
        </w:rPr>
        <w:sectPr w:rsidR="00CB60B8" w:rsidRPr="0043302F" w:rsidSect="0043302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29AE09" w14:textId="77777777" w:rsidR="0001176A" w:rsidRPr="00813F0D" w:rsidRDefault="0001176A" w:rsidP="0001176A">
      <w:pPr>
        <w:pStyle w:val="PageHeading"/>
      </w:pPr>
      <w:bookmarkStart w:id="5" w:name="_Toc206749152"/>
      <w:bookmarkStart w:id="6" w:name="_Toc211861208"/>
      <w:bookmarkStart w:id="7" w:name="_Toc218719901"/>
      <w:bookmarkStart w:id="8" w:name="_Toc221112095"/>
      <w:r>
        <w:lastRenderedPageBreak/>
        <w:t>EXPOSÉ DES MOTIFS</w:t>
      </w:r>
      <w:bookmarkEnd w:id="5"/>
      <w:bookmarkEnd w:id="6"/>
      <w:bookmarkEnd w:id="7"/>
      <w:bookmarkEnd w:id="8"/>
    </w:p>
    <w:p w14:paraId="3E065986" w14:textId="77777777" w:rsidR="0001176A" w:rsidRPr="00813F0D" w:rsidRDefault="0001176A" w:rsidP="0001176A">
      <w:pPr>
        <w:widowControl/>
        <w:tabs>
          <w:tab w:val="left" w:pos="426"/>
        </w:tabs>
        <w:jc w:val="both"/>
        <w:rPr>
          <w:rFonts w:eastAsia="Calibri"/>
          <w:b/>
          <w:szCs w:val="24"/>
        </w:rPr>
      </w:pPr>
      <w:r>
        <w:rPr>
          <w:b/>
        </w:rPr>
        <w:t>I. Contexte</w:t>
      </w:r>
    </w:p>
    <w:p w14:paraId="14A543BF" w14:textId="77777777" w:rsidR="0001176A" w:rsidRPr="0043302F" w:rsidRDefault="0001176A" w:rsidP="0001176A">
      <w:pPr>
        <w:widowControl/>
        <w:tabs>
          <w:tab w:val="left" w:pos="426"/>
        </w:tabs>
        <w:jc w:val="both"/>
        <w:rPr>
          <w:rFonts w:eastAsia="Calibri"/>
          <w:b/>
          <w:szCs w:val="24"/>
          <w:lang w:val="fr-BE" w:eastAsia="en-US"/>
        </w:rPr>
      </w:pPr>
    </w:p>
    <w:p w14:paraId="2324B69A" w14:textId="7073438A" w:rsidR="0001176A" w:rsidRPr="00813F0D" w:rsidRDefault="0001176A" w:rsidP="0001176A">
      <w:pPr>
        <w:widowControl/>
        <w:spacing w:before="120"/>
        <w:rPr>
          <w:rFonts w:eastAsia="Calibri"/>
          <w:szCs w:val="24"/>
        </w:rPr>
      </w:pPr>
      <w:r>
        <w:t>Le Fonds européen d</w:t>
      </w:r>
      <w:r w:rsidR="00F6032D">
        <w:t>’</w:t>
      </w:r>
      <w:r>
        <w:t xml:space="preserve">ajustement à la mondialisation (FEM) a vocation à fournir une aide complémentaire aux travailleurs subissant les conséquences de modifications majeures de la structure du commerce mondial. </w:t>
      </w:r>
    </w:p>
    <w:p w14:paraId="527DFEF9" w14:textId="00946F76" w:rsidR="0001176A" w:rsidRPr="00813F0D" w:rsidRDefault="0001176A" w:rsidP="0001176A">
      <w:pPr>
        <w:widowControl/>
        <w:spacing w:before="120"/>
        <w:rPr>
          <w:rFonts w:eastAsia="Calibri"/>
          <w:szCs w:val="24"/>
        </w:rPr>
      </w:pPr>
      <w:r>
        <w:t>Conformément au point 9 de l</w:t>
      </w:r>
      <w:r w:rsidR="00F6032D">
        <w:t>’</w:t>
      </w:r>
      <w:r>
        <w:t>accord interinstitutionnel du 16 décembre 2020</w:t>
      </w:r>
      <w:r w:rsidRPr="00DF7EF6">
        <w:rPr>
          <w:rFonts w:eastAsia="Calibri"/>
          <w:szCs w:val="24"/>
          <w:vertAlign w:val="superscript"/>
          <w:lang w:eastAsia="en-US"/>
        </w:rPr>
        <w:footnoteReference w:id="13"/>
      </w:r>
      <w:r>
        <w:t>, la Commission est tenue, à la suite de l</w:t>
      </w:r>
      <w:r w:rsidR="00F6032D">
        <w:t>’</w:t>
      </w:r>
      <w:r>
        <w:t>évaluation positive d</w:t>
      </w:r>
      <w:r w:rsidR="00F6032D">
        <w:t>’</w:t>
      </w:r>
      <w:r>
        <w:t>une demande, de soumettre à l</w:t>
      </w:r>
      <w:r w:rsidR="00F6032D">
        <w:t>’</w:t>
      </w:r>
      <w:r>
        <w:t>autorité budgétaire une proposition de mobilisation du Fonds et de la compléter par une demande correspondante de virement sur les lignes budgétaires concernées.</w:t>
      </w:r>
    </w:p>
    <w:p w14:paraId="46AB65CE" w14:textId="77777777" w:rsidR="0001176A" w:rsidRPr="0043302F" w:rsidRDefault="0001176A" w:rsidP="0001176A">
      <w:pPr>
        <w:widowControl/>
        <w:tabs>
          <w:tab w:val="left" w:pos="426"/>
        </w:tabs>
        <w:spacing w:before="120"/>
        <w:rPr>
          <w:rFonts w:eastAsia="Calibri"/>
          <w:szCs w:val="24"/>
          <w:lang w:val="fr-BE" w:eastAsia="en-US"/>
        </w:rPr>
      </w:pPr>
    </w:p>
    <w:p w14:paraId="6C736F3F" w14:textId="77777777" w:rsidR="0001176A" w:rsidRPr="00813F0D" w:rsidRDefault="0001176A" w:rsidP="0001176A">
      <w:pPr>
        <w:widowControl/>
        <w:tabs>
          <w:tab w:val="left" w:pos="426"/>
        </w:tabs>
        <w:spacing w:before="120"/>
        <w:rPr>
          <w:rFonts w:eastAsia="Calibri"/>
          <w:b/>
          <w:szCs w:val="24"/>
        </w:rPr>
      </w:pPr>
      <w:r>
        <w:rPr>
          <w:b/>
        </w:rPr>
        <w:t xml:space="preserve">II. Demande de la Belgique et proposition de la Commission </w:t>
      </w:r>
    </w:p>
    <w:p w14:paraId="237FB7BA" w14:textId="77777777" w:rsidR="0001176A" w:rsidRPr="0043302F" w:rsidRDefault="0001176A" w:rsidP="0001176A">
      <w:pPr>
        <w:widowControl/>
        <w:tabs>
          <w:tab w:val="left" w:pos="426"/>
        </w:tabs>
        <w:spacing w:before="120"/>
        <w:rPr>
          <w:rFonts w:eastAsia="Calibri"/>
          <w:b/>
          <w:szCs w:val="24"/>
          <w:lang w:val="fr-BE" w:eastAsia="en-US"/>
        </w:rPr>
      </w:pPr>
    </w:p>
    <w:p w14:paraId="75B82D83" w14:textId="0A68B621" w:rsidR="0001176A" w:rsidRPr="00813F0D" w:rsidRDefault="0001176A" w:rsidP="0001176A">
      <w:pPr>
        <w:widowControl/>
        <w:spacing w:before="120"/>
        <w:rPr>
          <w:rFonts w:eastAsia="Calibri"/>
          <w:szCs w:val="24"/>
        </w:rPr>
      </w:pPr>
      <w:r>
        <w:t>Le 18 septembre 2025, à la suite de 3 414 licenciements</w:t>
      </w:r>
      <w:r w:rsidRPr="00DF7EF6">
        <w:rPr>
          <w:rFonts w:eastAsia="Calibri"/>
          <w:szCs w:val="24"/>
          <w:vertAlign w:val="superscript"/>
          <w:lang w:eastAsia="en-US"/>
        </w:rPr>
        <w:footnoteReference w:id="14"/>
      </w:r>
      <w:r>
        <w:t xml:space="preserve"> chez Audi, les autorités belges ont introduit la demande EGF/2025/006 BE/Audi en vue d</w:t>
      </w:r>
      <w:r w:rsidR="00F6032D">
        <w:t>’</w:t>
      </w:r>
      <w:r>
        <w:t>obtenir une contribution financière du FEM. Il s</w:t>
      </w:r>
      <w:r w:rsidR="00F6032D">
        <w:t>’</w:t>
      </w:r>
      <w:r>
        <w:t>agit de la sixième demande pour 2025 et de la première à être examinée dans le cadre du budget 2026.</w:t>
      </w:r>
    </w:p>
    <w:p w14:paraId="35B6FDB7" w14:textId="10115F38" w:rsidR="0001176A" w:rsidRPr="00813F0D" w:rsidRDefault="0001176A" w:rsidP="0001176A">
      <w:pPr>
        <w:widowControl/>
        <w:spacing w:before="120"/>
        <w:rPr>
          <w:rFonts w:eastAsia="Calibri"/>
          <w:szCs w:val="24"/>
        </w:rPr>
      </w:pPr>
      <w:r>
        <w:t>À la suite de l</w:t>
      </w:r>
      <w:r w:rsidR="00F6032D">
        <w:t>’</w:t>
      </w:r>
      <w:r>
        <w:t>évaluation de cette demande, la Commission a conclu, conformément à l</w:t>
      </w:r>
      <w:r w:rsidR="00F6032D">
        <w:t>’</w:t>
      </w:r>
      <w:r>
        <w:t>ensemble des dispositions applicables du règlement FEM, que les conditions d</w:t>
      </w:r>
      <w:r w:rsidR="00F6032D">
        <w:t>’</w:t>
      </w:r>
      <w:r>
        <w:t>octroi d</w:t>
      </w:r>
      <w:r w:rsidR="00F6032D">
        <w:t>’</w:t>
      </w:r>
      <w:r>
        <w:t xml:space="preserve">une contribution financière du FEM étaient remplies. </w:t>
      </w:r>
    </w:p>
    <w:p w14:paraId="48302A86" w14:textId="3DE05093" w:rsidR="0001176A" w:rsidRPr="00813F0D" w:rsidRDefault="0001176A" w:rsidP="0001176A">
      <w:pPr>
        <w:widowControl/>
        <w:spacing w:before="120"/>
        <w:rPr>
          <w:rFonts w:eastAsia="Calibri"/>
          <w:szCs w:val="24"/>
        </w:rPr>
      </w:pPr>
      <w:r>
        <w:t>Le 9 janvier 2026, la Commission a adopté une proposition de décision sur la mobilisation du FEM en faveur de la Belgique pour l</w:t>
      </w:r>
      <w:r w:rsidR="00F6032D">
        <w:t>’</w:t>
      </w:r>
      <w:r>
        <w:t>élaboration de mesures adaptées afin de soutenir la réinsertion sur le marché du travail des 3 414 bénéficiaires visés, c</w:t>
      </w:r>
      <w:r w:rsidR="00F6032D">
        <w:t>’</w:t>
      </w:r>
      <w:r>
        <w:t>est-à-dire les travailleurs, les sous-traitants, les fournisseurs et les producteurs en aval d</w:t>
      </w:r>
      <w:r w:rsidR="00F6032D">
        <w:t>’</w:t>
      </w:r>
      <w:r>
        <w:t>Audi ayant été licenciés. Un montant total de 7 527 625 EUR sera mobilisé par le FEM en faveur d</w:t>
      </w:r>
      <w:r w:rsidR="00F6032D">
        <w:t>’</w:t>
      </w:r>
      <w:r>
        <w:t>Audi, soit un montant égal à 85 % du coût total des mesures proposées.</w:t>
      </w:r>
    </w:p>
    <w:p w14:paraId="7ADC36BC" w14:textId="7713A9CC" w:rsidR="0001176A" w:rsidRPr="00813F0D" w:rsidRDefault="0001176A" w:rsidP="0001176A">
      <w:pPr>
        <w:widowControl/>
        <w:spacing w:before="120"/>
        <w:rPr>
          <w:rFonts w:eastAsia="Calibri"/>
          <w:szCs w:val="24"/>
        </w:rPr>
      </w:pPr>
      <w:r>
        <w:t>La Commission a jugé la demande de la Belgique admissible au titre du critère d</w:t>
      </w:r>
      <w:r w:rsidR="00F6032D">
        <w:t>’</w:t>
      </w:r>
      <w:r>
        <w:t>intervention énoncé à l</w:t>
      </w:r>
      <w:r w:rsidR="00F6032D">
        <w:t>’</w:t>
      </w:r>
      <w:r>
        <w:t>article 4, paragraphe 2, point a), du règlement FEM, qui exige la cessation d</w:t>
      </w:r>
      <w:r w:rsidR="00F6032D">
        <w:t>’</w:t>
      </w:r>
      <w:r>
        <w:t>activité d</w:t>
      </w:r>
      <w:r w:rsidR="00F6032D">
        <w:t>’</w:t>
      </w:r>
      <w:r>
        <w:t>au moins 200 travailleurs licenciés ou travailleurs indépendants, sur une période de référence de quatre mois, dans une entreprise d</w:t>
      </w:r>
      <w:r w:rsidR="00F6032D">
        <w:t>’</w:t>
      </w:r>
      <w:r>
        <w:t>un État membre, y compris lorsque cette cessation d</w:t>
      </w:r>
      <w:r w:rsidR="00F6032D">
        <w:t>’</w:t>
      </w:r>
      <w:r>
        <w:t>activité concerne des travailleurs licenciés chez ses fournisseurs ou ses producteurs en aval.</w:t>
      </w:r>
    </w:p>
    <w:p w14:paraId="6D2CC540" w14:textId="0763B121" w:rsidR="0001176A" w:rsidRPr="00813F0D" w:rsidRDefault="0001176A" w:rsidP="0001176A">
      <w:pPr>
        <w:widowControl/>
        <w:spacing w:before="120"/>
        <w:rPr>
          <w:rFonts w:eastAsia="Calibri"/>
          <w:szCs w:val="24"/>
        </w:rPr>
      </w:pPr>
      <w:r>
        <w:t>Un cofinancement du FEM a été demandé pour les six types d</w:t>
      </w:r>
      <w:r w:rsidR="00F6032D">
        <w:t>’</w:t>
      </w:r>
      <w:r>
        <w:t xml:space="preserve">actions suivantes, à fournir aux travailleurs licenciés: </w:t>
      </w:r>
    </w:p>
    <w:p w14:paraId="69982B4C" w14:textId="6F1BE301" w:rsidR="0001176A" w:rsidRPr="00813F0D" w:rsidRDefault="0001176A" w:rsidP="0001176A">
      <w:pPr>
        <w:widowControl/>
        <w:spacing w:before="120"/>
        <w:ind w:left="720"/>
        <w:rPr>
          <w:szCs w:val="24"/>
        </w:rPr>
      </w:pPr>
      <w:r>
        <w:t xml:space="preserve">a) </w:t>
      </w:r>
      <w:r>
        <w:rPr>
          <w:u w:val="single"/>
        </w:rPr>
        <w:t>Services d</w:t>
      </w:r>
      <w:r w:rsidR="00F6032D">
        <w:rPr>
          <w:u w:val="single"/>
        </w:rPr>
        <w:t>’</w:t>
      </w:r>
      <w:r>
        <w:rPr>
          <w:u w:val="single"/>
        </w:rPr>
        <w:t>information, de conseil et d</w:t>
      </w:r>
      <w:r w:rsidR="00F6032D">
        <w:rPr>
          <w:u w:val="single"/>
        </w:rPr>
        <w:t>’</w:t>
      </w:r>
      <w:r>
        <w:rPr>
          <w:u w:val="single"/>
        </w:rPr>
        <w:t>orientation professionnels et services de placement</w:t>
      </w:r>
      <w:r>
        <w:t>: Cette mesure s</w:t>
      </w:r>
      <w:r w:rsidR="00F6032D">
        <w:t>’</w:t>
      </w:r>
      <w:r>
        <w:t>appuie sur les services de reclassement externe fournis en vertu du droit belge du travail et comprend des séances d</w:t>
      </w:r>
      <w:r w:rsidR="00F6032D">
        <w:t>’</w:t>
      </w:r>
      <w:r>
        <w:t>information, un profilage des travailleurs, un accompagnement individuel et un soutien à la recherche d</w:t>
      </w:r>
      <w:r w:rsidR="00F6032D">
        <w:t>’</w:t>
      </w:r>
      <w:r>
        <w:t xml:space="preserve">emploi </w:t>
      </w:r>
      <w:r>
        <w:lastRenderedPageBreak/>
        <w:t>(recherche active d</w:t>
      </w:r>
      <w:r w:rsidR="00F6032D">
        <w:t>’</w:t>
      </w:r>
      <w:r>
        <w:t>emploi et mise en correspondance des offres et des demandes d</w:t>
      </w:r>
      <w:r w:rsidR="00F6032D">
        <w:t>’</w:t>
      </w:r>
      <w:r>
        <w:t>emploi), des ateliers sur la rédaction de candidatures et la recherche d</w:t>
      </w:r>
      <w:r w:rsidR="00F6032D">
        <w:t>’</w:t>
      </w:r>
      <w:r>
        <w:t>emploi à l</w:t>
      </w:r>
      <w:r w:rsidR="00F6032D">
        <w:t>’</w:t>
      </w:r>
      <w:r>
        <w:t>aide des réseaux sociaux. Des séances d</w:t>
      </w:r>
      <w:r w:rsidR="00F6032D">
        <w:t>’</w:t>
      </w:r>
      <w:r>
        <w:t>information sur d</w:t>
      </w:r>
      <w:r w:rsidR="00F6032D">
        <w:t>’</w:t>
      </w:r>
      <w:r>
        <w:t>autres sujets pertinents, tels que la fiscalité ou la manière d</w:t>
      </w:r>
      <w:r w:rsidR="00F6032D">
        <w:t>’</w:t>
      </w:r>
      <w:r>
        <w:t>éviter le surendettement, seront également organisées. Une attention particulière est accordée aux conséquences psychologiques du licenciement.</w:t>
      </w:r>
    </w:p>
    <w:p w14:paraId="0DC1F6FA" w14:textId="31F8912E" w:rsidR="0001176A" w:rsidRPr="00813F0D" w:rsidRDefault="0001176A" w:rsidP="0001176A">
      <w:pPr>
        <w:widowControl/>
        <w:spacing w:before="120"/>
        <w:ind w:left="720"/>
        <w:rPr>
          <w:rFonts w:eastAsia="Calibri"/>
          <w:szCs w:val="24"/>
        </w:rPr>
      </w:pPr>
      <w:r>
        <w:t xml:space="preserve">b) </w:t>
      </w:r>
      <w:r>
        <w:rPr>
          <w:u w:val="single"/>
        </w:rPr>
        <w:t>Formation et reconversion</w:t>
      </w:r>
      <w:r>
        <w:t>: Après l</w:t>
      </w:r>
      <w:r w:rsidR="00F6032D">
        <w:t>’</w:t>
      </w:r>
      <w:r>
        <w:t>établissement de profils et de projets individuels avec les conseillers professionnels, les travailleurs pourront bénéficier d</w:t>
      </w:r>
      <w:r w:rsidR="00F6032D">
        <w:t>’</w:t>
      </w:r>
      <w:r>
        <w:t>une formation spécifique afin d</w:t>
      </w:r>
      <w:r w:rsidR="00F6032D">
        <w:t>’</w:t>
      </w:r>
      <w:r>
        <w:t>acquérir les compétences nécessaires.</w:t>
      </w:r>
    </w:p>
    <w:p w14:paraId="652C8BAA" w14:textId="1BA9E58A" w:rsidR="0001176A" w:rsidRPr="00813F0D" w:rsidRDefault="0001176A" w:rsidP="0001176A">
      <w:pPr>
        <w:widowControl/>
        <w:spacing w:before="120"/>
        <w:ind w:left="720"/>
        <w:rPr>
          <w:rFonts w:eastAsia="Calibri"/>
          <w:szCs w:val="22"/>
        </w:rPr>
      </w:pPr>
      <w:r>
        <w:t xml:space="preserve">c) </w:t>
      </w:r>
      <w:r>
        <w:rPr>
          <w:u w:val="single"/>
        </w:rPr>
        <w:t>Journée de l</w:t>
      </w:r>
      <w:r w:rsidR="00F6032D">
        <w:rPr>
          <w:u w:val="single"/>
        </w:rPr>
        <w:t>’</w:t>
      </w:r>
      <w:r>
        <w:rPr>
          <w:u w:val="single"/>
        </w:rPr>
        <w:t>emploi</w:t>
      </w:r>
      <w:r>
        <w:t>: Cet événement de recherche d</w:t>
      </w:r>
      <w:r w:rsidR="00F6032D">
        <w:t>’</w:t>
      </w:r>
      <w:r>
        <w:t>emploi réunit les demandeurs d</w:t>
      </w:r>
      <w:r w:rsidR="00F6032D">
        <w:t>’</w:t>
      </w:r>
      <w:r>
        <w:t>emploi et les employeurs qui cherchent à pourvoir des postes vacants. Avant de participer à l</w:t>
      </w:r>
      <w:r w:rsidR="00F6032D">
        <w:t>’</w:t>
      </w:r>
      <w:r>
        <w:t>événement, des séances de conseil contribuent à préparer la réunion avec les employeurs potentiels. La première manifestation de ce type s</w:t>
      </w:r>
      <w:r w:rsidR="00F6032D">
        <w:t>’</w:t>
      </w:r>
      <w:r>
        <w:t>est tenue le</w:t>
      </w:r>
      <w:r w:rsidR="007565FE">
        <w:t> </w:t>
      </w:r>
      <w:r>
        <w:t>3 avril 2025.</w:t>
      </w:r>
    </w:p>
    <w:p w14:paraId="78F6F775" w14:textId="1F0AD1EF" w:rsidR="0001176A" w:rsidRPr="00813F0D" w:rsidRDefault="0001176A" w:rsidP="0001176A">
      <w:pPr>
        <w:widowControl/>
        <w:spacing w:before="120"/>
        <w:ind w:left="720"/>
        <w:rPr>
          <w:rFonts w:eastAsia="Calibri"/>
          <w:szCs w:val="22"/>
        </w:rPr>
      </w:pPr>
      <w:r>
        <w:t xml:space="preserve">d) </w:t>
      </w:r>
      <w:r>
        <w:rPr>
          <w:u w:val="single"/>
        </w:rPr>
        <w:t>Promotion de l</w:t>
      </w:r>
      <w:r w:rsidR="00F6032D">
        <w:rPr>
          <w:u w:val="single"/>
        </w:rPr>
        <w:t>’</w:t>
      </w:r>
      <w:r>
        <w:rPr>
          <w:u w:val="single"/>
        </w:rPr>
        <w:t>entrepreneuriat</w:t>
      </w:r>
      <w:r>
        <w:t>: La mesure s</w:t>
      </w:r>
      <w:r w:rsidR="00F6032D">
        <w:t>’</w:t>
      </w:r>
      <w:r>
        <w:t>adresse aux travailleurs qui souhaitent créer leur propre entreprise. Elle comprendra une phase de diagnostic et d</w:t>
      </w:r>
      <w:r w:rsidR="00F6032D">
        <w:t>’</w:t>
      </w:r>
      <w:r>
        <w:t>orientation, des actions de sensibilisation à l</w:t>
      </w:r>
      <w:r w:rsidR="00F6032D">
        <w:t>’</w:t>
      </w:r>
      <w:r>
        <w:t>esprit d</w:t>
      </w:r>
      <w:r w:rsidR="00F6032D">
        <w:t>’</w:t>
      </w:r>
      <w:r>
        <w:t>entreprise, des séances d</w:t>
      </w:r>
      <w:r w:rsidR="00F6032D">
        <w:t>’</w:t>
      </w:r>
      <w:r>
        <w:t>information sur le potentiel de création d</w:t>
      </w:r>
      <w:r w:rsidR="00F6032D">
        <w:t>’</w:t>
      </w:r>
      <w:r>
        <w:t>entreprise grâce à des diagnostics économiques territoriaux et à la mise en réseau avec des entrepreneurs appropriés et des accompagnants certifiés dans le domaine de la création d</w:t>
      </w:r>
      <w:r w:rsidR="00F6032D">
        <w:t>’</w:t>
      </w:r>
      <w:r>
        <w:t>entreprise.</w:t>
      </w:r>
    </w:p>
    <w:p w14:paraId="358049A0" w14:textId="7794583E" w:rsidR="0001176A" w:rsidRPr="00813F0D" w:rsidRDefault="0001176A" w:rsidP="0001176A">
      <w:pPr>
        <w:widowControl/>
        <w:spacing w:before="120"/>
        <w:ind w:left="720"/>
        <w:rPr>
          <w:rFonts w:eastAsia="Calibri"/>
          <w:szCs w:val="22"/>
        </w:rPr>
      </w:pPr>
      <w:r>
        <w:t xml:space="preserve">e) </w:t>
      </w:r>
      <w:r>
        <w:rPr>
          <w:u w:val="single"/>
        </w:rPr>
        <w:t>Contribution à la création d</w:t>
      </w:r>
      <w:r w:rsidR="00F6032D">
        <w:rPr>
          <w:u w:val="single"/>
        </w:rPr>
        <w:t>’</w:t>
      </w:r>
      <w:r>
        <w:rPr>
          <w:u w:val="single"/>
        </w:rPr>
        <w:t>entreprise</w:t>
      </w:r>
      <w:r>
        <w:t>: Les travailleurs qui créent une entreprise ou démarrent une activité indépendante recevront une contribution allant jusqu</w:t>
      </w:r>
      <w:r w:rsidR="00F6032D">
        <w:t>’</w:t>
      </w:r>
      <w:r>
        <w:t>à 15 000 EUR. La contribution sera versée en deux tranches, dès lors que le démarrage et le développement de l</w:t>
      </w:r>
      <w:r w:rsidR="00F6032D">
        <w:t>’</w:t>
      </w:r>
      <w:r>
        <w:t>activité commerciale auront été prouvés par des pièces justificatives.</w:t>
      </w:r>
    </w:p>
    <w:p w14:paraId="15955E5D" w14:textId="5135F0BF" w:rsidR="0001176A" w:rsidRPr="00813F0D" w:rsidRDefault="0001176A" w:rsidP="0001176A">
      <w:pPr>
        <w:widowControl/>
        <w:spacing w:before="120"/>
        <w:ind w:left="720"/>
        <w:rPr>
          <w:rFonts w:eastAsia="Calibri"/>
          <w:szCs w:val="22"/>
          <w:u w:val="single"/>
        </w:rPr>
      </w:pPr>
      <w:r>
        <w:t xml:space="preserve">f) </w:t>
      </w:r>
      <w:r>
        <w:rPr>
          <w:u w:val="single"/>
        </w:rPr>
        <w:t>Mesures d</w:t>
      </w:r>
      <w:r w:rsidR="00F6032D">
        <w:rPr>
          <w:u w:val="single"/>
        </w:rPr>
        <w:t>’</w:t>
      </w:r>
      <w:r>
        <w:rPr>
          <w:u w:val="single"/>
        </w:rPr>
        <w:t>incitation et allocations</w:t>
      </w:r>
    </w:p>
    <w:p w14:paraId="1E51C418" w14:textId="3BE16E0C" w:rsidR="0001176A" w:rsidRPr="00813F0D" w:rsidRDefault="0001176A" w:rsidP="0001176A">
      <w:pPr>
        <w:widowControl/>
        <w:spacing w:before="120"/>
        <w:ind w:left="1440"/>
        <w:rPr>
          <w:rFonts w:eastAsia="Calibri"/>
          <w:szCs w:val="22"/>
        </w:rPr>
      </w:pPr>
      <w:r>
        <w:t xml:space="preserve">1) </w:t>
      </w:r>
      <w:r>
        <w:rPr>
          <w:u w:val="single"/>
        </w:rPr>
        <w:t>Allocation de recherche d</w:t>
      </w:r>
      <w:r w:rsidR="00F6032D">
        <w:rPr>
          <w:u w:val="single"/>
        </w:rPr>
        <w:t>’</w:t>
      </w:r>
      <w:r>
        <w:rPr>
          <w:u w:val="single"/>
        </w:rPr>
        <w:t>emploi</w:t>
      </w:r>
      <w:r>
        <w:t>. Les travailleurs recevront 2 EUR pour chaque heure de participation effective à certaines activités de recherche d</w:t>
      </w:r>
      <w:r w:rsidR="00F6032D">
        <w:t>’</w:t>
      </w:r>
      <w:r>
        <w:t>emploi pouvant bénéficier de l</w:t>
      </w:r>
      <w:r w:rsidR="00F6032D">
        <w:t>’</w:t>
      </w:r>
      <w:r>
        <w:t>allocation.</w:t>
      </w:r>
    </w:p>
    <w:p w14:paraId="41DC89EF" w14:textId="3C2A6A1D" w:rsidR="0001176A" w:rsidRPr="00813F0D" w:rsidRDefault="0001176A" w:rsidP="0001176A">
      <w:pPr>
        <w:widowControl/>
        <w:spacing w:before="120"/>
        <w:ind w:left="1440"/>
        <w:rPr>
          <w:rFonts w:eastAsia="Calibri"/>
          <w:szCs w:val="22"/>
        </w:rPr>
      </w:pPr>
      <w:r>
        <w:t xml:space="preserve">2) </w:t>
      </w:r>
      <w:r>
        <w:rPr>
          <w:u w:val="single"/>
        </w:rPr>
        <w:t>Prime pour l</w:t>
      </w:r>
      <w:r w:rsidR="00F6032D">
        <w:rPr>
          <w:u w:val="single"/>
        </w:rPr>
        <w:t>’</w:t>
      </w:r>
      <w:r>
        <w:rPr>
          <w:u w:val="single"/>
        </w:rPr>
        <w:t>amélioration des compétences informatiques</w:t>
      </w:r>
      <w:r>
        <w:t>. Les travailleurs qui suivent à la fois le module d</w:t>
      </w:r>
      <w:r w:rsidR="00F6032D">
        <w:t>’</w:t>
      </w:r>
      <w:r>
        <w:t>accès à l</w:t>
      </w:r>
      <w:r w:rsidR="00F6032D">
        <w:t>’</w:t>
      </w:r>
      <w:r>
        <w:t>autonomie numérique et le module de renforcement de l</w:t>
      </w:r>
      <w:r w:rsidR="00F6032D">
        <w:t>’</w:t>
      </w:r>
      <w:r>
        <w:t>autonomie numérique recevront une somme forfaitaire de 700 EUR, sous réserve de leur participation active et de l</w:t>
      </w:r>
      <w:r w:rsidR="00F6032D">
        <w:t>’</w:t>
      </w:r>
      <w:r>
        <w:t>achèvement de la formation. La prime vise à réduire l</w:t>
      </w:r>
      <w:r w:rsidR="00F6032D">
        <w:t>’</w:t>
      </w:r>
      <w:r>
        <w:t>analphabétisme numérique en encourageant les travailleurs à améliorer leurs compétences informatiques.</w:t>
      </w:r>
    </w:p>
    <w:p w14:paraId="44A47F06" w14:textId="36EAD1A0" w:rsidR="0001176A" w:rsidRPr="00813F0D" w:rsidRDefault="0001176A" w:rsidP="0001176A">
      <w:pPr>
        <w:widowControl/>
        <w:spacing w:before="120"/>
        <w:ind w:left="1440"/>
        <w:rPr>
          <w:rFonts w:eastAsia="Calibri"/>
          <w:szCs w:val="22"/>
        </w:rPr>
      </w:pPr>
      <w:r>
        <w:t xml:space="preserve">3) </w:t>
      </w:r>
      <w:r>
        <w:rPr>
          <w:u w:val="single"/>
        </w:rPr>
        <w:t>Allocation de reprise des études</w:t>
      </w:r>
      <w:r>
        <w:t>. Une allocation mensuelle de 350 EUR sera accordée aux travailleurs qui entreprennent des études secondaires ou tertiaires à temps plein, ou une formation qualifiante liée à l</w:t>
      </w:r>
      <w:r w:rsidR="00F6032D">
        <w:t>’</w:t>
      </w:r>
      <w:r>
        <w:t>acquisition des compétences nécessaires pour des emplois pour lesquels il existe des besoins et pour lesquels le recrutement est difficile ou lié à des fonctions critiques, sur la base d</w:t>
      </w:r>
      <w:r w:rsidR="00F6032D">
        <w:t>’</w:t>
      </w:r>
      <w:r>
        <w:t>une liste spécifique établie par la Région wallonne.</w:t>
      </w:r>
    </w:p>
    <w:p w14:paraId="75A9E3EA" w14:textId="40D90E5A" w:rsidR="0001176A" w:rsidRPr="00813F0D" w:rsidRDefault="0001176A" w:rsidP="0001176A">
      <w:pPr>
        <w:widowControl/>
        <w:spacing w:before="120"/>
        <w:ind w:left="1440"/>
        <w:rPr>
          <w:rFonts w:eastAsia="Calibri"/>
          <w:szCs w:val="24"/>
        </w:rPr>
      </w:pPr>
      <w:r>
        <w:t xml:space="preserve">4) </w:t>
      </w:r>
      <w:r>
        <w:rPr>
          <w:u w:val="single"/>
        </w:rPr>
        <w:t>Aide à la création d</w:t>
      </w:r>
      <w:r w:rsidR="00F6032D">
        <w:rPr>
          <w:u w:val="single"/>
        </w:rPr>
        <w:t>’</w:t>
      </w:r>
      <w:r>
        <w:rPr>
          <w:u w:val="single"/>
        </w:rPr>
        <w:t>entreprise</w:t>
      </w:r>
      <w:r>
        <w:t>. Afin de soutenir les travailleurs lors de la création d</w:t>
      </w:r>
      <w:r w:rsidR="00F6032D">
        <w:t>’</w:t>
      </w:r>
      <w:r>
        <w:t>une entreprise, une allocation mensuelle de 350 EUR sera accordée pour une durée maximale de 12 mois, qui pourra aller jusqu</w:t>
      </w:r>
      <w:r w:rsidR="00F6032D">
        <w:t>’</w:t>
      </w:r>
      <w:r>
        <w:t xml:space="preserve">à 18 mois sous certaines conditions. La Belgique a fourni les informations requises sur les mesures revêtant un caractère obligatoire pour les entreprises concernées en </w:t>
      </w:r>
      <w:r>
        <w:lastRenderedPageBreak/>
        <w:t>vertu de la législation nationale ou de conventions collectives. Elle a confirmé qu</w:t>
      </w:r>
      <w:r w:rsidR="00F6032D">
        <w:t>’</w:t>
      </w:r>
      <w:r>
        <w:t>une contribution financière du FEM ne se substituerait pas à ces mesures.</w:t>
      </w:r>
    </w:p>
    <w:p w14:paraId="119986F1" w14:textId="77777777" w:rsidR="0001176A" w:rsidRPr="0043302F" w:rsidRDefault="0001176A" w:rsidP="0001176A">
      <w:pPr>
        <w:widowControl/>
        <w:spacing w:before="120"/>
        <w:ind w:left="1440"/>
        <w:rPr>
          <w:rFonts w:eastAsia="Calibri"/>
          <w:szCs w:val="24"/>
          <w:lang w:val="fr-BE"/>
        </w:rPr>
      </w:pPr>
    </w:p>
    <w:p w14:paraId="17651B9A" w14:textId="77777777" w:rsidR="0001176A" w:rsidRPr="00813F0D" w:rsidRDefault="0001176A" w:rsidP="0001176A">
      <w:pPr>
        <w:rPr>
          <w:b/>
        </w:rPr>
      </w:pPr>
      <w:r>
        <w:rPr>
          <w:b/>
        </w:rPr>
        <w:t>III. Procédure</w:t>
      </w:r>
    </w:p>
    <w:p w14:paraId="49B028A3" w14:textId="77777777" w:rsidR="00C2500E" w:rsidRPr="0043302F" w:rsidRDefault="00C2500E" w:rsidP="0001176A">
      <w:pPr>
        <w:rPr>
          <w:b/>
          <w:lang w:val="fr-BE"/>
        </w:rPr>
      </w:pPr>
    </w:p>
    <w:p w14:paraId="1CE0AF86" w14:textId="50741F51" w:rsidR="0001176A" w:rsidRPr="00813F0D" w:rsidRDefault="0001176A" w:rsidP="00795C78">
      <w:pPr>
        <w:spacing w:after="120"/>
      </w:pPr>
      <w:r>
        <w:t>Pour mobiliser le FEM, la Commission a soumis à l</w:t>
      </w:r>
      <w:r w:rsidR="00F6032D">
        <w:t>’</w:t>
      </w:r>
      <w:r>
        <w:t>autorité budgétaire une demande de virement d</w:t>
      </w:r>
      <w:r w:rsidR="00F6032D">
        <w:t>’</w:t>
      </w:r>
      <w:r>
        <w:t>un montant total de 7 527 625 EUR de la réserve du FEM (ligne budgétaire 30 04 02; crédits d</w:t>
      </w:r>
      <w:r w:rsidR="00F6032D">
        <w:t>’</w:t>
      </w:r>
      <w:r>
        <w:t>engagement) vers le FEM (ligne budgétaire 16 02 02; crédits d</w:t>
      </w:r>
      <w:r w:rsidR="00F6032D">
        <w:t>’</w:t>
      </w:r>
      <w:r>
        <w:t>engagement).</w:t>
      </w:r>
    </w:p>
    <w:p w14:paraId="72BA7394" w14:textId="759EE0FD" w:rsidR="0001176A" w:rsidRPr="00813F0D" w:rsidRDefault="0001176A" w:rsidP="00795C78">
      <w:pPr>
        <w:spacing w:after="120"/>
      </w:pPr>
      <w:r>
        <w:t>En vertu d</w:t>
      </w:r>
      <w:r w:rsidR="00F6032D">
        <w:t>’</w:t>
      </w:r>
      <w:r>
        <w:t>un accord interne au Parlement, la commission de l</w:t>
      </w:r>
      <w:r w:rsidR="00F6032D">
        <w:t>’</w:t>
      </w:r>
      <w:r>
        <w:t>emploi et des affaires sociales et la commission du développement régional doivent être associées à la procédure, de manière à pouvoir contribuer et concourir de façon constructive à l</w:t>
      </w:r>
      <w:r w:rsidR="00F6032D">
        <w:t>’</w:t>
      </w:r>
      <w:r>
        <w:t>évaluation des demandes de mobilisation du FEM.</w:t>
      </w:r>
    </w:p>
    <w:p w14:paraId="1166644A" w14:textId="77777777" w:rsidR="0001176A" w:rsidRPr="0043302F" w:rsidRDefault="0001176A" w:rsidP="00EE286A">
      <w:pPr>
        <w:rPr>
          <w:lang w:val="fr-BE"/>
        </w:rPr>
      </w:pPr>
    </w:p>
    <w:p w14:paraId="71D35FC6" w14:textId="77777777" w:rsidR="008F65E4" w:rsidRPr="0043302F" w:rsidRDefault="008F65E4">
      <w:pPr>
        <w:widowControl/>
        <w:rPr>
          <w:lang w:val="fr-BE"/>
        </w:rPr>
        <w:sectPr w:rsidR="008F65E4" w:rsidRPr="0043302F" w:rsidSect="004330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B67F5E" w14:textId="550E13B5" w:rsidR="008F65E4" w:rsidRPr="0043302F" w:rsidRDefault="008F65E4">
      <w:pPr>
        <w:widowControl/>
        <w:rPr>
          <w:lang w:val="fr-BE"/>
        </w:rPr>
      </w:pPr>
    </w:p>
    <w:p w14:paraId="27D6BB6C" w14:textId="3B4416E1" w:rsidR="008F65E4" w:rsidRPr="00813F0D" w:rsidRDefault="008F65E4" w:rsidP="007041CC">
      <w:pPr>
        <w:pStyle w:val="PageHeading"/>
        <w:rPr>
          <w:noProof/>
        </w:rPr>
      </w:pPr>
      <w:bookmarkStart w:id="9" w:name="FootprintPageRR"/>
      <w:bookmarkStart w:id="10" w:name="_Toc221112096"/>
      <w:r>
        <w:t>ANNEXE: DÉCLARATION DES CONTRIBUTIONS</w:t>
      </w:r>
      <w:bookmarkEnd w:id="10"/>
    </w:p>
    <w:p w14:paraId="1397BC42" w14:textId="57F03843" w:rsidR="008F65E4" w:rsidRPr="00813F0D" w:rsidRDefault="008F65E4" w:rsidP="00B31C6A">
      <w:pPr>
        <w:pStyle w:val="Normal24a"/>
        <w:spacing w:after="240"/>
      </w:pPr>
      <w:r w:rsidRPr="0043302F">
        <w:rPr>
          <w:rStyle w:val="HideTWBExt"/>
          <w:lang w:val="fr-BE"/>
        </w:rPr>
        <w:t>&lt;FootprintIntro&gt;</w:t>
      </w:r>
      <w:r>
        <w:t>Le rapporteur déclare, sous sa responsabilité exclusive, n</w:t>
      </w:r>
      <w:r w:rsidR="00F6032D">
        <w:t>’</w:t>
      </w:r>
      <w:r>
        <w:t>avoir inclus dans son rapport aucune contribution de représentants d</w:t>
      </w:r>
      <w:r w:rsidR="00F6032D">
        <w:t>’</w:t>
      </w:r>
      <w:r>
        <w:t>intérêts relevant du champ d</w:t>
      </w:r>
      <w:r w:rsidR="00F6032D">
        <w:t>’</w:t>
      </w:r>
      <w:r>
        <w:t>application de l</w:t>
      </w:r>
      <w:r w:rsidR="00F6032D">
        <w:t>’</w:t>
      </w:r>
      <w:r>
        <w:t>accord interinstitutionnel sur un registre de transparence obligatoire</w:t>
      </w:r>
      <w:r w:rsidRPr="00DF7EF6">
        <w:rPr>
          <w:rStyle w:val="FootnoteReference"/>
        </w:rPr>
        <w:footnoteReference w:id="15"/>
      </w:r>
      <w:r>
        <w:t>, ou de représentants des autorités publiques de pays tiers, y compris leurs missions diplomatiques et ambassades, devant être énumérés dans la présente annexe en vertu de l</w:t>
      </w:r>
      <w:r w:rsidR="00F6032D">
        <w:t>’</w:t>
      </w:r>
      <w:r>
        <w:t>article 8 de l</w:t>
      </w:r>
      <w:r w:rsidR="00F6032D">
        <w:t>’</w:t>
      </w:r>
      <w:r>
        <w:t>annexe I du règlement intérieur.</w:t>
      </w:r>
      <w:r w:rsidRPr="0043302F">
        <w:rPr>
          <w:rStyle w:val="HideTWBExt"/>
          <w:lang w:val="fr-BE"/>
        </w:rPr>
        <w:t>&lt;/FootprintIntro&gt;</w:t>
      </w:r>
    </w:p>
    <w:p w14:paraId="6C4E4A04" w14:textId="3E2E8B3B" w:rsidR="008F65E4" w:rsidRPr="0043302F" w:rsidRDefault="008F65E4" w:rsidP="00646AD2">
      <w:pPr>
        <w:pStyle w:val="Footprint12b"/>
        <w:rPr>
          <w:lang w:val="fr-BE"/>
        </w:rPr>
      </w:pPr>
    </w:p>
    <w:p w14:paraId="08470ABC" w14:textId="77777777" w:rsidR="008F65E4" w:rsidRPr="0043302F" w:rsidRDefault="008F65E4" w:rsidP="008F65E4">
      <w:pPr>
        <w:rPr>
          <w:lang w:val="fr-BE"/>
        </w:rPr>
      </w:pPr>
    </w:p>
    <w:bookmarkEnd w:id="9"/>
    <w:p w14:paraId="2E29560B" w14:textId="77777777" w:rsidR="0043302F" w:rsidRPr="0043302F" w:rsidRDefault="0043302F" w:rsidP="00EE286A">
      <w:pPr>
        <w:rPr>
          <w:lang w:val="fr-BE"/>
        </w:rPr>
        <w:sectPr w:rsidR="0043302F" w:rsidRPr="0043302F" w:rsidSect="004330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7CDB9EE" w14:textId="77777777" w:rsidR="0043302F" w:rsidRPr="0043302F" w:rsidRDefault="0043302F" w:rsidP="0043302F">
      <w:pPr>
        <w:pStyle w:val="Normal24a"/>
      </w:pPr>
      <w:r w:rsidRPr="0043302F">
        <w:rPr>
          <w:rStyle w:val="HideTWBExt"/>
          <w:lang w:val="fr-BE"/>
        </w:rPr>
        <w:lastRenderedPageBreak/>
        <w:t>&lt;Date&gt;</w:t>
      </w:r>
      <w:r w:rsidRPr="0043302F">
        <w:rPr>
          <w:rStyle w:val="HideTWBInt"/>
          <w:lang w:val="fr-BE"/>
        </w:rPr>
        <w:t>{28/01/2026}</w:t>
      </w:r>
      <w:r w:rsidRPr="0043302F">
        <w:rPr>
          <w:lang w:val="fr-BE"/>
        </w:rPr>
        <w:t>28.1.2026</w:t>
      </w:r>
      <w:r w:rsidRPr="0043302F">
        <w:rPr>
          <w:rStyle w:val="HideTWBExt"/>
          <w:lang w:val="fr-BE"/>
        </w:rPr>
        <w:t>&lt;/Date&gt;</w:t>
      </w:r>
    </w:p>
    <w:p w14:paraId="6BECC402" w14:textId="3D388F55" w:rsidR="0043302F" w:rsidRPr="0043302F" w:rsidRDefault="0043302F" w:rsidP="0043302F">
      <w:pPr>
        <w:pStyle w:val="PageHeading"/>
        <w:rPr>
          <w:lang w:val="fr-BE"/>
        </w:rPr>
      </w:pPr>
      <w:bookmarkStart w:id="11" w:name="OpinionToc_1"/>
      <w:bookmarkStart w:id="12" w:name="_Toc221112097"/>
      <w:r w:rsidRPr="0043302F">
        <w:rPr>
          <w:lang w:val="fr-BE"/>
        </w:rPr>
        <w:t>LETTRE DE LA COMMISSION DE L</w:t>
      </w:r>
      <w:r w:rsidR="00F6032D">
        <w:rPr>
          <w:lang w:val="fr-BE"/>
        </w:rPr>
        <w:t>’</w:t>
      </w:r>
      <w:r w:rsidRPr="0043302F">
        <w:rPr>
          <w:lang w:val="fr-BE"/>
        </w:rPr>
        <w:t>EMPLOI ET DES AFFAIRES SOCIALES</w:t>
      </w:r>
      <w:bookmarkEnd w:id="11"/>
      <w:bookmarkEnd w:id="12"/>
    </w:p>
    <w:p w14:paraId="75286AF9" w14:textId="77777777" w:rsidR="0043302F" w:rsidRPr="0043302F" w:rsidRDefault="0043302F">
      <w:pPr>
        <w:rPr>
          <w:lang w:val="fr-BE"/>
        </w:rPr>
      </w:pPr>
      <w:r w:rsidRPr="0043302F">
        <w:rPr>
          <w:lang w:val="fr-BE"/>
        </w:rPr>
        <w:t>M. Johan Van Overtveldt</w:t>
      </w:r>
    </w:p>
    <w:p w14:paraId="2A9CD91B" w14:textId="77777777" w:rsidR="0043302F" w:rsidRPr="00ED1D2B" w:rsidRDefault="0043302F">
      <w:r w:rsidRPr="00ED1D2B">
        <w:t>Président</w:t>
      </w:r>
    </w:p>
    <w:p w14:paraId="5E41A405" w14:textId="77777777" w:rsidR="0043302F" w:rsidRPr="00ED1D2B" w:rsidRDefault="0043302F">
      <w:r w:rsidRPr="00ED1D2B">
        <w:t>Commission des budgets</w:t>
      </w:r>
    </w:p>
    <w:p w14:paraId="173E2B09" w14:textId="77777777" w:rsidR="0043302F" w:rsidRPr="00ED1D2B" w:rsidRDefault="0043302F">
      <w:r w:rsidRPr="00ED1D2B">
        <w:t>BRUXELLES</w:t>
      </w:r>
    </w:p>
    <w:p w14:paraId="4705BC3B" w14:textId="4E2F0A09" w:rsidR="0043302F" w:rsidRPr="00ED1D2B" w:rsidRDefault="0043302F" w:rsidP="009F796C">
      <w:pPr>
        <w:pStyle w:val="LetterSubject"/>
      </w:pPr>
      <w:r w:rsidRPr="00ED1D2B">
        <w:t>Objet:</w:t>
      </w:r>
      <w:r w:rsidRPr="00ED1D2B">
        <w:tab/>
      </w:r>
      <w:r w:rsidRPr="00ED1D2B">
        <w:rPr>
          <w:rStyle w:val="HideTWBExt"/>
        </w:rPr>
        <w:t>&lt;Titre&gt;</w:t>
      </w:r>
      <w:r w:rsidRPr="00ED1D2B">
        <w:t>Avis sur la mobilisation du Fonds européen d</w:t>
      </w:r>
      <w:r w:rsidR="00F6032D">
        <w:t>’</w:t>
      </w:r>
      <w:r w:rsidRPr="00ED1D2B">
        <w:t>ajustement à la mondialisation en faveur des travailleurs licenciés à la suite d</w:t>
      </w:r>
      <w:r w:rsidR="00F6032D">
        <w:t>’</w:t>
      </w:r>
      <w:r w:rsidRPr="00ED1D2B">
        <w:t>une demande de la Belgique – EGF/2025/006 BE/Audi</w:t>
      </w:r>
      <w:r w:rsidRPr="00ED1D2B">
        <w:rPr>
          <w:rStyle w:val="HideTWBExt"/>
        </w:rPr>
        <w:t>&lt;/Titre&gt;</w:t>
      </w:r>
      <w:r w:rsidRPr="00ED1D2B">
        <w:t xml:space="preserve"> </w:t>
      </w:r>
      <w:r w:rsidRPr="00ED1D2B">
        <w:rPr>
          <w:rStyle w:val="HideTWBExt"/>
        </w:rPr>
        <w:t>&lt;DocRef&gt;</w:t>
      </w:r>
      <w:r w:rsidRPr="00ED1D2B">
        <w:t>(2026/0001(BUD))</w:t>
      </w:r>
      <w:r w:rsidRPr="00ED1D2B">
        <w:rPr>
          <w:rStyle w:val="HideTWBExt"/>
        </w:rPr>
        <w:t>&lt;/DocRef&gt;</w:t>
      </w:r>
    </w:p>
    <w:p w14:paraId="4212F39B" w14:textId="77777777" w:rsidR="0043302F" w:rsidRPr="00ED1D2B" w:rsidRDefault="0043302F" w:rsidP="007C3F41">
      <w:pPr>
        <w:pStyle w:val="LetterSalutation"/>
      </w:pPr>
      <w:r w:rsidRPr="00ED1D2B">
        <w:t>Monsieur le Président,</w:t>
      </w:r>
    </w:p>
    <w:p w14:paraId="6C1868C8" w14:textId="5AF27427" w:rsidR="0043302F" w:rsidRPr="00ED1D2B" w:rsidRDefault="0043302F" w:rsidP="00E72E09">
      <w:pPr>
        <w:pStyle w:val="Normal12a"/>
      </w:pPr>
      <w:r w:rsidRPr="00ED1D2B">
        <w:t>Dans le cadre de la procédure en objet, la commission de l</w:t>
      </w:r>
      <w:r w:rsidR="00F6032D">
        <w:t>’</w:t>
      </w:r>
      <w:r w:rsidRPr="00ED1D2B">
        <w:t>emploi et des affaires sociales a été chargée de soumettre un avis à votre commission, qu</w:t>
      </w:r>
      <w:r w:rsidR="00F6032D">
        <w:t>’</w:t>
      </w:r>
      <w:r w:rsidRPr="00ED1D2B">
        <w:t>elle a décidé de transmettre sous forme de lettre.</w:t>
      </w:r>
    </w:p>
    <w:p w14:paraId="7F78BAF0" w14:textId="066D4904" w:rsidR="0043302F" w:rsidRPr="00ED1D2B" w:rsidRDefault="0043302F" w:rsidP="00E72E09">
      <w:pPr>
        <w:pStyle w:val="Normal12a"/>
      </w:pPr>
      <w:r w:rsidRPr="00ED1D2B">
        <w:t>La commission de l</w:t>
      </w:r>
      <w:r w:rsidR="00F6032D">
        <w:t>’</w:t>
      </w:r>
      <w:r w:rsidRPr="00ED1D2B">
        <w:t>emploi et des affaires sociales a examiné la question lors de sa réunion du 28 janvier 2026. Lors de cette même réunion, elle a décidé de présenter à la commission des budgets, compétente au fond, l</w:t>
      </w:r>
      <w:r w:rsidR="00F6032D">
        <w:t>’</w:t>
      </w:r>
      <w:r w:rsidRPr="00ED1D2B">
        <w:t>avis figurant ci-après.</w:t>
      </w:r>
    </w:p>
    <w:p w14:paraId="55A873CF" w14:textId="1AEC1E88" w:rsidR="0043302F" w:rsidRPr="00ED1D2B" w:rsidRDefault="0043302F" w:rsidP="007C3F41">
      <w:pPr>
        <w:pStyle w:val="Normal12a"/>
      </w:pPr>
      <w:r w:rsidRPr="00ED1D2B">
        <w:t>Veuillez agréer, Monsieur le Président, l</w:t>
      </w:r>
      <w:r w:rsidR="00F6032D">
        <w:t>’</w:t>
      </w:r>
      <w:r w:rsidRPr="00ED1D2B">
        <w:t>expression de ma haute considération.</w:t>
      </w:r>
    </w:p>
    <w:p w14:paraId="3A6FB852" w14:textId="77777777" w:rsidR="0043302F" w:rsidRPr="00ED1D2B" w:rsidRDefault="0043302F" w:rsidP="00085831">
      <w:pPr>
        <w:pStyle w:val="LetterSignature66b"/>
      </w:pPr>
      <w:r w:rsidRPr="00ED1D2B">
        <w:t>Li Andersson</w:t>
      </w:r>
    </w:p>
    <w:p w14:paraId="6AFEFFBF" w14:textId="77777777" w:rsidR="0043302F" w:rsidRPr="00ED1D2B" w:rsidRDefault="0043302F">
      <w:pPr>
        <w:widowControl/>
      </w:pPr>
      <w:r w:rsidRPr="00ED1D2B">
        <w:br w:type="page"/>
      </w:r>
    </w:p>
    <w:p w14:paraId="53A63A0C" w14:textId="77777777" w:rsidR="0043302F" w:rsidRPr="00ED1D2B" w:rsidRDefault="0043302F" w:rsidP="009658FB">
      <w:pPr>
        <w:pStyle w:val="PageHeadingNotTOC"/>
      </w:pPr>
      <w:r w:rsidRPr="00ED1D2B">
        <w:lastRenderedPageBreak/>
        <w:t>AVIS</w:t>
      </w:r>
    </w:p>
    <w:p w14:paraId="2B0DBB59" w14:textId="6DF491EC" w:rsidR="0043302F" w:rsidRPr="00ED1D2B" w:rsidRDefault="0043302F" w:rsidP="009658FB">
      <w:pPr>
        <w:pStyle w:val="LetterSignature66b"/>
        <w:spacing w:before="100" w:beforeAutospacing="1" w:after="100" w:afterAutospacing="1"/>
        <w:ind w:left="720" w:hanging="720"/>
      </w:pPr>
      <w:r w:rsidRPr="00ED1D2B">
        <w:t>A.</w:t>
      </w:r>
      <w:r w:rsidRPr="00ED1D2B">
        <w:tab/>
        <w:t>Considérant que, le 18 septembre 2025, la Belgique a présenté, conformément à l</w:t>
      </w:r>
      <w:r w:rsidR="00F6032D">
        <w:t>’</w:t>
      </w:r>
      <w:r w:rsidRPr="00ED1D2B">
        <w:t>article 8, paragraphe 1, du règlement (UE) 2021/691, une demande d</w:t>
      </w:r>
      <w:r w:rsidR="00F6032D">
        <w:t>’</w:t>
      </w:r>
      <w:r w:rsidRPr="00ED1D2B">
        <w:t>intervention du Fonds européen d</w:t>
      </w:r>
      <w:r w:rsidR="00F6032D">
        <w:t>’</w:t>
      </w:r>
      <w:r w:rsidRPr="00ED1D2B">
        <w:t>ajustement à la mondialisation en faveur des travailleurs licenciés (FEM) en ce qui concerne les licenciements survenus chez Audi Brussels S.A.:n.V. (ci-après «Audi») et cinq de ses fournisseurs et producteurs en aval en Belgique; que des informations ont été fournies conformément à l</w:t>
      </w:r>
      <w:r w:rsidR="00F6032D">
        <w:t>’</w:t>
      </w:r>
      <w:r w:rsidRPr="00ED1D2B">
        <w:t>article 8, paragraphe 5, du règlement (UE) 2021/691 en vue de compléter cette demande; qu</w:t>
      </w:r>
      <w:r w:rsidR="00F6032D">
        <w:t>’</w:t>
      </w:r>
      <w:r w:rsidRPr="00ED1D2B">
        <w:t>Audi exerçait ses activités dans le secteur économique relevant de la division 29 de la NACE Rév. 2 (Industrie automobile); que les licenciements effectués par Audi ont eu lieu principalement dans les régions NUTS 2 de la Région de Bruxelles-Capitale/Brussels Hoofdstedelijk Gewest (BE10), de la Provincie Oost-Vlaanderen (BE23) et de la Province du Hainaut (BE32);</w:t>
      </w:r>
    </w:p>
    <w:p w14:paraId="48D908C4" w14:textId="4353AC4B" w:rsidR="0043302F" w:rsidRPr="00ED1D2B" w:rsidRDefault="0043302F" w:rsidP="009658FB">
      <w:pPr>
        <w:pStyle w:val="LetterSignature66b"/>
        <w:spacing w:before="100" w:beforeAutospacing="1" w:after="100" w:afterAutospacing="1"/>
        <w:ind w:left="720" w:hanging="720"/>
      </w:pPr>
      <w:r w:rsidRPr="00ED1D2B">
        <w:t>B.</w:t>
      </w:r>
      <w:r w:rsidRPr="00ED1D2B">
        <w:tab/>
        <w:t>considérant que la Belgique a présenté la demande au titre du critère d</w:t>
      </w:r>
      <w:r w:rsidR="00F6032D">
        <w:t>’</w:t>
      </w:r>
      <w:r w:rsidRPr="00ED1D2B">
        <w:t>intervention énoncé à l</w:t>
      </w:r>
      <w:r w:rsidR="00F6032D">
        <w:t>’</w:t>
      </w:r>
      <w:r w:rsidRPr="00ED1D2B">
        <w:t>article 4, paragraphe 2, point a), du règlement (UE) 2021/691, qui exige la cessation d</w:t>
      </w:r>
      <w:r w:rsidR="00F6032D">
        <w:t>’</w:t>
      </w:r>
      <w:r w:rsidRPr="00ED1D2B">
        <w:t>activité d</w:t>
      </w:r>
      <w:r w:rsidR="00F6032D">
        <w:t>’</w:t>
      </w:r>
      <w:r w:rsidRPr="00ED1D2B">
        <w:t>au moins 200 travailleurs licenciés sur une période de référence de quatre mois, dans une entreprise d</w:t>
      </w:r>
      <w:r w:rsidR="00F6032D">
        <w:t>’</w:t>
      </w:r>
      <w:r w:rsidRPr="00ED1D2B">
        <w:t>un État membre, y compris lorsque cette cessation d</w:t>
      </w:r>
      <w:r w:rsidR="00F6032D">
        <w:t>’</w:t>
      </w:r>
      <w:r w:rsidRPr="00ED1D2B">
        <w:t>activité concerne des travailleurs licenciés chez des fournisseurs ou producteurs en aval; qu</w:t>
      </w:r>
      <w:r w:rsidR="00F6032D">
        <w:t>’</w:t>
      </w:r>
      <w:r w:rsidRPr="00ED1D2B">
        <w:t>à la suite de l</w:t>
      </w:r>
      <w:r w:rsidR="00F6032D">
        <w:t>’</w:t>
      </w:r>
      <w:r w:rsidRPr="00ED1D2B">
        <w:t>évaluation de cette demande, la Commission a conclu, conformément à l</w:t>
      </w:r>
      <w:r w:rsidR="00F6032D">
        <w:t>’</w:t>
      </w:r>
      <w:r w:rsidRPr="00ED1D2B">
        <w:t>ensemble des dispositions applicables du règlement FEM, que les conditions d</w:t>
      </w:r>
      <w:r w:rsidR="00F6032D">
        <w:t>’</w:t>
      </w:r>
      <w:r w:rsidRPr="00ED1D2B">
        <w:t>octroi d</w:t>
      </w:r>
      <w:r w:rsidR="00F6032D">
        <w:t>’</w:t>
      </w:r>
      <w:r w:rsidRPr="00ED1D2B">
        <w:t>une contribution financière du FEM étaient remplies;</w:t>
      </w:r>
    </w:p>
    <w:p w14:paraId="49323353" w14:textId="70E8C540" w:rsidR="0043302F" w:rsidRPr="00ED1D2B" w:rsidRDefault="0043302F" w:rsidP="009658FB">
      <w:pPr>
        <w:pStyle w:val="LetterSignature66b"/>
        <w:spacing w:before="100" w:beforeAutospacing="1" w:after="100" w:afterAutospacing="1"/>
        <w:ind w:left="720" w:hanging="720"/>
      </w:pPr>
      <w:r w:rsidRPr="00ED1D2B">
        <w:t>C.</w:t>
      </w:r>
      <w:r w:rsidRPr="00ED1D2B">
        <w:tab/>
        <w:t>considérant que le nombre total de bénéficiaires admissibles, dont l</w:t>
      </w:r>
      <w:r w:rsidR="00F6032D">
        <w:t>’</w:t>
      </w:r>
      <w:r w:rsidRPr="00ED1D2B">
        <w:t>activité a cessé dans les secteurs économiques susmentionnés, s</w:t>
      </w:r>
      <w:r w:rsidR="00F6032D">
        <w:t>’</w:t>
      </w:r>
      <w:r w:rsidRPr="00ED1D2B">
        <w:t>élève à 3 414; que la demande concerne 3 148 travailleurs licenciés (2 580 travailleurs licenciés chez Audi et</w:t>
      </w:r>
      <w:r w:rsidR="007565FE">
        <w:t> </w:t>
      </w:r>
      <w:r w:rsidRPr="00ED1D2B">
        <w:t>568 travailleurs licenciés chez les cinq fournisseurs et producteurs en aval d</w:t>
      </w:r>
      <w:r w:rsidR="00F6032D">
        <w:t>’</w:t>
      </w:r>
      <w:r w:rsidRPr="00ED1D2B">
        <w:t>Audi); qu</w:t>
      </w:r>
      <w:r w:rsidR="00F6032D">
        <w:t>’</w:t>
      </w:r>
      <w:r w:rsidRPr="00ED1D2B">
        <w:t>outre les travailleurs déjà évoqués, les bénéficiaires admissibles comprennent 266 travailleurs licenciés dont l</w:t>
      </w:r>
      <w:r w:rsidR="00F6032D">
        <w:t>’</w:t>
      </w:r>
      <w:r w:rsidRPr="00ED1D2B">
        <w:t>activité a cessé avant ou après la période de référence de quatre mois;</w:t>
      </w:r>
    </w:p>
    <w:p w14:paraId="25E7D51D" w14:textId="77777777" w:rsidR="0043302F" w:rsidRPr="00ED1D2B" w:rsidRDefault="0043302F" w:rsidP="009658FB">
      <w:pPr>
        <w:pStyle w:val="LetterSignature66b"/>
        <w:spacing w:before="100" w:beforeAutospacing="1" w:after="100" w:afterAutospacing="1"/>
        <w:ind w:left="720" w:hanging="720"/>
      </w:pPr>
      <w:r w:rsidRPr="00ED1D2B">
        <w:t>D.</w:t>
      </w:r>
      <w:r w:rsidRPr="00ED1D2B">
        <w:tab/>
        <w:t xml:space="preserve">considérant que, le 9 janvier 2026, la Commission a adopté une proposition de décision sur la mobilisation du FEM en faveur de la Belgique afin de soutenir la réinsertion sur le marché du travail de 3 414 bénéficiaires visés; </w:t>
      </w:r>
    </w:p>
    <w:p w14:paraId="49E78AD5" w14:textId="735B1F3A" w:rsidR="0043302F" w:rsidRPr="00ED1D2B" w:rsidRDefault="0043302F" w:rsidP="009658FB">
      <w:pPr>
        <w:pStyle w:val="LetterSignature66b"/>
        <w:spacing w:before="100" w:beforeAutospacing="1" w:after="100" w:afterAutospacing="1"/>
        <w:ind w:left="720" w:hanging="720"/>
      </w:pPr>
      <w:r w:rsidRPr="00ED1D2B">
        <w:t>E.</w:t>
      </w:r>
      <w:r w:rsidRPr="00ED1D2B">
        <w:tab/>
        <w:t>considérant que, selon les autorités belges, le marché mondial de la production et de la vente de voitures, en particulier de voitures électriques, est confronté à de nombreux défis et pressions économiques, tels que la hausse des coûts mondiaux des matières premières, la concurrence mondiale agressive, la baisse des prévisions de croissance et le recul de la demande globale de voitures électriques en Europe; que, compte tenu du faible volume des ventes du SUV multisegment haut de gamme Q8 e-tron d</w:t>
      </w:r>
      <w:r w:rsidR="00F6032D">
        <w:t>’</w:t>
      </w:r>
      <w:r w:rsidRPr="00ED1D2B">
        <w:t>Audi, seul modèle produit dans l</w:t>
      </w:r>
      <w:r w:rsidR="00F6032D">
        <w:t>’</w:t>
      </w:r>
      <w:r w:rsidRPr="00ED1D2B">
        <w:t>usine d</w:t>
      </w:r>
      <w:r w:rsidR="00F6032D">
        <w:t>’</w:t>
      </w:r>
      <w:r w:rsidRPr="00ED1D2B">
        <w:t>Audi à Bruxelles (ci-après «Audi BXL»), la direction de l</w:t>
      </w:r>
      <w:r w:rsidR="00F6032D">
        <w:t>’</w:t>
      </w:r>
      <w:r w:rsidRPr="00ED1D2B">
        <w:t>entreprise a décidé d</w:t>
      </w:r>
      <w:r w:rsidR="00F6032D">
        <w:t>’</w:t>
      </w:r>
      <w:r w:rsidRPr="00ED1D2B">
        <w:t>avancer à 2025 l</w:t>
      </w:r>
      <w:r w:rsidR="00F6032D">
        <w:t>’</w:t>
      </w:r>
      <w:r w:rsidRPr="00ED1D2B">
        <w:t>arrêt de sa production, initialement prévu pour 2027; qu</w:t>
      </w:r>
      <w:r w:rsidR="00F6032D">
        <w:t>’</w:t>
      </w:r>
      <w:r w:rsidRPr="00ED1D2B">
        <w:t>en outre, en raison de la réorientation de la demande de véhicules de grande taille vers des régions situées en dehors de l</w:t>
      </w:r>
      <w:r w:rsidR="00F6032D">
        <w:t>’</w:t>
      </w:r>
      <w:r w:rsidRPr="00ED1D2B">
        <w:t>Europe, le successeur du modèle Q8 e-tron d</w:t>
      </w:r>
      <w:r w:rsidR="00F6032D">
        <w:t>’</w:t>
      </w:r>
      <w:r w:rsidRPr="00ED1D2B">
        <w:t>Audi ne sera pas produit à Audi BXL, mais plus près des marchés où la demande est plus élevée; que les coûts de production par véhicule à l</w:t>
      </w:r>
      <w:r w:rsidR="00F6032D">
        <w:t>’</w:t>
      </w:r>
      <w:r w:rsidRPr="00ED1D2B">
        <w:t>usine Audi BXL étaient plus élevés que dans d</w:t>
      </w:r>
      <w:r w:rsidR="00F6032D">
        <w:t>’</w:t>
      </w:r>
      <w:r w:rsidRPr="00ED1D2B">
        <w:t>autres usines Audi; qu</w:t>
      </w:r>
      <w:r w:rsidR="00F6032D">
        <w:t>’</w:t>
      </w:r>
      <w:r w:rsidRPr="00ED1D2B">
        <w:t xml:space="preserve">Audi a également déclaré que </w:t>
      </w:r>
      <w:r w:rsidRPr="00ED1D2B">
        <w:lastRenderedPageBreak/>
        <w:t>des facteurs structurels, tels que la localisation d</w:t>
      </w:r>
      <w:r w:rsidR="00F6032D">
        <w:t>’</w:t>
      </w:r>
      <w:r w:rsidRPr="00ED1D2B">
        <w:t>Audi BXL dans la zone métropolitaine bruxelloise, entre une zone résidentielle et une ligne ferroviaire, ont rendu difficiles l</w:t>
      </w:r>
      <w:r w:rsidR="00F6032D">
        <w:t>’</w:t>
      </w:r>
      <w:r w:rsidRPr="00ED1D2B">
        <w:t>optimisation et l</w:t>
      </w:r>
      <w:r w:rsidR="00F6032D">
        <w:t>’</w:t>
      </w:r>
      <w:r w:rsidRPr="00ED1D2B">
        <w:t>adaptation des installations, ce qui s</w:t>
      </w:r>
      <w:r w:rsidR="00F6032D">
        <w:t>’</w:t>
      </w:r>
      <w:r w:rsidRPr="00ED1D2B">
        <w:t>est traduit par des coûts plus élevés, et que l</w:t>
      </w:r>
      <w:r w:rsidR="00F6032D">
        <w:t>’</w:t>
      </w:r>
      <w:r w:rsidRPr="00ED1D2B">
        <w:t>absence de lignes de presse et l</w:t>
      </w:r>
      <w:r w:rsidR="00F6032D">
        <w:t>’</w:t>
      </w:r>
      <w:r w:rsidRPr="00ED1D2B">
        <w:t>absence d</w:t>
      </w:r>
      <w:r w:rsidR="00F6032D">
        <w:t>’</w:t>
      </w:r>
      <w:r w:rsidRPr="00ED1D2B">
        <w:t>un réseau de fournisseurs à proximité ont également contribué à l</w:t>
      </w:r>
      <w:r w:rsidR="00F6032D">
        <w:t>’</w:t>
      </w:r>
      <w:r w:rsidRPr="00ED1D2B">
        <w:t>augmentation des coûts, notamment en matière de logistique; que ces facteurs ont par conséquent conduit à la cessation des activités et à la fermeture de l</w:t>
      </w:r>
      <w:r w:rsidR="00F6032D">
        <w:t>’</w:t>
      </w:r>
      <w:r w:rsidRPr="00ED1D2B">
        <w:t>usine, et donc au licenciement des travailleurs;</w:t>
      </w:r>
    </w:p>
    <w:p w14:paraId="52C5EA4A" w14:textId="23420883" w:rsidR="0043302F" w:rsidRPr="00ED1D2B" w:rsidRDefault="0043302F" w:rsidP="009658FB">
      <w:pPr>
        <w:pStyle w:val="LetterSignature66b"/>
        <w:spacing w:before="100" w:beforeAutospacing="1" w:after="100" w:afterAutospacing="1"/>
        <w:ind w:left="720" w:hanging="720"/>
      </w:pPr>
      <w:r w:rsidRPr="00ED1D2B">
        <w:t>F.</w:t>
      </w:r>
      <w:r w:rsidRPr="00ED1D2B">
        <w:tab/>
        <w:t>considérant que la création d</w:t>
      </w:r>
      <w:r w:rsidR="00F6032D">
        <w:t>’</w:t>
      </w:r>
      <w:r w:rsidRPr="00ED1D2B">
        <w:t>emplois en Belgique s</w:t>
      </w:r>
      <w:r w:rsidR="00F6032D">
        <w:t>’</w:t>
      </w:r>
      <w:r w:rsidRPr="00ED1D2B">
        <w:t>est ralentie en 2024 et que seuls 13 400 emplois ont été créés, soit un tiers du nombre d</w:t>
      </w:r>
      <w:r w:rsidR="00F6032D">
        <w:t>’</w:t>
      </w:r>
      <w:r w:rsidRPr="00ED1D2B">
        <w:t>emplois créés en 2023; que les faillites sont en hausse depuis 2022; qu</w:t>
      </w:r>
      <w:r w:rsidR="00F6032D">
        <w:t>’</w:t>
      </w:r>
      <w:r w:rsidRPr="00ED1D2B">
        <w:t>en 2024, plus de 11 000 entreprises ont été déclarées en faillite, soit le chiffre le plus élevé depuis 2013; que cette tendance à la hausse s</w:t>
      </w:r>
      <w:r w:rsidR="00F6032D">
        <w:t>’</w:t>
      </w:r>
      <w:r w:rsidRPr="00ED1D2B">
        <w:t xml:space="preserve">est poursuivie, 8 483 entreprises ayant fait faillite entre janvier et septembre 2025; </w:t>
      </w:r>
    </w:p>
    <w:p w14:paraId="0DB9FBB7" w14:textId="53E71B7C" w:rsidR="0043302F" w:rsidRPr="00ED1D2B" w:rsidRDefault="0043302F" w:rsidP="009658FB">
      <w:pPr>
        <w:pStyle w:val="LetterSignature66b"/>
        <w:spacing w:before="100" w:beforeAutospacing="1" w:after="100" w:afterAutospacing="1"/>
        <w:ind w:left="720" w:hanging="720"/>
      </w:pPr>
      <w:r w:rsidRPr="00ED1D2B">
        <w:t>G.</w:t>
      </w:r>
      <w:r w:rsidRPr="00ED1D2B">
        <w:tab/>
        <w:t>considérant que, selon les autorités belges, l</w:t>
      </w:r>
      <w:r w:rsidR="00F6032D">
        <w:t>’</w:t>
      </w:r>
      <w:r w:rsidRPr="00ED1D2B">
        <w:t>incidence des licenciements chez Audi et chez ses fournisseurs et producteurs en aval devrait encore aggraver la situation dans le Hainaut (Wallonie) et à Bruxelles, qui sont des bassins d</w:t>
      </w:r>
      <w:r w:rsidR="00F6032D">
        <w:t>’</w:t>
      </w:r>
      <w:r w:rsidRPr="00ED1D2B">
        <w:t>emploi défavorisés où le chômage de longue durée est répandu (respectivement 67 % et 62 % des demandeurs d</w:t>
      </w:r>
      <w:r w:rsidR="00F6032D">
        <w:t>’</w:t>
      </w:r>
      <w:r w:rsidRPr="00ED1D2B">
        <w:t>emploi sont au chômage depuis plus de 12 mois);</w:t>
      </w:r>
    </w:p>
    <w:p w14:paraId="32FA655C" w14:textId="3F9A8EC9" w:rsidR="0043302F" w:rsidRPr="00ED1D2B" w:rsidRDefault="0043302F" w:rsidP="009658FB">
      <w:pPr>
        <w:pStyle w:val="LetterSignature66b"/>
        <w:spacing w:before="100" w:beforeAutospacing="1" w:after="100" w:afterAutospacing="1"/>
        <w:ind w:left="720" w:hanging="720"/>
      </w:pPr>
      <w:r w:rsidRPr="00ED1D2B">
        <w:t>H.</w:t>
      </w:r>
      <w:r w:rsidRPr="00ED1D2B">
        <w:tab/>
        <w:t>considérant que la Belgique a indiqué que l</w:t>
      </w:r>
      <w:r w:rsidR="00F6032D">
        <w:t>’</w:t>
      </w:r>
      <w:r w:rsidRPr="00ED1D2B">
        <w:t>ensemble coordonné de services personnalisés a été établi en concertation avec les partenaires sociaux, conformément à l</w:t>
      </w:r>
      <w:r w:rsidR="00F6032D">
        <w:t>’</w:t>
      </w:r>
      <w:r w:rsidRPr="00ED1D2B">
        <w:t xml:space="preserve">article 7, paragraphe 4, du règlement FEM; </w:t>
      </w:r>
    </w:p>
    <w:p w14:paraId="4B0F5802" w14:textId="0F15180F" w:rsidR="0043302F" w:rsidRPr="00ED1D2B" w:rsidRDefault="0043302F" w:rsidP="009658FB">
      <w:pPr>
        <w:pStyle w:val="LetterSignature66b"/>
        <w:spacing w:before="100" w:beforeAutospacing="1" w:after="100" w:afterAutospacing="1"/>
        <w:ind w:left="720" w:hanging="720"/>
      </w:pPr>
      <w:r w:rsidRPr="00ED1D2B">
        <w:t>I.</w:t>
      </w:r>
      <w:r w:rsidRPr="00ED1D2B">
        <w:tab/>
        <w:t>considérant que la dotation annuelle du FEM n</w:t>
      </w:r>
      <w:r w:rsidR="00F6032D">
        <w:t>’</w:t>
      </w:r>
      <w:r w:rsidRPr="00ED1D2B">
        <w:t>excède pas un montant maximal de 30 millions d</w:t>
      </w:r>
      <w:r w:rsidR="00F6032D">
        <w:t>’</w:t>
      </w:r>
      <w:r w:rsidRPr="00ED1D2B">
        <w:t>EUR (aux prix de 2018), comme le prévoit l</w:t>
      </w:r>
      <w:r w:rsidR="00F6032D">
        <w:t>’</w:t>
      </w:r>
      <w:r w:rsidRPr="00ED1D2B">
        <w:t>article 8 du règlement (UE, Euratom) 2020/2093 du Conseil du 17 décembre 2020 fixant le cadre financier pluriannuel pour les années 2021 à 2027;</w:t>
      </w:r>
    </w:p>
    <w:p w14:paraId="26B0198C" w14:textId="4F89137C" w:rsidR="0043302F" w:rsidRPr="00ED1D2B" w:rsidRDefault="0043302F" w:rsidP="00C7624B">
      <w:pPr>
        <w:pStyle w:val="LetterSignature66b"/>
        <w:spacing w:before="100" w:beforeAutospacing="1" w:after="100" w:afterAutospacing="1"/>
      </w:pPr>
      <w:r w:rsidRPr="00ED1D2B">
        <w:t>Par conséquent, la commission de l</w:t>
      </w:r>
      <w:r w:rsidR="00F6032D">
        <w:t>’</w:t>
      </w:r>
      <w:r w:rsidRPr="00ED1D2B">
        <w:t>emploi et des affaires sociales invite la commission des budgets, compétente au fond, à incorporer dans la proposition de résolution qu</w:t>
      </w:r>
      <w:r w:rsidR="00F6032D">
        <w:t>’</w:t>
      </w:r>
      <w:r w:rsidRPr="00ED1D2B">
        <w:t>elle adoptera les suggestions suivantes:</w:t>
      </w:r>
    </w:p>
    <w:p w14:paraId="4CD0DB03" w14:textId="256C95F3" w:rsidR="0043302F" w:rsidRPr="00ED1D2B" w:rsidRDefault="0043302F" w:rsidP="009658FB">
      <w:pPr>
        <w:pStyle w:val="LetterSignature66b"/>
        <w:spacing w:before="100" w:beforeAutospacing="1" w:after="100" w:afterAutospacing="1"/>
        <w:ind w:left="720" w:hanging="720"/>
      </w:pPr>
      <w:r w:rsidRPr="00ED1D2B">
        <w:t>1.</w:t>
      </w:r>
      <w:r w:rsidRPr="00ED1D2B">
        <w:tab/>
        <w:t>rappelle que l</w:t>
      </w:r>
      <w:r w:rsidR="00F6032D">
        <w:t>’</w:t>
      </w:r>
      <w:r w:rsidRPr="00ED1D2B">
        <w:t>objectif du FEM est de faire preuve de solidarité avec les bénéficiaires et de leur apporter un soutien; estime que les contributions financières du FEM devraient être principalement orientées vers des mesures actives de politique du marché du travail et des services personnalisés visant à réintégrer, rapidement et de manière durable, les bénéficiaires sur le marché du travail, avec des emplois décents, dans leur secteur d</w:t>
      </w:r>
      <w:r w:rsidR="00F6032D">
        <w:t>’</w:t>
      </w:r>
      <w:r w:rsidRPr="00ED1D2B">
        <w:t>activité initial ou en dehors de celui-ci; souligne qu</w:t>
      </w:r>
      <w:r w:rsidR="00F6032D">
        <w:t>’</w:t>
      </w:r>
      <w:r w:rsidRPr="00ED1D2B">
        <w:t>il importe de préparer les travailleurs aux urgentes transitions écologique et numérique de l</w:t>
      </w:r>
      <w:r w:rsidR="00F6032D">
        <w:t>’</w:t>
      </w:r>
      <w:r w:rsidRPr="00ED1D2B">
        <w:t>économie et de la société européennes, ainsi que de les épauler; rappelle, dans ce contexte, le rôle important que joue l</w:t>
      </w:r>
      <w:r w:rsidR="00F6032D">
        <w:t>’</w:t>
      </w:r>
      <w:r w:rsidRPr="00ED1D2B">
        <w:t>Union, y compris par l</w:t>
      </w:r>
      <w:r w:rsidR="00F6032D">
        <w:t>’</w:t>
      </w:r>
      <w:r w:rsidRPr="00ED1D2B">
        <w:t>intermédiaire du FEM, pour contribuer au financement des qualifications nécessaires à la transition juste, conformément au pacte vert pour l</w:t>
      </w:r>
      <w:r w:rsidR="00F6032D">
        <w:t>’</w:t>
      </w:r>
      <w:r w:rsidRPr="00ED1D2B">
        <w:t xml:space="preserve">Europe; </w:t>
      </w:r>
    </w:p>
    <w:p w14:paraId="036EE30D" w14:textId="417756A5" w:rsidR="0043302F" w:rsidRPr="00ED1D2B" w:rsidRDefault="0043302F" w:rsidP="009658FB">
      <w:pPr>
        <w:pStyle w:val="LetterSignature66b"/>
        <w:spacing w:before="100" w:beforeAutospacing="1" w:after="100" w:afterAutospacing="1"/>
        <w:ind w:left="720" w:hanging="720"/>
      </w:pPr>
      <w:r w:rsidRPr="00ED1D2B">
        <w:t>2.</w:t>
      </w:r>
      <w:r w:rsidRPr="00ED1D2B">
        <w:tab/>
        <w:t>convient avec la Commission que les conditions énoncées à l</w:t>
      </w:r>
      <w:r w:rsidR="00F6032D">
        <w:t>’</w:t>
      </w:r>
      <w:r w:rsidRPr="00ED1D2B">
        <w:t>article 4, paragraphe 2, point a), du règlement FEM sont remplies et que la Belgique a droit, au titre dudit règlement, à une contribution financière d</w:t>
      </w:r>
      <w:r w:rsidR="00F6032D">
        <w:t>’</w:t>
      </w:r>
      <w:r w:rsidRPr="00ED1D2B">
        <w:t xml:space="preserve">un montant de 7 527 625 EUR, ce qui </w:t>
      </w:r>
      <w:r w:rsidRPr="00ED1D2B">
        <w:lastRenderedPageBreak/>
        <w:t>représente 85 % du coût total de 8 856 030 EUR, comprenant des dépenses de 8 738 968 EUR pour les services personnalisés et de 117 062 EUR pour la mise en œuvre du FEM;</w:t>
      </w:r>
    </w:p>
    <w:p w14:paraId="50091ED9" w14:textId="5694029E" w:rsidR="0043302F" w:rsidRPr="00ED1D2B" w:rsidRDefault="0043302F" w:rsidP="009658FB">
      <w:pPr>
        <w:pStyle w:val="LetterSignature66b"/>
        <w:spacing w:before="100" w:beforeAutospacing="1" w:after="100" w:afterAutospacing="1"/>
        <w:ind w:left="720" w:hanging="720"/>
      </w:pPr>
      <w:r w:rsidRPr="00ED1D2B">
        <w:t>3.</w:t>
      </w:r>
      <w:r w:rsidRPr="00ED1D2B">
        <w:tab/>
        <w:t>constate que la Belgique a apporté toutes les assurances nécessaires que les exigences fixées dans la législation nationale et dans celle de l</w:t>
      </w:r>
      <w:r w:rsidR="00F6032D">
        <w:t>’</w:t>
      </w:r>
      <w:r w:rsidRPr="00ED1D2B">
        <w:t>Union concernant les licenciements collectifs ont été respectées et que les principes d</w:t>
      </w:r>
      <w:r w:rsidR="00F6032D">
        <w:t>’</w:t>
      </w:r>
      <w:r w:rsidRPr="00ED1D2B">
        <w:t>égalité de traitement et de non-discrimination seront respectés pour l</w:t>
      </w:r>
      <w:r w:rsidR="00F6032D">
        <w:t>’</w:t>
      </w:r>
      <w:r w:rsidRPr="00ED1D2B">
        <w:t>accès aux mesures proposées et leur mise en œuvre;</w:t>
      </w:r>
    </w:p>
    <w:p w14:paraId="08F13C5C" w14:textId="437E6F1A" w:rsidR="0043302F" w:rsidRPr="00ED1D2B" w:rsidRDefault="0043302F" w:rsidP="009658FB">
      <w:pPr>
        <w:pStyle w:val="LetterSignature66b"/>
        <w:spacing w:before="100" w:beforeAutospacing="1" w:after="100" w:afterAutospacing="1"/>
        <w:ind w:left="720" w:hanging="720"/>
      </w:pPr>
      <w:r w:rsidRPr="00ED1D2B">
        <w:t>4.</w:t>
      </w:r>
      <w:r w:rsidRPr="00ED1D2B">
        <w:tab/>
        <w:t>observe que les travailleurs peu qualifiés et les travailleurs plus âgés ont beaucoup moins de possibilités de réintégrer le marché du travail dans les régions touchées et que les licenciements chez Audi ont frappé plus durement ces groupes vulnérables; rappelle le profil des travailleurs licenciés, dont près d</w:t>
      </w:r>
      <w:r w:rsidR="00F6032D">
        <w:t>’</w:t>
      </w:r>
      <w:r w:rsidRPr="00ED1D2B">
        <w:t>un sur quatre est âgé de plus de</w:t>
      </w:r>
      <w:r w:rsidR="007565FE">
        <w:t> </w:t>
      </w:r>
      <w:r w:rsidRPr="00ED1D2B">
        <w:t>54 ans et a un niveau d</w:t>
      </w:r>
      <w:r w:rsidR="00F6032D">
        <w:t>’</w:t>
      </w:r>
      <w:r w:rsidRPr="00ED1D2B">
        <w:t>études de cycle secondaire ou moins, et estime que, compte tenu également de la tendance à la baisse des offres d</w:t>
      </w:r>
      <w:r w:rsidR="00F6032D">
        <w:t>’</w:t>
      </w:r>
      <w:r w:rsidRPr="00ED1D2B">
        <w:t>emplois et de sa répartition géographique, les travailleurs auront besoin d</w:t>
      </w:r>
      <w:r w:rsidR="00F6032D">
        <w:t>’</w:t>
      </w:r>
      <w:r w:rsidRPr="00ED1D2B">
        <w:t>un soutien supplémentaire adapté, notamment d</w:t>
      </w:r>
      <w:r w:rsidR="00F6032D">
        <w:t>’</w:t>
      </w:r>
      <w:r w:rsidRPr="00ED1D2B">
        <w:t>une assistance ciblée axée sur le perfectionnement et la reconversion professionnels, pour les aider à retrouver un emploi dans des régions de Belgique où il existe une demande sur le marché du travail;</w:t>
      </w:r>
    </w:p>
    <w:p w14:paraId="29A53A83" w14:textId="19091D59" w:rsidR="0043302F" w:rsidRPr="00ED1D2B" w:rsidRDefault="0043302F" w:rsidP="009658FB">
      <w:pPr>
        <w:pStyle w:val="LetterSignature66b"/>
        <w:spacing w:before="100" w:beforeAutospacing="1" w:after="100" w:afterAutospacing="1"/>
        <w:ind w:left="720" w:hanging="720"/>
      </w:pPr>
      <w:r w:rsidRPr="00ED1D2B">
        <w:t>5.</w:t>
      </w:r>
      <w:r w:rsidRPr="00ED1D2B">
        <w:tab/>
        <w:t>souligne que la Belgique a confirmé que les mesures bénéficiant d</w:t>
      </w:r>
      <w:r w:rsidR="00F6032D">
        <w:t>’</w:t>
      </w:r>
      <w:r w:rsidRPr="00ED1D2B">
        <w:t>une contribution financière du FEM ne recevront pas d</w:t>
      </w:r>
      <w:r w:rsidR="00F6032D">
        <w:t>’</w:t>
      </w:r>
      <w:r w:rsidRPr="00ED1D2B">
        <w:t>aide au titre d</w:t>
      </w:r>
      <w:r w:rsidR="00F6032D">
        <w:t>’</w:t>
      </w:r>
      <w:r w:rsidRPr="00ED1D2B">
        <w:t>autres instruments financiers de l</w:t>
      </w:r>
      <w:r w:rsidR="00F6032D">
        <w:t>’</w:t>
      </w:r>
      <w:r w:rsidRPr="00ED1D2B">
        <w:t>Union;</w:t>
      </w:r>
    </w:p>
    <w:p w14:paraId="42C28A0F" w14:textId="1212FF77" w:rsidR="0043302F" w:rsidRPr="00ED1D2B" w:rsidRDefault="0043302F" w:rsidP="009658FB">
      <w:pPr>
        <w:pStyle w:val="LetterSignature66b"/>
        <w:spacing w:before="100" w:beforeAutospacing="1" w:after="100" w:afterAutospacing="1"/>
        <w:ind w:left="720" w:hanging="720"/>
      </w:pPr>
      <w:r w:rsidRPr="00ED1D2B">
        <w:t>6.</w:t>
      </w:r>
      <w:r w:rsidRPr="00ED1D2B">
        <w:tab/>
        <w:t>observe que les services personnalisés devant être fournis aux travailleurs comprennent les mesures suivantes: a) services d</w:t>
      </w:r>
      <w:r w:rsidR="00F6032D">
        <w:t>’</w:t>
      </w:r>
      <w:r w:rsidRPr="00ED1D2B">
        <w:t>information, de conseil et d</w:t>
      </w:r>
      <w:r w:rsidR="00F6032D">
        <w:t>’</w:t>
      </w:r>
      <w:r w:rsidRPr="00ED1D2B">
        <w:t>orientation professionnels et services de placement; b) formation et reconversion; c)</w:t>
      </w:r>
      <w:r w:rsidR="007565FE">
        <w:t> </w:t>
      </w:r>
      <w:r w:rsidRPr="00ED1D2B">
        <w:t>journée de l</w:t>
      </w:r>
      <w:r w:rsidR="00F6032D">
        <w:t>’</w:t>
      </w:r>
      <w:r w:rsidRPr="00ED1D2B">
        <w:t>emploi; d) promotion de l</w:t>
      </w:r>
      <w:r w:rsidR="00F6032D">
        <w:t>’</w:t>
      </w:r>
      <w:r w:rsidRPr="00ED1D2B">
        <w:t>entrepreneuriat; e) contribution à la création d</w:t>
      </w:r>
      <w:r w:rsidR="00F6032D">
        <w:t>’</w:t>
      </w:r>
      <w:r w:rsidRPr="00ED1D2B">
        <w:t>entreprise; et f) mesures d</w:t>
      </w:r>
      <w:r w:rsidR="00F6032D">
        <w:t>’</w:t>
      </w:r>
      <w:r w:rsidRPr="00ED1D2B">
        <w:t>incitation et allocations (allocations de recherche d</w:t>
      </w:r>
      <w:r w:rsidR="00F6032D">
        <w:t>’</w:t>
      </w:r>
      <w:r w:rsidRPr="00ED1D2B">
        <w:t>emploi, prime pour l</w:t>
      </w:r>
      <w:r w:rsidR="00F6032D">
        <w:t>’</w:t>
      </w:r>
      <w:r w:rsidRPr="00ED1D2B">
        <w:t>amélioration des compétences informatiques, allocation de reprise des études, allocation pour la création d</w:t>
      </w:r>
      <w:r w:rsidR="00F6032D">
        <w:t>’</w:t>
      </w:r>
      <w:r w:rsidRPr="00ED1D2B">
        <w:t>entreprise); souligne que, compte tenu de l</w:t>
      </w:r>
      <w:r w:rsidR="00F6032D">
        <w:t>’</w:t>
      </w:r>
      <w:r w:rsidRPr="00ED1D2B">
        <w:t>âge et du profil éducatif des bénéficiaires visés, il y a lieu de prendre en compte les besoins spécifiques de ces groupes lors de la fourniture de services personnalisés;</w:t>
      </w:r>
    </w:p>
    <w:p w14:paraId="3C372C74" w14:textId="7A9F2478" w:rsidR="0043302F" w:rsidRPr="00ED1D2B" w:rsidRDefault="0043302F" w:rsidP="009658FB">
      <w:pPr>
        <w:pStyle w:val="LetterSignature66b"/>
        <w:spacing w:before="100" w:beforeAutospacing="1" w:after="100" w:afterAutospacing="1"/>
        <w:ind w:left="720" w:hanging="720"/>
      </w:pPr>
      <w:r w:rsidRPr="00ED1D2B">
        <w:t>7.</w:t>
      </w:r>
      <w:r w:rsidRPr="00ED1D2B">
        <w:tab/>
        <w:t>souligne en particulier l</w:t>
      </w:r>
      <w:r w:rsidR="00F6032D">
        <w:t>’</w:t>
      </w:r>
      <w:r w:rsidRPr="00ED1D2B">
        <w:t>importance de l</w:t>
      </w:r>
      <w:r w:rsidR="00F6032D">
        <w:t>’</w:t>
      </w:r>
      <w:r w:rsidRPr="00ED1D2B">
        <w:t>article 7, paragraphe 2, du règlement FEM, qui exige que l</w:t>
      </w:r>
      <w:r w:rsidR="00F6032D">
        <w:t>’</w:t>
      </w:r>
      <w:r w:rsidRPr="00ED1D2B">
        <w:t>ensemble coordonné de mesures anticipe les perspectives futures du marché du travail et les compétences qui y sont requises, lesquelles doivent être compatibles avec la transition vers une économie durable et efficace dans l</w:t>
      </w:r>
      <w:r w:rsidR="00F6032D">
        <w:t>’</w:t>
      </w:r>
      <w:r w:rsidRPr="00ED1D2B">
        <w:t>utilisation des ressources et mettre particulièrement l</w:t>
      </w:r>
      <w:r w:rsidR="00F6032D">
        <w:t>’</w:t>
      </w:r>
      <w:r w:rsidRPr="00ED1D2B">
        <w:t>accent sur la diffusion des compétences requises à l</w:t>
      </w:r>
      <w:r w:rsidR="00F6032D">
        <w:t>’</w:t>
      </w:r>
      <w:r w:rsidRPr="00ED1D2B">
        <w:t>ère industrielle numérique; se félicite du fait qu</w:t>
      </w:r>
      <w:r w:rsidR="00F6032D">
        <w:t>’</w:t>
      </w:r>
      <w:r w:rsidRPr="00ED1D2B">
        <w:t>une formation en TIC et un soutien complémentaire soient prévus dans le cadre des services d</w:t>
      </w:r>
      <w:r w:rsidR="00F6032D">
        <w:t>’</w:t>
      </w:r>
      <w:r w:rsidRPr="00ED1D2B">
        <w:t>orientation professionnelle et que certaines des formations proposées ainsi que les allocations liées permettent de diffuser les compétences requises à l</w:t>
      </w:r>
      <w:r w:rsidR="00F6032D">
        <w:t>’</w:t>
      </w:r>
      <w:r w:rsidRPr="00ED1D2B">
        <w:t>ère industrielle numérique et dans une économie efficace dans l</w:t>
      </w:r>
      <w:r w:rsidR="00F6032D">
        <w:t>’</w:t>
      </w:r>
      <w:r w:rsidRPr="00ED1D2B">
        <w:t>utilisation des ressources;</w:t>
      </w:r>
    </w:p>
    <w:p w14:paraId="2BB1312A" w14:textId="54480A2A" w:rsidR="0043302F" w:rsidRPr="00ED1D2B" w:rsidRDefault="0043302F" w:rsidP="007565FE">
      <w:pPr>
        <w:pStyle w:val="LetterSignature66b"/>
        <w:widowControl/>
        <w:spacing w:before="100" w:beforeAutospacing="1" w:after="100" w:afterAutospacing="1"/>
        <w:ind w:left="720" w:hanging="720"/>
      </w:pPr>
      <w:r w:rsidRPr="00ED1D2B">
        <w:t>8.</w:t>
      </w:r>
      <w:r w:rsidRPr="00ED1D2B">
        <w:tab/>
        <w:t>rappelle qu</w:t>
      </w:r>
      <w:r w:rsidR="00F6032D">
        <w:t>’</w:t>
      </w:r>
      <w:r w:rsidRPr="00ED1D2B">
        <w:t>il est possible d</w:t>
      </w:r>
      <w:r w:rsidR="00F6032D">
        <w:t>’</w:t>
      </w:r>
      <w:r w:rsidRPr="00ED1D2B">
        <w:t>inclure, dans l</w:t>
      </w:r>
      <w:r w:rsidR="00F6032D">
        <w:t>’</w:t>
      </w:r>
      <w:r w:rsidRPr="00ED1D2B">
        <w:t>ensemble coordonné, des mesures spéciales d</w:t>
      </w:r>
      <w:r w:rsidR="00F6032D">
        <w:t>’</w:t>
      </w:r>
      <w:r w:rsidRPr="00ED1D2B">
        <w:t>une durée limitée pouvant servir, entre autres, au versement d</w:t>
      </w:r>
      <w:r w:rsidR="00F6032D">
        <w:t>’</w:t>
      </w:r>
      <w:r w:rsidRPr="00ED1D2B">
        <w:t>allocations de garde d</w:t>
      </w:r>
      <w:r w:rsidR="00F6032D">
        <w:t>’</w:t>
      </w:r>
      <w:r w:rsidRPr="00ED1D2B">
        <w:t>enfant, comme le prévoit l</w:t>
      </w:r>
      <w:r w:rsidR="00F6032D">
        <w:t>’</w:t>
      </w:r>
      <w:r w:rsidRPr="00ED1D2B">
        <w:t xml:space="preserve">article 7, paragraphe 2, point b), du règlement FEM afin </w:t>
      </w:r>
      <w:r w:rsidRPr="00ED1D2B">
        <w:lastRenderedPageBreak/>
        <w:t>de faciliter la participation des personnes en recherche d</w:t>
      </w:r>
      <w:r w:rsidR="00F6032D">
        <w:t>’</w:t>
      </w:r>
      <w:r w:rsidRPr="00ED1D2B">
        <w:t>emploi aux activités proposées;</w:t>
      </w:r>
    </w:p>
    <w:p w14:paraId="47B7D5A0" w14:textId="77777777" w:rsidR="0043302F" w:rsidRPr="00ED1D2B" w:rsidRDefault="0043302F" w:rsidP="009658FB">
      <w:pPr>
        <w:pStyle w:val="LetterSignature66b"/>
        <w:spacing w:before="100" w:beforeAutospacing="1" w:after="100" w:afterAutospacing="1"/>
        <w:ind w:left="720" w:hanging="720"/>
      </w:pPr>
      <w:r w:rsidRPr="00ED1D2B">
        <w:t>9.</w:t>
      </w:r>
      <w:r w:rsidRPr="00ED1D2B">
        <w:tab/>
        <w:t>recommande que les mesures prévues au titre du FEM soient mises en œuvre en étroite coopération avec les partenaires sociaux.</w:t>
      </w:r>
    </w:p>
    <w:p w14:paraId="728B2BE5" w14:textId="77777777" w:rsidR="0043302F" w:rsidRPr="00ED1D2B" w:rsidRDefault="0043302F" w:rsidP="009658FB">
      <w:pPr>
        <w:pStyle w:val="LetterSignature66b"/>
        <w:spacing w:before="100" w:beforeAutospacing="1" w:after="100" w:afterAutospacing="1"/>
        <w:ind w:left="720" w:hanging="720"/>
      </w:pPr>
    </w:p>
    <w:p w14:paraId="568E5A41" w14:textId="6765E2D8" w:rsidR="0043302F" w:rsidRDefault="0043302F" w:rsidP="0043302F">
      <w:pPr>
        <w:rPr>
          <w:lang w:val="fr-BE"/>
        </w:rPr>
        <w:sectPr w:rsidR="0043302F" w:rsidSect="004330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62B4E8F" w14:textId="06571A08" w:rsidR="00E00022" w:rsidRDefault="00E00022">
      <w:pPr>
        <w:widowControl/>
        <w:rPr>
          <w:b/>
          <w:bCs/>
        </w:rPr>
      </w:pPr>
    </w:p>
    <w:p w14:paraId="1917508B" w14:textId="19CE2342" w:rsidR="00E00022" w:rsidRDefault="00E00022" w:rsidP="004D781A">
      <w:pPr>
        <w:pStyle w:val="PageHeading"/>
        <w:rPr>
          <w:b w:val="0"/>
          <w:bCs/>
          <w:color w:val="000000"/>
        </w:rPr>
      </w:pPr>
      <w:bookmarkStart w:id="13" w:name="_Toc221112098"/>
      <w:r>
        <w:t>INFORMATIONS SUR L</w:t>
      </w:r>
      <w:r w:rsidR="00F6032D">
        <w:t>’</w:t>
      </w:r>
      <w:r>
        <w:t>ADOPTION</w:t>
      </w:r>
      <w:r>
        <w:br/>
        <w:t>PAR LA COMMISSION COMPÉTENTE AU FOND</w:t>
      </w:r>
      <w:bookmarkEnd w:id="13"/>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00022" w14:paraId="5F9B8785" w14:textId="77777777" w:rsidTr="001665F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79AF33" w14:textId="33787A99" w:rsidR="00E00022" w:rsidRDefault="00E00022" w:rsidP="001665F9">
            <w:pPr>
              <w:autoSpaceDE w:val="0"/>
              <w:autoSpaceDN w:val="0"/>
              <w:adjustRightInd w:val="0"/>
              <w:rPr>
                <w:b/>
                <w:bCs/>
                <w:color w:val="000000"/>
                <w:sz w:val="20"/>
              </w:rPr>
            </w:pPr>
            <w:r>
              <w:rPr>
                <w:b/>
                <w:color w:val="000000"/>
                <w:sz w:val="20"/>
              </w:rPr>
              <w:t>Date de l</w:t>
            </w:r>
            <w:r w:rsidR="00F6032D">
              <w:rPr>
                <w:b/>
                <w:color w:val="000000"/>
                <w:sz w:val="20"/>
              </w:rPr>
              <w:t>’</w:t>
            </w:r>
            <w:r>
              <w:rPr>
                <w:b/>
                <w:color w:val="000000"/>
                <w:sz w:val="20"/>
              </w:rPr>
              <w:t>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D43150B" w14:textId="77777777" w:rsidR="00E00022" w:rsidRDefault="00E00022" w:rsidP="001665F9">
            <w:pPr>
              <w:autoSpaceDE w:val="0"/>
              <w:autoSpaceDN w:val="0"/>
              <w:adjustRightInd w:val="0"/>
              <w:rPr>
                <w:color w:val="000000"/>
                <w:sz w:val="20"/>
              </w:rPr>
            </w:pPr>
            <w:r>
              <w:rPr>
                <w:color w:val="000000"/>
                <w:sz w:val="20"/>
              </w:rPr>
              <w:t>28.1.2026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18AEE7B" w14:textId="77777777" w:rsidR="00E00022" w:rsidRDefault="00E00022" w:rsidP="001665F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9EBDA53" w14:textId="77777777" w:rsidR="00E00022" w:rsidRDefault="00E00022" w:rsidP="001665F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8235C5F" w14:textId="77777777" w:rsidR="00E00022" w:rsidRDefault="00E00022" w:rsidP="001665F9">
            <w:pPr>
              <w:autoSpaceDE w:val="0"/>
              <w:autoSpaceDN w:val="0"/>
              <w:adjustRightInd w:val="0"/>
              <w:rPr>
                <w:rFonts w:ascii="sans-serif" w:hAnsi="sans-serif" w:cs="sans-serif"/>
                <w:color w:val="000000"/>
              </w:rPr>
            </w:pPr>
          </w:p>
        </w:tc>
      </w:tr>
      <w:tr w:rsidR="00E00022" w14:paraId="0121D031" w14:textId="77777777" w:rsidTr="001665F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CAADF71" w14:textId="77777777" w:rsidR="00E00022" w:rsidRDefault="00E00022" w:rsidP="001665F9">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24AE1FE" w14:textId="77777777" w:rsidR="00E00022" w:rsidRDefault="00E00022" w:rsidP="001665F9">
            <w:pPr>
              <w:autoSpaceDE w:val="0"/>
              <w:autoSpaceDN w:val="0"/>
              <w:adjustRightInd w:val="0"/>
              <w:rPr>
                <w:color w:val="000000"/>
                <w:sz w:val="20"/>
              </w:rPr>
            </w:pPr>
            <w:r>
              <w:rPr>
                <w:color w:val="000000"/>
                <w:sz w:val="20"/>
              </w:rPr>
              <w:t>+:</w:t>
            </w:r>
          </w:p>
          <w:p w14:paraId="3DCCB580" w14:textId="77777777" w:rsidR="00E00022" w:rsidRDefault="00E00022" w:rsidP="001665F9">
            <w:pPr>
              <w:autoSpaceDE w:val="0"/>
              <w:autoSpaceDN w:val="0"/>
              <w:adjustRightInd w:val="0"/>
              <w:rPr>
                <w:color w:val="000000"/>
                <w:sz w:val="20"/>
              </w:rPr>
            </w:pPr>
            <w:r>
              <w:rPr>
                <w:color w:val="000000"/>
                <w:sz w:val="20"/>
              </w:rPr>
              <w:t>–:</w:t>
            </w:r>
          </w:p>
          <w:p w14:paraId="715BBC73" w14:textId="77777777" w:rsidR="00E00022" w:rsidRDefault="00E00022" w:rsidP="001665F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7597685" w14:textId="77777777" w:rsidR="00E00022" w:rsidRDefault="00E00022" w:rsidP="001665F9">
            <w:pPr>
              <w:autoSpaceDE w:val="0"/>
              <w:autoSpaceDN w:val="0"/>
              <w:adjustRightInd w:val="0"/>
              <w:rPr>
                <w:color w:val="000000"/>
                <w:sz w:val="20"/>
              </w:rPr>
            </w:pPr>
            <w:r>
              <w:rPr>
                <w:color w:val="000000"/>
                <w:sz w:val="20"/>
              </w:rPr>
              <w:t>24</w:t>
            </w:r>
          </w:p>
          <w:p w14:paraId="6E24B823" w14:textId="77777777" w:rsidR="00E00022" w:rsidRDefault="00E00022" w:rsidP="001665F9">
            <w:pPr>
              <w:autoSpaceDE w:val="0"/>
              <w:autoSpaceDN w:val="0"/>
              <w:adjustRightInd w:val="0"/>
              <w:rPr>
                <w:color w:val="000000"/>
                <w:sz w:val="20"/>
              </w:rPr>
            </w:pPr>
            <w:r>
              <w:rPr>
                <w:color w:val="000000"/>
                <w:sz w:val="20"/>
              </w:rPr>
              <w:t>2</w:t>
            </w:r>
          </w:p>
          <w:p w14:paraId="11B8FF2B" w14:textId="77777777" w:rsidR="00E00022" w:rsidRDefault="00E00022" w:rsidP="001665F9">
            <w:pPr>
              <w:autoSpaceDE w:val="0"/>
              <w:autoSpaceDN w:val="0"/>
              <w:adjustRightInd w:val="0"/>
              <w:rPr>
                <w:color w:val="000000"/>
                <w:sz w:val="20"/>
              </w:rPr>
            </w:pPr>
            <w:r>
              <w:rPr>
                <w:color w:val="000000"/>
                <w:sz w:val="20"/>
              </w:rPr>
              <w:t>1</w:t>
            </w:r>
          </w:p>
        </w:tc>
      </w:tr>
    </w:tbl>
    <w:p w14:paraId="28D58ACC" w14:textId="61DDB93A" w:rsidR="00E00022" w:rsidRDefault="00E00022" w:rsidP="00813F0D">
      <w:pPr>
        <w:pStyle w:val="Normal24a"/>
        <w:jc w:val="center"/>
        <w:rPr>
          <w:b/>
          <w:bCs/>
          <w:lang w:val="fr-CH"/>
        </w:rPr>
      </w:pPr>
    </w:p>
    <w:p w14:paraId="34359ECD" w14:textId="77777777" w:rsidR="00E00022" w:rsidRDefault="00E00022" w:rsidP="00E00022">
      <w:pPr>
        <w:sectPr w:rsidR="00E00022" w:rsidSect="004330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24C646" w14:textId="410CFEDF" w:rsidR="00E00022" w:rsidRPr="0099178F" w:rsidRDefault="00E00022" w:rsidP="008B71C9">
      <w:pPr>
        <w:pStyle w:val="PageHeading"/>
      </w:pPr>
      <w:bookmarkStart w:id="14" w:name="RollCallPageRR"/>
      <w:bookmarkStart w:id="15" w:name="_Toc221112099"/>
      <w:r>
        <w:lastRenderedPageBreak/>
        <w:t>VOTE FINAL PAR APPEL NOMINAL</w:t>
      </w:r>
      <w:r>
        <w:br/>
        <w:t>PAR LA COMMISSION COMPÉTENTE AU FOND</w:t>
      </w:r>
      <w:bookmarkEnd w:id="15"/>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33E1" w:rsidRPr="00606918" w14:paraId="18AB75FC" w14:textId="77777777" w:rsidTr="001665F9">
        <w:trPr>
          <w:cantSplit/>
        </w:trPr>
        <w:tc>
          <w:tcPr>
            <w:tcW w:w="1701" w:type="dxa"/>
            <w:shd w:val="pct10" w:color="000000" w:fill="FFFFFF"/>
            <w:vAlign w:val="center"/>
          </w:tcPr>
          <w:p w14:paraId="2C609ABB" w14:textId="77777777" w:rsidR="000533E1" w:rsidRPr="00606918" w:rsidRDefault="000533E1" w:rsidP="001665F9">
            <w:pPr>
              <w:pStyle w:val="RollCallVotes"/>
            </w:pPr>
            <w:r>
              <w:t>24</w:t>
            </w:r>
          </w:p>
        </w:tc>
        <w:tc>
          <w:tcPr>
            <w:tcW w:w="7371" w:type="dxa"/>
            <w:shd w:val="pct10" w:color="000000" w:fill="FFFFFF"/>
          </w:tcPr>
          <w:p w14:paraId="111CCB2F" w14:textId="77777777" w:rsidR="000533E1" w:rsidRPr="00606918" w:rsidRDefault="000533E1" w:rsidP="001665F9">
            <w:pPr>
              <w:pStyle w:val="RollCallSymbols14pt"/>
            </w:pPr>
            <w:r>
              <w:t>+</w:t>
            </w:r>
          </w:p>
        </w:tc>
      </w:tr>
      <w:tr w:rsidR="000533E1" w:rsidRPr="00606918" w14:paraId="15B832E1" w14:textId="77777777" w:rsidTr="001665F9">
        <w:trPr>
          <w:cantSplit/>
        </w:trPr>
        <w:tc>
          <w:tcPr>
            <w:tcW w:w="1701" w:type="dxa"/>
            <w:shd w:val="clear" w:color="auto" w:fill="FFFFFF"/>
          </w:tcPr>
          <w:p w14:paraId="04DA08F6" w14:textId="77777777" w:rsidR="000533E1" w:rsidRPr="00606918" w:rsidRDefault="000533E1" w:rsidP="001665F9">
            <w:pPr>
              <w:pStyle w:val="RollCallTable"/>
            </w:pPr>
            <w:r>
              <w:t>PPE</w:t>
            </w:r>
          </w:p>
        </w:tc>
        <w:tc>
          <w:tcPr>
            <w:tcW w:w="7371" w:type="dxa"/>
            <w:shd w:val="clear" w:color="auto" w:fill="FFFFFF"/>
          </w:tcPr>
          <w:p w14:paraId="3B9672A0" w14:textId="77777777" w:rsidR="000533E1" w:rsidRPr="00606918" w:rsidRDefault="000533E1" w:rsidP="001665F9">
            <w:pPr>
              <w:pStyle w:val="RollCallTable"/>
            </w:pPr>
            <w:r>
              <w:t>Georgios Aftias, Isabel Benjumea Benjumea, Gheorghe Falcă, Danuše Nerudová, Karlo Ressler, Hélder Sousa Silva</w:t>
            </w:r>
          </w:p>
        </w:tc>
      </w:tr>
      <w:tr w:rsidR="000533E1" w:rsidRPr="00606918" w14:paraId="71A60B6A" w14:textId="77777777" w:rsidTr="001665F9">
        <w:trPr>
          <w:cantSplit/>
        </w:trPr>
        <w:tc>
          <w:tcPr>
            <w:tcW w:w="1701" w:type="dxa"/>
            <w:shd w:val="clear" w:color="auto" w:fill="FFFFFF"/>
          </w:tcPr>
          <w:p w14:paraId="5684918B" w14:textId="77777777" w:rsidR="000533E1" w:rsidRPr="00606918" w:rsidRDefault="000533E1" w:rsidP="001665F9">
            <w:pPr>
              <w:pStyle w:val="RollCallTable"/>
            </w:pPr>
            <w:r>
              <w:t>PfE</w:t>
            </w:r>
          </w:p>
        </w:tc>
        <w:tc>
          <w:tcPr>
            <w:tcW w:w="7371" w:type="dxa"/>
            <w:shd w:val="clear" w:color="auto" w:fill="FFFFFF"/>
          </w:tcPr>
          <w:p w14:paraId="36D056FD" w14:textId="77777777" w:rsidR="000533E1" w:rsidRPr="00606918" w:rsidRDefault="000533E1" w:rsidP="001665F9">
            <w:pPr>
              <w:pStyle w:val="RollCallTable"/>
            </w:pPr>
            <w:r>
              <w:t>Tomasz Buczek, Tamás Deutsch, Angéline Furet, Jana Nagyová, Julien Sanchez</w:t>
            </w:r>
          </w:p>
        </w:tc>
      </w:tr>
      <w:tr w:rsidR="000533E1" w:rsidRPr="00606918" w14:paraId="5A808E60" w14:textId="77777777" w:rsidTr="001665F9">
        <w:trPr>
          <w:cantSplit/>
        </w:trPr>
        <w:tc>
          <w:tcPr>
            <w:tcW w:w="1701" w:type="dxa"/>
            <w:shd w:val="clear" w:color="auto" w:fill="FFFFFF"/>
          </w:tcPr>
          <w:p w14:paraId="0A10C3BE" w14:textId="77777777" w:rsidR="000533E1" w:rsidRPr="00606918" w:rsidRDefault="000533E1" w:rsidP="001665F9">
            <w:pPr>
              <w:pStyle w:val="RollCallTable"/>
            </w:pPr>
            <w:r>
              <w:t>Renew</w:t>
            </w:r>
          </w:p>
        </w:tc>
        <w:tc>
          <w:tcPr>
            <w:tcW w:w="7371" w:type="dxa"/>
            <w:shd w:val="clear" w:color="auto" w:fill="FFFFFF"/>
          </w:tcPr>
          <w:p w14:paraId="40320898" w14:textId="77777777" w:rsidR="000533E1" w:rsidRPr="00606918" w:rsidRDefault="000533E1" w:rsidP="001665F9">
            <w:pPr>
              <w:pStyle w:val="RollCallTable"/>
            </w:pPr>
            <w:r>
              <w:t>Fabienne Keller, Lucia Yar</w:t>
            </w:r>
          </w:p>
        </w:tc>
      </w:tr>
      <w:tr w:rsidR="000533E1" w:rsidRPr="00606918" w14:paraId="1B4ADF4B" w14:textId="77777777" w:rsidTr="001665F9">
        <w:trPr>
          <w:cantSplit/>
        </w:trPr>
        <w:tc>
          <w:tcPr>
            <w:tcW w:w="1701" w:type="dxa"/>
            <w:shd w:val="clear" w:color="auto" w:fill="FFFFFF"/>
          </w:tcPr>
          <w:p w14:paraId="10E2ECF1" w14:textId="77777777" w:rsidR="000533E1" w:rsidRPr="00606918" w:rsidRDefault="000533E1" w:rsidP="001665F9">
            <w:pPr>
              <w:pStyle w:val="RollCallTable"/>
            </w:pPr>
            <w:r>
              <w:t>S&amp;D</w:t>
            </w:r>
          </w:p>
        </w:tc>
        <w:tc>
          <w:tcPr>
            <w:tcW w:w="7371" w:type="dxa"/>
            <w:shd w:val="clear" w:color="auto" w:fill="FFFFFF"/>
          </w:tcPr>
          <w:p w14:paraId="6CA89AE3" w14:textId="77777777" w:rsidR="000533E1" w:rsidRPr="00606918" w:rsidRDefault="000533E1" w:rsidP="001665F9">
            <w:pPr>
              <w:pStyle w:val="RollCallTable"/>
            </w:pPr>
            <w:r>
              <w:t>Matthias Ecke, Jean-Marc Germain, Giuseppe Lupo, Nikos Papandreou, Birgit Sippel, Carla Tavares, Nils Ušakovs</w:t>
            </w:r>
          </w:p>
        </w:tc>
      </w:tr>
      <w:tr w:rsidR="000533E1" w:rsidRPr="00606918" w14:paraId="2B8F4F92" w14:textId="77777777" w:rsidTr="001665F9">
        <w:trPr>
          <w:cantSplit/>
        </w:trPr>
        <w:tc>
          <w:tcPr>
            <w:tcW w:w="1701" w:type="dxa"/>
            <w:shd w:val="clear" w:color="auto" w:fill="FFFFFF"/>
          </w:tcPr>
          <w:p w14:paraId="2264F838" w14:textId="77777777" w:rsidR="000533E1" w:rsidRPr="00606918" w:rsidRDefault="000533E1" w:rsidP="001665F9">
            <w:pPr>
              <w:pStyle w:val="RollCallTable"/>
            </w:pPr>
            <w:r>
              <w:t>The Left</w:t>
            </w:r>
          </w:p>
        </w:tc>
        <w:tc>
          <w:tcPr>
            <w:tcW w:w="7371" w:type="dxa"/>
            <w:shd w:val="clear" w:color="auto" w:fill="FFFFFF"/>
          </w:tcPr>
          <w:p w14:paraId="16934A1F" w14:textId="77777777" w:rsidR="000533E1" w:rsidRPr="00606918" w:rsidRDefault="000533E1" w:rsidP="001665F9">
            <w:pPr>
              <w:pStyle w:val="RollCallTable"/>
            </w:pPr>
            <w:r>
              <w:t>Younous Omarjee</w:t>
            </w:r>
          </w:p>
        </w:tc>
      </w:tr>
      <w:tr w:rsidR="000533E1" w:rsidRPr="007565FE" w14:paraId="708321A8" w14:textId="77777777" w:rsidTr="001665F9">
        <w:trPr>
          <w:cantSplit/>
        </w:trPr>
        <w:tc>
          <w:tcPr>
            <w:tcW w:w="1701" w:type="dxa"/>
            <w:shd w:val="clear" w:color="auto" w:fill="FFFFFF"/>
          </w:tcPr>
          <w:p w14:paraId="33EC5261" w14:textId="77777777" w:rsidR="000533E1" w:rsidRPr="00606918" w:rsidRDefault="000533E1" w:rsidP="001665F9">
            <w:pPr>
              <w:pStyle w:val="RollCallTable"/>
            </w:pPr>
            <w:r>
              <w:t>Verts/ALE</w:t>
            </w:r>
          </w:p>
        </w:tc>
        <w:tc>
          <w:tcPr>
            <w:tcW w:w="7371" w:type="dxa"/>
            <w:shd w:val="clear" w:color="auto" w:fill="FFFFFF"/>
          </w:tcPr>
          <w:p w14:paraId="0C2131E0" w14:textId="77777777" w:rsidR="000533E1" w:rsidRPr="0043302F" w:rsidRDefault="000533E1" w:rsidP="001665F9">
            <w:pPr>
              <w:pStyle w:val="RollCallTable"/>
              <w:rPr>
                <w:lang w:val="it-IT"/>
              </w:rPr>
            </w:pPr>
            <w:r w:rsidRPr="0043302F">
              <w:rPr>
                <w:lang w:val="it-IT"/>
              </w:rPr>
              <w:t>Ignazio Roberto Marino, Rasmus Nordqvist, Nicolae Ștefănuță</w:t>
            </w:r>
          </w:p>
        </w:tc>
      </w:tr>
    </w:tbl>
    <w:p w14:paraId="71AF2E94" w14:textId="77777777" w:rsidR="000533E1" w:rsidRPr="00A87391" w:rsidRDefault="000533E1" w:rsidP="000533E1">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33E1" w:rsidRPr="00606918" w14:paraId="349F644B" w14:textId="77777777" w:rsidTr="001665F9">
        <w:trPr>
          <w:cantSplit/>
        </w:trPr>
        <w:tc>
          <w:tcPr>
            <w:tcW w:w="1701" w:type="dxa"/>
            <w:shd w:val="pct10" w:color="000000" w:fill="FFFFFF"/>
            <w:vAlign w:val="center"/>
          </w:tcPr>
          <w:p w14:paraId="689ACA0A" w14:textId="77777777" w:rsidR="000533E1" w:rsidRPr="00606918" w:rsidRDefault="000533E1" w:rsidP="001665F9">
            <w:pPr>
              <w:pStyle w:val="RollCallVotes"/>
            </w:pPr>
            <w:r>
              <w:t>2</w:t>
            </w:r>
          </w:p>
        </w:tc>
        <w:tc>
          <w:tcPr>
            <w:tcW w:w="7371" w:type="dxa"/>
            <w:shd w:val="pct10" w:color="000000" w:fill="FFFFFF"/>
          </w:tcPr>
          <w:p w14:paraId="1545DF97" w14:textId="77777777" w:rsidR="000533E1" w:rsidRPr="00606918" w:rsidRDefault="000533E1" w:rsidP="001665F9">
            <w:pPr>
              <w:pStyle w:val="RollCallSymbols14pt"/>
            </w:pPr>
            <w:r>
              <w:t>-</w:t>
            </w:r>
          </w:p>
        </w:tc>
      </w:tr>
      <w:tr w:rsidR="000533E1" w:rsidRPr="00606918" w14:paraId="0B258B58" w14:textId="77777777" w:rsidTr="001665F9">
        <w:trPr>
          <w:cantSplit/>
        </w:trPr>
        <w:tc>
          <w:tcPr>
            <w:tcW w:w="1701" w:type="dxa"/>
            <w:shd w:val="clear" w:color="auto" w:fill="FFFFFF"/>
          </w:tcPr>
          <w:p w14:paraId="61D7732D" w14:textId="77777777" w:rsidR="000533E1" w:rsidRPr="00606918" w:rsidRDefault="000533E1" w:rsidP="001665F9">
            <w:pPr>
              <w:pStyle w:val="RollCallTable"/>
            </w:pPr>
            <w:r>
              <w:t>ESN</w:t>
            </w:r>
          </w:p>
        </w:tc>
        <w:tc>
          <w:tcPr>
            <w:tcW w:w="7371" w:type="dxa"/>
            <w:shd w:val="clear" w:color="auto" w:fill="FFFFFF"/>
          </w:tcPr>
          <w:p w14:paraId="216A6EB3" w14:textId="77777777" w:rsidR="000533E1" w:rsidRPr="00606918" w:rsidRDefault="000533E1" w:rsidP="001665F9">
            <w:pPr>
              <w:pStyle w:val="RollCallTable"/>
            </w:pPr>
            <w:r>
              <w:t>Siegbert Frank Droese</w:t>
            </w:r>
          </w:p>
        </w:tc>
      </w:tr>
      <w:tr w:rsidR="000533E1" w:rsidRPr="00606918" w14:paraId="0E867A45" w14:textId="77777777" w:rsidTr="001665F9">
        <w:trPr>
          <w:cantSplit/>
        </w:trPr>
        <w:tc>
          <w:tcPr>
            <w:tcW w:w="1701" w:type="dxa"/>
            <w:shd w:val="clear" w:color="auto" w:fill="FFFFFF"/>
          </w:tcPr>
          <w:p w14:paraId="3A5F58EE" w14:textId="77777777" w:rsidR="000533E1" w:rsidRPr="00606918" w:rsidRDefault="000533E1" w:rsidP="001665F9">
            <w:pPr>
              <w:pStyle w:val="RollCallTable"/>
            </w:pPr>
            <w:r>
              <w:t>Renew</w:t>
            </w:r>
          </w:p>
        </w:tc>
        <w:tc>
          <w:tcPr>
            <w:tcW w:w="7371" w:type="dxa"/>
            <w:shd w:val="clear" w:color="auto" w:fill="FFFFFF"/>
          </w:tcPr>
          <w:p w14:paraId="76E37182" w14:textId="77777777" w:rsidR="000533E1" w:rsidRPr="00606918" w:rsidRDefault="000533E1" w:rsidP="001665F9">
            <w:pPr>
              <w:pStyle w:val="RollCallTable"/>
            </w:pPr>
            <w:r>
              <w:t>Engin Eroglu</w:t>
            </w:r>
          </w:p>
        </w:tc>
      </w:tr>
    </w:tbl>
    <w:p w14:paraId="580D6E39" w14:textId="77777777" w:rsidR="000533E1" w:rsidRPr="00606918" w:rsidRDefault="000533E1" w:rsidP="000533E1"/>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33E1" w:rsidRPr="00606918" w14:paraId="53A7922B" w14:textId="77777777" w:rsidTr="001665F9">
        <w:trPr>
          <w:cantSplit/>
        </w:trPr>
        <w:tc>
          <w:tcPr>
            <w:tcW w:w="1701" w:type="dxa"/>
            <w:shd w:val="pct10" w:color="000000" w:fill="FFFFFF"/>
            <w:vAlign w:val="center"/>
          </w:tcPr>
          <w:p w14:paraId="164A73A6" w14:textId="77777777" w:rsidR="000533E1" w:rsidRPr="00606918" w:rsidRDefault="000533E1" w:rsidP="001665F9">
            <w:pPr>
              <w:pStyle w:val="RollCallVotes"/>
            </w:pPr>
            <w:r>
              <w:t>1</w:t>
            </w:r>
          </w:p>
        </w:tc>
        <w:tc>
          <w:tcPr>
            <w:tcW w:w="7371" w:type="dxa"/>
            <w:shd w:val="pct10" w:color="000000" w:fill="FFFFFF"/>
          </w:tcPr>
          <w:p w14:paraId="41437335" w14:textId="77777777" w:rsidR="000533E1" w:rsidRPr="00606918" w:rsidRDefault="000533E1" w:rsidP="001665F9">
            <w:pPr>
              <w:pStyle w:val="RollCallSymbols14pt"/>
            </w:pPr>
            <w:r>
              <w:t>0</w:t>
            </w:r>
          </w:p>
        </w:tc>
      </w:tr>
      <w:tr w:rsidR="000533E1" w:rsidRPr="00606918" w14:paraId="6FAA2645" w14:textId="77777777" w:rsidTr="001665F9">
        <w:trPr>
          <w:cantSplit/>
        </w:trPr>
        <w:tc>
          <w:tcPr>
            <w:tcW w:w="1701" w:type="dxa"/>
            <w:shd w:val="clear" w:color="auto" w:fill="FFFFFF"/>
          </w:tcPr>
          <w:p w14:paraId="5E9F5442" w14:textId="77777777" w:rsidR="000533E1" w:rsidRPr="00606918" w:rsidRDefault="000533E1" w:rsidP="001665F9">
            <w:pPr>
              <w:pStyle w:val="RollCallTable"/>
            </w:pPr>
            <w:r>
              <w:t>NI</w:t>
            </w:r>
          </w:p>
        </w:tc>
        <w:tc>
          <w:tcPr>
            <w:tcW w:w="7371" w:type="dxa"/>
            <w:shd w:val="clear" w:color="auto" w:fill="FFFFFF"/>
          </w:tcPr>
          <w:p w14:paraId="2170639C" w14:textId="77777777" w:rsidR="000533E1" w:rsidRPr="00606918" w:rsidRDefault="000533E1" w:rsidP="001665F9">
            <w:pPr>
              <w:pStyle w:val="RollCallTable"/>
            </w:pPr>
            <w:r>
              <w:t>Thomas Geisel</w:t>
            </w:r>
          </w:p>
        </w:tc>
      </w:tr>
    </w:tbl>
    <w:p w14:paraId="56A24DCE" w14:textId="77777777" w:rsidR="00E00022" w:rsidRDefault="00E00022" w:rsidP="00147FBF">
      <w:pPr>
        <w:pStyle w:val="Normal12a"/>
      </w:pPr>
    </w:p>
    <w:p w14:paraId="2B8FB37A" w14:textId="3367FFAE" w:rsidR="00E00022" w:rsidRDefault="00E00022" w:rsidP="00B735E3">
      <w:r>
        <w:t>Légende des signes utilisés:</w:t>
      </w:r>
    </w:p>
    <w:p w14:paraId="42E5086A" w14:textId="25002C40" w:rsidR="00E00022" w:rsidRDefault="00E00022" w:rsidP="001C6342">
      <w:pPr>
        <w:pStyle w:val="RollCallTabs"/>
      </w:pPr>
      <w:r>
        <w:t>+</w:t>
      </w:r>
      <w:r>
        <w:tab/>
        <w:t>:</w:t>
      </w:r>
      <w:r>
        <w:tab/>
        <w:t>pour</w:t>
      </w:r>
    </w:p>
    <w:p w14:paraId="6780B414" w14:textId="4420F0A1" w:rsidR="00E00022" w:rsidRDefault="00E00022" w:rsidP="001C6342">
      <w:pPr>
        <w:pStyle w:val="RollCallTabs"/>
      </w:pPr>
      <w:r>
        <w:t>-</w:t>
      </w:r>
      <w:r>
        <w:tab/>
        <w:t>:</w:t>
      </w:r>
      <w:r>
        <w:tab/>
        <w:t>contre</w:t>
      </w:r>
    </w:p>
    <w:p w14:paraId="4F8960D8" w14:textId="52D35425" w:rsidR="00E00022" w:rsidRDefault="00E00022" w:rsidP="001C6342">
      <w:pPr>
        <w:pStyle w:val="RollCallTabs"/>
      </w:pPr>
      <w:r>
        <w:t>0</w:t>
      </w:r>
      <w:r>
        <w:tab/>
        <w:t>:</w:t>
      </w:r>
      <w:r>
        <w:tab/>
        <w:t>abstention</w:t>
      </w:r>
    </w:p>
    <w:bookmarkEnd w:id="14"/>
    <w:p w14:paraId="5FF8ABA5" w14:textId="77777777" w:rsidR="009712D1" w:rsidRPr="00E00022" w:rsidRDefault="009712D1" w:rsidP="00E00022">
      <w:pPr>
        <w:pStyle w:val="Normal24a"/>
        <w:rPr>
          <w:lang w:val="fr-CH"/>
        </w:rPr>
      </w:pPr>
    </w:p>
    <w:sectPr w:rsidR="009712D1" w:rsidRPr="00E00022" w:rsidSect="0043302F">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F9153" w14:textId="77777777" w:rsidR="003E1025" w:rsidRPr="00DF7EF6" w:rsidRDefault="003E1025">
      <w:r w:rsidRPr="00DF7EF6">
        <w:separator/>
      </w:r>
    </w:p>
  </w:endnote>
  <w:endnote w:type="continuationSeparator" w:id="0">
    <w:p w14:paraId="245D5C12" w14:textId="77777777" w:rsidR="003E1025" w:rsidRPr="00DF7EF6" w:rsidRDefault="003E1025">
      <w:r w:rsidRPr="00DF7E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50217" w14:textId="77777777" w:rsidR="001B6CAF" w:rsidRPr="00DF7EF6" w:rsidRDefault="001B6CAF" w:rsidP="001B6CAF">
    <w:pPr>
      <w:pStyle w:val="EPFooter"/>
    </w:pPr>
    <w:r w:rsidRPr="00DF7EF6">
      <w:t>PE</w:t>
    </w:r>
    <w:r w:rsidRPr="00DF7EF6">
      <w:rPr>
        <w:rStyle w:val="HideTWBExt"/>
      </w:rPr>
      <w:t>&lt;NoPE&gt;</w:t>
    </w:r>
    <w:r w:rsidRPr="00DF7EF6">
      <w:t>782.226</w:t>
    </w:r>
    <w:r w:rsidRPr="00DF7EF6">
      <w:rPr>
        <w:rStyle w:val="HideTWBExt"/>
      </w:rPr>
      <w:t>&lt;/NoPE&gt;&lt;Version&gt;</w:t>
    </w:r>
    <w:r w:rsidRPr="00DF7EF6">
      <w:t>v01-00</w:t>
    </w:r>
    <w:r w:rsidRPr="00DF7EF6">
      <w:rPr>
        <w:rStyle w:val="HideTWBExt"/>
      </w:rPr>
      <w:t>&lt;/Version&gt;</w:t>
    </w:r>
    <w:r w:rsidRPr="00DF7EF6">
      <w:tab/>
    </w:r>
    <w:r w:rsidRPr="00DF7EF6">
      <w:fldChar w:fldCharType="begin"/>
    </w:r>
    <w:r w:rsidRPr="00DF7EF6">
      <w:instrText xml:space="preserve"> PAGE  \* MERGEFORMAT </w:instrText>
    </w:r>
    <w:r w:rsidRPr="00DF7EF6">
      <w:fldChar w:fldCharType="separate"/>
    </w:r>
    <w:r w:rsidRPr="00DF7EF6">
      <w:rPr>
        <w:noProof/>
      </w:rPr>
      <w:t>2</w:t>
    </w:r>
    <w:r w:rsidRPr="00DF7EF6">
      <w:fldChar w:fldCharType="end"/>
    </w:r>
    <w:r w:rsidRPr="00DF7EF6">
      <w:t>/</w:t>
    </w:r>
    <w:r w:rsidR="007565FE">
      <w:fldChar w:fldCharType="begin"/>
    </w:r>
    <w:r w:rsidR="007565FE">
      <w:instrText xml:space="preserve"> NUMPAGES  \* MERGEFORMAT </w:instrText>
    </w:r>
    <w:r w:rsidR="007565FE">
      <w:fldChar w:fldCharType="separate"/>
    </w:r>
    <w:r w:rsidRPr="00DF7EF6">
      <w:rPr>
        <w:noProof/>
      </w:rPr>
      <w:t>19</w:t>
    </w:r>
    <w:r w:rsidR="007565FE">
      <w:rPr>
        <w:noProof/>
      </w:rPr>
      <w:fldChar w:fldCharType="end"/>
    </w:r>
    <w:r w:rsidRPr="00DF7EF6">
      <w:tab/>
    </w:r>
    <w:r w:rsidRPr="00DF7EF6">
      <w:rPr>
        <w:rStyle w:val="HideTWBExt"/>
      </w:rPr>
      <w:t>&lt;PathFdR&gt;</w:t>
    </w:r>
    <w:r w:rsidRPr="00DF7EF6">
      <w:t>RR\1336415FR.docx</w:t>
    </w:r>
    <w:r w:rsidRPr="00DF7EF6">
      <w:rPr>
        <w:rStyle w:val="HideTWBExt"/>
      </w:rPr>
      <w:t>&lt;/PathFdR&gt;</w:t>
    </w:r>
  </w:p>
  <w:p w14:paraId="1A37193C" w14:textId="7D9D690A" w:rsidR="00482108" w:rsidRPr="00DF7EF6" w:rsidRDefault="001B6CAF" w:rsidP="001B6CAF">
    <w:pPr>
      <w:pStyle w:val="EPFooter2"/>
    </w:pPr>
    <w:r w:rsidRPr="00DF7EF6">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664C4" w14:textId="77777777" w:rsidR="001B6CAF" w:rsidRPr="00DF7EF6" w:rsidRDefault="001B6CAF" w:rsidP="001B6CAF">
    <w:pPr>
      <w:pStyle w:val="EPFooter"/>
    </w:pPr>
    <w:r w:rsidRPr="00DF7EF6">
      <w:rPr>
        <w:rStyle w:val="HideTWBExt"/>
      </w:rPr>
      <w:t>&lt;PathFdR&gt;</w:t>
    </w:r>
    <w:r w:rsidRPr="00DF7EF6">
      <w:t>RR\1336415FR.docx</w:t>
    </w:r>
    <w:r w:rsidRPr="00DF7EF6">
      <w:rPr>
        <w:rStyle w:val="HideTWBExt"/>
      </w:rPr>
      <w:t>&lt;/PathFdR&gt;</w:t>
    </w:r>
    <w:r w:rsidRPr="00DF7EF6">
      <w:tab/>
    </w:r>
    <w:r w:rsidRPr="00DF7EF6">
      <w:fldChar w:fldCharType="begin"/>
    </w:r>
    <w:r w:rsidRPr="00DF7EF6">
      <w:instrText xml:space="preserve"> PAGE  \* MERGEFORMAT </w:instrText>
    </w:r>
    <w:r w:rsidRPr="00DF7EF6">
      <w:fldChar w:fldCharType="separate"/>
    </w:r>
    <w:r w:rsidRPr="00DF7EF6">
      <w:rPr>
        <w:noProof/>
      </w:rPr>
      <w:t>3</w:t>
    </w:r>
    <w:r w:rsidRPr="00DF7EF6">
      <w:fldChar w:fldCharType="end"/>
    </w:r>
    <w:r w:rsidRPr="00DF7EF6">
      <w:t>/</w:t>
    </w:r>
    <w:r w:rsidR="007565FE">
      <w:fldChar w:fldCharType="begin"/>
    </w:r>
    <w:r w:rsidR="007565FE">
      <w:instrText xml:space="preserve"> NUMPAGES  \* MERGEFORMAT </w:instrText>
    </w:r>
    <w:r w:rsidR="007565FE">
      <w:fldChar w:fldCharType="separate"/>
    </w:r>
    <w:r w:rsidRPr="00DF7EF6">
      <w:rPr>
        <w:noProof/>
      </w:rPr>
      <w:t>19</w:t>
    </w:r>
    <w:r w:rsidR="007565FE">
      <w:rPr>
        <w:noProof/>
      </w:rPr>
      <w:fldChar w:fldCharType="end"/>
    </w:r>
    <w:r w:rsidRPr="00DF7EF6">
      <w:tab/>
      <w:t>PE</w:t>
    </w:r>
    <w:r w:rsidRPr="00DF7EF6">
      <w:rPr>
        <w:rStyle w:val="HideTWBExt"/>
      </w:rPr>
      <w:t>&lt;NoPE&gt;</w:t>
    </w:r>
    <w:r w:rsidRPr="00DF7EF6">
      <w:t>782.226</w:t>
    </w:r>
    <w:r w:rsidRPr="00DF7EF6">
      <w:rPr>
        <w:rStyle w:val="HideTWBExt"/>
      </w:rPr>
      <w:t>&lt;/NoPE&gt;&lt;Version&gt;</w:t>
    </w:r>
    <w:r w:rsidRPr="00DF7EF6">
      <w:t>v01-00</w:t>
    </w:r>
    <w:r w:rsidRPr="00DF7EF6">
      <w:rPr>
        <w:rStyle w:val="HideTWBExt"/>
      </w:rPr>
      <w:t>&lt;/Version&gt;</w:t>
    </w:r>
  </w:p>
  <w:p w14:paraId="0D0F3091" w14:textId="16BB32EC" w:rsidR="00482108" w:rsidRPr="00DF7EF6" w:rsidRDefault="001B6CAF" w:rsidP="001B6CAF">
    <w:pPr>
      <w:pStyle w:val="EPFooter2"/>
    </w:pPr>
    <w:r w:rsidRPr="00DF7EF6">
      <w:tab/>
    </w:r>
    <w:r w:rsidRPr="00DF7EF6">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E5040" w14:textId="77777777" w:rsidR="001B6CAF" w:rsidRPr="00DF7EF6" w:rsidRDefault="001B6CAF" w:rsidP="001B6CAF">
    <w:pPr>
      <w:pStyle w:val="EPFooter"/>
    </w:pPr>
    <w:r w:rsidRPr="00DF7EF6">
      <w:rPr>
        <w:rStyle w:val="HideTWBExt"/>
      </w:rPr>
      <w:t>&lt;PathFdR&gt;</w:t>
    </w:r>
    <w:r w:rsidRPr="00DF7EF6">
      <w:t>RR\1336415FR.docx</w:t>
    </w:r>
    <w:r w:rsidRPr="00DF7EF6">
      <w:rPr>
        <w:rStyle w:val="HideTWBExt"/>
      </w:rPr>
      <w:t>&lt;/PathFdR&gt;</w:t>
    </w:r>
    <w:r w:rsidRPr="00DF7EF6">
      <w:tab/>
    </w:r>
    <w:r w:rsidRPr="00DF7EF6">
      <w:tab/>
      <w:t>PE</w:t>
    </w:r>
    <w:r w:rsidRPr="00DF7EF6">
      <w:rPr>
        <w:rStyle w:val="HideTWBExt"/>
      </w:rPr>
      <w:t>&lt;NoPE&gt;</w:t>
    </w:r>
    <w:r w:rsidRPr="00DF7EF6">
      <w:t>782.226</w:t>
    </w:r>
    <w:r w:rsidRPr="00DF7EF6">
      <w:rPr>
        <w:rStyle w:val="HideTWBExt"/>
      </w:rPr>
      <w:t>&lt;/NoPE&gt;&lt;Version&gt;</w:t>
    </w:r>
    <w:r w:rsidRPr="00DF7EF6">
      <w:t>v01-00</w:t>
    </w:r>
    <w:r w:rsidRPr="00DF7EF6">
      <w:rPr>
        <w:rStyle w:val="HideTWBExt"/>
      </w:rPr>
      <w:t>&lt;/Version&gt;</w:t>
    </w:r>
  </w:p>
  <w:p w14:paraId="77938719" w14:textId="32C9CD96" w:rsidR="00BB725E" w:rsidRPr="00DF7EF6" w:rsidRDefault="001B6CAF" w:rsidP="001B6CAF">
    <w:pPr>
      <w:pStyle w:val="EPFooter2"/>
    </w:pPr>
    <w:r w:rsidRPr="00DF7EF6">
      <w:t>FR</w:t>
    </w:r>
    <w:r w:rsidRPr="00DF7EF6">
      <w:tab/>
    </w:r>
    <w:r w:rsidRPr="00DF7EF6">
      <w:rPr>
        <w:b w:val="0"/>
        <w:i/>
        <w:color w:val="C0C0C0"/>
        <w:sz w:val="22"/>
      </w:rPr>
      <w:t>Unie dans la diversité</w:t>
    </w:r>
    <w:r w:rsidRPr="00DF7EF6">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C6DF3" w14:textId="77777777" w:rsidR="003E1025" w:rsidRPr="00DF7EF6" w:rsidRDefault="003E1025">
      <w:r w:rsidRPr="00DF7EF6">
        <w:separator/>
      </w:r>
    </w:p>
  </w:footnote>
  <w:footnote w:type="continuationSeparator" w:id="0">
    <w:p w14:paraId="066BD5E2" w14:textId="77777777" w:rsidR="003E1025" w:rsidRPr="00DF7EF6" w:rsidRDefault="003E1025">
      <w:r w:rsidRPr="00DF7EF6">
        <w:continuationSeparator/>
      </w:r>
    </w:p>
  </w:footnote>
  <w:footnote w:id="1">
    <w:p w14:paraId="37D3D2D1" w14:textId="50E2FA1D" w:rsidR="00CC3152" w:rsidRPr="0043302F" w:rsidRDefault="00CC3152" w:rsidP="00CC3152">
      <w:pPr>
        <w:pStyle w:val="FootnoteText"/>
        <w:rPr>
          <w:lang w:val="fi-FI"/>
        </w:rPr>
      </w:pPr>
      <w:r>
        <w:rPr>
          <w:rStyle w:val="FootnoteReference"/>
        </w:rPr>
        <w:footnoteRef/>
      </w:r>
      <w:r w:rsidRPr="0043302F">
        <w:rPr>
          <w:lang w:val="fi-FI"/>
        </w:rPr>
        <w:t xml:space="preserve"> JO L 153 du 3.5.2021, p. 48, ELI: </w:t>
      </w:r>
      <w:hyperlink r:id="rId1" w:history="1">
        <w:r w:rsidRPr="0043302F">
          <w:rPr>
            <w:rStyle w:val="Hyperlink"/>
            <w:lang w:val="fi-FI"/>
          </w:rPr>
          <w:t>http://data.europa.eu/eli/reg/2021/691/oj</w:t>
        </w:r>
      </w:hyperlink>
      <w:r w:rsidRPr="0043302F">
        <w:rPr>
          <w:lang w:val="fi-FI"/>
        </w:rPr>
        <w:t>.</w:t>
      </w:r>
    </w:p>
  </w:footnote>
  <w:footnote w:id="2">
    <w:p w14:paraId="544B8041" w14:textId="1C689C31" w:rsidR="00CC3152" w:rsidRPr="0043302F" w:rsidRDefault="00CC3152" w:rsidP="00CC3152">
      <w:pPr>
        <w:pStyle w:val="FootnoteText"/>
        <w:rPr>
          <w:lang w:val="da-DK"/>
        </w:rPr>
      </w:pPr>
      <w:r>
        <w:rPr>
          <w:rStyle w:val="FootnoteReference"/>
        </w:rPr>
        <w:footnoteRef/>
      </w:r>
      <w:r w:rsidRPr="0043302F">
        <w:rPr>
          <w:lang w:val="da-DK"/>
        </w:rPr>
        <w:t xml:space="preserve"> JO L 433 I du 22.12.2020, p. 11, ELI: </w:t>
      </w:r>
      <w:hyperlink r:id="rId2" w:history="1">
        <w:r w:rsidRPr="0043302F">
          <w:rPr>
            <w:rStyle w:val="Hyperlink"/>
            <w:lang w:val="da-DK"/>
          </w:rPr>
          <w:t>http://data.europa.eu/eli/reg/2020/2093/oj</w:t>
        </w:r>
      </w:hyperlink>
      <w:r w:rsidRPr="0043302F">
        <w:rPr>
          <w:lang w:val="da-DK"/>
        </w:rPr>
        <w:t>.</w:t>
      </w:r>
    </w:p>
  </w:footnote>
  <w:footnote w:id="3">
    <w:p w14:paraId="6F841FC4" w14:textId="5921C706" w:rsidR="00CC3152" w:rsidRPr="00C52A05" w:rsidRDefault="00CC3152" w:rsidP="00CC3152">
      <w:pPr>
        <w:pStyle w:val="FootnoteText"/>
      </w:pPr>
      <w:r>
        <w:rPr>
          <w:rStyle w:val="FootnoteReference"/>
        </w:rPr>
        <w:footnoteRef/>
      </w:r>
      <w:r>
        <w:t xml:space="preserve"> </w:t>
      </w:r>
      <w:r>
        <w:rPr>
          <w:shd w:val="clear" w:color="auto" w:fill="FFFFFF"/>
        </w:rPr>
        <w:t>Règlement (UE, Euratom) 2024/765 du Conseil du 29 février 2024 modifiant le règlement (UE, Euratom) 2020/2093 fixant le cadre financier pluriannuel pour les années 2021 à 2027 (JO L, 2024/765, 29.2.2024, ELI:</w:t>
      </w:r>
      <w:r>
        <w:rPr>
          <w:color w:val="333333"/>
          <w:shd w:val="clear" w:color="auto" w:fill="FFFFFF"/>
        </w:rPr>
        <w:t xml:space="preserve"> </w:t>
      </w:r>
      <w:hyperlink r:id="rId3" w:history="1">
        <w:r>
          <w:rPr>
            <w:rStyle w:val="Hyperlink"/>
            <w:shd w:val="clear" w:color="auto" w:fill="FFFFFF"/>
          </w:rPr>
          <w:t>http://data.europa.eu/eli/reg/2024/765/oj</w:t>
        </w:r>
      </w:hyperlink>
      <w:r>
        <w:rPr>
          <w:i/>
          <w:color w:val="333333"/>
          <w:shd w:val="clear" w:color="auto" w:fill="FFFFFF"/>
        </w:rPr>
        <w:t>).</w:t>
      </w:r>
    </w:p>
  </w:footnote>
  <w:footnote w:id="4">
    <w:p w14:paraId="3AC3A075" w14:textId="5ED706A8" w:rsidR="00CC3152" w:rsidRPr="0043302F" w:rsidRDefault="00CC3152" w:rsidP="00CC3152">
      <w:pPr>
        <w:pStyle w:val="FootnoteText"/>
        <w:rPr>
          <w:lang w:val="da-DK"/>
        </w:rPr>
      </w:pPr>
      <w:r>
        <w:rPr>
          <w:rStyle w:val="FootnoteReference"/>
        </w:rPr>
        <w:footnoteRef/>
      </w:r>
      <w:r w:rsidRPr="0043302F">
        <w:rPr>
          <w:lang w:val="da-DK"/>
        </w:rPr>
        <w:t xml:space="preserve"> JO L 433 I du 22.12.2020, p. 28, ELI: </w:t>
      </w:r>
      <w:hyperlink r:id="rId4" w:history="1">
        <w:r w:rsidRPr="0043302F">
          <w:rPr>
            <w:rStyle w:val="Hyperlink"/>
            <w:lang w:val="da-DK"/>
          </w:rPr>
          <w:t>http://data.europa.eu/eli/agree_interinstit/2020/1222/oj</w:t>
        </w:r>
      </w:hyperlink>
      <w:r w:rsidRPr="0043302F">
        <w:rPr>
          <w:lang w:val="da-DK"/>
        </w:rPr>
        <w:t>.</w:t>
      </w:r>
    </w:p>
  </w:footnote>
  <w:footnote w:id="5">
    <w:p w14:paraId="7DEF84E3" w14:textId="23D52982" w:rsidR="00CC3152" w:rsidRPr="00DF7EF6" w:rsidRDefault="00CC3152" w:rsidP="00CC3152">
      <w:pPr>
        <w:pStyle w:val="FootnoteText"/>
      </w:pPr>
      <w:r>
        <w:rPr>
          <w:rStyle w:val="FootnoteReference"/>
        </w:rPr>
        <w:footnoteRef/>
      </w:r>
      <w:r>
        <w:t xml:space="preserve"> Au sens de l</w:t>
      </w:r>
      <w:r w:rsidR="00F6032D">
        <w:t>’</w:t>
      </w:r>
      <w:r>
        <w:t>article 3 du règlement FEM.</w:t>
      </w:r>
    </w:p>
  </w:footnote>
  <w:footnote w:id="6">
    <w:p w14:paraId="2B431BCB" w14:textId="1D5CA51B" w:rsidR="008607AD" w:rsidRPr="00DF7EF6" w:rsidRDefault="008607AD">
      <w:pPr>
        <w:pStyle w:val="FootnoteText"/>
      </w:pPr>
      <w:r>
        <w:rPr>
          <w:rStyle w:val="FootnoteReference"/>
        </w:rPr>
        <w:footnoteRef/>
      </w:r>
      <w:r>
        <w:t> Article 8 du règlement CFP.</w:t>
      </w:r>
    </w:p>
  </w:footnote>
  <w:footnote w:id="7">
    <w:p w14:paraId="5366C361" w14:textId="51E6E9D9" w:rsidR="00CB60B8" w:rsidRPr="007565FE" w:rsidRDefault="00CB60B8" w:rsidP="00CB60B8">
      <w:pPr>
        <w:pStyle w:val="FootnoteText"/>
        <w:rPr>
          <w:lang w:val="fr-BE"/>
        </w:rPr>
      </w:pPr>
      <w:r>
        <w:rPr>
          <w:rStyle w:val="FootnoteReference"/>
        </w:rPr>
        <w:footnoteRef/>
      </w:r>
      <w:r w:rsidRPr="007565FE">
        <w:rPr>
          <w:lang w:val="fr-BE"/>
        </w:rPr>
        <w:tab/>
        <w:t xml:space="preserve">JO L 153 du 3.5.2021, p. 48, ELI: </w:t>
      </w:r>
      <w:hyperlink r:id="rId5" w:history="1">
        <w:r w:rsidRPr="007565FE">
          <w:rPr>
            <w:rStyle w:val="Hyperlink"/>
            <w:lang w:val="fr-BE"/>
          </w:rPr>
          <w:t>http://data.europa.eu/eli/reg/2021/691/oj</w:t>
        </w:r>
      </w:hyperlink>
      <w:r w:rsidRPr="007565FE">
        <w:rPr>
          <w:lang w:val="fr-BE"/>
        </w:rPr>
        <w:t>.</w:t>
      </w:r>
    </w:p>
  </w:footnote>
  <w:footnote w:id="8">
    <w:p w14:paraId="28623AD4" w14:textId="587711AB" w:rsidR="00CB60B8" w:rsidRPr="0043302F" w:rsidRDefault="00CB60B8" w:rsidP="00CB60B8">
      <w:pPr>
        <w:pStyle w:val="FootnoteText"/>
        <w:rPr>
          <w:lang w:val="da-DK"/>
        </w:rPr>
      </w:pPr>
      <w:r>
        <w:rPr>
          <w:rStyle w:val="FootnoteReference"/>
        </w:rPr>
        <w:footnoteRef/>
      </w:r>
      <w:r w:rsidRPr="0043302F">
        <w:rPr>
          <w:lang w:val="da-DK"/>
        </w:rPr>
        <w:tab/>
        <w:t xml:space="preserve">JO L 433 I du 22.12.2020, p. 28, ELI: </w:t>
      </w:r>
      <w:hyperlink r:id="rId6" w:history="1">
        <w:r w:rsidRPr="0043302F">
          <w:rPr>
            <w:rStyle w:val="Hyperlink"/>
            <w:lang w:val="da-DK"/>
          </w:rPr>
          <w:t>http://data.europa.eu/eli/agree_interinstit/2020/1222/oj</w:t>
        </w:r>
      </w:hyperlink>
      <w:r w:rsidRPr="0043302F">
        <w:rPr>
          <w:rStyle w:val="Hyperlink"/>
          <w:lang w:val="da-DK"/>
        </w:rPr>
        <w:t>.</w:t>
      </w:r>
    </w:p>
  </w:footnote>
  <w:footnote w:id="9">
    <w:p w14:paraId="5B77A1A5" w14:textId="3D051C31" w:rsidR="00CB60B8" w:rsidRPr="00DF7EF6" w:rsidRDefault="00CB60B8" w:rsidP="00CB60B8">
      <w:pPr>
        <w:pStyle w:val="FootnoteText"/>
      </w:pPr>
      <w:r>
        <w:rPr>
          <w:rStyle w:val="FootnoteReference"/>
        </w:rPr>
        <w:footnoteRef/>
      </w:r>
      <w:r>
        <w:t xml:space="preserve"> </w:t>
      </w:r>
      <w:r w:rsidR="009458FB">
        <w:tab/>
      </w:r>
      <w:r w:rsidR="000647C9" w:rsidRPr="000647C9">
        <w:t>Règlement (UE, Euratom) 2020/2093 du Conseil du 17 décembre 2020 fixant le cadre financier pluriannuel pour les années 2021 à 2027 (JO L 433 I du 22.12.2020, p. 11, ELI:</w:t>
      </w:r>
      <w:r>
        <w:rPr>
          <w:color w:val="333333"/>
          <w:shd w:val="clear" w:color="auto" w:fill="FFFFFF"/>
        </w:rPr>
        <w:t xml:space="preserve"> </w:t>
      </w:r>
      <w:hyperlink r:id="rId7" w:tooltip="Permet d'accéder à ce document par l'intermédiaire de son URI ELI." w:history="1">
        <w:r w:rsidR="000647C9" w:rsidRPr="007A0B6C">
          <w:rPr>
            <w:rStyle w:val="Hyperlink"/>
          </w:rPr>
          <w:t>http://data.europa.eu/eli/reg/2020/2093/oj</w:t>
        </w:r>
      </w:hyperlink>
      <w:r>
        <w:t>).</w:t>
      </w:r>
    </w:p>
  </w:footnote>
  <w:footnote w:id="10">
    <w:p w14:paraId="17810D7D" w14:textId="01BB41E9" w:rsidR="00CB60B8" w:rsidRPr="00DF7EF6" w:rsidRDefault="00CB60B8" w:rsidP="00CB60B8">
      <w:pPr>
        <w:pStyle w:val="FootnoteText"/>
      </w:pPr>
      <w:r>
        <w:rPr>
          <w:rStyle w:val="FootnoteReference"/>
        </w:rPr>
        <w:footnoteRef/>
      </w:r>
      <w:r>
        <w:tab/>
      </w:r>
      <w:r w:rsidR="000647C9" w:rsidRPr="000647C9">
        <w:t>Règlement (UE, Euratom) 2024/765 du Conseil du 29 février 2024 modifiant le règlement (UE, Euratom) 2020/2093 fixant le cadre financier pluriannuel pour les années 2021 à 2027 (JO L, 2024/765, 29.2.2024, ELI:</w:t>
      </w:r>
      <w:r>
        <w:t xml:space="preserve"> </w:t>
      </w:r>
      <w:hyperlink r:id="rId8" w:history="1">
        <w:r w:rsidR="000647C9" w:rsidRPr="007A0B6C">
          <w:rPr>
            <w:rStyle w:val="Hyperlink"/>
          </w:rPr>
          <w:t>http://data.europa.eu/eli/reg/2024/765/oj</w:t>
        </w:r>
      </w:hyperlink>
      <w:r>
        <w:t>).</w:t>
      </w:r>
    </w:p>
  </w:footnote>
  <w:footnote w:id="11">
    <w:p w14:paraId="4CEF2005" w14:textId="10E8447C" w:rsidR="00CB60B8" w:rsidRPr="00DF7EF6" w:rsidRDefault="00CB60B8" w:rsidP="00CB60B8">
      <w:pPr>
        <w:pStyle w:val="FootnoteText"/>
      </w:pPr>
      <w:r>
        <w:rPr>
          <w:rStyle w:val="FootnoteReference"/>
        </w:rPr>
        <w:footnoteRef/>
      </w:r>
      <w:r>
        <w:tab/>
      </w:r>
      <w:r w:rsidR="000647C9" w:rsidRPr="000647C9">
        <w:t>COM(2026)</w:t>
      </w:r>
      <w:r w:rsidR="000647C9">
        <w:t> </w:t>
      </w:r>
      <w:r w:rsidR="000647C9" w:rsidRPr="000647C9">
        <w:t>2 final</w:t>
      </w:r>
      <w:r>
        <w:t>.</w:t>
      </w:r>
    </w:p>
  </w:footnote>
  <w:footnote w:id="12">
    <w:p w14:paraId="0CAC2EB8" w14:textId="6378C88B" w:rsidR="00CB60B8" w:rsidRPr="00DF7EF6" w:rsidRDefault="00CB60B8" w:rsidP="00CB60B8">
      <w:pPr>
        <w:pStyle w:val="FootnoteText"/>
      </w:pPr>
      <w:r>
        <w:rPr>
          <w:rStyle w:val="FootnoteReference"/>
        </w:rPr>
        <w:t>*</w:t>
      </w:r>
      <w:r>
        <w:tab/>
      </w:r>
      <w:r w:rsidR="000647C9" w:rsidRPr="000647C9">
        <w:t>Date à insérer par le Parlement européen avant la publication au JO</w:t>
      </w:r>
      <w:r>
        <w:t>.</w:t>
      </w:r>
    </w:p>
  </w:footnote>
  <w:footnote w:id="13">
    <w:p w14:paraId="386D7763" w14:textId="5A3119CE" w:rsidR="0001176A" w:rsidRPr="00DF7EF6" w:rsidRDefault="0001176A" w:rsidP="0001176A">
      <w:pPr>
        <w:pStyle w:val="FootnoteText"/>
      </w:pPr>
      <w:r>
        <w:rPr>
          <w:rStyle w:val="FootnoteReference"/>
        </w:rPr>
        <w:footnoteRef/>
      </w:r>
      <w:r>
        <w:t xml:space="preserve"> Accord interinstitutionnel entre le Parlement européen, le Conseil de l</w:t>
      </w:r>
      <w:r w:rsidR="00F6032D">
        <w:t>’</w:t>
      </w:r>
      <w:r>
        <w:t>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 I du 22.12.2020, p. 28).</w:t>
      </w:r>
    </w:p>
  </w:footnote>
  <w:footnote w:id="14">
    <w:p w14:paraId="49DA73A3" w14:textId="2FD88652" w:rsidR="0001176A" w:rsidRPr="00DF7EF6" w:rsidRDefault="0001176A" w:rsidP="0001176A">
      <w:pPr>
        <w:pStyle w:val="FootnoteText"/>
      </w:pPr>
      <w:r>
        <w:rPr>
          <w:rStyle w:val="FootnoteReference"/>
        </w:rPr>
        <w:footnoteRef/>
      </w:r>
      <w:r>
        <w:t xml:space="preserve"> Au sens de l</w:t>
      </w:r>
      <w:r w:rsidR="00F6032D">
        <w:t>’</w:t>
      </w:r>
      <w:r>
        <w:t>article 3 du règlement FEM.</w:t>
      </w:r>
    </w:p>
  </w:footnote>
  <w:footnote w:id="15">
    <w:p w14:paraId="139AC718" w14:textId="28A690FD" w:rsidR="008F65E4" w:rsidRPr="00DF7EF6" w:rsidRDefault="008F65E4">
      <w:pPr>
        <w:pStyle w:val="FootnoteText"/>
      </w:pPr>
      <w:r>
        <w:rPr>
          <w:rStyle w:val="FootnoteReference"/>
        </w:rPr>
        <w:footnoteRef/>
      </w:r>
      <w:r>
        <w:t xml:space="preserve"> Accord interinstitutionnel du 20 mai 2021 entre le Parlement européen, le Conseil de l</w:t>
      </w:r>
      <w:r w:rsidR="00F6032D">
        <w:t>’</w:t>
      </w:r>
      <w:r>
        <w:t xml:space="preserve">Union européenne et la Commission européenne sur un registre de transparence obligatoire (JO L 207 du 11.6.2021, p. 1, ELI: </w:t>
      </w:r>
      <w:hyperlink r:id="rId9"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113FB" w14:textId="77777777" w:rsidR="0043302F" w:rsidRDefault="00433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7DB9D" w14:textId="77777777" w:rsidR="0043302F" w:rsidRDefault="004330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E9EB6" w14:textId="77777777" w:rsidR="0043302F" w:rsidRDefault="00433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61954673">
    <w:abstractNumId w:val="9"/>
  </w:num>
  <w:num w:numId="2" w16cid:durableId="1515025828">
    <w:abstractNumId w:val="9"/>
  </w:num>
  <w:num w:numId="3" w16cid:durableId="1352956450">
    <w:abstractNumId w:val="7"/>
  </w:num>
  <w:num w:numId="4" w16cid:durableId="141317110">
    <w:abstractNumId w:val="7"/>
  </w:num>
  <w:num w:numId="5" w16cid:durableId="1520585947">
    <w:abstractNumId w:val="6"/>
  </w:num>
  <w:num w:numId="6" w16cid:durableId="801192806">
    <w:abstractNumId w:val="6"/>
  </w:num>
  <w:num w:numId="7" w16cid:durableId="1160463892">
    <w:abstractNumId w:val="5"/>
  </w:num>
  <w:num w:numId="8" w16cid:durableId="200366845">
    <w:abstractNumId w:val="5"/>
  </w:num>
  <w:num w:numId="9" w16cid:durableId="748113443">
    <w:abstractNumId w:val="4"/>
  </w:num>
  <w:num w:numId="10" w16cid:durableId="2098863600">
    <w:abstractNumId w:val="4"/>
  </w:num>
  <w:num w:numId="11" w16cid:durableId="1961918344">
    <w:abstractNumId w:val="8"/>
  </w:num>
  <w:num w:numId="12" w16cid:durableId="2117291980">
    <w:abstractNumId w:val="8"/>
  </w:num>
  <w:num w:numId="13" w16cid:durableId="1503548508">
    <w:abstractNumId w:val="3"/>
  </w:num>
  <w:num w:numId="14" w16cid:durableId="1436169389">
    <w:abstractNumId w:val="3"/>
  </w:num>
  <w:num w:numId="15" w16cid:durableId="253167975">
    <w:abstractNumId w:val="2"/>
  </w:num>
  <w:num w:numId="16" w16cid:durableId="1902328798">
    <w:abstractNumId w:val="2"/>
  </w:num>
  <w:num w:numId="17" w16cid:durableId="1973092805">
    <w:abstractNumId w:val="1"/>
  </w:num>
  <w:num w:numId="18" w16cid:durableId="328337867">
    <w:abstractNumId w:val="1"/>
  </w:num>
  <w:num w:numId="19" w16cid:durableId="1283196971">
    <w:abstractNumId w:val="0"/>
  </w:num>
  <w:num w:numId="20" w16cid:durableId="1314138615">
    <w:abstractNumId w:val="0"/>
  </w:num>
  <w:num w:numId="21" w16cid:durableId="1349479778">
    <w:abstractNumId w:val="9"/>
  </w:num>
  <w:num w:numId="22" w16cid:durableId="1942716099">
    <w:abstractNumId w:val="7"/>
  </w:num>
  <w:num w:numId="23" w16cid:durableId="1619603012">
    <w:abstractNumId w:val="6"/>
  </w:num>
  <w:num w:numId="24" w16cid:durableId="1071732601">
    <w:abstractNumId w:val="5"/>
  </w:num>
  <w:num w:numId="25" w16cid:durableId="505248151">
    <w:abstractNumId w:val="4"/>
  </w:num>
  <w:num w:numId="26" w16cid:durableId="1910842953">
    <w:abstractNumId w:val="8"/>
  </w:num>
  <w:num w:numId="27" w16cid:durableId="1520390277">
    <w:abstractNumId w:val="3"/>
  </w:num>
  <w:num w:numId="28" w16cid:durableId="2079589627">
    <w:abstractNumId w:val="2"/>
  </w:num>
  <w:num w:numId="29" w16cid:durableId="1652099241">
    <w:abstractNumId w:val="1"/>
  </w:num>
  <w:num w:numId="30" w16cid:durableId="2028753473">
    <w:abstractNumId w:val="0"/>
  </w:num>
  <w:num w:numId="31" w16cid:durableId="792669503">
    <w:abstractNumId w:val="9"/>
  </w:num>
  <w:num w:numId="32" w16cid:durableId="1900356077">
    <w:abstractNumId w:val="7"/>
  </w:num>
  <w:num w:numId="33" w16cid:durableId="34280350">
    <w:abstractNumId w:val="6"/>
  </w:num>
  <w:num w:numId="34" w16cid:durableId="2000424202">
    <w:abstractNumId w:val="5"/>
  </w:num>
  <w:num w:numId="35" w16cid:durableId="2134710070">
    <w:abstractNumId w:val="4"/>
  </w:num>
  <w:num w:numId="36" w16cid:durableId="1029529776">
    <w:abstractNumId w:val="8"/>
  </w:num>
  <w:num w:numId="37" w16cid:durableId="1885946757">
    <w:abstractNumId w:val="3"/>
  </w:num>
  <w:num w:numId="38" w16cid:durableId="768504498">
    <w:abstractNumId w:val="2"/>
  </w:num>
  <w:num w:numId="39" w16cid:durableId="191500429">
    <w:abstractNumId w:val="1"/>
  </w:num>
  <w:num w:numId="40" w16cid:durableId="59424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NTRIBUTIONMNU" w:val=" 2"/>
    <w:docVar w:name="CopyToNetwork" w:val="-1"/>
    <w:docVar w:name="COUNTRYKEY" w:val="BE"/>
    <w:docVar w:name="DOCDT" w:val="29/01/2026"/>
    <w:docVar w:name="INSERTOPINKEY" w:val="EMPL"/>
    <w:docVar w:name="LastEditedSection" w:val=" 1"/>
    <w:docVar w:name="NVAR1" w:val="0"/>
    <w:docVar w:name="PARAMNU" w:val=" 2"/>
    <w:docVar w:name="strDocTypeID" w:val="PR_BUD_Funds"/>
    <w:docVar w:name="strSubDir" w:val="1336"/>
    <w:docVar w:name="TITLEMNU" w:val=" 3"/>
    <w:docVar w:name="TXTLANGUE" w:val="FR"/>
    <w:docVar w:name="TXTLANGUEMIN" w:val="fr"/>
    <w:docVar w:name="TXTNRAPPL" w:val="2025"/>
    <w:docVar w:name="TXTNRBUD" w:val="2026/0001"/>
    <w:docVar w:name="TXTNRC" w:val="0002/2026"/>
    <w:docVar w:name="TXTNRCOM" w:val="(2026)0002"/>
    <w:docVar w:name="TXTNRPE" w:val="782.226"/>
    <w:docVar w:name="TXTPEorAP" w:val="PE"/>
    <w:docVar w:name="TXTROUTE" w:val="RR\1336415FR.docx"/>
    <w:docVar w:name="TXTVERSION" w:val="01-00"/>
  </w:docVars>
  <w:rsids>
    <w:rsidRoot w:val="003E1025"/>
    <w:rsid w:val="0000081C"/>
    <w:rsid w:val="00006235"/>
    <w:rsid w:val="0001176A"/>
    <w:rsid w:val="000533E1"/>
    <w:rsid w:val="000555E6"/>
    <w:rsid w:val="000624D2"/>
    <w:rsid w:val="000647C9"/>
    <w:rsid w:val="00071639"/>
    <w:rsid w:val="000B1F6A"/>
    <w:rsid w:val="000D3B3B"/>
    <w:rsid w:val="000D6901"/>
    <w:rsid w:val="000F27EF"/>
    <w:rsid w:val="00155B2F"/>
    <w:rsid w:val="0016456A"/>
    <w:rsid w:val="00167F25"/>
    <w:rsid w:val="001B1EEF"/>
    <w:rsid w:val="001B6CAF"/>
    <w:rsid w:val="001C35CB"/>
    <w:rsid w:val="001E2D72"/>
    <w:rsid w:val="001F6897"/>
    <w:rsid w:val="00215C42"/>
    <w:rsid w:val="0022041B"/>
    <w:rsid w:val="0026703E"/>
    <w:rsid w:val="00284295"/>
    <w:rsid w:val="002C2DB2"/>
    <w:rsid w:val="002C66FA"/>
    <w:rsid w:val="002E2190"/>
    <w:rsid w:val="00300158"/>
    <w:rsid w:val="00377C77"/>
    <w:rsid w:val="003843EE"/>
    <w:rsid w:val="00396BD0"/>
    <w:rsid w:val="00397E52"/>
    <w:rsid w:val="003A36BA"/>
    <w:rsid w:val="003B0077"/>
    <w:rsid w:val="003B3EFA"/>
    <w:rsid w:val="003B4F3D"/>
    <w:rsid w:val="003B5885"/>
    <w:rsid w:val="003D5173"/>
    <w:rsid w:val="003E1025"/>
    <w:rsid w:val="003F207F"/>
    <w:rsid w:val="003F57D7"/>
    <w:rsid w:val="00400FF3"/>
    <w:rsid w:val="004226AF"/>
    <w:rsid w:val="00423294"/>
    <w:rsid w:val="0043302F"/>
    <w:rsid w:val="00442884"/>
    <w:rsid w:val="00470DFE"/>
    <w:rsid w:val="00482108"/>
    <w:rsid w:val="004D2440"/>
    <w:rsid w:val="004D376B"/>
    <w:rsid w:val="004D781A"/>
    <w:rsid w:val="00503B87"/>
    <w:rsid w:val="0050453C"/>
    <w:rsid w:val="0052720D"/>
    <w:rsid w:val="00533501"/>
    <w:rsid w:val="0053761A"/>
    <w:rsid w:val="005537C8"/>
    <w:rsid w:val="0058028A"/>
    <w:rsid w:val="00581E60"/>
    <w:rsid w:val="005A05EB"/>
    <w:rsid w:val="005B0658"/>
    <w:rsid w:val="005B2F62"/>
    <w:rsid w:val="005C54E1"/>
    <w:rsid w:val="005F27D5"/>
    <w:rsid w:val="00601E96"/>
    <w:rsid w:val="00606918"/>
    <w:rsid w:val="00611B44"/>
    <w:rsid w:val="00616E75"/>
    <w:rsid w:val="0063705D"/>
    <w:rsid w:val="006465FF"/>
    <w:rsid w:val="00665FB7"/>
    <w:rsid w:val="006700EF"/>
    <w:rsid w:val="006D5A07"/>
    <w:rsid w:val="006E1B35"/>
    <w:rsid w:val="006E4E08"/>
    <w:rsid w:val="00703318"/>
    <w:rsid w:val="00706EB8"/>
    <w:rsid w:val="007260CD"/>
    <w:rsid w:val="00731ECF"/>
    <w:rsid w:val="007565FE"/>
    <w:rsid w:val="00761A6D"/>
    <w:rsid w:val="00795C78"/>
    <w:rsid w:val="007C498A"/>
    <w:rsid w:val="007D52E2"/>
    <w:rsid w:val="007F63FC"/>
    <w:rsid w:val="007F7C9C"/>
    <w:rsid w:val="00804910"/>
    <w:rsid w:val="00813F0D"/>
    <w:rsid w:val="00825FD7"/>
    <w:rsid w:val="008436AC"/>
    <w:rsid w:val="00843D7C"/>
    <w:rsid w:val="00854972"/>
    <w:rsid w:val="00855D37"/>
    <w:rsid w:val="008607AD"/>
    <w:rsid w:val="00861675"/>
    <w:rsid w:val="00891857"/>
    <w:rsid w:val="008A3711"/>
    <w:rsid w:val="008C579E"/>
    <w:rsid w:val="008D0C76"/>
    <w:rsid w:val="008F1614"/>
    <w:rsid w:val="008F25B2"/>
    <w:rsid w:val="008F3176"/>
    <w:rsid w:val="008F6390"/>
    <w:rsid w:val="008F65E4"/>
    <w:rsid w:val="00917358"/>
    <w:rsid w:val="00921B78"/>
    <w:rsid w:val="00945699"/>
    <w:rsid w:val="009458FB"/>
    <w:rsid w:val="00956CF9"/>
    <w:rsid w:val="00967A22"/>
    <w:rsid w:val="00970860"/>
    <w:rsid w:val="009712D1"/>
    <w:rsid w:val="0097776D"/>
    <w:rsid w:val="00996242"/>
    <w:rsid w:val="009B36A1"/>
    <w:rsid w:val="009C01D2"/>
    <w:rsid w:val="00A06364"/>
    <w:rsid w:val="00A16572"/>
    <w:rsid w:val="00A205D2"/>
    <w:rsid w:val="00A2614F"/>
    <w:rsid w:val="00A27E62"/>
    <w:rsid w:val="00A46807"/>
    <w:rsid w:val="00A50AE1"/>
    <w:rsid w:val="00A87391"/>
    <w:rsid w:val="00AA3111"/>
    <w:rsid w:val="00AB1AFC"/>
    <w:rsid w:val="00AC1100"/>
    <w:rsid w:val="00AD4D41"/>
    <w:rsid w:val="00AD58AD"/>
    <w:rsid w:val="00AE2ABE"/>
    <w:rsid w:val="00AF4089"/>
    <w:rsid w:val="00AF6B2F"/>
    <w:rsid w:val="00B12873"/>
    <w:rsid w:val="00B12D85"/>
    <w:rsid w:val="00B44310"/>
    <w:rsid w:val="00B5141E"/>
    <w:rsid w:val="00B5725D"/>
    <w:rsid w:val="00B6456E"/>
    <w:rsid w:val="00B67944"/>
    <w:rsid w:val="00B9565F"/>
    <w:rsid w:val="00BA4A41"/>
    <w:rsid w:val="00BB4387"/>
    <w:rsid w:val="00BB69B8"/>
    <w:rsid w:val="00BB725E"/>
    <w:rsid w:val="00BE41C2"/>
    <w:rsid w:val="00BF6192"/>
    <w:rsid w:val="00C06E26"/>
    <w:rsid w:val="00C2500E"/>
    <w:rsid w:val="00C327B5"/>
    <w:rsid w:val="00C465AD"/>
    <w:rsid w:val="00C52A05"/>
    <w:rsid w:val="00C54775"/>
    <w:rsid w:val="00C64413"/>
    <w:rsid w:val="00C753BD"/>
    <w:rsid w:val="00C777A1"/>
    <w:rsid w:val="00CA4836"/>
    <w:rsid w:val="00CB60B8"/>
    <w:rsid w:val="00CC3152"/>
    <w:rsid w:val="00CE10D6"/>
    <w:rsid w:val="00CE4A75"/>
    <w:rsid w:val="00D038C3"/>
    <w:rsid w:val="00D17520"/>
    <w:rsid w:val="00D461B7"/>
    <w:rsid w:val="00D63FD3"/>
    <w:rsid w:val="00D6612C"/>
    <w:rsid w:val="00D70C12"/>
    <w:rsid w:val="00D82527"/>
    <w:rsid w:val="00DE1BE3"/>
    <w:rsid w:val="00DF0824"/>
    <w:rsid w:val="00DF46ED"/>
    <w:rsid w:val="00DF7EF6"/>
    <w:rsid w:val="00E00022"/>
    <w:rsid w:val="00E20F2E"/>
    <w:rsid w:val="00E31B82"/>
    <w:rsid w:val="00E70719"/>
    <w:rsid w:val="00E71B80"/>
    <w:rsid w:val="00E954D3"/>
    <w:rsid w:val="00E96B4F"/>
    <w:rsid w:val="00E9757B"/>
    <w:rsid w:val="00EA7BAF"/>
    <w:rsid w:val="00EE286A"/>
    <w:rsid w:val="00EF0CD1"/>
    <w:rsid w:val="00EF4765"/>
    <w:rsid w:val="00EF5487"/>
    <w:rsid w:val="00F130D9"/>
    <w:rsid w:val="00F17C55"/>
    <w:rsid w:val="00F24B05"/>
    <w:rsid w:val="00F27A95"/>
    <w:rsid w:val="00F6032D"/>
    <w:rsid w:val="00F74877"/>
    <w:rsid w:val="00F77515"/>
    <w:rsid w:val="00F97673"/>
    <w:rsid w:val="00FB2E5E"/>
    <w:rsid w:val="00FB63DD"/>
    <w:rsid w:val="00FC056F"/>
    <w:rsid w:val="00FC56AB"/>
    <w:rsid w:val="00FC7626"/>
    <w:rsid w:val="00FF4EA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004E6"/>
  <w15:chartTrackingRefBased/>
  <w15:docId w15:val="{BAA3BE34-7EAC-4084-AF5A-CCE453FDE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uiPriority w:val="99"/>
    <w:rsid w:val="00CC3152"/>
    <w:rPr>
      <w:sz w:val="20"/>
    </w:rPr>
  </w:style>
  <w:style w:type="character" w:customStyle="1" w:styleId="FootnoteTextChar">
    <w:name w:val="Footnote Text Char"/>
    <w:basedOn w:val="DefaultParagraphFont"/>
    <w:link w:val="FootnoteText"/>
    <w:uiPriority w:val="99"/>
    <w:rsid w:val="00CC3152"/>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basedOn w:val="DefaultParagraphFont"/>
    <w:uiPriority w:val="99"/>
    <w:rsid w:val="00CC3152"/>
    <w:rPr>
      <w:vertAlign w:val="superscript"/>
    </w:rPr>
  </w:style>
  <w:style w:type="character" w:styleId="Hyperlink">
    <w:name w:val="Hyperlink"/>
    <w:basedOn w:val="DefaultParagraphFont"/>
    <w:uiPriority w:val="99"/>
    <w:rsid w:val="00CC3152"/>
    <w:rPr>
      <w:color w:val="0563C1" w:themeColor="hyperlink"/>
      <w:u w:val="single"/>
    </w:rPr>
  </w:style>
  <w:style w:type="character" w:styleId="UnresolvedMention">
    <w:name w:val="Unresolved Mention"/>
    <w:basedOn w:val="DefaultParagraphFont"/>
    <w:uiPriority w:val="99"/>
    <w:semiHidden/>
    <w:unhideWhenUsed/>
    <w:rsid w:val="00CC3152"/>
    <w:rPr>
      <w:color w:val="605E5C"/>
      <w:shd w:val="clear" w:color="auto" w:fill="E1DFDD"/>
    </w:rPr>
  </w:style>
  <w:style w:type="character" w:customStyle="1" w:styleId="NormalHanging12aChar">
    <w:name w:val="NormalHanging12a Char"/>
    <w:basedOn w:val="DefaultParagraphFont"/>
    <w:link w:val="NormalHanging12a"/>
    <w:locked/>
    <w:rsid w:val="00CC3152"/>
    <w:rPr>
      <w:sz w:val="24"/>
    </w:rPr>
  </w:style>
  <w:style w:type="character" w:customStyle="1" w:styleId="PageHeadingChar">
    <w:name w:val="PageHeading Char"/>
    <w:basedOn w:val="DefaultParagraphFont"/>
    <w:link w:val="PageHeading"/>
    <w:locked/>
    <w:rsid w:val="0001176A"/>
    <w:rPr>
      <w:rFonts w:ascii="Arial" w:hAnsi="Arial" w:cs="Arial"/>
      <w:b/>
      <w:sz w:val="24"/>
    </w:rPr>
  </w:style>
  <w:style w:type="paragraph" w:styleId="Revision">
    <w:name w:val="Revision"/>
    <w:hidden/>
    <w:uiPriority w:val="99"/>
    <w:semiHidden/>
    <w:rsid w:val="000F27EF"/>
    <w:rPr>
      <w:sz w:val="24"/>
    </w:rPr>
  </w:style>
  <w:style w:type="paragraph" w:customStyle="1" w:styleId="Normal24a">
    <w:name w:val="Normal24a"/>
    <w:basedOn w:val="Normal"/>
    <w:rsid w:val="008F65E4"/>
    <w:pPr>
      <w:spacing w:after="480"/>
    </w:pPr>
  </w:style>
  <w:style w:type="paragraph" w:customStyle="1" w:styleId="NormalBoldCenter">
    <w:name w:val="NormalBoldCenter"/>
    <w:basedOn w:val="Normal"/>
    <w:rsid w:val="008F65E4"/>
    <w:pPr>
      <w:jc w:val="center"/>
    </w:pPr>
    <w:rPr>
      <w:b/>
    </w:rPr>
  </w:style>
  <w:style w:type="paragraph" w:customStyle="1" w:styleId="Footprint12b">
    <w:name w:val="Footprint12b"/>
    <w:basedOn w:val="Normal"/>
    <w:rsid w:val="008F65E4"/>
    <w:pPr>
      <w:spacing w:before="240"/>
    </w:pPr>
    <w:rPr>
      <w:szCs w:val="24"/>
    </w:rPr>
  </w:style>
  <w:style w:type="paragraph" w:customStyle="1" w:styleId="NormalSingle">
    <w:name w:val="NormalSingle"/>
    <w:basedOn w:val="Normal"/>
    <w:qFormat/>
    <w:rsid w:val="008F65E4"/>
    <w:rPr>
      <w:szCs w:val="24"/>
    </w:rPr>
  </w:style>
  <w:style w:type="paragraph" w:customStyle="1" w:styleId="Normal12a">
    <w:name w:val="Normal12a"/>
    <w:basedOn w:val="Normal"/>
    <w:rsid w:val="00825FD7"/>
    <w:pPr>
      <w:spacing w:after="240"/>
    </w:pPr>
  </w:style>
  <w:style w:type="paragraph" w:customStyle="1" w:styleId="LetterSalutation">
    <w:name w:val="LetterSalutation"/>
    <w:basedOn w:val="Normal"/>
    <w:rsid w:val="00825FD7"/>
    <w:pPr>
      <w:spacing w:before="600" w:after="360"/>
    </w:pPr>
  </w:style>
  <w:style w:type="paragraph" w:customStyle="1" w:styleId="LetterSubject">
    <w:name w:val="LetterSubject"/>
    <w:basedOn w:val="Normal"/>
    <w:rsid w:val="00825FD7"/>
    <w:pPr>
      <w:spacing w:before="480"/>
      <w:ind w:left="1134" w:hanging="1134"/>
    </w:pPr>
  </w:style>
  <w:style w:type="paragraph" w:customStyle="1" w:styleId="LetterSignature66b">
    <w:name w:val="LetterSignature66b"/>
    <w:basedOn w:val="Normal"/>
    <w:next w:val="Normal"/>
    <w:rsid w:val="00825FD7"/>
    <w:pPr>
      <w:spacing w:before="1320"/>
    </w:pPr>
  </w:style>
  <w:style w:type="paragraph" w:customStyle="1" w:styleId="PageHeadingNotTOC">
    <w:name w:val="PageHeadingNotTOC"/>
    <w:basedOn w:val="Normal"/>
    <w:rsid w:val="00825FD7"/>
    <w:pPr>
      <w:keepNext/>
      <w:spacing w:after="480"/>
      <w:jc w:val="center"/>
    </w:pPr>
    <w:rPr>
      <w:rFonts w:ascii="Arial" w:hAnsi="Arial" w:cs="Arial"/>
      <w:b/>
    </w:rPr>
  </w:style>
  <w:style w:type="paragraph" w:customStyle="1" w:styleId="Normal12">
    <w:name w:val="Normal12"/>
    <w:basedOn w:val="Normal"/>
    <w:link w:val="Normal12Char"/>
    <w:rsid w:val="00825FD7"/>
    <w:pPr>
      <w:spacing w:after="240"/>
    </w:pPr>
    <w:rPr>
      <w:rFonts w:ascii="Arial" w:hAnsi="Arial" w:cs="Arial"/>
    </w:rPr>
  </w:style>
  <w:style w:type="character" w:customStyle="1" w:styleId="Normal12Char">
    <w:name w:val="Normal12 Char"/>
    <w:basedOn w:val="PageHeadingChar"/>
    <w:link w:val="Normal12"/>
    <w:rsid w:val="00825FD7"/>
    <w:rPr>
      <w:rFonts w:ascii="Arial" w:hAnsi="Arial" w:cs="Arial"/>
      <w:b w:val="0"/>
      <w:sz w:val="24"/>
    </w:rPr>
  </w:style>
  <w:style w:type="paragraph" w:customStyle="1" w:styleId="RollCallVotes">
    <w:name w:val="RollCallVotes"/>
    <w:basedOn w:val="Normal"/>
    <w:rsid w:val="009712D1"/>
    <w:pPr>
      <w:spacing w:before="120" w:after="120"/>
      <w:jc w:val="center"/>
    </w:pPr>
    <w:rPr>
      <w:b/>
      <w:bCs/>
      <w:snapToGrid w:val="0"/>
      <w:sz w:val="16"/>
      <w:lang w:eastAsia="en-US"/>
    </w:rPr>
  </w:style>
  <w:style w:type="paragraph" w:customStyle="1" w:styleId="RollCallTabs">
    <w:name w:val="RollCallTabs"/>
    <w:basedOn w:val="Normal"/>
    <w:qFormat/>
    <w:rsid w:val="009712D1"/>
    <w:pPr>
      <w:tabs>
        <w:tab w:val="center" w:pos="284"/>
        <w:tab w:val="left" w:pos="426"/>
      </w:tabs>
    </w:pPr>
    <w:rPr>
      <w:snapToGrid w:val="0"/>
      <w:lang w:eastAsia="en-US"/>
    </w:rPr>
  </w:style>
  <w:style w:type="paragraph" w:customStyle="1" w:styleId="RollCallSymbols14pt">
    <w:name w:val="RollCallSymbols14pt"/>
    <w:basedOn w:val="Normal"/>
    <w:rsid w:val="009712D1"/>
    <w:pPr>
      <w:spacing w:before="120" w:after="120"/>
      <w:jc w:val="center"/>
    </w:pPr>
    <w:rPr>
      <w:rFonts w:ascii="Arial" w:hAnsi="Arial"/>
      <w:b/>
      <w:bCs/>
      <w:snapToGrid w:val="0"/>
      <w:sz w:val="28"/>
      <w:lang w:eastAsia="en-US"/>
    </w:rPr>
  </w:style>
  <w:style w:type="paragraph" w:customStyle="1" w:styleId="RollCallTable">
    <w:name w:val="RollCallTable"/>
    <w:basedOn w:val="Normal"/>
    <w:rsid w:val="009712D1"/>
    <w:pPr>
      <w:spacing w:before="120" w:after="120"/>
    </w:pPr>
    <w:rPr>
      <w:snapToGrid w:val="0"/>
      <w:sz w:val="16"/>
      <w:lang w:eastAsia="en-US"/>
    </w:rPr>
  </w:style>
  <w:style w:type="paragraph" w:styleId="Footer">
    <w:name w:val="footer"/>
    <w:basedOn w:val="Normal"/>
    <w:link w:val="FooterChar"/>
    <w:semiHidden/>
    <w:rsid w:val="00C64413"/>
    <w:pPr>
      <w:tabs>
        <w:tab w:val="center" w:pos="4513"/>
        <w:tab w:val="right" w:pos="9026"/>
      </w:tabs>
    </w:pPr>
  </w:style>
  <w:style w:type="character" w:customStyle="1" w:styleId="FooterChar">
    <w:name w:val="Footer Char"/>
    <w:basedOn w:val="DefaultParagraphFont"/>
    <w:link w:val="Footer"/>
    <w:semiHidden/>
    <w:rsid w:val="00C6441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1967">
      <w:bodyDiv w:val="1"/>
      <w:marLeft w:val="0"/>
      <w:marRight w:val="0"/>
      <w:marTop w:val="0"/>
      <w:marBottom w:val="0"/>
      <w:divBdr>
        <w:top w:val="none" w:sz="0" w:space="0" w:color="auto"/>
        <w:left w:val="none" w:sz="0" w:space="0" w:color="auto"/>
        <w:bottom w:val="none" w:sz="0" w:space="0" w:color="auto"/>
        <w:right w:val="none" w:sz="0" w:space="0" w:color="auto"/>
      </w:divBdr>
    </w:div>
    <w:div w:id="23680429">
      <w:bodyDiv w:val="1"/>
      <w:marLeft w:val="0"/>
      <w:marRight w:val="0"/>
      <w:marTop w:val="0"/>
      <w:marBottom w:val="0"/>
      <w:divBdr>
        <w:top w:val="none" w:sz="0" w:space="0" w:color="auto"/>
        <w:left w:val="none" w:sz="0" w:space="0" w:color="auto"/>
        <w:bottom w:val="none" w:sz="0" w:space="0" w:color="auto"/>
        <w:right w:val="none" w:sz="0" w:space="0" w:color="auto"/>
      </w:divBdr>
    </w:div>
    <w:div w:id="98376564">
      <w:bodyDiv w:val="1"/>
      <w:marLeft w:val="0"/>
      <w:marRight w:val="0"/>
      <w:marTop w:val="0"/>
      <w:marBottom w:val="0"/>
      <w:divBdr>
        <w:top w:val="none" w:sz="0" w:space="0" w:color="auto"/>
        <w:left w:val="none" w:sz="0" w:space="0" w:color="auto"/>
        <w:bottom w:val="none" w:sz="0" w:space="0" w:color="auto"/>
        <w:right w:val="none" w:sz="0" w:space="0" w:color="auto"/>
      </w:divBdr>
    </w:div>
    <w:div w:id="102700126">
      <w:bodyDiv w:val="1"/>
      <w:marLeft w:val="0"/>
      <w:marRight w:val="0"/>
      <w:marTop w:val="0"/>
      <w:marBottom w:val="0"/>
      <w:divBdr>
        <w:top w:val="none" w:sz="0" w:space="0" w:color="auto"/>
        <w:left w:val="none" w:sz="0" w:space="0" w:color="auto"/>
        <w:bottom w:val="none" w:sz="0" w:space="0" w:color="auto"/>
        <w:right w:val="none" w:sz="0" w:space="0" w:color="auto"/>
      </w:divBdr>
    </w:div>
    <w:div w:id="218441648">
      <w:bodyDiv w:val="1"/>
      <w:marLeft w:val="0"/>
      <w:marRight w:val="0"/>
      <w:marTop w:val="0"/>
      <w:marBottom w:val="0"/>
      <w:divBdr>
        <w:top w:val="none" w:sz="0" w:space="0" w:color="auto"/>
        <w:left w:val="none" w:sz="0" w:space="0" w:color="auto"/>
        <w:bottom w:val="none" w:sz="0" w:space="0" w:color="auto"/>
        <w:right w:val="none" w:sz="0" w:space="0" w:color="auto"/>
      </w:divBdr>
    </w:div>
    <w:div w:id="331837668">
      <w:bodyDiv w:val="1"/>
      <w:marLeft w:val="0"/>
      <w:marRight w:val="0"/>
      <w:marTop w:val="0"/>
      <w:marBottom w:val="0"/>
      <w:divBdr>
        <w:top w:val="none" w:sz="0" w:space="0" w:color="auto"/>
        <w:left w:val="none" w:sz="0" w:space="0" w:color="auto"/>
        <w:bottom w:val="none" w:sz="0" w:space="0" w:color="auto"/>
        <w:right w:val="none" w:sz="0" w:space="0" w:color="auto"/>
      </w:divBdr>
    </w:div>
    <w:div w:id="353579041">
      <w:bodyDiv w:val="1"/>
      <w:marLeft w:val="0"/>
      <w:marRight w:val="0"/>
      <w:marTop w:val="0"/>
      <w:marBottom w:val="0"/>
      <w:divBdr>
        <w:top w:val="none" w:sz="0" w:space="0" w:color="auto"/>
        <w:left w:val="none" w:sz="0" w:space="0" w:color="auto"/>
        <w:bottom w:val="none" w:sz="0" w:space="0" w:color="auto"/>
        <w:right w:val="none" w:sz="0" w:space="0" w:color="auto"/>
      </w:divBdr>
    </w:div>
    <w:div w:id="356347261">
      <w:bodyDiv w:val="1"/>
      <w:marLeft w:val="0"/>
      <w:marRight w:val="0"/>
      <w:marTop w:val="0"/>
      <w:marBottom w:val="0"/>
      <w:divBdr>
        <w:top w:val="none" w:sz="0" w:space="0" w:color="auto"/>
        <w:left w:val="none" w:sz="0" w:space="0" w:color="auto"/>
        <w:bottom w:val="none" w:sz="0" w:space="0" w:color="auto"/>
        <w:right w:val="none" w:sz="0" w:space="0" w:color="auto"/>
      </w:divBdr>
    </w:div>
    <w:div w:id="446169194">
      <w:bodyDiv w:val="1"/>
      <w:marLeft w:val="0"/>
      <w:marRight w:val="0"/>
      <w:marTop w:val="0"/>
      <w:marBottom w:val="0"/>
      <w:divBdr>
        <w:top w:val="none" w:sz="0" w:space="0" w:color="auto"/>
        <w:left w:val="none" w:sz="0" w:space="0" w:color="auto"/>
        <w:bottom w:val="none" w:sz="0" w:space="0" w:color="auto"/>
        <w:right w:val="none" w:sz="0" w:space="0" w:color="auto"/>
      </w:divBdr>
    </w:div>
    <w:div w:id="506869225">
      <w:bodyDiv w:val="1"/>
      <w:marLeft w:val="0"/>
      <w:marRight w:val="0"/>
      <w:marTop w:val="0"/>
      <w:marBottom w:val="0"/>
      <w:divBdr>
        <w:top w:val="none" w:sz="0" w:space="0" w:color="auto"/>
        <w:left w:val="none" w:sz="0" w:space="0" w:color="auto"/>
        <w:bottom w:val="none" w:sz="0" w:space="0" w:color="auto"/>
        <w:right w:val="none" w:sz="0" w:space="0" w:color="auto"/>
      </w:divBdr>
    </w:div>
    <w:div w:id="537624570">
      <w:bodyDiv w:val="1"/>
      <w:marLeft w:val="0"/>
      <w:marRight w:val="0"/>
      <w:marTop w:val="0"/>
      <w:marBottom w:val="0"/>
      <w:divBdr>
        <w:top w:val="none" w:sz="0" w:space="0" w:color="auto"/>
        <w:left w:val="none" w:sz="0" w:space="0" w:color="auto"/>
        <w:bottom w:val="none" w:sz="0" w:space="0" w:color="auto"/>
        <w:right w:val="none" w:sz="0" w:space="0" w:color="auto"/>
      </w:divBdr>
    </w:div>
    <w:div w:id="543491061">
      <w:bodyDiv w:val="1"/>
      <w:marLeft w:val="0"/>
      <w:marRight w:val="0"/>
      <w:marTop w:val="0"/>
      <w:marBottom w:val="0"/>
      <w:divBdr>
        <w:top w:val="none" w:sz="0" w:space="0" w:color="auto"/>
        <w:left w:val="none" w:sz="0" w:space="0" w:color="auto"/>
        <w:bottom w:val="none" w:sz="0" w:space="0" w:color="auto"/>
        <w:right w:val="none" w:sz="0" w:space="0" w:color="auto"/>
      </w:divBdr>
    </w:div>
    <w:div w:id="770974571">
      <w:bodyDiv w:val="1"/>
      <w:marLeft w:val="0"/>
      <w:marRight w:val="0"/>
      <w:marTop w:val="0"/>
      <w:marBottom w:val="0"/>
      <w:divBdr>
        <w:top w:val="none" w:sz="0" w:space="0" w:color="auto"/>
        <w:left w:val="none" w:sz="0" w:space="0" w:color="auto"/>
        <w:bottom w:val="none" w:sz="0" w:space="0" w:color="auto"/>
        <w:right w:val="none" w:sz="0" w:space="0" w:color="auto"/>
      </w:divBdr>
    </w:div>
    <w:div w:id="850948746">
      <w:bodyDiv w:val="1"/>
      <w:marLeft w:val="0"/>
      <w:marRight w:val="0"/>
      <w:marTop w:val="0"/>
      <w:marBottom w:val="0"/>
      <w:divBdr>
        <w:top w:val="none" w:sz="0" w:space="0" w:color="auto"/>
        <w:left w:val="none" w:sz="0" w:space="0" w:color="auto"/>
        <w:bottom w:val="none" w:sz="0" w:space="0" w:color="auto"/>
        <w:right w:val="none" w:sz="0" w:space="0" w:color="auto"/>
      </w:divBdr>
    </w:div>
    <w:div w:id="869807529">
      <w:bodyDiv w:val="1"/>
      <w:marLeft w:val="0"/>
      <w:marRight w:val="0"/>
      <w:marTop w:val="0"/>
      <w:marBottom w:val="0"/>
      <w:divBdr>
        <w:top w:val="none" w:sz="0" w:space="0" w:color="auto"/>
        <w:left w:val="none" w:sz="0" w:space="0" w:color="auto"/>
        <w:bottom w:val="none" w:sz="0" w:space="0" w:color="auto"/>
        <w:right w:val="none" w:sz="0" w:space="0" w:color="auto"/>
      </w:divBdr>
    </w:div>
    <w:div w:id="884559045">
      <w:bodyDiv w:val="1"/>
      <w:marLeft w:val="0"/>
      <w:marRight w:val="0"/>
      <w:marTop w:val="0"/>
      <w:marBottom w:val="0"/>
      <w:divBdr>
        <w:top w:val="none" w:sz="0" w:space="0" w:color="auto"/>
        <w:left w:val="none" w:sz="0" w:space="0" w:color="auto"/>
        <w:bottom w:val="none" w:sz="0" w:space="0" w:color="auto"/>
        <w:right w:val="none" w:sz="0" w:space="0" w:color="auto"/>
      </w:divBdr>
    </w:div>
    <w:div w:id="903637681">
      <w:bodyDiv w:val="1"/>
      <w:marLeft w:val="0"/>
      <w:marRight w:val="0"/>
      <w:marTop w:val="0"/>
      <w:marBottom w:val="0"/>
      <w:divBdr>
        <w:top w:val="none" w:sz="0" w:space="0" w:color="auto"/>
        <w:left w:val="none" w:sz="0" w:space="0" w:color="auto"/>
        <w:bottom w:val="none" w:sz="0" w:space="0" w:color="auto"/>
        <w:right w:val="none" w:sz="0" w:space="0" w:color="auto"/>
      </w:divBdr>
    </w:div>
    <w:div w:id="1037005524">
      <w:bodyDiv w:val="1"/>
      <w:marLeft w:val="0"/>
      <w:marRight w:val="0"/>
      <w:marTop w:val="0"/>
      <w:marBottom w:val="0"/>
      <w:divBdr>
        <w:top w:val="none" w:sz="0" w:space="0" w:color="auto"/>
        <w:left w:val="none" w:sz="0" w:space="0" w:color="auto"/>
        <w:bottom w:val="none" w:sz="0" w:space="0" w:color="auto"/>
        <w:right w:val="none" w:sz="0" w:space="0" w:color="auto"/>
      </w:divBdr>
    </w:div>
    <w:div w:id="1122387205">
      <w:bodyDiv w:val="1"/>
      <w:marLeft w:val="0"/>
      <w:marRight w:val="0"/>
      <w:marTop w:val="0"/>
      <w:marBottom w:val="0"/>
      <w:divBdr>
        <w:top w:val="none" w:sz="0" w:space="0" w:color="auto"/>
        <w:left w:val="none" w:sz="0" w:space="0" w:color="auto"/>
        <w:bottom w:val="none" w:sz="0" w:space="0" w:color="auto"/>
        <w:right w:val="none" w:sz="0" w:space="0" w:color="auto"/>
      </w:divBdr>
    </w:div>
    <w:div w:id="1227837836">
      <w:bodyDiv w:val="1"/>
      <w:marLeft w:val="0"/>
      <w:marRight w:val="0"/>
      <w:marTop w:val="0"/>
      <w:marBottom w:val="0"/>
      <w:divBdr>
        <w:top w:val="none" w:sz="0" w:space="0" w:color="auto"/>
        <w:left w:val="none" w:sz="0" w:space="0" w:color="auto"/>
        <w:bottom w:val="none" w:sz="0" w:space="0" w:color="auto"/>
        <w:right w:val="none" w:sz="0" w:space="0" w:color="auto"/>
      </w:divBdr>
    </w:div>
    <w:div w:id="1318803758">
      <w:bodyDiv w:val="1"/>
      <w:marLeft w:val="0"/>
      <w:marRight w:val="0"/>
      <w:marTop w:val="0"/>
      <w:marBottom w:val="0"/>
      <w:divBdr>
        <w:top w:val="none" w:sz="0" w:space="0" w:color="auto"/>
        <w:left w:val="none" w:sz="0" w:space="0" w:color="auto"/>
        <w:bottom w:val="none" w:sz="0" w:space="0" w:color="auto"/>
        <w:right w:val="none" w:sz="0" w:space="0" w:color="auto"/>
      </w:divBdr>
    </w:div>
    <w:div w:id="1357778381">
      <w:bodyDiv w:val="1"/>
      <w:marLeft w:val="0"/>
      <w:marRight w:val="0"/>
      <w:marTop w:val="0"/>
      <w:marBottom w:val="0"/>
      <w:divBdr>
        <w:top w:val="none" w:sz="0" w:space="0" w:color="auto"/>
        <w:left w:val="none" w:sz="0" w:space="0" w:color="auto"/>
        <w:bottom w:val="none" w:sz="0" w:space="0" w:color="auto"/>
        <w:right w:val="none" w:sz="0" w:space="0" w:color="auto"/>
      </w:divBdr>
    </w:div>
    <w:div w:id="1376395353">
      <w:bodyDiv w:val="1"/>
      <w:marLeft w:val="0"/>
      <w:marRight w:val="0"/>
      <w:marTop w:val="0"/>
      <w:marBottom w:val="0"/>
      <w:divBdr>
        <w:top w:val="none" w:sz="0" w:space="0" w:color="auto"/>
        <w:left w:val="none" w:sz="0" w:space="0" w:color="auto"/>
        <w:bottom w:val="none" w:sz="0" w:space="0" w:color="auto"/>
        <w:right w:val="none" w:sz="0" w:space="0" w:color="auto"/>
      </w:divBdr>
    </w:div>
    <w:div w:id="1386683259">
      <w:bodyDiv w:val="1"/>
      <w:marLeft w:val="0"/>
      <w:marRight w:val="0"/>
      <w:marTop w:val="0"/>
      <w:marBottom w:val="0"/>
      <w:divBdr>
        <w:top w:val="none" w:sz="0" w:space="0" w:color="auto"/>
        <w:left w:val="none" w:sz="0" w:space="0" w:color="auto"/>
        <w:bottom w:val="none" w:sz="0" w:space="0" w:color="auto"/>
        <w:right w:val="none" w:sz="0" w:space="0" w:color="auto"/>
      </w:divBdr>
    </w:div>
    <w:div w:id="1445419738">
      <w:bodyDiv w:val="1"/>
      <w:marLeft w:val="0"/>
      <w:marRight w:val="0"/>
      <w:marTop w:val="0"/>
      <w:marBottom w:val="0"/>
      <w:divBdr>
        <w:top w:val="none" w:sz="0" w:space="0" w:color="auto"/>
        <w:left w:val="none" w:sz="0" w:space="0" w:color="auto"/>
        <w:bottom w:val="none" w:sz="0" w:space="0" w:color="auto"/>
        <w:right w:val="none" w:sz="0" w:space="0" w:color="auto"/>
      </w:divBdr>
    </w:div>
    <w:div w:id="1552307259">
      <w:bodyDiv w:val="1"/>
      <w:marLeft w:val="0"/>
      <w:marRight w:val="0"/>
      <w:marTop w:val="0"/>
      <w:marBottom w:val="0"/>
      <w:divBdr>
        <w:top w:val="none" w:sz="0" w:space="0" w:color="auto"/>
        <w:left w:val="none" w:sz="0" w:space="0" w:color="auto"/>
        <w:bottom w:val="none" w:sz="0" w:space="0" w:color="auto"/>
        <w:right w:val="none" w:sz="0" w:space="0" w:color="auto"/>
      </w:divBdr>
    </w:div>
    <w:div w:id="1604145334">
      <w:bodyDiv w:val="1"/>
      <w:marLeft w:val="0"/>
      <w:marRight w:val="0"/>
      <w:marTop w:val="0"/>
      <w:marBottom w:val="0"/>
      <w:divBdr>
        <w:top w:val="none" w:sz="0" w:space="0" w:color="auto"/>
        <w:left w:val="none" w:sz="0" w:space="0" w:color="auto"/>
        <w:bottom w:val="none" w:sz="0" w:space="0" w:color="auto"/>
        <w:right w:val="none" w:sz="0" w:space="0" w:color="auto"/>
      </w:divBdr>
    </w:div>
    <w:div w:id="1620842661">
      <w:bodyDiv w:val="1"/>
      <w:marLeft w:val="0"/>
      <w:marRight w:val="0"/>
      <w:marTop w:val="0"/>
      <w:marBottom w:val="0"/>
      <w:divBdr>
        <w:top w:val="none" w:sz="0" w:space="0" w:color="auto"/>
        <w:left w:val="none" w:sz="0" w:space="0" w:color="auto"/>
        <w:bottom w:val="none" w:sz="0" w:space="0" w:color="auto"/>
        <w:right w:val="none" w:sz="0" w:space="0" w:color="auto"/>
      </w:divBdr>
    </w:div>
    <w:div w:id="1764716067">
      <w:bodyDiv w:val="1"/>
      <w:marLeft w:val="0"/>
      <w:marRight w:val="0"/>
      <w:marTop w:val="0"/>
      <w:marBottom w:val="0"/>
      <w:divBdr>
        <w:top w:val="none" w:sz="0" w:space="0" w:color="auto"/>
        <w:left w:val="none" w:sz="0" w:space="0" w:color="auto"/>
        <w:bottom w:val="none" w:sz="0" w:space="0" w:color="auto"/>
        <w:right w:val="none" w:sz="0" w:space="0" w:color="auto"/>
      </w:divBdr>
    </w:div>
    <w:div w:id="1803107950">
      <w:bodyDiv w:val="1"/>
      <w:marLeft w:val="0"/>
      <w:marRight w:val="0"/>
      <w:marTop w:val="0"/>
      <w:marBottom w:val="0"/>
      <w:divBdr>
        <w:top w:val="none" w:sz="0" w:space="0" w:color="auto"/>
        <w:left w:val="none" w:sz="0" w:space="0" w:color="auto"/>
        <w:bottom w:val="none" w:sz="0" w:space="0" w:color="auto"/>
        <w:right w:val="none" w:sz="0" w:space="0" w:color="auto"/>
      </w:divBdr>
    </w:div>
    <w:div w:id="1842306999">
      <w:bodyDiv w:val="1"/>
      <w:marLeft w:val="0"/>
      <w:marRight w:val="0"/>
      <w:marTop w:val="0"/>
      <w:marBottom w:val="0"/>
      <w:divBdr>
        <w:top w:val="none" w:sz="0" w:space="0" w:color="auto"/>
        <w:left w:val="none" w:sz="0" w:space="0" w:color="auto"/>
        <w:bottom w:val="none" w:sz="0" w:space="0" w:color="auto"/>
        <w:right w:val="none" w:sz="0" w:space="0" w:color="auto"/>
      </w:divBdr>
    </w:div>
    <w:div w:id="194880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65/oj" TargetMode="External"/><Relationship Id="rId3" Type="http://schemas.openxmlformats.org/officeDocument/2006/relationships/hyperlink" Target="http://data.europa.eu/eli/reg/2024/765/oj" TargetMode="External"/><Relationship Id="rId7" Type="http://schemas.openxmlformats.org/officeDocument/2006/relationships/hyperlink" Target="http://data.europa.eu/eli/reg/2020/2093/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 Id="rId9"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4D156-CB09-46CA-BB56-B2B4C9420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5601</Words>
  <Characters>31033</Characters>
  <Application>Microsoft Office Word</Application>
  <DocSecurity>0</DocSecurity>
  <Lines>585</Lines>
  <Paragraphs>209</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36425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subject/>
  <dc:creator>FERNANDEZ PLAZA Remedios</dc:creator>
  <cp:keywords/>
  <dc:description/>
  <cp:lastModifiedBy>MARIE Chloé Lucile</cp:lastModifiedBy>
  <cp:revision>2</cp:revision>
  <cp:lastPrinted>2026-01-26T16:08:00Z</cp:lastPrinted>
  <dcterms:created xsi:type="dcterms:W3CDTF">2026-02-04T14:41:00Z</dcterms:created>
  <dcterms:modified xsi:type="dcterms:W3CDTF">2026-02-04T14:41:00Z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10.2.1 Build [20251215]</vt:lpwstr>
  </property>
  <property fmtid="{D5CDD505-2E9C-101B-9397-08002B2CF9AE}" pid="4" name="LastEdited with">
    <vt:lpwstr>10.2.1 Build [20260110]</vt:lpwstr>
  </property>
  <property fmtid="{D5CDD505-2E9C-101B-9397-08002B2CF9AE}" pid="5" name="&lt;FdR&gt;">
    <vt:lpwstr>1336415</vt:lpwstr>
  </property>
  <property fmtid="{D5CDD505-2E9C-101B-9397-08002B2CF9AE}" pid="6" name="&lt;Type&gt;">
    <vt:lpwstr>RR</vt:lpwstr>
  </property>
  <property fmtid="{D5CDD505-2E9C-101B-9397-08002B2CF9AE}" pid="7" name="&lt;ModelCod&gt;">
    <vt:lpwstr>\\eiciBRUpr1\pdocep$\DocEP\DOCS\General\PR\PR_BUD\BUDGET\BUD\PR_BUD_Funds.dotx(05/07/2024 09:40:03)</vt:lpwstr>
  </property>
  <property fmtid="{D5CDD505-2E9C-101B-9397-08002B2CF9AE}" pid="8" name="&lt;ModelTra&gt;">
    <vt:lpwstr>\\eiciBRUpr1\pdocep$\DocEP\TRANSFIL\EN\PR_BUD_Funds.EN(14/07/2025 16:26:00)</vt:lpwstr>
  </property>
  <property fmtid="{D5CDD505-2E9C-101B-9397-08002B2CF9AE}" pid="9" name="&lt;Model&gt;">
    <vt:lpwstr>PR_BUD_Funds</vt:lpwstr>
  </property>
  <property fmtid="{D5CDD505-2E9C-101B-9397-08002B2CF9AE}" pid="10" name="FooterPath">
    <vt:lpwstr>RR\1336415FR.docx</vt:lpwstr>
  </property>
  <property fmtid="{D5CDD505-2E9C-101B-9397-08002B2CF9AE}" pid="11" name="PE number">
    <vt:lpwstr>782.226</vt:lpwstr>
  </property>
  <property fmtid="{D5CDD505-2E9C-101B-9397-08002B2CF9AE}" pid="12" name="SendToEpades">
    <vt:lpwstr/>
  </property>
  <property fmtid="{D5CDD505-2E9C-101B-9397-08002B2CF9AE}" pid="13" name="OriLang">
    <vt:lpwstr>EN</vt:lpwstr>
  </property>
  <property fmtid="{D5CDD505-2E9C-101B-9397-08002B2CF9AE}" pid="14" name="Bookout">
    <vt:lpwstr>OK - 2026/02/04 15:41</vt:lpwstr>
  </property>
  <property fmtid="{D5CDD505-2E9C-101B-9397-08002B2CF9AE}" pid="15" name="SDLStudio">
    <vt:lpwstr/>
  </property>
</Properties>
</file>