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750E6" w:rsidRPr="008F1F8F" w14:paraId="30D636B0" w14:textId="77777777" w:rsidTr="00C85D0F">
        <w:trPr>
          <w:trHeight w:hRule="exact" w:val="1418"/>
        </w:trPr>
        <w:tc>
          <w:tcPr>
            <w:tcW w:w="6804" w:type="dxa"/>
            <w:shd w:val="clear" w:color="auto" w:fill="auto"/>
            <w:vAlign w:val="center"/>
          </w:tcPr>
          <w:p w14:paraId="3518C9D4" w14:textId="32C5C0C6" w:rsidR="003750E6" w:rsidRPr="008F1F8F" w:rsidRDefault="00820044" w:rsidP="00C85D0F">
            <w:pPr>
              <w:pStyle w:val="EPName"/>
            </w:pPr>
            <w:r>
              <w:t>Parlement européen</w:t>
            </w:r>
          </w:p>
          <w:p w14:paraId="13038B48" w14:textId="77777777" w:rsidR="003750E6" w:rsidRPr="008F1F8F" w:rsidRDefault="00A85D80" w:rsidP="00A85D80">
            <w:pPr>
              <w:pStyle w:val="EPTerm"/>
            </w:pPr>
            <w:r>
              <w:t>2024-2029</w:t>
            </w:r>
          </w:p>
        </w:tc>
        <w:tc>
          <w:tcPr>
            <w:tcW w:w="2268" w:type="dxa"/>
            <w:shd w:val="clear" w:color="auto" w:fill="auto"/>
          </w:tcPr>
          <w:p w14:paraId="0A0304A7" w14:textId="77777777" w:rsidR="003750E6" w:rsidRPr="008F1F8F" w:rsidRDefault="003750E6" w:rsidP="00C85D0F">
            <w:pPr>
              <w:pStyle w:val="EPLogo"/>
            </w:pPr>
            <w:r w:rsidRPr="008F1F8F">
              <w:rPr>
                <w:noProof/>
              </w:rPr>
              <w:drawing>
                <wp:inline distT="0" distB="0" distL="0" distR="0" wp14:anchorId="4DF59ED0" wp14:editId="62DA7D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FCC45F" w14:textId="77777777" w:rsidR="00D76FE8" w:rsidRPr="008F1F8F" w:rsidRDefault="00D76FE8" w:rsidP="00D76FE8">
      <w:pPr>
        <w:pStyle w:val="LineTop"/>
      </w:pPr>
    </w:p>
    <w:p w14:paraId="10064077" w14:textId="7F466DE1" w:rsidR="00D76FE8" w:rsidRPr="008F1F8F" w:rsidRDefault="008E12A5" w:rsidP="00D76FE8">
      <w:pPr>
        <w:pStyle w:val="EPBody"/>
      </w:pPr>
      <w:r>
        <w:t>Document de séance</w:t>
      </w:r>
    </w:p>
    <w:p w14:paraId="5AE3C170" w14:textId="77777777" w:rsidR="00D76FE8" w:rsidRPr="008F1F8F" w:rsidRDefault="00D76FE8" w:rsidP="00D76FE8">
      <w:pPr>
        <w:pStyle w:val="LineBottom"/>
      </w:pPr>
    </w:p>
    <w:p w14:paraId="6E80C5F8" w14:textId="1946845B" w:rsidR="000C3131" w:rsidRPr="008F1F8F" w:rsidRDefault="008E12A5">
      <w:pPr>
        <w:pStyle w:val="CoverReference"/>
      </w:pPr>
      <w:r>
        <w:rPr>
          <w:rStyle w:val="HideTWBExt"/>
        </w:rPr>
        <w:t>&lt;NoDocSe&gt;</w:t>
      </w:r>
      <w:r>
        <w:t>A10</w:t>
      </w:r>
      <w:r>
        <w:noBreakHyphen/>
        <w:t>0015/2026</w:t>
      </w:r>
      <w:r>
        <w:rPr>
          <w:rStyle w:val="HideTWBExt"/>
        </w:rPr>
        <w:t>&lt;/</w:t>
      </w:r>
      <w:proofErr w:type="spellStart"/>
      <w:r>
        <w:rPr>
          <w:rStyle w:val="HideTWBExt"/>
        </w:rPr>
        <w:t>NoDocSe</w:t>
      </w:r>
      <w:proofErr w:type="spellEnd"/>
      <w:r>
        <w:rPr>
          <w:rStyle w:val="HideTWBExt"/>
        </w:rPr>
        <w:t>&gt;</w:t>
      </w:r>
    </w:p>
    <w:p w14:paraId="5D37A497" w14:textId="4BAB7453" w:rsidR="000C3131" w:rsidRPr="008F1F8F" w:rsidRDefault="000C3131">
      <w:pPr>
        <w:pStyle w:val="CoverDate"/>
      </w:pPr>
      <w:r>
        <w:rPr>
          <w:rStyle w:val="HideTWBExt"/>
        </w:rPr>
        <w:t>&lt;Date&gt;</w:t>
      </w:r>
      <w:r>
        <w:rPr>
          <w:rStyle w:val="HideTWBInt"/>
        </w:rPr>
        <w:t>{17/02/2026}</w:t>
      </w:r>
      <w:r>
        <w:t>17.2.2026</w:t>
      </w:r>
      <w:r>
        <w:rPr>
          <w:rStyle w:val="HideTWBExt"/>
        </w:rPr>
        <w:t>&lt;/Date&gt;</w:t>
      </w:r>
    </w:p>
    <w:p w14:paraId="3AB22B78" w14:textId="40F4B3AF" w:rsidR="000C3131" w:rsidRPr="008F1F8F" w:rsidRDefault="000C3131">
      <w:pPr>
        <w:pStyle w:val="CoverDocType24a"/>
      </w:pPr>
      <w:r>
        <w:rPr>
          <w:rStyle w:val="HideTWBExt"/>
          <w:b w:val="0"/>
        </w:rPr>
        <w:t>&lt;TitreType&gt;</w:t>
      </w:r>
      <w:r>
        <w:t>RAPPORT</w:t>
      </w:r>
      <w:r>
        <w:rPr>
          <w:rStyle w:val="HideTWBExt"/>
          <w:b w:val="0"/>
        </w:rPr>
        <w:t>&lt;/</w:t>
      </w:r>
      <w:proofErr w:type="spellStart"/>
      <w:r>
        <w:rPr>
          <w:rStyle w:val="HideTWBExt"/>
          <w:b w:val="0"/>
        </w:rPr>
        <w:t>TitreType</w:t>
      </w:r>
      <w:proofErr w:type="spellEnd"/>
      <w:r>
        <w:rPr>
          <w:rStyle w:val="HideTWBExt"/>
          <w:b w:val="0"/>
        </w:rPr>
        <w:t>&gt;</w:t>
      </w:r>
    </w:p>
    <w:p w14:paraId="603A62AC" w14:textId="0C0CC316" w:rsidR="000C3131" w:rsidRPr="008F1F8F" w:rsidRDefault="000C3131">
      <w:pPr>
        <w:pStyle w:val="CoverNormal"/>
      </w:pPr>
      <w:r>
        <w:rPr>
          <w:rStyle w:val="HideTWBExt"/>
        </w:rPr>
        <w:t>&lt;Titre&gt;</w:t>
      </w:r>
      <w:r>
        <w:t>sur le rapport annuel relatif aux activités du Médiateur européen en 2024</w:t>
      </w:r>
      <w:r>
        <w:rPr>
          <w:rStyle w:val="HideTWBExt"/>
        </w:rPr>
        <w:t>&lt;/Titre&gt;</w:t>
      </w:r>
    </w:p>
    <w:p w14:paraId="3AE856A6" w14:textId="77777777" w:rsidR="000C3131" w:rsidRPr="008F1F8F" w:rsidRDefault="000C3131">
      <w:pPr>
        <w:pStyle w:val="CoverNormal24a"/>
      </w:pPr>
      <w:r>
        <w:rPr>
          <w:rStyle w:val="HideTWBExt"/>
        </w:rPr>
        <w:t>&lt;DocRef&gt;</w:t>
      </w:r>
      <w:r>
        <w:t>(2025/2138(INI</w:t>
      </w:r>
      <w:proofErr w:type="gramStart"/>
      <w:r>
        <w:t>))</w:t>
      </w:r>
      <w:r>
        <w:rPr>
          <w:rStyle w:val="HideTWBExt"/>
        </w:rPr>
        <w:t>&lt;</w:t>
      </w:r>
      <w:proofErr w:type="gramEnd"/>
      <w:r>
        <w:rPr>
          <w:rStyle w:val="HideTWBExt"/>
        </w:rPr>
        <w:t>/</w:t>
      </w:r>
      <w:proofErr w:type="spellStart"/>
      <w:r>
        <w:rPr>
          <w:rStyle w:val="HideTWBExt"/>
        </w:rPr>
        <w:t>DocRef</w:t>
      </w:r>
      <w:proofErr w:type="spellEnd"/>
      <w:r>
        <w:rPr>
          <w:rStyle w:val="HideTWBExt"/>
        </w:rPr>
        <w:t>&gt;</w:t>
      </w:r>
    </w:p>
    <w:p w14:paraId="7E50E2EF" w14:textId="77777777" w:rsidR="000C3131" w:rsidRPr="008F1F8F" w:rsidRDefault="000C3131">
      <w:pPr>
        <w:pStyle w:val="CoverNormal24a"/>
      </w:pPr>
      <w:r>
        <w:rPr>
          <w:rStyle w:val="HideTWBExt"/>
        </w:rPr>
        <w:t>&lt;Commission&gt;</w:t>
      </w:r>
      <w:r>
        <w:rPr>
          <w:rStyle w:val="HideTWBInt"/>
          <w:i/>
        </w:rPr>
        <w:t>{PETI}</w:t>
      </w:r>
      <w:r>
        <w:t>Commission des pétitions</w:t>
      </w:r>
      <w:r>
        <w:rPr>
          <w:rStyle w:val="HideTWBExt"/>
        </w:rPr>
        <w:t>&lt;/Commission&gt;</w:t>
      </w:r>
    </w:p>
    <w:p w14:paraId="3F5EA3F1" w14:textId="74228C21" w:rsidR="005138E3" w:rsidRPr="008F1F8F" w:rsidRDefault="00FF47DF" w:rsidP="00820044">
      <w:pPr>
        <w:pStyle w:val="CoverNormal24a"/>
      </w:pPr>
      <w:proofErr w:type="gramStart"/>
      <w:r>
        <w:t>Rapporteur:</w:t>
      </w:r>
      <w:proofErr w:type="gramEnd"/>
      <w:r>
        <w:t xml:space="preserve"> </w:t>
      </w:r>
      <w:r>
        <w:rPr>
          <w:rStyle w:val="HideTWBExt"/>
        </w:rPr>
        <w:t>&lt;Depute&gt;</w:t>
      </w:r>
      <w:r>
        <w:t xml:space="preserve">Bogdan </w:t>
      </w:r>
      <w:proofErr w:type="spellStart"/>
      <w:r>
        <w:t>Rzońca</w:t>
      </w:r>
      <w:proofErr w:type="spellEnd"/>
      <w:r w:rsidR="008A616B" w:rsidRPr="008F1F8F">
        <w:rPr>
          <w:rStyle w:val="FootnoteReference"/>
        </w:rPr>
        <w:footnoteReference w:id="1"/>
      </w:r>
      <w:r>
        <w:rPr>
          <w:rStyle w:val="HideTWBExt"/>
        </w:rPr>
        <w:t>&lt;/Depute&gt;</w:t>
      </w:r>
    </w:p>
    <w:p w14:paraId="2CC432D0" w14:textId="77777777" w:rsidR="000C3131" w:rsidRPr="008F1F8F" w:rsidRDefault="000C3131" w:rsidP="00547205">
      <w:pPr>
        <w:widowControl/>
        <w:tabs>
          <w:tab w:val="center" w:pos="4677"/>
        </w:tabs>
      </w:pPr>
      <w:r>
        <w:br w:type="page"/>
      </w:r>
      <w:proofErr w:type="spellStart"/>
      <w:r>
        <w:lastRenderedPageBreak/>
        <w:t>PR_INI_AnnOmbud</w:t>
      </w:r>
      <w:proofErr w:type="spellEnd"/>
    </w:p>
    <w:p w14:paraId="7DDE2AC1" w14:textId="77777777" w:rsidR="000C3131" w:rsidRPr="008F1F8F" w:rsidRDefault="00FF47DF">
      <w:pPr>
        <w:pStyle w:val="TOCHeading"/>
      </w:pPr>
      <w:r>
        <w:t>SOMMAIRE</w:t>
      </w:r>
    </w:p>
    <w:p w14:paraId="4F1B1C1B" w14:textId="77777777" w:rsidR="000C3131" w:rsidRPr="008F1F8F" w:rsidRDefault="00FF47DF">
      <w:pPr>
        <w:pStyle w:val="TOCPage"/>
      </w:pPr>
      <w:r>
        <w:t>Page</w:t>
      </w:r>
    </w:p>
    <w:p w14:paraId="1B384F45" w14:textId="78FD1461" w:rsidR="00AF7EE6" w:rsidRPr="00AF7EE6" w:rsidRDefault="00547205">
      <w:pPr>
        <w:pStyle w:val="TOC1"/>
        <w:tabs>
          <w:tab w:val="right" w:leader="dot" w:pos="9060"/>
        </w:tabs>
        <w:rPr>
          <w:rFonts w:asciiTheme="minorHAnsi" w:eastAsiaTheme="minorEastAsia" w:hAnsiTheme="minorHAnsi" w:cstheme="minorBidi"/>
          <w:noProof/>
          <w:kern w:val="2"/>
          <w:szCs w:val="24"/>
          <w:lang w:val="fr-BE"/>
          <w14:ligatures w14:val="standardContextual"/>
        </w:rPr>
      </w:pPr>
      <w:r w:rsidRPr="008F1F8F">
        <w:rPr>
          <w:b/>
        </w:rPr>
        <w:fldChar w:fldCharType="begin"/>
      </w:r>
      <w:r w:rsidRPr="008F1F8F">
        <w:rPr>
          <w:b/>
        </w:rPr>
        <w:instrText xml:space="preserve"> TOC \t "PageHeading</w:instrText>
      </w:r>
      <w:r w:rsidR="008E12A5" w:rsidRPr="008F1F8F">
        <w:rPr>
          <w:b/>
        </w:rPr>
        <w:instrText>;</w:instrText>
      </w:r>
      <w:r w:rsidRPr="008F1F8F">
        <w:rPr>
          <w:b/>
        </w:rPr>
        <w:instrText xml:space="preserve">1" </w:instrText>
      </w:r>
      <w:r w:rsidRPr="008F1F8F">
        <w:rPr>
          <w:b/>
        </w:rPr>
        <w:fldChar w:fldCharType="separate"/>
      </w:r>
      <w:r w:rsidR="00AF7EE6">
        <w:rPr>
          <w:noProof/>
        </w:rPr>
        <w:t>PROPOSITION DE RÉSOLUTION DU PARLEMENT EUROPÉEN</w:t>
      </w:r>
      <w:r w:rsidR="00AF7EE6">
        <w:rPr>
          <w:noProof/>
        </w:rPr>
        <w:tab/>
      </w:r>
      <w:r w:rsidR="00AF7EE6">
        <w:rPr>
          <w:noProof/>
        </w:rPr>
        <w:fldChar w:fldCharType="begin"/>
      </w:r>
      <w:r w:rsidR="00AF7EE6">
        <w:rPr>
          <w:noProof/>
        </w:rPr>
        <w:instrText xml:space="preserve"> PAGEREF _Toc222311392 \h </w:instrText>
      </w:r>
      <w:r w:rsidR="00AF7EE6">
        <w:rPr>
          <w:noProof/>
        </w:rPr>
      </w:r>
      <w:r w:rsidR="00AF7EE6">
        <w:rPr>
          <w:noProof/>
        </w:rPr>
        <w:fldChar w:fldCharType="separate"/>
      </w:r>
      <w:r w:rsidR="00AF7EE6">
        <w:rPr>
          <w:noProof/>
        </w:rPr>
        <w:t>3</w:t>
      </w:r>
      <w:r w:rsidR="00AF7EE6">
        <w:rPr>
          <w:noProof/>
        </w:rPr>
        <w:fldChar w:fldCharType="end"/>
      </w:r>
    </w:p>
    <w:p w14:paraId="5A45B9A5" w14:textId="4DB390CC" w:rsidR="00AF7EE6" w:rsidRPr="00AF7EE6" w:rsidRDefault="00AF7EE6">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ANNEXE: DÉCLARATION DES CONTRIBUTIONS</w:t>
      </w:r>
      <w:r>
        <w:rPr>
          <w:noProof/>
        </w:rPr>
        <w:tab/>
      </w:r>
      <w:r>
        <w:rPr>
          <w:noProof/>
        </w:rPr>
        <w:fldChar w:fldCharType="begin"/>
      </w:r>
      <w:r>
        <w:rPr>
          <w:noProof/>
        </w:rPr>
        <w:instrText xml:space="preserve"> PAGEREF _Toc222311393 \h </w:instrText>
      </w:r>
      <w:r>
        <w:rPr>
          <w:noProof/>
        </w:rPr>
      </w:r>
      <w:r>
        <w:rPr>
          <w:noProof/>
        </w:rPr>
        <w:fldChar w:fldCharType="separate"/>
      </w:r>
      <w:r>
        <w:rPr>
          <w:noProof/>
        </w:rPr>
        <w:t>14</w:t>
      </w:r>
      <w:r>
        <w:rPr>
          <w:noProof/>
        </w:rPr>
        <w:fldChar w:fldCharType="end"/>
      </w:r>
    </w:p>
    <w:p w14:paraId="3FEFD5E5" w14:textId="727524CC" w:rsidR="00AF7EE6" w:rsidRPr="00AF7EE6" w:rsidRDefault="00AF7EE6">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INFORMATIONS SUR L’ADOPTION PAR LA COMMISSION COMPÉTENTE AU FOND</w:t>
      </w:r>
      <w:r>
        <w:rPr>
          <w:noProof/>
        </w:rPr>
        <w:tab/>
      </w:r>
      <w:r>
        <w:rPr>
          <w:noProof/>
        </w:rPr>
        <w:fldChar w:fldCharType="begin"/>
      </w:r>
      <w:r>
        <w:rPr>
          <w:noProof/>
        </w:rPr>
        <w:instrText xml:space="preserve"> PAGEREF _Toc222311394 \h </w:instrText>
      </w:r>
      <w:r>
        <w:rPr>
          <w:noProof/>
        </w:rPr>
      </w:r>
      <w:r>
        <w:rPr>
          <w:noProof/>
        </w:rPr>
        <w:fldChar w:fldCharType="separate"/>
      </w:r>
      <w:r>
        <w:rPr>
          <w:noProof/>
        </w:rPr>
        <w:t>15</w:t>
      </w:r>
      <w:r>
        <w:rPr>
          <w:noProof/>
        </w:rPr>
        <w:fldChar w:fldCharType="end"/>
      </w:r>
    </w:p>
    <w:p w14:paraId="6EED7BB2" w14:textId="23210B1C" w:rsidR="00AF7EE6" w:rsidRPr="00AF7EE6" w:rsidRDefault="00AF7EE6">
      <w:pPr>
        <w:pStyle w:val="TOC1"/>
        <w:tabs>
          <w:tab w:val="right" w:leader="dot" w:pos="9060"/>
        </w:tabs>
        <w:rPr>
          <w:rFonts w:asciiTheme="minorHAnsi" w:eastAsiaTheme="minorEastAsia" w:hAnsiTheme="minorHAnsi" w:cstheme="minorBidi"/>
          <w:noProof/>
          <w:kern w:val="2"/>
          <w:szCs w:val="24"/>
          <w:lang w:val="fr-BE"/>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_Toc222311395 \h </w:instrText>
      </w:r>
      <w:r>
        <w:rPr>
          <w:noProof/>
        </w:rPr>
      </w:r>
      <w:r>
        <w:rPr>
          <w:noProof/>
        </w:rPr>
        <w:fldChar w:fldCharType="separate"/>
      </w:r>
      <w:r>
        <w:rPr>
          <w:noProof/>
        </w:rPr>
        <w:t>16</w:t>
      </w:r>
      <w:r>
        <w:rPr>
          <w:noProof/>
        </w:rPr>
        <w:fldChar w:fldCharType="end"/>
      </w:r>
    </w:p>
    <w:p w14:paraId="651B473C" w14:textId="27AF3CC6" w:rsidR="005138E3" w:rsidRPr="008F1F8F" w:rsidRDefault="00547205" w:rsidP="00DB5EA4">
      <w:pPr>
        <w:pStyle w:val="TOC1"/>
        <w:tabs>
          <w:tab w:val="right" w:leader="dot" w:pos="9060"/>
        </w:tabs>
      </w:pPr>
      <w:r w:rsidRPr="008F1F8F">
        <w:rPr>
          <w:b/>
        </w:rPr>
        <w:fldChar w:fldCharType="end"/>
      </w:r>
    </w:p>
    <w:p w14:paraId="6288AFAC" w14:textId="77777777" w:rsidR="00E565C0" w:rsidRPr="008F1F8F" w:rsidRDefault="000C3131" w:rsidP="00E565C0">
      <w:pPr>
        <w:pStyle w:val="PageHeading"/>
      </w:pPr>
      <w:r>
        <w:br w:type="page"/>
      </w:r>
      <w:bookmarkStart w:id="0" w:name="_Toc203477619"/>
      <w:bookmarkStart w:id="1" w:name="_Toc222311392"/>
      <w:r>
        <w:lastRenderedPageBreak/>
        <w:t>PROPOSITION DE RÉSOLUTION DU PARLEMENT EUROPÉEN</w:t>
      </w:r>
      <w:bookmarkEnd w:id="0"/>
      <w:bookmarkEnd w:id="1"/>
    </w:p>
    <w:p w14:paraId="30C84263" w14:textId="0BCC25FE" w:rsidR="00E565C0" w:rsidRPr="008F1F8F" w:rsidRDefault="00AC2EED" w:rsidP="00E565C0">
      <w:pPr>
        <w:pStyle w:val="NormalBold"/>
        <w:jc w:val="both"/>
      </w:pPr>
      <w:proofErr w:type="gramStart"/>
      <w:r>
        <w:t>sur</w:t>
      </w:r>
      <w:proofErr w:type="gramEnd"/>
      <w:r>
        <w:t xml:space="preserve"> le rapport annuel relatif aux activités du Médiateur européen en 2024</w:t>
      </w:r>
    </w:p>
    <w:p w14:paraId="0DA78ED5" w14:textId="77777777" w:rsidR="00E565C0" w:rsidRPr="008F1F8F" w:rsidRDefault="00E565C0" w:rsidP="00E565C0">
      <w:pPr>
        <w:pStyle w:val="NormalBold"/>
        <w:jc w:val="both"/>
      </w:pPr>
      <w:r>
        <w:t>(2025/2138(INI))</w:t>
      </w:r>
    </w:p>
    <w:p w14:paraId="701F4410" w14:textId="77777777" w:rsidR="00E565C0" w:rsidRPr="008F1F8F" w:rsidRDefault="00E565C0" w:rsidP="00E565C0">
      <w:pPr>
        <w:pStyle w:val="EPComma"/>
      </w:pPr>
      <w:r>
        <w:rPr>
          <w:i/>
        </w:rPr>
        <w:t>Le Parlement européen</w:t>
      </w:r>
      <w:r>
        <w:t>,</w:t>
      </w:r>
    </w:p>
    <w:p w14:paraId="5DFC0DE4" w14:textId="77777777" w:rsidR="002A1B4B" w:rsidRPr="00532DF2" w:rsidRDefault="00E565C0" w:rsidP="002A1B4B">
      <w:pPr>
        <w:pStyle w:val="NormalHanging12a"/>
      </w:pPr>
      <w:r>
        <w:t>–</w:t>
      </w:r>
      <w:r>
        <w:tab/>
        <w:t>vu le rapport annuel relatif aux activités du Médiateur européen en 2024,</w:t>
      </w:r>
    </w:p>
    <w:p w14:paraId="29ADDCB0" w14:textId="77777777" w:rsidR="002A1B4B" w:rsidRPr="00532DF2" w:rsidRDefault="002A1B4B" w:rsidP="002A1B4B">
      <w:pPr>
        <w:pStyle w:val="NormalHanging12a"/>
      </w:pPr>
      <w:r>
        <w:t>–</w:t>
      </w:r>
      <w:r>
        <w:tab/>
        <w:t>vu l’article 10, paragraphe 3, du traité sur l’Union européenne,</w:t>
      </w:r>
    </w:p>
    <w:p w14:paraId="0DF82541" w14:textId="77777777" w:rsidR="002A1B4B" w:rsidRPr="00532DF2" w:rsidRDefault="002A1B4B" w:rsidP="002A1B4B">
      <w:pPr>
        <w:pStyle w:val="NormalHanging12a"/>
      </w:pPr>
      <w:r>
        <w:t>–</w:t>
      </w:r>
      <w:r>
        <w:tab/>
        <w:t>vu l’article 15, l’article 24, paragraphe 3, l’article 228 et l’article 298, paragraphe 1, du traité sur le fonctionnement de l’Union européenne (traité FUE),</w:t>
      </w:r>
    </w:p>
    <w:p w14:paraId="03B9F5E0" w14:textId="77777777" w:rsidR="002A1B4B" w:rsidRPr="00532DF2" w:rsidRDefault="002A1B4B" w:rsidP="002A1B4B">
      <w:pPr>
        <w:pStyle w:val="NormalHanging12a"/>
      </w:pPr>
      <w:r>
        <w:t>–</w:t>
      </w:r>
      <w:r>
        <w:tab/>
        <w:t xml:space="preserve">vu les articles 11, 41, 42 et 43 de la charte des droits fondamentaux de l’Union européenne (ci-après «la </w:t>
      </w:r>
      <w:proofErr w:type="gramStart"/>
      <w:r>
        <w:t>charte»</w:t>
      </w:r>
      <w:proofErr w:type="gramEnd"/>
      <w:r>
        <w:t>),</w:t>
      </w:r>
    </w:p>
    <w:p w14:paraId="101A3BE3" w14:textId="77777777" w:rsidR="002A1B4B" w:rsidRPr="00532DF2" w:rsidRDefault="002A1B4B" w:rsidP="002A1B4B">
      <w:pPr>
        <w:pStyle w:val="NormalHanging12a"/>
      </w:pPr>
      <w:r>
        <w:t>–</w:t>
      </w:r>
      <w:r>
        <w:tab/>
        <w:t>vu la convention des Nations unies relative aux droits des personnes handicapées (CNUDPH),</w:t>
      </w:r>
    </w:p>
    <w:p w14:paraId="59783F11" w14:textId="77777777" w:rsidR="002A1B4B" w:rsidRPr="00532DF2" w:rsidRDefault="002A1B4B" w:rsidP="002A1B4B">
      <w:pPr>
        <w:pStyle w:val="NormalHanging12a"/>
      </w:pPr>
      <w:r>
        <w:t>–</w:t>
      </w:r>
      <w:r>
        <w:tab/>
        <w:t>vu le règlement (UE, Euratom) 2021/1163 du Parlement européen du 24 juin 2021 fixant le statut et les conditions générales d’exercice des fonctions du Médiateur (statut du Médiateur européen) et abrogeant la décision 94/262/CECA, CE, Euratom</w:t>
      </w:r>
      <w:r w:rsidRPr="00532DF2">
        <w:rPr>
          <w:rStyle w:val="FootnoteReference"/>
          <w:color w:val="000000"/>
        </w:rPr>
        <w:footnoteReference w:id="2"/>
      </w:r>
      <w:r>
        <w:t>,</w:t>
      </w:r>
    </w:p>
    <w:p w14:paraId="75185394" w14:textId="77777777" w:rsidR="002A1B4B" w:rsidRPr="00532DF2" w:rsidRDefault="002A1B4B" w:rsidP="002A1B4B">
      <w:pPr>
        <w:pStyle w:val="NormalHanging12a"/>
      </w:pPr>
      <w:r>
        <w:t>–</w:t>
      </w:r>
      <w:r>
        <w:tab/>
        <w:t>vu le code européen de bonne conduite administrative, tel qu’adopté par le Parlement le 6 septembre 2001,</w:t>
      </w:r>
    </w:p>
    <w:p w14:paraId="414B3DE4" w14:textId="77777777" w:rsidR="002A1B4B" w:rsidRPr="00532DF2" w:rsidRDefault="002A1B4B" w:rsidP="002A1B4B">
      <w:pPr>
        <w:pStyle w:val="NormalHanging12a"/>
      </w:pPr>
      <w:r>
        <w:t>–</w:t>
      </w:r>
      <w:r>
        <w:tab/>
        <w:t>vu l’accord-cadre sur la coopération conclu entre le Parlement et le Médiateur européen le 15 mars 2006, entré en vigueur le 1</w:t>
      </w:r>
      <w:r>
        <w:rPr>
          <w:vertAlign w:val="superscript"/>
        </w:rPr>
        <w:t>er</w:t>
      </w:r>
      <w:r>
        <w:t> avril 2006,</w:t>
      </w:r>
    </w:p>
    <w:p w14:paraId="7E9227AB" w14:textId="77777777" w:rsidR="002A1B4B" w:rsidRPr="00532DF2" w:rsidRDefault="002A1B4B" w:rsidP="002A1B4B">
      <w:pPr>
        <w:pStyle w:val="NormalHanging12a"/>
      </w:pPr>
      <w:r>
        <w:t>–</w:t>
      </w:r>
      <w:r>
        <w:tab/>
        <w:t>vu ses résolutions précédentes sur les activités du Médiateur européen,</w:t>
      </w:r>
    </w:p>
    <w:p w14:paraId="4808D524" w14:textId="77777777" w:rsidR="002A1B4B" w:rsidRPr="00532DF2" w:rsidRDefault="002A1B4B" w:rsidP="002A1B4B">
      <w:pPr>
        <w:pStyle w:val="NormalHanging12a"/>
      </w:pPr>
      <w:r>
        <w:t>–</w:t>
      </w:r>
      <w:r>
        <w:tab/>
        <w:t>vu l’article 55 et l’article 148, paragraphe 2, de son règlement intérieur,</w:t>
      </w:r>
    </w:p>
    <w:p w14:paraId="15E59009" w14:textId="77777777" w:rsidR="002A1B4B" w:rsidRPr="00532DF2" w:rsidRDefault="002A1B4B" w:rsidP="002A1B4B">
      <w:pPr>
        <w:pStyle w:val="NormalHanging12a"/>
      </w:pPr>
      <w:r>
        <w:t>–</w:t>
      </w:r>
      <w:r>
        <w:tab/>
        <w:t>vu le rapport de la commission des pétitions (A10-0015/2026),</w:t>
      </w:r>
    </w:p>
    <w:p w14:paraId="22D36776" w14:textId="77777777" w:rsidR="002A1B4B" w:rsidRPr="00532DF2" w:rsidRDefault="002A1B4B" w:rsidP="002A1B4B">
      <w:pPr>
        <w:pStyle w:val="NormalHanging12a"/>
      </w:pPr>
      <w:r>
        <w:t>A.</w:t>
      </w:r>
      <w:r>
        <w:tab/>
        <w:t>considérant que le rapport annuel relatif aux activités du Médiateur européen en 2024 a été officiellement présenté à la Présidente du Parlement le 13 mai 2025 et que la Médiatrice, M</w:t>
      </w:r>
      <w:r>
        <w:rPr>
          <w:vertAlign w:val="superscript"/>
        </w:rPr>
        <w:t>me</w:t>
      </w:r>
      <w:r>
        <w:t xml:space="preserve"> Teresa </w:t>
      </w:r>
      <w:proofErr w:type="spellStart"/>
      <w:r>
        <w:t>Anjinho</w:t>
      </w:r>
      <w:proofErr w:type="spellEnd"/>
      <w:r>
        <w:t xml:space="preserve">, l’a présenté à la commission des pétitions le 24 juin 2025, à </w:t>
      </w:r>
      <w:proofErr w:type="gramStart"/>
      <w:r>
        <w:t>Bruxelles;</w:t>
      </w:r>
      <w:proofErr w:type="gramEnd"/>
      <w:r>
        <w:t xml:space="preserve"> que M</w:t>
      </w:r>
      <w:r>
        <w:rPr>
          <w:vertAlign w:val="superscript"/>
        </w:rPr>
        <w:t>me</w:t>
      </w:r>
      <w:r>
        <w:t xml:space="preserve"> Teresa </w:t>
      </w:r>
      <w:proofErr w:type="spellStart"/>
      <w:r>
        <w:t>Anjinho</w:t>
      </w:r>
      <w:proofErr w:type="spellEnd"/>
      <w:r>
        <w:t xml:space="preserve"> a été élue nouvelle Médiatrice le 17 décembre 2024;</w:t>
      </w:r>
    </w:p>
    <w:p w14:paraId="2334EA91" w14:textId="77777777" w:rsidR="002A1B4B" w:rsidRPr="00532DF2" w:rsidRDefault="002A1B4B" w:rsidP="002A1B4B">
      <w:pPr>
        <w:pStyle w:val="NormalHanging12a"/>
        <w:rPr>
          <w:b/>
          <w:i/>
        </w:rPr>
      </w:pPr>
      <w:r>
        <w:t>B.</w:t>
      </w:r>
      <w:r>
        <w:rPr>
          <w:b/>
          <w:i/>
        </w:rPr>
        <w:tab/>
      </w:r>
      <w:r>
        <w:t>considérant que les activités sur lesquelles porte le rapport annuel 2024 ont été menées sous le mandat de M</w:t>
      </w:r>
      <w:r>
        <w:rPr>
          <w:vertAlign w:val="superscript"/>
        </w:rPr>
        <w:t>me</w:t>
      </w:r>
      <w:r>
        <w:t xml:space="preserve"> Emily </w:t>
      </w:r>
      <w:proofErr w:type="spellStart"/>
      <w:r>
        <w:t>O’Reilly</w:t>
      </w:r>
      <w:proofErr w:type="spellEnd"/>
      <w:r>
        <w:t xml:space="preserve">, qui a exercé les fonctions de Médiatrice européenne de 2013 jusqu’à la fin de son mandat au début de l’année </w:t>
      </w:r>
      <w:proofErr w:type="gramStart"/>
      <w:r>
        <w:t>2025;</w:t>
      </w:r>
      <w:proofErr w:type="gramEnd"/>
    </w:p>
    <w:p w14:paraId="40178834" w14:textId="77777777" w:rsidR="002A1B4B" w:rsidRPr="00532DF2" w:rsidRDefault="002A1B4B" w:rsidP="002A1B4B">
      <w:pPr>
        <w:pStyle w:val="NormalHanging12a"/>
        <w:rPr>
          <w:b/>
          <w:i/>
        </w:rPr>
      </w:pPr>
      <w:r>
        <w:t>C</w:t>
      </w:r>
      <w:r>
        <w:rPr>
          <w:i/>
        </w:rPr>
        <w:t>.</w:t>
      </w:r>
      <w:r>
        <w:rPr>
          <w:b/>
          <w:i/>
        </w:rPr>
        <w:tab/>
      </w:r>
      <w:r>
        <w:t xml:space="preserve">considérant que le travail de la Médiatrice aide les institutions de l’Union à être plus </w:t>
      </w:r>
      <w:r>
        <w:lastRenderedPageBreak/>
        <w:t>efficientes, efficaces, tournées vers les citoyens et responsables, renforçant ainsi la confiance des citoyens dans le projet européen; que la Médiatrice pourrait, dans l’exercice de son mandat, être amenée à tenir compte de nouveaux phénomènes qui ont considérablement augmenté ces derniers temps, tels que la désinformation et les activités malveillantes en provenance de pays tiers, qui visent à saper la confiance des citoyens dans l’Union;</w:t>
      </w:r>
    </w:p>
    <w:p w14:paraId="61D11053" w14:textId="77777777" w:rsidR="002A1B4B" w:rsidRPr="00532DF2" w:rsidRDefault="002A1B4B" w:rsidP="002A1B4B">
      <w:pPr>
        <w:pStyle w:val="NormalHanging12a"/>
      </w:pPr>
      <w:r>
        <w:t>D.</w:t>
      </w:r>
      <w:r>
        <w:tab/>
        <w:t xml:space="preserve">considérant que les articles 20, 24 et 228 du traité FUE habilitent le Médiateur européen à recevoir des plaintes relatives à des cas de mauvaise administration dans l’action des institutions, organes ou organismes de l’Union, à l’exclusion de la Cour de justice de l’Union européenne (CJUE) dans l’exercice de ses fonctions </w:t>
      </w:r>
      <w:proofErr w:type="gramStart"/>
      <w:r>
        <w:t>juridictionnelles;</w:t>
      </w:r>
      <w:proofErr w:type="gramEnd"/>
    </w:p>
    <w:p w14:paraId="2C6C2D66" w14:textId="77777777" w:rsidR="002A1B4B" w:rsidRPr="00532DF2" w:rsidRDefault="002A1B4B" w:rsidP="002A1B4B">
      <w:pPr>
        <w:pStyle w:val="NormalHanging12a"/>
        <w:rPr>
          <w:b/>
          <w:i/>
        </w:rPr>
      </w:pPr>
      <w:r>
        <w:t>E</w:t>
      </w:r>
      <w:r>
        <w:rPr>
          <w:i/>
        </w:rPr>
        <w:t>.</w:t>
      </w:r>
      <w:r>
        <w:rPr>
          <w:b/>
          <w:i/>
        </w:rPr>
        <w:tab/>
      </w:r>
      <w:r>
        <w:t>considérant que l’article 15 du traité FUE dispose qu</w:t>
      </w:r>
      <w:proofErr w:type="gramStart"/>
      <w:r>
        <w:t>’«afin</w:t>
      </w:r>
      <w:proofErr w:type="gramEnd"/>
      <w:r>
        <w:t xml:space="preserve"> de promouvoir une bonne gouvernance, et d’assurer la participation de la société civile, les institutions, organes et organismes de l’Union œuvrent dans le plus grand respect possible du principe d’ouverture» et que «tout citoyen de l’Union et toute personne physique ou morale résidant ou ayant son siège statutaire dans un État membre a un droit d’accès aux documents des institutions, organes et organismes de l’Union»;</w:t>
      </w:r>
    </w:p>
    <w:p w14:paraId="4D167573" w14:textId="77777777" w:rsidR="002A1B4B" w:rsidRPr="00532DF2" w:rsidRDefault="002A1B4B" w:rsidP="002A1B4B">
      <w:pPr>
        <w:pStyle w:val="NormalHanging12a"/>
        <w:rPr>
          <w:b/>
          <w:i/>
        </w:rPr>
      </w:pPr>
      <w:r>
        <w:t>F</w:t>
      </w:r>
      <w:r>
        <w:rPr>
          <w:i/>
        </w:rPr>
        <w:t>.</w:t>
      </w:r>
      <w:r>
        <w:rPr>
          <w:b/>
          <w:i/>
        </w:rPr>
        <w:tab/>
      </w:r>
      <w:r>
        <w:t>considérant que l’article 41 de la charte dispose que</w:t>
      </w:r>
      <w:proofErr w:type="gramStart"/>
      <w:r>
        <w:t xml:space="preserve"> «toute</w:t>
      </w:r>
      <w:proofErr w:type="gramEnd"/>
      <w:r>
        <w:t xml:space="preserve"> personne a le droit de voir ses affaires traitées impartialement, équitablement et dans un délai raisonnable par les institutions, organes et organismes de l’Union»;</w:t>
      </w:r>
    </w:p>
    <w:p w14:paraId="71A49CFC" w14:textId="77777777" w:rsidR="002A1B4B" w:rsidRPr="00532DF2" w:rsidRDefault="002A1B4B" w:rsidP="002A1B4B">
      <w:pPr>
        <w:pStyle w:val="NormalHanging12a"/>
        <w:rPr>
          <w:b/>
          <w:i/>
        </w:rPr>
      </w:pPr>
      <w:r>
        <w:t>G</w:t>
      </w:r>
      <w:r>
        <w:rPr>
          <w:i/>
        </w:rPr>
        <w:t>.</w:t>
      </w:r>
      <w:r>
        <w:rPr>
          <w:b/>
          <w:i/>
        </w:rPr>
        <w:tab/>
      </w:r>
      <w:r>
        <w:t>considérant que l’article 43 de la charte dispose que</w:t>
      </w:r>
      <w:proofErr w:type="gramStart"/>
      <w:r>
        <w:t xml:space="preserve"> «tout</w:t>
      </w:r>
      <w:proofErr w:type="gramEnd"/>
      <w:r>
        <w:t xml:space="preserve"> citoyen de l’Union ainsi que toute personne physique ou morale résidant ou ayant son siège statutaire dans un État membre a le droit de saisir le médiateur européen en cas de mauvaise administration dans l’action des institutions, organes ou organismes de l’Union, à l’exclusion de la Cour de justice de l’Union européenne dans l’exercice de ses fonctions juridictionnelles»;</w:t>
      </w:r>
    </w:p>
    <w:p w14:paraId="53275214" w14:textId="77777777" w:rsidR="002A1B4B" w:rsidRPr="00532DF2" w:rsidRDefault="002A1B4B" w:rsidP="002A1B4B">
      <w:pPr>
        <w:pStyle w:val="NormalHanging12a"/>
        <w:rPr>
          <w:b/>
          <w:i/>
        </w:rPr>
      </w:pPr>
      <w:r>
        <w:t>H</w:t>
      </w:r>
      <w:r>
        <w:rPr>
          <w:i/>
        </w:rPr>
        <w:t>.</w:t>
      </w:r>
      <w:r>
        <w:rPr>
          <w:b/>
          <w:i/>
        </w:rPr>
        <w:tab/>
      </w:r>
      <w:r>
        <w:t>considérant que l’article 298, paragraphe 1, du traité FUE prévoit que,</w:t>
      </w:r>
      <w:proofErr w:type="gramStart"/>
      <w:r>
        <w:t xml:space="preserve"> «[</w:t>
      </w:r>
      <w:proofErr w:type="gramEnd"/>
      <w:r>
        <w:t>d]ans l’accomplissement de leurs missions, les institutions, organes et organismes de l’Union s’appuient sur une administration européenne ouverte, efficace et indépendante»;</w:t>
      </w:r>
    </w:p>
    <w:p w14:paraId="26849DB6" w14:textId="77777777" w:rsidR="002A1B4B" w:rsidRPr="00532DF2" w:rsidRDefault="002A1B4B" w:rsidP="002A1B4B">
      <w:pPr>
        <w:pStyle w:val="NormalHanging12a"/>
        <w:rPr>
          <w:b/>
          <w:i/>
        </w:rPr>
      </w:pPr>
      <w:r>
        <w:t>I</w:t>
      </w:r>
      <w:r>
        <w:rPr>
          <w:i/>
        </w:rPr>
        <w:t>.</w:t>
      </w:r>
      <w:r>
        <w:rPr>
          <w:b/>
          <w:i/>
        </w:rPr>
        <w:tab/>
      </w:r>
      <w:r>
        <w:t>considérant que l’Union européenne est signataire de la Convention des Nations Unies relative aux droits des personnes handicapées (CNUDPH), un instrument international contraignant en matière de droits de l’homme qui a pour objet «de promouvoir, protéger et assurer la pleine et égale jouissance de tous les droits de l’homme et de toutes les libertés fondamentales par les personnes handicapées et de promouvoir le respect de leur dignité intrinsèque»; que le respect de la CNUDPH dans l’Union est contrôlé par le cadre de l’UE pour la Convention des Nations unies relative aux droits des personnes handicapées, qui était présidé par le Forum européen des personnes handicapées en 2024; que la Médiatrice, en tant que membre de ce cadre, accorde une attention particulière à la mise en œuvre de la CNUDPH par l’administration de l’Union; que le cadre a élaboré une contribution actualisée, comprenant des contributions de la Médiatrice, à l’intention du comité CNUDPH afin de lui permettre d’achever en 2025 son examen périodique de la mise en œuvre de la Convention par l’Union, tout en respectant le fait que l’Union est une organisation régionale dont les compétences sont fondées sur les traités;</w:t>
      </w:r>
    </w:p>
    <w:p w14:paraId="48A31DCB" w14:textId="77777777" w:rsidR="002A1B4B" w:rsidRPr="00532DF2" w:rsidRDefault="002A1B4B" w:rsidP="002A1B4B">
      <w:pPr>
        <w:pStyle w:val="NormalHanging12a"/>
      </w:pPr>
      <w:r>
        <w:lastRenderedPageBreak/>
        <w:t>J.</w:t>
      </w:r>
      <w:r>
        <w:tab/>
        <w:t>considérant qu’en 2024, la Médiatrice est venue en aide à 17 770 citoyens, a ouvert 415 enquêtes, dont 411 sur la base de plaintes et 4 enquêtes d’initiative, et en a clôturé 427 (dont 421 enquêtes ouvertes sur la base de plaintes et 6 enquêtes d’initiative</w:t>
      </w:r>
      <w:proofErr w:type="gramStart"/>
      <w:r>
        <w:t>);</w:t>
      </w:r>
      <w:proofErr w:type="gramEnd"/>
    </w:p>
    <w:p w14:paraId="34BAC3F2" w14:textId="77777777" w:rsidR="002A1B4B" w:rsidRPr="00532DF2" w:rsidRDefault="002A1B4B" w:rsidP="002A1B4B">
      <w:pPr>
        <w:pStyle w:val="NormalHanging12a"/>
      </w:pPr>
      <w:r>
        <w:t>K.</w:t>
      </w:r>
      <w:r>
        <w:tab/>
        <w:t>considérant qu’en 2024, la majorité des enquêtes concernaient la Commission (270 enquêtes, soit 65 %), suivie de l’Office européen de sélection du personnel (EPSO) (27 enquêtes, soit 6,5 %), du Service européen pour l’action extérieure (SEAE) (16 enquêtes, soit 3,9 %) et de l’Agence européenne de garde-frontières et de garde-côtes (Frontex) (14 enquêtes, soit 3,4 %); que le reste des enquêtes concernait les institutions, organes et organismes suivants: l’Office européen de lutte antifraude (OLAF) (11 enquêtes, soit 2,6 %), le Parlement (9 enquêtes, soit 2,2 %), Europol (8 enquêtes, soit 1,9 %), la Banque européenne d’investissement (BEI) (8 enquêtes, soit 1,9 %), l’Agence de l’Union européenne pour l’asile (AUEA) (5 enquêtes, soit 1,2 %), d’autres agences de l’Union (33 enquêtes, soit 8,0 %) et d’autres institutions ou organes de l’Union (14 enquêtes, soit 3,4 %);</w:t>
      </w:r>
    </w:p>
    <w:p w14:paraId="7BFBF486" w14:textId="77777777" w:rsidR="002A1B4B" w:rsidRPr="00532DF2" w:rsidRDefault="002A1B4B" w:rsidP="002A1B4B">
      <w:pPr>
        <w:pStyle w:val="NormalHanging12a"/>
      </w:pPr>
      <w:r>
        <w:t>L.</w:t>
      </w:r>
      <w:r>
        <w:tab/>
        <w:t xml:space="preserve">considérant que, dans les enquêtes clôturées par la Médiatrice en 2024, aucune mauvaise administration n’a été constatée dans 15,5 % des cas, la question a été réglée par l’institution dans 61,1 % des cas, la poursuite de l’enquête a été jugée inutile dans 15,7 % des cas, et une mauvaise administration a été constatée dans 8,0 % des </w:t>
      </w:r>
      <w:proofErr w:type="gramStart"/>
      <w:r>
        <w:t>cas;</w:t>
      </w:r>
      <w:proofErr w:type="gramEnd"/>
    </w:p>
    <w:p w14:paraId="0BE0C22D" w14:textId="77777777" w:rsidR="002A1B4B" w:rsidRPr="00532DF2" w:rsidRDefault="002A1B4B" w:rsidP="002A1B4B">
      <w:pPr>
        <w:pStyle w:val="NormalHanging12a"/>
      </w:pPr>
      <w:r>
        <w:t>M.</w:t>
      </w:r>
      <w:r>
        <w:tab/>
        <w:t>considérant que les trois principaux thèmes abordés dans les enquêtes clôturées par la Médiatrice en 2024 étaient la transparence et la responsabilité (42,2 %), la culture du service (17,3 %) et le recrutement (14,1 %</w:t>
      </w:r>
      <w:proofErr w:type="gramStart"/>
      <w:r>
        <w:t>);</w:t>
      </w:r>
      <w:proofErr w:type="gramEnd"/>
      <w:r>
        <w:t xml:space="preserve"> que parmi les autres thèmes abordés figurent le respect des droits fondamentaux, la participation du public au processus décisionnel de l’Union, l’éthique, la bonne gestion des procédures d’infraction, la dénonciation de dysfonctionnements et la bonne gestion financière;</w:t>
      </w:r>
    </w:p>
    <w:p w14:paraId="4885F7D0" w14:textId="77777777" w:rsidR="002A1B4B" w:rsidRPr="00532DF2" w:rsidRDefault="002A1B4B" w:rsidP="002A1B4B">
      <w:pPr>
        <w:pStyle w:val="NormalHanging12a"/>
      </w:pPr>
      <w:r>
        <w:t>N.</w:t>
      </w:r>
      <w:r>
        <w:tab/>
        <w:t xml:space="preserve">considérant qu’en 2024, la Médiatrice a également mené des enquêtes et des initiatives stratégiques plus larges liées aux problèmes systémiques au sein des institutions de l’Union, portant sur l’accès du public aux documents, les droits fondamentaux, les questions éthiques, l’obligation de rendre des comptes dans les processus décisionnels et le recrutement de fonctionnaires de </w:t>
      </w:r>
      <w:proofErr w:type="gramStart"/>
      <w:r>
        <w:t>l’Union;</w:t>
      </w:r>
      <w:proofErr w:type="gramEnd"/>
    </w:p>
    <w:p w14:paraId="5680BAA2" w14:textId="77777777" w:rsidR="002A1B4B" w:rsidRPr="00532DF2" w:rsidRDefault="002A1B4B" w:rsidP="002A1B4B">
      <w:pPr>
        <w:pStyle w:val="NormalHanging12a"/>
        <w:rPr>
          <w:bCs/>
          <w:iCs/>
        </w:rPr>
      </w:pPr>
      <w:r>
        <w:t>O.</w:t>
      </w:r>
      <w:r>
        <w:tab/>
        <w:t>considérant qu’en 2024, la Médiatrice a formulé une série de recommandations pour aider la Commission européenne à s’assurer que l’utilisation de l’intelligence artificielle (IA) dans sa prise de décision reste responsable; que la Médiatrice a également souligné l’importance de la transparence lorsqu’il s’agit de maintenir la confiance du public dans le fait que l’administration de l’Union fera preuve de responsabilité en matière d’IA; qu’elle a encouragé la Commission à réfléchir aux informations qu’elle devrait mettre à la disposition du public concernant les futurs projets d’IA et à envisager de mener des consultations publiques sur l’adoption ou la mise au point éventuelles de nouveaux outils d’IA puissants;</w:t>
      </w:r>
    </w:p>
    <w:p w14:paraId="2384AB0D" w14:textId="77777777" w:rsidR="002A1B4B" w:rsidRPr="00532DF2" w:rsidRDefault="002A1B4B" w:rsidP="002A1B4B">
      <w:pPr>
        <w:pStyle w:val="NormalHanging12a"/>
      </w:pPr>
      <w:r>
        <w:t>P.</w:t>
      </w:r>
      <w:r>
        <w:tab/>
        <w:t xml:space="preserve">considérant que le rôle du Médiateur est essentiel pour assurer la protection des droits des citoyens découlant des traités de l’Union et de la charte, pour garantir la transparence totale, la responsabilité démocratique et l’intégrité des processus décisionnels de l’Union, ainsi que pour améliorer les normes éthiques au sein de l’administration de l’Union; que le Médiateur européen offre une possibilité de recours </w:t>
      </w:r>
      <w:r>
        <w:lastRenderedPageBreak/>
        <w:t>aux citoyens qui rencontrent des difficultés pour accéder à des documents détenus par les institutions de l’Union;</w:t>
      </w:r>
    </w:p>
    <w:p w14:paraId="33A2CF2A" w14:textId="77777777" w:rsidR="002A1B4B" w:rsidRPr="00532DF2" w:rsidRDefault="002A1B4B" w:rsidP="002A1B4B">
      <w:pPr>
        <w:pStyle w:val="NormalHanging12a"/>
      </w:pPr>
      <w:r>
        <w:t>Q.</w:t>
      </w:r>
      <w:r>
        <w:tab/>
        <w:t>considérant que la Médiatrice a ouvert une enquête d’initiative, à la suite d’une consultation publique sur la transparence et l’obligation de rendre des comptes dans le processus décisionnel de l’Union en matière d’environnement; que la Médiatrice a conclu que le délai moyen de 14,5 mois, et dans certains cas de plusieurs années, pris par la Commission pour préparer des projets de décisions d’octroi ou de refus d’autorisation de produits chimiques dangereux, malgré le délai légal de trois mois, constituait un cas de mauvaise administration; que la Médiatrice a également constaté que le manque de transparence de la Commission dans le processus décisionnel global constituait une mauvaise administration, car il empêchait le public de comprendre l’état d’avancement des dossiers individuels ainsi que les raisons des retards;</w:t>
      </w:r>
    </w:p>
    <w:p w14:paraId="07F25601" w14:textId="77777777" w:rsidR="002A1B4B" w:rsidRPr="00532DF2" w:rsidRDefault="002A1B4B" w:rsidP="002A1B4B">
      <w:pPr>
        <w:pStyle w:val="NormalHanging12a"/>
      </w:pPr>
      <w:r>
        <w:t>R.</w:t>
      </w:r>
      <w:r>
        <w:tab/>
        <w:t xml:space="preserve">considérant que la Médiatrice a examiné le recours continu aux parrainages d’entreprises par la présidence tournante du Conseil, car cela a suscité un malaise au sein de l’opinion publique en raison de l’éventuelle influence exercée par les sponsors sur le processus décisionnel de l’Union, notamment en ce qui concerne les délibérations relatives à la politique et à la législation de l’Union touchant les intérêts privés de ces </w:t>
      </w:r>
      <w:proofErr w:type="gramStart"/>
      <w:r>
        <w:t>sponsors;</w:t>
      </w:r>
      <w:proofErr w:type="gramEnd"/>
    </w:p>
    <w:p w14:paraId="76DA0C5F" w14:textId="77777777" w:rsidR="002A1B4B" w:rsidRPr="00532DF2" w:rsidRDefault="002A1B4B" w:rsidP="002A1B4B">
      <w:pPr>
        <w:pStyle w:val="NormalHanging12a"/>
        <w:rPr>
          <w:bCs/>
          <w:iCs/>
        </w:rPr>
      </w:pPr>
      <w:r>
        <w:t>S.</w:t>
      </w:r>
      <w:r>
        <w:tab/>
        <w:t xml:space="preserve">considérant que la Médiatrice a reconnu les efforts de la Commission visant à réduire les délais de traitement des plaintes relatives à des infractions présumées au droit de l’Union, à améliorer la communication avec les différents plaignants et à mieux diffuser les informations publiques pertinentes via son site internet dédié aux </w:t>
      </w:r>
      <w:proofErr w:type="gramStart"/>
      <w:r>
        <w:t>infractions;</w:t>
      </w:r>
      <w:proofErr w:type="gramEnd"/>
      <w:r>
        <w:t xml:space="preserve"> que la Médiatrice a demandé à la Commission de poursuivre les améliorations à cet égard;</w:t>
      </w:r>
    </w:p>
    <w:p w14:paraId="26199891" w14:textId="77777777" w:rsidR="002A1B4B" w:rsidRPr="00532DF2" w:rsidRDefault="002A1B4B" w:rsidP="002A1B4B">
      <w:pPr>
        <w:pStyle w:val="NormalHanging12a"/>
      </w:pPr>
      <w:r>
        <w:t>T.</w:t>
      </w:r>
      <w:r>
        <w:tab/>
        <w:t xml:space="preserve">considérant que la Médiatrice a également demandé de quelle manière la Commission avait établi la composition du groupe consultatif de l’industrie de la plateforme énergétique de </w:t>
      </w:r>
      <w:proofErr w:type="gramStart"/>
      <w:r>
        <w:t>l’Union;</w:t>
      </w:r>
      <w:proofErr w:type="gramEnd"/>
      <w:r>
        <w:t xml:space="preserve"> qu’elle a estimé que les explications fournies par la Commission concernant l’exclusion des représentants de la société civile de ce groupe, même à titre d’observateurs, n’étaient pas convaincantes;</w:t>
      </w:r>
    </w:p>
    <w:p w14:paraId="3EFEB67C" w14:textId="77777777" w:rsidR="002A1B4B" w:rsidRPr="00532DF2" w:rsidRDefault="002A1B4B" w:rsidP="002A1B4B">
      <w:pPr>
        <w:pStyle w:val="NormalHanging12a"/>
      </w:pPr>
      <w:r>
        <w:t>U.</w:t>
      </w:r>
      <w:r>
        <w:tab/>
        <w:t>considérant qu’à la suite d’une plainte, la Médiatrice a mené une enquête sur la composition du comité d’examen de la réglementation de la Commission, qui a permis de confirmer que sa composition actuelle ne garantit pas suffisamment l’expertise en matière sociale et environnementale requise en vertu des dispositions de la communication de la Commission relatives à ce comité; que la Médiatrice a également examiné la manière dont le comité d’examen de la réglementation interagit avec les représentants d’intérêts et a estimé que, si les activités de sensibilisation des membres du comité soulèvent des doutes quant à son indépendance et à son impartialité, lesdits membres devraient s’abstenir de mener de telles activités;</w:t>
      </w:r>
    </w:p>
    <w:p w14:paraId="4CAB9BA5" w14:textId="77777777" w:rsidR="002A1B4B" w:rsidRPr="00532DF2" w:rsidRDefault="002A1B4B" w:rsidP="002A1B4B">
      <w:pPr>
        <w:pStyle w:val="NormalHanging12a"/>
      </w:pPr>
      <w:r>
        <w:t>V.</w:t>
      </w:r>
      <w:r>
        <w:tab/>
        <w:t>considérant qu’à la suite d’une plainte, la Médiatrice a ouvert une enquête sur la manière dont la Commission travaille sur des propositions législatives</w:t>
      </w:r>
      <w:proofErr w:type="gramStart"/>
      <w:r>
        <w:t xml:space="preserve"> «urgentes</w:t>
      </w:r>
      <w:proofErr w:type="gramEnd"/>
      <w:r>
        <w:t>», telles que la récente modification de la politique agricole commune (PAC) de l’Union;</w:t>
      </w:r>
    </w:p>
    <w:p w14:paraId="6E7EF8A8" w14:textId="77777777" w:rsidR="002A1B4B" w:rsidRPr="00532DF2" w:rsidRDefault="002A1B4B" w:rsidP="002A1B4B">
      <w:pPr>
        <w:pStyle w:val="NormalHanging12a"/>
      </w:pPr>
      <w:r>
        <w:t>W.</w:t>
      </w:r>
      <w:r>
        <w:tab/>
        <w:t xml:space="preserve">considérant que la Médiatrice a ouvert une enquête sur la décision de la Commission d’inviter uniquement des représentants de l’industrie à un atelier sur les pesticides, et a conclu que davantage de transparence aurait pu être garantie, suggérant à la </w:t>
      </w:r>
      <w:r>
        <w:lastRenderedPageBreak/>
        <w:t>Commission de créer une page internet dédiée et de publier des informations et des documents sur les événements à venir concernant les pesticides dès qu’ils sont disponibles, ainsi que de garantir que toutes les parties concernées aient l’occasion de faire connaître leur point de vue; que la Médiatrice a estimé que les préoccupations du public concernant l’organisation d’ateliers exclusivement réservés à l’industrie étaient légitimes, dans la mesure où ces ateliers sont perçus comme une occasion pour l’industrie d’influencer les travaux de la Commission de manière disproportionnée;</w:t>
      </w:r>
    </w:p>
    <w:p w14:paraId="18163E91" w14:textId="77777777" w:rsidR="002A1B4B" w:rsidRPr="00532DF2" w:rsidRDefault="002A1B4B" w:rsidP="002A1B4B">
      <w:pPr>
        <w:pStyle w:val="NormalHanging12a"/>
      </w:pPr>
      <w:r>
        <w:t>X.</w:t>
      </w:r>
      <w:r>
        <w:tab/>
        <w:t xml:space="preserve">considérant que la Médiatrice a enquêté sur la manière dont la Commission a traité les allégations de conflit d’intérêts impliquant l’un de ses commissaires dans le cadre d’une plainte pour </w:t>
      </w:r>
      <w:proofErr w:type="gramStart"/>
      <w:r>
        <w:t>infraction;</w:t>
      </w:r>
      <w:proofErr w:type="gramEnd"/>
    </w:p>
    <w:p w14:paraId="286B0C21" w14:textId="77777777" w:rsidR="002A1B4B" w:rsidRPr="00532DF2" w:rsidRDefault="002A1B4B" w:rsidP="002A1B4B">
      <w:pPr>
        <w:pStyle w:val="NormalHanging12a"/>
        <w:rPr>
          <w:bCs/>
          <w:iCs/>
        </w:rPr>
      </w:pPr>
      <w:r>
        <w:t>Y.</w:t>
      </w:r>
      <w:r>
        <w:tab/>
        <w:t>considérant que la Médiatrice a enquêté sur la manière dont la Commission a traité les préoccupations concernant les lignes directrices élaborées par un réseau européen de référence pour les maladies rares en facilitant les discussions entre les prestataires de soins de santé de toute l’Europe; que la Médiatrice s’est réjouie de la mise en place par la Commission d’un mécanisme de plainte permettant aux personnes de soulever des questions concernant les activités et le fonctionnement de ces réseaux, qui facilitent la collaboration entre les prestataires de soins de santé à travers l’Europe; que ce mécanisme a été créé en réponse à l’enquête de la Médiatrice;</w:t>
      </w:r>
    </w:p>
    <w:p w14:paraId="2DBD2475" w14:textId="77777777" w:rsidR="002A1B4B" w:rsidRPr="00532DF2" w:rsidRDefault="002A1B4B" w:rsidP="002A1B4B">
      <w:pPr>
        <w:pStyle w:val="NormalHanging12a"/>
      </w:pPr>
      <w:r>
        <w:t>Z.</w:t>
      </w:r>
      <w:r>
        <w:tab/>
        <w:t>considérant que le Parlement a approuvé à la quasi-unanimité le rapport spécial de la Médiatrice concernant le délai nécessaire à la Commission pour traiter les demandes d’accès du public aux documents, et a invité la Commission à remédier aux retards dans le traitement de ces demandes; que la Médiatrice a constaté que, dans 85 % des cas, la Commission ne respectait pas les délais légaux de réexamen des décisions initiales en matière d’accès; que les retards peuvent être plus problématiques dans le cas des documents législatifs;</w:t>
      </w:r>
    </w:p>
    <w:p w14:paraId="4C2C6782" w14:textId="77777777" w:rsidR="002A1B4B" w:rsidRPr="00532DF2" w:rsidRDefault="002A1B4B" w:rsidP="002A1B4B">
      <w:pPr>
        <w:pStyle w:val="NormalHanging12a"/>
        <w:rPr>
          <w:bCs/>
          <w:iCs/>
        </w:rPr>
      </w:pPr>
      <w:r>
        <w:t>AA.</w:t>
      </w:r>
      <w:r>
        <w:tab/>
        <w:t>considérant que la Médiatrice a ouvert un certain nombre d’enquêtes sur le manque d’accès du public aux documents législatifs, critiquant le refus de la Commission de donner accès aux contributions des parties prenantes et des États membres concernant le règlement européen sur la restauration de la nature</w:t>
      </w:r>
      <w:r w:rsidRPr="00532DF2">
        <w:rPr>
          <w:vertAlign w:val="superscript"/>
        </w:rPr>
        <w:footnoteReference w:id="3"/>
      </w:r>
      <w:r>
        <w:t xml:space="preserve"> ainsi qu’aux documents concernant la révision des règles de l’Union relatives à l’information des consommateurs sur les denrées alimentaires; que la Médiatrice a examiné, d’un point de vue plus systémique, le respect par les institutions de l’Union du principe de transparence législative, tel qu’énoncé dans les traités de l’Union, et a conclu que le Conseil et la Commission n’y adhéraient pas pleinement;</w:t>
      </w:r>
    </w:p>
    <w:p w14:paraId="5E8BB93F" w14:textId="77777777" w:rsidR="002A1B4B" w:rsidRPr="00532DF2" w:rsidRDefault="002A1B4B" w:rsidP="002A1B4B">
      <w:pPr>
        <w:pStyle w:val="NormalHanging12a"/>
        <w:rPr>
          <w:bCs/>
          <w:iCs/>
        </w:rPr>
      </w:pPr>
      <w:r>
        <w:t>AB.</w:t>
      </w:r>
      <w:r>
        <w:tab/>
        <w:t xml:space="preserve">considérant que la Médiatrice a mené plusieurs enquêtes sur la base de plaintes concernant l’utilisation de tests à distance par l’EPSO; que dans six enquêtes, la Médiatrice a conclu à une mauvaise administration; que la Médiatrice a noté en particulier que l’EPSO n’avait pas répondu aux arguments des plaignants de manière satisfaisante, qu’il avait fait preuve d’un manque de souplesse à cet égard ou qu’il avait pris des décisions déraisonnables; qu’elle a également critiqué l’EPSO pour avoir souvent communiqué aux plaignants des informations contradictoires sur la manière de </w:t>
      </w:r>
      <w:r>
        <w:lastRenderedPageBreak/>
        <w:t>prouver qu’ils avaient rencontré des problèmes et pour avoir rejeté des plaintes même lorsque les candidats avaient suivi les instructions relatives au signalement des problèmes techniques;</w:t>
      </w:r>
    </w:p>
    <w:p w14:paraId="314E899E" w14:textId="77777777" w:rsidR="002A1B4B" w:rsidRPr="00532DF2" w:rsidRDefault="002A1B4B" w:rsidP="002A1B4B">
      <w:pPr>
        <w:pStyle w:val="NormalHanging12a"/>
      </w:pPr>
      <w:r>
        <w:t>AC.</w:t>
      </w:r>
      <w:r>
        <w:tab/>
      </w:r>
      <w:proofErr w:type="gramStart"/>
      <w:r>
        <w:t>considérant</w:t>
      </w:r>
      <w:proofErr w:type="gramEnd"/>
      <w:r>
        <w:t xml:space="preserve"> que la Médiatrice a mené une enquête à la suite de décès en mer Méditerranée et a suggéré que soit mis en place un mécanisme européen de responsabilité qui pourrait enquêter de manière indépendante sur les rôles respectifs des autorités nationales, de Frontex et de la Commission;</w:t>
      </w:r>
    </w:p>
    <w:p w14:paraId="2D02432C" w14:textId="77777777" w:rsidR="002A1B4B" w:rsidRPr="00532DF2" w:rsidRDefault="002A1B4B" w:rsidP="002A1B4B">
      <w:pPr>
        <w:pStyle w:val="NormalHanging12a"/>
      </w:pPr>
      <w:r>
        <w:t>AD.</w:t>
      </w:r>
      <w:r>
        <w:tab/>
      </w:r>
      <w:proofErr w:type="gramStart"/>
      <w:r>
        <w:t>considérant</w:t>
      </w:r>
      <w:proofErr w:type="gramEnd"/>
      <w:r>
        <w:t xml:space="preserve"> que, selon la Médiatrice, la Commission aurait pu fournir un meilleur accès aux documents relatifs à la contribution des parties prenantes à sa proposition législative visant à lutter contre les abus sexuels commis contre des enfants, car cet accès limité a empêché le public de contrôler l’incidence et l’influence de ces parties prenantes privées;</w:t>
      </w:r>
    </w:p>
    <w:p w14:paraId="4AD7C17B" w14:textId="77777777" w:rsidR="002A1B4B" w:rsidRPr="00532DF2" w:rsidRDefault="002A1B4B" w:rsidP="002A1B4B">
      <w:pPr>
        <w:pStyle w:val="NormalHanging12a"/>
        <w:rPr>
          <w:szCs w:val="24"/>
        </w:rPr>
      </w:pPr>
      <w:r>
        <w:t>1.</w:t>
      </w:r>
      <w:r>
        <w:tab/>
        <w:t xml:space="preserve">approuve le rapport annuel 2024 présenté par la Médiatrice et salue l’excellente présentation des activités essentielles exercées en </w:t>
      </w:r>
      <w:proofErr w:type="gramStart"/>
      <w:r>
        <w:t>2024;</w:t>
      </w:r>
      <w:proofErr w:type="gramEnd"/>
    </w:p>
    <w:p w14:paraId="522664FF" w14:textId="77777777" w:rsidR="002A1B4B" w:rsidRPr="00532DF2" w:rsidRDefault="002A1B4B" w:rsidP="002A1B4B">
      <w:pPr>
        <w:pStyle w:val="NormalHanging12a"/>
        <w:rPr>
          <w:szCs w:val="24"/>
        </w:rPr>
      </w:pPr>
      <w:r>
        <w:t>2.</w:t>
      </w:r>
      <w:r>
        <w:tab/>
        <w:t xml:space="preserve">félicite la nouvelle Médiatrice pour sa nomination et salue son engagement à veiller à ce que l’administration de l’Union adopte une approche axée sur les </w:t>
      </w:r>
      <w:proofErr w:type="gramStart"/>
      <w:r>
        <w:t>citoyens;</w:t>
      </w:r>
      <w:proofErr w:type="gramEnd"/>
    </w:p>
    <w:p w14:paraId="25FD7842" w14:textId="77777777" w:rsidR="002A1B4B" w:rsidRPr="00532DF2" w:rsidRDefault="002A1B4B" w:rsidP="002A1B4B">
      <w:pPr>
        <w:pStyle w:val="NormalHanging12a"/>
        <w:rPr>
          <w:szCs w:val="24"/>
        </w:rPr>
      </w:pPr>
      <w:r>
        <w:t>3.</w:t>
      </w:r>
      <w:r>
        <w:tab/>
        <w:t xml:space="preserve">salue la coopération constructive entre la Médiatrice et le Parlement, en particulier la commission des pétitions, ainsi qu’avec d’autres institutions de </w:t>
      </w:r>
      <w:proofErr w:type="gramStart"/>
      <w:r>
        <w:t>l’Union;</w:t>
      </w:r>
      <w:proofErr w:type="gramEnd"/>
    </w:p>
    <w:p w14:paraId="07FB4BDB" w14:textId="77777777" w:rsidR="002A1B4B" w:rsidRPr="00532DF2" w:rsidRDefault="002A1B4B" w:rsidP="002A1B4B">
      <w:pPr>
        <w:pStyle w:val="NormalHanging12a"/>
      </w:pPr>
      <w:r>
        <w:t>4.</w:t>
      </w:r>
      <w:r>
        <w:tab/>
        <w:t xml:space="preserve">est préoccupé par le non-respect, par la Commission, des délais juridiquement contraignants relatifs à l’élaboration des décisions d’autorisation concernant les substances chimiques dangereuses, notamment les substances per- et </w:t>
      </w:r>
      <w:proofErr w:type="spellStart"/>
      <w:r>
        <w:t>polyfluoroalkylées</w:t>
      </w:r>
      <w:proofErr w:type="spellEnd"/>
      <w:r>
        <w:t xml:space="preserve"> (PFAS); souligne que le respect de ces délais est essentiel pour garantir la protection de la santé humaine et de l’environnement ainsi que la sécurité juridique et la prévisibilité du processus décisionnel de l’Union; relève que, pour faire face aux risques sanitaires et environnementaux posés par les PFAS, la Commission devrait se coordonner non seulement avec les États membres et leurs autorités nationales et locales, mais aussi avec les organisations de la société civile et les institutions universitaires et scientifiques pertinentes, qui jouent un rôle essentiel dans ce domaine;</w:t>
      </w:r>
    </w:p>
    <w:p w14:paraId="4E99B5CC" w14:textId="77777777" w:rsidR="002A1B4B" w:rsidRPr="00532DF2" w:rsidRDefault="002A1B4B" w:rsidP="002A1B4B">
      <w:pPr>
        <w:pStyle w:val="NormalHanging12a"/>
      </w:pPr>
      <w:r>
        <w:t>5.</w:t>
      </w:r>
      <w:r>
        <w:tab/>
        <w:t>estime que la Commission doit remédier en priorité à toutes les graves lacunes identifiées dans sa gestion des risques liés aux substances extrêmement préoccupantes, notamment en révisant ses procédures internes afin de pouvoir prendre plus rapidement des décisions sur ces demandes, conformément aux objectifs du règlement concernant l’enregistrement, l’évaluation et l’autorisation des substances chimiques ainsi que les restrictions applicables à ces substances (règlement REACH)</w:t>
      </w:r>
      <w:r w:rsidRPr="00532DF2">
        <w:rPr>
          <w:rStyle w:val="FootnoteReference"/>
        </w:rPr>
        <w:footnoteReference w:id="4"/>
      </w:r>
      <w:r>
        <w:t xml:space="preserve">, afin de protéger la santé humaine et l’environnement; est fermement convaincu que la Commission devrait mettre en œuvre les recommandations découlant de l’enquête de la Médiatrice, </w:t>
      </w:r>
      <w:r>
        <w:lastRenderedPageBreak/>
        <w:t>notamment celle portant sur les demandes ne disposant pas de toutes les informations requises;</w:t>
      </w:r>
    </w:p>
    <w:p w14:paraId="79E03783" w14:textId="77777777" w:rsidR="002A1B4B" w:rsidRPr="00532DF2" w:rsidRDefault="002A1B4B" w:rsidP="002A1B4B">
      <w:pPr>
        <w:pStyle w:val="NormalHanging12a"/>
      </w:pPr>
      <w:r>
        <w:t>6.</w:t>
      </w:r>
      <w:r>
        <w:tab/>
        <w:t xml:space="preserve">souligne que la Commission devrait améliorer les règles relatives au remplacement des substances dangereuses dans les pesticides afin de mieux prendre en compte les solutions de substitution non chimiques sûres et </w:t>
      </w:r>
      <w:proofErr w:type="gramStart"/>
      <w:r>
        <w:t>efficaces;</w:t>
      </w:r>
      <w:proofErr w:type="gramEnd"/>
      <w:r>
        <w:t xml:space="preserve"> invite la Commission à veiller à ce que le processus d’approbation soit totalement transparent et suive des garanties strictes contre les conflits d’intérêts, en tenant dûment compte des suggestions d’amélioration de la Médiatrice;</w:t>
      </w:r>
    </w:p>
    <w:p w14:paraId="29BE85B7" w14:textId="77777777" w:rsidR="002A1B4B" w:rsidRPr="00532DF2" w:rsidRDefault="002A1B4B" w:rsidP="002A1B4B">
      <w:pPr>
        <w:pStyle w:val="NormalHanging12a"/>
        <w:rPr>
          <w:bCs/>
          <w:iCs/>
        </w:rPr>
      </w:pPr>
      <w:r>
        <w:t>7.</w:t>
      </w:r>
      <w:r>
        <w:tab/>
        <w:t>souligne que les institutions de l’Union doivent garantir la transparence du processus décisionnel de l’Union ainsi que le niveau le plus adéquat possible de participation des citoyens à ce processus; estime qu’il est de la plus haute importance de veiller à ce que les citoyens puissent demander des comptes aux responsables politiques, exercer pleinement leurs droits démocratiques et avoir accès à toutes les informations et à tous les documents pertinents, en particulier ceux à caractère législatif, comme le prévoit également la jurisprudence de la CJUE; rappelle que les institutions, agences, organes et organismes de l’Union sont tenus de garantir la transparence des négociations politiques, tout en tenant compte de la nécessité d’assurer leur bon déroulement et le respect des normes éthiques les plus élevées dans le cadre de leurs interactions avec les parties prenantes privées;</w:t>
      </w:r>
    </w:p>
    <w:p w14:paraId="0D1C9154" w14:textId="77777777" w:rsidR="002A1B4B" w:rsidRPr="00532DF2" w:rsidRDefault="002A1B4B" w:rsidP="002A1B4B">
      <w:pPr>
        <w:pStyle w:val="NormalHanging12a"/>
      </w:pPr>
      <w:r>
        <w:t>8.</w:t>
      </w:r>
      <w:r>
        <w:tab/>
        <w:t>souligne l’importance des activités du Médiateur pour renforcer la transparence et contribuer à améliorer la composition équilibrée des groupes d’experts de la Commission, en particulier du groupe consultatif de l’industrie de la plateforme énergétique de l’Union, compte tenu des enjeux économiques, sociaux et environnementaux majeurs liés aux politiques énergétiques; note que la Commission a décidé de ne pas inclure les représentants de la société civile dans ce groupe; est d’avis que les citoyens européens devraient être informés du profil de tous les membres des groupes d’experts;</w:t>
      </w:r>
    </w:p>
    <w:p w14:paraId="1C0000CF" w14:textId="77777777" w:rsidR="002A1B4B" w:rsidRPr="00532DF2" w:rsidRDefault="002A1B4B" w:rsidP="002A1B4B">
      <w:pPr>
        <w:pStyle w:val="NormalHanging12a"/>
      </w:pPr>
      <w:r>
        <w:t>9.</w:t>
      </w:r>
      <w:r>
        <w:tab/>
        <w:t xml:space="preserve">prend note des suggestions de la Médiatrice visant à améliorer le comité d’examen de la </w:t>
      </w:r>
      <w:proofErr w:type="gramStart"/>
      <w:r>
        <w:t>réglementation;</w:t>
      </w:r>
      <w:proofErr w:type="gramEnd"/>
      <w:r>
        <w:t xml:space="preserve"> invite la Commission à veiller à ce que la composition du comité reflète pleinement la diversité de l’expertise mentionnée dans sa communication connexe;</w:t>
      </w:r>
    </w:p>
    <w:p w14:paraId="472BCF01" w14:textId="77777777" w:rsidR="002A1B4B" w:rsidRPr="00532DF2" w:rsidRDefault="002A1B4B" w:rsidP="002A1B4B">
      <w:pPr>
        <w:pStyle w:val="NormalHanging12a"/>
      </w:pPr>
      <w:r>
        <w:t>10.</w:t>
      </w:r>
      <w:r>
        <w:tab/>
        <w:t>prend note de l’enquête menée actuellement par la Médiatrice concernant la manière dont la Commission a élaboré une proposition visant à modifier la législation relative à la politique agricole commune sans réaliser d’analyse d’impact et en consultant de manière limitée les parties prenantes, en particulier les agriculteurs; souligne la nécessité de respecter les principes de prise de décision fondée sur des données probantes, tels qu’ils sont inscrits dans les lignes directrices et la boîte à outils pour une meilleure réglementation de la Commission et consacrés par la jurisprudence;</w:t>
      </w:r>
    </w:p>
    <w:p w14:paraId="76B12FFA" w14:textId="77777777" w:rsidR="002A1B4B" w:rsidRPr="00532DF2" w:rsidRDefault="002A1B4B" w:rsidP="002A1B4B">
      <w:pPr>
        <w:pStyle w:val="NormalHanging12a"/>
      </w:pPr>
      <w:r>
        <w:t>11.</w:t>
      </w:r>
      <w:r>
        <w:tab/>
        <w:t xml:space="preserve">salue le travail accompli par la Médiatrice pour encourager vivement la Commission à garantir la participation de l’ensemble des acteurs économiques, sociaux et environnementaux dans son processus décisionnel, et pour contribuer à garantir l’intégrité de ce </w:t>
      </w:r>
      <w:proofErr w:type="gramStart"/>
      <w:r>
        <w:t>dernier;</w:t>
      </w:r>
      <w:proofErr w:type="gramEnd"/>
    </w:p>
    <w:p w14:paraId="068A8921" w14:textId="77777777" w:rsidR="002A1B4B" w:rsidRPr="00532DF2" w:rsidRDefault="002A1B4B" w:rsidP="002A1B4B">
      <w:pPr>
        <w:pStyle w:val="NormalHanging12a"/>
        <w:rPr>
          <w:bCs/>
          <w:iCs/>
        </w:rPr>
      </w:pPr>
      <w:r>
        <w:t>12.</w:t>
      </w:r>
      <w:r>
        <w:tab/>
        <w:t xml:space="preserve">invite la Médiatrice à examiner la pratique de la Commission consistant à financer des organisations non gouvernementales œuvrant dans le domaine de l’environnement qui </w:t>
      </w:r>
      <w:r>
        <w:lastRenderedPageBreak/>
        <w:t xml:space="preserve">font ensuite pression sur le Parlement et la Commission pour qu’ils adoptent de nouvelles politiques </w:t>
      </w:r>
      <w:proofErr w:type="gramStart"/>
      <w:r>
        <w:t>environnementales;</w:t>
      </w:r>
      <w:proofErr w:type="gramEnd"/>
      <w:r>
        <w:t xml:space="preserve"> souligne que de telles pratiques risquent de créer des conflits d’intérêts, de fausser le processus démocratique et de saper la légitimité du processus décisionnel de l’Union;</w:t>
      </w:r>
    </w:p>
    <w:p w14:paraId="0BBB5B7B" w14:textId="77777777" w:rsidR="002A1B4B" w:rsidRPr="00532DF2" w:rsidRDefault="002A1B4B" w:rsidP="002A1B4B">
      <w:pPr>
        <w:pStyle w:val="NormalHanging12a"/>
      </w:pPr>
      <w:r>
        <w:t>13.</w:t>
      </w:r>
      <w:r>
        <w:tab/>
        <w:t>juge essentiel que la Commission tienne compte des suggestions de la Médiatrice visant à améliorer la manière dont elle traite les conflits d’intérêts concernant ses commissaires, afin de préserver l’intégrité du processus décisionnel; met en lumière, dans ce contexte, la contribution de la Médiatrice appelant à renforcer l’éthique et la transparence des institutions de l’Union en ce qui concerne la politique en matière de pantouflage, les périodes de réflexion et les conflits d’intérêts potentiels dans les cas où d’anciens commissaires et d’anciens cadres supérieurs d’institutions ou d’organismes de l’Union acceptent un nouvel emploi dans le secteur privé;</w:t>
      </w:r>
    </w:p>
    <w:p w14:paraId="2DB142C5" w14:textId="77777777" w:rsidR="002A1B4B" w:rsidRPr="00532DF2" w:rsidRDefault="002A1B4B" w:rsidP="002A1B4B">
      <w:pPr>
        <w:pStyle w:val="NormalHanging12a"/>
      </w:pPr>
      <w:r>
        <w:t>14.</w:t>
      </w:r>
      <w:r>
        <w:tab/>
        <w:t>souligne que l’accès du public aux documents détenus par les institutions de l’Union est un droit fondamental consacré dans les traités de l’Union, et qu’il joue un rôle essentiel pour garantir que ces institutions fonctionnent de manière transparente, renforçant ainsi la légitimité de l’Union et la confiance du public dans cette dernière, notamment par la mise en œuvre en temps utile de l’ensemble des recommandations de la Médiatrice, démontrant ainsi dans la pratique que la transparence constitue la règle de gouvernance et une priorité fondamentale; invite la Commission à améliorer la manière dont elle traite ces demandes et à remédier à ses retards systémiques, notamment en utilisant des outils numériques et des procédures simplifiées; souligne que le droit des citoyens à l’accès à l’information s’applique aux documents écrits physiques et électroniques, ainsi qu’aux enregistrements audio et audiovisuels liés aux politiques, aux activités et aux décisions des institutions de l’Union, et rappelle que les messages textuels et les messages instantanés liés au travail sont considérés comme des «documents» au sens du règlement (CE) nº 1049/2001</w:t>
      </w:r>
      <w:r w:rsidRPr="00532DF2">
        <w:rPr>
          <w:rStyle w:val="FootnoteReference"/>
        </w:rPr>
        <w:footnoteReference w:id="5"/>
      </w:r>
      <w:r>
        <w:t>;</w:t>
      </w:r>
    </w:p>
    <w:p w14:paraId="045B452E" w14:textId="77777777" w:rsidR="002A1B4B" w:rsidRPr="00532DF2" w:rsidRDefault="002A1B4B" w:rsidP="002A1B4B">
      <w:pPr>
        <w:pStyle w:val="NormalHanging12a"/>
      </w:pPr>
      <w:r>
        <w:t>15.</w:t>
      </w:r>
      <w:r>
        <w:tab/>
        <w:t xml:space="preserve">note que le Conseil et la Commission ont refusé de divulguer des documents législatifs en se fondant sur des motifs déjà rejetés par la Cour de justice de l’Union </w:t>
      </w:r>
      <w:proofErr w:type="gramStart"/>
      <w:r>
        <w:t>européenne;</w:t>
      </w:r>
      <w:proofErr w:type="gramEnd"/>
      <w:r>
        <w:t xml:space="preserve"> salue le travail essentiel accompli par la Médiatrice dans ce domaine visant à garantir que les institutions de l’Union concernées divulguent rapidement les documents législatifs, et souligne que l’accès du public aux documents ne peut être refusé que dans des circonstances véritablement exceptionnelles;</w:t>
      </w:r>
    </w:p>
    <w:p w14:paraId="3C799F5F" w14:textId="77777777" w:rsidR="002A1B4B" w:rsidRPr="00532DF2" w:rsidRDefault="002A1B4B" w:rsidP="002A1B4B">
      <w:pPr>
        <w:pStyle w:val="NormalHanging12a"/>
      </w:pPr>
      <w:r>
        <w:t>16.</w:t>
      </w:r>
      <w:r>
        <w:tab/>
        <w:t>souligne que Frontex doit fonctionner dans le respect des dispositions inscrites dans le règlement (UE) 2019/1896</w:t>
      </w:r>
      <w:r w:rsidRPr="00532DF2">
        <w:rPr>
          <w:rStyle w:val="FootnoteReference"/>
        </w:rPr>
        <w:footnoteReference w:id="6"/>
      </w:r>
      <w:r>
        <w:t xml:space="preserve">, y compris les obligations en matière de droits fondamentaux et de respect du droit international applicable; prend acte de la réforme du mandat de Frontex annoncée par la Présidente de la Commission pour 2026; espère que le renforcement du mandat, des ressources et du budget de Frontex permettra à l’agence d’accomplir sa mission dans les meilleures conditions possibles afin de mieux soutenir les États membres, notamment dans le cadre d’opérations de recherche et de </w:t>
      </w:r>
      <w:r>
        <w:lastRenderedPageBreak/>
        <w:t>sauvetage;</w:t>
      </w:r>
    </w:p>
    <w:p w14:paraId="20E3D90E" w14:textId="77777777" w:rsidR="002A1B4B" w:rsidRPr="00532DF2" w:rsidRDefault="002A1B4B" w:rsidP="002A1B4B">
      <w:pPr>
        <w:pStyle w:val="NormalHanging12a"/>
        <w:rPr>
          <w:bCs/>
          <w:iCs/>
        </w:rPr>
      </w:pPr>
      <w:r>
        <w:t>17.</w:t>
      </w:r>
      <w:r>
        <w:tab/>
        <w:t xml:space="preserve">souligne que la mission première de Frontex doit être la protection des frontières extérieures de l’Union, la lutte contre les trafiquants d’êtres humains et les coyotes, et la lutte contre l’immigration </w:t>
      </w:r>
      <w:proofErr w:type="gramStart"/>
      <w:r>
        <w:t>clandestine;</w:t>
      </w:r>
      <w:proofErr w:type="gramEnd"/>
      <w:r>
        <w:t xml:space="preserve"> relève que l’absence de contrôle aux frontières est à l’origine d’un plus grand nombre de décès en mer;</w:t>
      </w:r>
    </w:p>
    <w:p w14:paraId="600AA3E2" w14:textId="77777777" w:rsidR="002A1B4B" w:rsidRPr="00532DF2" w:rsidRDefault="002A1B4B" w:rsidP="002A1B4B">
      <w:pPr>
        <w:pStyle w:val="NormalHanging12a"/>
      </w:pPr>
      <w:r>
        <w:t>18.</w:t>
      </w:r>
      <w:r>
        <w:tab/>
        <w:t xml:space="preserve">prend note de l’engagement de la Médiatrice en faveur des droits </w:t>
      </w:r>
      <w:proofErr w:type="gramStart"/>
      <w:r>
        <w:t>fondamentaux;</w:t>
      </w:r>
      <w:proofErr w:type="gramEnd"/>
      <w:r>
        <w:t xml:space="preserve"> observe que la Médiatrice a demandé une transparence accrue en ce qui concerne les informations relatives aux droits de l’homme qu’elle a examinées avant de signer le protocole d’accord (</w:t>
      </w:r>
      <w:proofErr w:type="spellStart"/>
      <w:r>
        <w:t>MoU</w:t>
      </w:r>
      <w:proofErr w:type="spellEnd"/>
      <w:r>
        <w:t>) entre l’UE et la Tunisie;</w:t>
      </w:r>
    </w:p>
    <w:p w14:paraId="133DFEFA" w14:textId="77777777" w:rsidR="002A1B4B" w:rsidRPr="00532DF2" w:rsidRDefault="002A1B4B" w:rsidP="002A1B4B">
      <w:pPr>
        <w:pStyle w:val="NormalHanging12a"/>
      </w:pPr>
      <w:r>
        <w:t>19.</w:t>
      </w:r>
      <w:r>
        <w:tab/>
        <w:t>déplore le refus de la Commission de suivre la recommandation de la Médiatrice d’accorder un meilleur accès du public aux documents relatifs à l’élaboration d’une proposition législative visant à lutter contre les abus sexuels commis contre des enfants; rappelle que les citoyens devraient pouvoir contrôler les travaux de la Commission sur les propositions législatives; souligne que la transparence revêt une importance particulière dans ce contexte, car la proposition concerne directement la protection des enfants, les droits fondamentaux et la vie privée des citoyens;</w:t>
      </w:r>
    </w:p>
    <w:p w14:paraId="4C6B898C" w14:textId="77777777" w:rsidR="002A1B4B" w:rsidRPr="00532DF2" w:rsidRDefault="002A1B4B" w:rsidP="002A1B4B">
      <w:pPr>
        <w:pStyle w:val="NormalHanging12a"/>
      </w:pPr>
      <w:r>
        <w:t>20.</w:t>
      </w:r>
      <w:r>
        <w:tab/>
        <w:t>prend acte de la décision de la Médiatrice d’ouvrir une enquête sur la collecte par la Commission de données sur l’incidence de la population de loups au sein de l’Union; note cependant que, conformément au statut de la Médiatrice, l’enquête a dû être clôturée en raison d’une affaire en cours devant la Cour de justice (T-634/24), dans laquelle les mêmes questions sont soulevées; souligne l’importance de fonder toute décision concernant le statut de protection juridique des loups sur des preuves scientifiques et sur la protection des communautés rurales;</w:t>
      </w:r>
    </w:p>
    <w:p w14:paraId="548899B3" w14:textId="77777777" w:rsidR="002A1B4B" w:rsidRPr="00532DF2" w:rsidRDefault="002A1B4B" w:rsidP="002A1B4B">
      <w:pPr>
        <w:pStyle w:val="NormalHanging12a"/>
      </w:pPr>
      <w:r>
        <w:t>21.</w:t>
      </w:r>
      <w:r>
        <w:tab/>
        <w:t xml:space="preserve">salue la série de propositions de la Médiatrice adressées à la Commission visant à améliorer la transparence au sein du Conseil du commerce et des technologies UE-États-Unis, qui sert de forum pour coordonner les approches et renforcer les relations commerciales, économiques et </w:t>
      </w:r>
      <w:proofErr w:type="gramStart"/>
      <w:r>
        <w:t>technologiques;</w:t>
      </w:r>
      <w:proofErr w:type="gramEnd"/>
      <w:r>
        <w:t xml:space="preserve"> estime que les recommandations de la Médiatrice doivent être rapidement mises en œuvre afin de respecter les normes les plus élevées en matière de transparence et de responsabilité;</w:t>
      </w:r>
    </w:p>
    <w:p w14:paraId="177D39B4" w14:textId="77777777" w:rsidR="002A1B4B" w:rsidRPr="00532DF2" w:rsidRDefault="002A1B4B" w:rsidP="002A1B4B">
      <w:pPr>
        <w:pStyle w:val="NormalHanging12a"/>
        <w:rPr>
          <w:bCs/>
          <w:iCs/>
        </w:rPr>
      </w:pPr>
      <w:r>
        <w:t>22.</w:t>
      </w:r>
      <w:r>
        <w:tab/>
        <w:t>salue la série de suggestions faites par la Médiatrice pour aider la Commission à s’assurer que son utilisation de l’IA dans le processus décisionnel reste responsable; souligne que les institutions de l’Union doivent maintenir un contrôle humain efficace sur les systèmes d’IA et veiller à ce que leur utilisation soit conforme aux principes de transparence et de responsabilité ainsi qu’aux droits fondamentaux; estime que la prise de décision ne devrait pas être déléguée à ces systèmes; attire l’attention sur le fait qu’il est important de dispenser une formation adéquate aux fonctionnaires chargés de superviser l’IA afin qu’ils puissent évaluer correctement les risques et vérifier les résultats générés par cette dernière; encourage la Commission à accroître la transparence en communiquant clairement des informations sur les futurs projets d’IA, et à organiser des consultations publiques sur le développement de nouveaux outils d’IA; demande à la Médiatrice de continuer à suivre les évolutions dans ce domaine;</w:t>
      </w:r>
    </w:p>
    <w:p w14:paraId="3A1B616B" w14:textId="77777777" w:rsidR="002A1B4B" w:rsidRPr="00532DF2" w:rsidRDefault="002A1B4B" w:rsidP="002A1B4B">
      <w:pPr>
        <w:pStyle w:val="NormalHanging12a"/>
      </w:pPr>
      <w:r>
        <w:t>23.</w:t>
      </w:r>
      <w:r>
        <w:tab/>
        <w:t xml:space="preserve">salue l’ensemble des activités de la Médiatrice visant à protéger les droits des personnes handicapées, en mettant particulièrement l’accent sur la mise en œuvre, par </w:t>
      </w:r>
      <w:r>
        <w:lastRenderedPageBreak/>
        <w:t>l’administration de l’Union, de la CNUDPH; convient avec la Médiatrice qu’en tant que partie à la CNUDPH, l’Union devrait montrer l’exemple en se conformant aux normes de ladite convention; souligne que, bien que des progrès aient été accomplis au sein des institutions de l’Union dans le domaine de la mise en œuvre des dispositions de la CNUDPH, la réalisation de nombreux objectifs en matière d’accessibilité a encore pris du retard et n’est pas suffisamment efficace; recommande que la Médiatrice intervienne pour examiner et accélérer les mesures d’accessibilité et d’aménagement raisonnable dans les institutions européennes et évaluer si les personnes handicapées sont proportionnellement représentées dans les institutions;</w:t>
      </w:r>
    </w:p>
    <w:p w14:paraId="47751419" w14:textId="77777777" w:rsidR="002A1B4B" w:rsidRPr="00532DF2" w:rsidRDefault="002A1B4B" w:rsidP="002A1B4B">
      <w:pPr>
        <w:pStyle w:val="NormalHanging12a"/>
        <w:rPr>
          <w:bCs/>
          <w:iCs/>
        </w:rPr>
      </w:pPr>
      <w:r>
        <w:t>24.</w:t>
      </w:r>
      <w:r>
        <w:tab/>
        <w:t>souligne l’importance d’une coopération étroite entre la Médiatrice européenne, les médiateurs nationaux et régionaux réunis au sein du Réseau européen des médiateurs et les administrations des États membres, en vue de promouvoir la bonne administration, la transparence et la protection des droits des citoyens dans l’ensemble de l’Union; encourage les échanges de bonnes pratiques et les initiatives conjointes visant à renforcer la confiance des citoyens dans les institutions européennes et nationales; encourage la Médiatrice à renforcer également la coopération avec les institutions de médiation des pays candidats à l’adhésion à l’Union;</w:t>
      </w:r>
    </w:p>
    <w:p w14:paraId="7190CED5" w14:textId="77777777" w:rsidR="002A1B4B" w:rsidRPr="00532DF2" w:rsidRDefault="002A1B4B" w:rsidP="002A1B4B">
      <w:pPr>
        <w:pStyle w:val="NormalHanging12a"/>
        <w:rPr>
          <w:bCs/>
          <w:iCs/>
        </w:rPr>
      </w:pPr>
      <w:r>
        <w:t>25.</w:t>
      </w:r>
      <w:r>
        <w:tab/>
        <w:t>prend note avec inquiétude des lacunes relevées par la Médiatrice dans le fonctionnement de l’EPSO; est alarmé par les conclusions de la Médiatrice concernant de multiples cas de mauvaise administration dus à la mauvaise gestion par l’EPSO des plaintes des candidats, notamment en ce qui concerne les procédures de test à distance et les défaillances de la plateforme, celui-ci ayant souvent communiqué aux plaignants des informations contradictoires, fait preuve d’un manque de souplesse et pris des décisions déraisonnables; demande à l’EPSO de prendre toutes les mesures nécessaires pour remédier d’urgence à toutes les lacunes relevées afin de rétablir l’intégrité, la transparence et la responsabilité des procédures de recrutement;</w:t>
      </w:r>
    </w:p>
    <w:p w14:paraId="5B5BB3B8" w14:textId="77777777" w:rsidR="002A1B4B" w:rsidRPr="00532DF2" w:rsidRDefault="002A1B4B" w:rsidP="002A1B4B">
      <w:pPr>
        <w:pStyle w:val="NormalHanging12a"/>
        <w:rPr>
          <w:bCs/>
          <w:iCs/>
        </w:rPr>
      </w:pPr>
      <w:r>
        <w:t>26.</w:t>
      </w:r>
      <w:r>
        <w:tab/>
        <w:t>se réjouit du fait que, suite aux décisions de la Médiatrice, l’EPSO a décidé de donner à quatre plaignants la possibilité de repasser leurs tests; note qu’outre les cas qui ont été clôturés avec un constat de mauvaise administration, l’EPSO a également réglé deux autres cas pendant l’enquête de la Médiatrice en décidant d’inviter les plaignants à repasser les tests; rappelle qu’en réponse à une suggestion et aux remarques de la Médiatrice, l’EPSO a déclaré qu’il veillerait à ce que la fonctionnalité des outils utilisés par les candidats pendant les tests puisse être examinée rétroactivement et à ce qu’à l’avenir, les candidats reçoivent automatiquement une copie de leurs réponses et des réponses correctes après les tests;</w:t>
      </w:r>
    </w:p>
    <w:p w14:paraId="680A7AE0" w14:textId="77777777" w:rsidR="002A1B4B" w:rsidRPr="00532DF2" w:rsidRDefault="002A1B4B" w:rsidP="002A1B4B">
      <w:pPr>
        <w:pStyle w:val="NormalHanging12a"/>
      </w:pPr>
      <w:r>
        <w:t>27.</w:t>
      </w:r>
      <w:r>
        <w:tab/>
        <w:t xml:space="preserve">constate que le taux d’acceptation des propositions de la Médiatrice par les institutions de l’Union s’élevait à 82 % en 2024, ce qui représente une légère amélioration par rapport aux années </w:t>
      </w:r>
      <w:proofErr w:type="gramStart"/>
      <w:r>
        <w:t>précédentes;</w:t>
      </w:r>
      <w:proofErr w:type="gramEnd"/>
      <w:r>
        <w:t xml:space="preserve"> est fermement convaincu que les institutions, organes et organismes de l’Union doivent coopérer de manière satisfaisante avec la Médiatrice;</w:t>
      </w:r>
    </w:p>
    <w:p w14:paraId="7518C5D4" w14:textId="77777777" w:rsidR="002A1B4B" w:rsidRPr="00532DF2" w:rsidRDefault="002A1B4B" w:rsidP="002A1B4B">
      <w:pPr>
        <w:pStyle w:val="NormalHanging12a"/>
      </w:pPr>
      <w:r>
        <w:t>28.</w:t>
      </w:r>
      <w:r>
        <w:tab/>
        <w:t>charge sa Présidente de transmettre la présente résolution et le rapport de la commission des pétitions au Conseil, à la Commission, à la Médiatrice européenne, aux gouvernements et aux parlements des États membres ainsi qu’à leurs médiateurs ou aux organes compétents similaires.</w:t>
      </w:r>
    </w:p>
    <w:p w14:paraId="526A49C7" w14:textId="77777777" w:rsidR="002A1B4B" w:rsidRPr="00532DF2" w:rsidRDefault="002A1B4B" w:rsidP="002A1B4B">
      <w:pPr>
        <w:widowControl/>
      </w:pPr>
      <w:r>
        <w:lastRenderedPageBreak/>
        <w:br w:type="page"/>
      </w:r>
    </w:p>
    <w:p w14:paraId="529D498F" w14:textId="77777777" w:rsidR="002A1B4B" w:rsidRPr="00532DF2" w:rsidRDefault="002A1B4B" w:rsidP="002A1B4B">
      <w:pPr>
        <w:rPr>
          <w:spacing w:val="5"/>
        </w:rPr>
      </w:pPr>
    </w:p>
    <w:p w14:paraId="771BCCDC" w14:textId="77777777" w:rsidR="002A1B4B" w:rsidRPr="00532DF2" w:rsidRDefault="002A1B4B" w:rsidP="002A1B4B">
      <w:pPr>
        <w:pStyle w:val="PageHeading"/>
      </w:pPr>
      <w:bookmarkStart w:id="2" w:name="_Toc222239442"/>
      <w:bookmarkStart w:id="3" w:name="_Toc222311393"/>
      <w:proofErr w:type="gramStart"/>
      <w:r>
        <w:t>ANNEXE:</w:t>
      </w:r>
      <w:proofErr w:type="gramEnd"/>
      <w:r>
        <w:t xml:space="preserve"> DÉCLARATION DES CONTRIBUTIONS</w:t>
      </w:r>
      <w:bookmarkEnd w:id="2"/>
      <w:bookmarkEnd w:id="3"/>
    </w:p>
    <w:p w14:paraId="008F12EE" w14:textId="77777777" w:rsidR="002A1B4B" w:rsidRPr="00532DF2" w:rsidRDefault="002A1B4B" w:rsidP="002A1B4B">
      <w:pPr>
        <w:spacing w:line="360" w:lineRule="auto"/>
        <w:rPr>
          <w:szCs w:val="28"/>
        </w:rPr>
      </w:pPr>
    </w:p>
    <w:p w14:paraId="5534B345" w14:textId="51D7A5B0" w:rsidR="002A1B4B" w:rsidRPr="00532DF2" w:rsidRDefault="002A1B4B" w:rsidP="002A1B4B">
      <w:pPr>
        <w:spacing w:line="360" w:lineRule="auto"/>
        <w:rPr>
          <w:szCs w:val="28"/>
        </w:rPr>
      </w:pPr>
      <w:r>
        <w:t>Le président, en sa qualité de rapporteur, agissant après le vote au sein de la commission PETI du 28</w:t>
      </w:r>
      <w:r w:rsidR="00AF7EE6">
        <w:t xml:space="preserve"> </w:t>
      </w:r>
      <w:r>
        <w:t xml:space="preserve">janvier 2026 et le retrait ultérieur de la </w:t>
      </w:r>
      <w:proofErr w:type="spellStart"/>
      <w:r>
        <w:t>rapporteure</w:t>
      </w:r>
      <w:proofErr w:type="spellEnd"/>
      <w:r>
        <w:t xml:space="preserve"> précédente, déclare sous sa</w:t>
      </w:r>
      <w:r w:rsidR="00AF7EE6">
        <w:t xml:space="preserve"> </w:t>
      </w:r>
      <w:r>
        <w:t>responsabilité exclusive n’avoir reçu de contribution d’aucune entité ou personne devant être</w:t>
      </w:r>
      <w:r w:rsidR="00AF7EE6">
        <w:t xml:space="preserve"> </w:t>
      </w:r>
      <w:r>
        <w:t>indiquée dans la présente annexe en vertu de l’article 8 de l’annexe I du règlement intérieur.</w:t>
      </w:r>
    </w:p>
    <w:p w14:paraId="12A6FB6D" w14:textId="61CE3DC0" w:rsidR="008A616B" w:rsidRPr="008F1F8F" w:rsidRDefault="008A616B" w:rsidP="002A1B4B">
      <w:pPr>
        <w:pStyle w:val="NormalHanging12a"/>
        <w:rPr>
          <w:szCs w:val="28"/>
        </w:rPr>
      </w:pPr>
    </w:p>
    <w:p w14:paraId="1232AA2D" w14:textId="2B083095" w:rsidR="008A616B" w:rsidRPr="008F1F8F" w:rsidRDefault="008A616B" w:rsidP="008A616B">
      <w:pPr>
        <w:spacing w:line="360" w:lineRule="auto"/>
        <w:rPr>
          <w:szCs w:val="28"/>
        </w:rPr>
      </w:pPr>
    </w:p>
    <w:p w14:paraId="253C6992" w14:textId="3CB72F7A" w:rsidR="00AC2EED" w:rsidRPr="008F1F8F" w:rsidRDefault="00AC2EED" w:rsidP="008A616B">
      <w:pPr>
        <w:pStyle w:val="NormalHanging12a"/>
        <w:rPr>
          <w:szCs w:val="28"/>
        </w:rPr>
      </w:pPr>
    </w:p>
    <w:p w14:paraId="12144BB5" w14:textId="19AABA91" w:rsidR="00E565C0" w:rsidRPr="008F1F8F" w:rsidRDefault="00E565C0" w:rsidP="00AC2EED">
      <w:pPr>
        <w:pStyle w:val="NormalHanging12a"/>
        <w:rPr>
          <w:szCs w:val="28"/>
        </w:rPr>
      </w:pPr>
    </w:p>
    <w:p w14:paraId="2FA91767" w14:textId="77777777" w:rsidR="00E61AFD" w:rsidRPr="008F1F8F" w:rsidRDefault="00E61AFD" w:rsidP="00E565C0">
      <w:pPr>
        <w:spacing w:line="360" w:lineRule="auto"/>
        <w:rPr>
          <w:szCs w:val="28"/>
        </w:rPr>
      </w:pPr>
    </w:p>
    <w:p w14:paraId="04F38A30" w14:textId="77777777" w:rsidR="002068F9" w:rsidRPr="008F1F8F" w:rsidRDefault="002068F9" w:rsidP="00E565C0">
      <w:pPr>
        <w:spacing w:line="360" w:lineRule="auto"/>
        <w:rPr>
          <w:szCs w:val="28"/>
        </w:rPr>
      </w:pPr>
    </w:p>
    <w:p w14:paraId="0E08F6A8" w14:textId="77777777" w:rsidR="002068F9" w:rsidRPr="008F1F8F" w:rsidRDefault="002068F9" w:rsidP="00E565C0">
      <w:pPr>
        <w:spacing w:line="360" w:lineRule="auto"/>
        <w:rPr>
          <w:szCs w:val="28"/>
        </w:rPr>
      </w:pPr>
    </w:p>
    <w:p w14:paraId="08EB4CBF" w14:textId="77777777" w:rsidR="002068F9" w:rsidRPr="008F1F8F" w:rsidRDefault="002068F9" w:rsidP="00E565C0">
      <w:pPr>
        <w:spacing w:line="360" w:lineRule="auto"/>
        <w:rPr>
          <w:szCs w:val="28"/>
        </w:rPr>
      </w:pPr>
    </w:p>
    <w:p w14:paraId="45EBFA54" w14:textId="77777777" w:rsidR="002068F9" w:rsidRPr="008F1F8F" w:rsidRDefault="002068F9" w:rsidP="00E565C0">
      <w:pPr>
        <w:spacing w:line="360" w:lineRule="auto"/>
        <w:rPr>
          <w:szCs w:val="28"/>
        </w:rPr>
      </w:pPr>
    </w:p>
    <w:p w14:paraId="08EF322C" w14:textId="77777777" w:rsidR="002068F9" w:rsidRPr="008F1F8F" w:rsidRDefault="002068F9" w:rsidP="00E565C0">
      <w:pPr>
        <w:spacing w:line="360" w:lineRule="auto"/>
        <w:rPr>
          <w:szCs w:val="28"/>
        </w:rPr>
      </w:pPr>
    </w:p>
    <w:p w14:paraId="5B648AAA" w14:textId="77777777" w:rsidR="002068F9" w:rsidRPr="008F1F8F" w:rsidRDefault="002068F9" w:rsidP="00E565C0">
      <w:pPr>
        <w:spacing w:line="360" w:lineRule="auto"/>
        <w:rPr>
          <w:szCs w:val="28"/>
        </w:rPr>
      </w:pPr>
    </w:p>
    <w:p w14:paraId="3B287CF1" w14:textId="77777777" w:rsidR="002068F9" w:rsidRPr="008F1F8F" w:rsidRDefault="002068F9" w:rsidP="00E565C0">
      <w:pPr>
        <w:spacing w:line="360" w:lineRule="auto"/>
        <w:rPr>
          <w:szCs w:val="28"/>
        </w:rPr>
      </w:pPr>
    </w:p>
    <w:p w14:paraId="1B4DF395" w14:textId="77777777" w:rsidR="002068F9" w:rsidRPr="008F1F8F" w:rsidRDefault="002068F9" w:rsidP="00E565C0">
      <w:pPr>
        <w:spacing w:line="360" w:lineRule="auto"/>
        <w:rPr>
          <w:szCs w:val="28"/>
        </w:rPr>
      </w:pPr>
    </w:p>
    <w:p w14:paraId="1886604A" w14:textId="77777777" w:rsidR="002068F9" w:rsidRPr="008F1F8F" w:rsidRDefault="002068F9" w:rsidP="00E565C0">
      <w:pPr>
        <w:spacing w:line="360" w:lineRule="auto"/>
        <w:rPr>
          <w:szCs w:val="28"/>
        </w:rPr>
      </w:pPr>
    </w:p>
    <w:p w14:paraId="7628C375" w14:textId="77777777" w:rsidR="002068F9" w:rsidRPr="008F1F8F" w:rsidRDefault="002068F9" w:rsidP="00E565C0">
      <w:pPr>
        <w:spacing w:line="360" w:lineRule="auto"/>
        <w:rPr>
          <w:szCs w:val="28"/>
        </w:rPr>
      </w:pPr>
    </w:p>
    <w:p w14:paraId="14DF51C6" w14:textId="77777777" w:rsidR="002068F9" w:rsidRPr="008F1F8F" w:rsidRDefault="002068F9" w:rsidP="00E565C0">
      <w:pPr>
        <w:spacing w:line="360" w:lineRule="auto"/>
        <w:rPr>
          <w:szCs w:val="28"/>
        </w:rPr>
      </w:pPr>
    </w:p>
    <w:p w14:paraId="5650CC8E" w14:textId="77777777" w:rsidR="002068F9" w:rsidRPr="008F1F8F" w:rsidRDefault="002068F9" w:rsidP="00E565C0">
      <w:pPr>
        <w:spacing w:line="360" w:lineRule="auto"/>
        <w:rPr>
          <w:szCs w:val="28"/>
        </w:rPr>
      </w:pPr>
    </w:p>
    <w:p w14:paraId="74C44331" w14:textId="77777777" w:rsidR="002068F9" w:rsidRPr="008F1F8F" w:rsidRDefault="002068F9" w:rsidP="00E565C0">
      <w:pPr>
        <w:spacing w:line="360" w:lineRule="auto"/>
        <w:rPr>
          <w:szCs w:val="28"/>
        </w:rPr>
      </w:pPr>
    </w:p>
    <w:p w14:paraId="2852A650" w14:textId="77777777" w:rsidR="002068F9" w:rsidRPr="008F1F8F" w:rsidRDefault="002068F9" w:rsidP="00E565C0">
      <w:pPr>
        <w:spacing w:line="360" w:lineRule="auto"/>
        <w:rPr>
          <w:szCs w:val="28"/>
        </w:rPr>
      </w:pPr>
    </w:p>
    <w:p w14:paraId="05C31A1E" w14:textId="77777777" w:rsidR="002068F9" w:rsidRPr="008F1F8F" w:rsidRDefault="002068F9" w:rsidP="00E565C0">
      <w:pPr>
        <w:spacing w:line="360" w:lineRule="auto"/>
        <w:rPr>
          <w:szCs w:val="28"/>
        </w:rPr>
      </w:pPr>
    </w:p>
    <w:p w14:paraId="28CD9637" w14:textId="77777777" w:rsidR="002068F9" w:rsidRPr="008F1F8F" w:rsidRDefault="002068F9" w:rsidP="00E565C0">
      <w:pPr>
        <w:spacing w:line="360" w:lineRule="auto"/>
        <w:rPr>
          <w:szCs w:val="28"/>
        </w:rPr>
      </w:pPr>
    </w:p>
    <w:p w14:paraId="720880FD" w14:textId="77777777" w:rsidR="002068F9" w:rsidRPr="008F1F8F" w:rsidRDefault="002068F9" w:rsidP="00E565C0">
      <w:pPr>
        <w:spacing w:line="360" w:lineRule="auto"/>
        <w:rPr>
          <w:szCs w:val="28"/>
        </w:rPr>
      </w:pPr>
    </w:p>
    <w:p w14:paraId="4B494EEA" w14:textId="77777777" w:rsidR="002068F9" w:rsidRPr="008F1F8F" w:rsidRDefault="002068F9" w:rsidP="00E565C0">
      <w:pPr>
        <w:spacing w:line="360" w:lineRule="auto"/>
        <w:rPr>
          <w:szCs w:val="28"/>
        </w:rPr>
      </w:pPr>
    </w:p>
    <w:p w14:paraId="56653B27" w14:textId="77777777" w:rsidR="002068F9" w:rsidRPr="008F1F8F" w:rsidRDefault="002068F9" w:rsidP="00E565C0">
      <w:pPr>
        <w:spacing w:line="360" w:lineRule="auto"/>
        <w:rPr>
          <w:szCs w:val="28"/>
        </w:rPr>
      </w:pPr>
    </w:p>
    <w:p w14:paraId="0E7DF3F0" w14:textId="77777777" w:rsidR="008E12A5" w:rsidRPr="008F1F8F" w:rsidRDefault="008E12A5" w:rsidP="008E12A5">
      <w:pPr>
        <w:sectPr w:rsidR="008E12A5" w:rsidRPr="008F1F8F" w:rsidSect="000004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C66EF9D" w14:textId="3524CB61" w:rsidR="008E12A5" w:rsidRPr="008F1F8F" w:rsidRDefault="008E12A5" w:rsidP="008E12A5">
      <w:pPr>
        <w:pStyle w:val="PageHeading"/>
      </w:pPr>
      <w:bookmarkStart w:id="4" w:name="ProcPageRR"/>
      <w:bookmarkStart w:id="5" w:name="_Toc222311394"/>
      <w:r>
        <w:lastRenderedPageBreak/>
        <w:t>INFORMATIONS SUR L’ADOPTION</w:t>
      </w:r>
      <w:r>
        <w:br/>
        <w:t>PAR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12A5" w:rsidRPr="008F1F8F" w14:paraId="5332874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032557" w14:textId="77777777" w:rsidR="008E12A5" w:rsidRPr="008F1F8F" w:rsidRDefault="008E12A5">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BC4323" w14:textId="77777777" w:rsidR="008E12A5" w:rsidRPr="008F1F8F" w:rsidRDefault="008E12A5">
            <w:pPr>
              <w:autoSpaceDE w:val="0"/>
              <w:autoSpaceDN w:val="0"/>
              <w:adjustRightInd w:val="0"/>
              <w:rPr>
                <w:color w:val="000000"/>
                <w:sz w:val="20"/>
              </w:rPr>
            </w:pPr>
            <w:r>
              <w:rPr>
                <w:color w:val="000000"/>
                <w:sz w:val="20"/>
              </w:rPr>
              <w:t>28.1.2026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C6868F5" w14:textId="77777777" w:rsidR="008E12A5" w:rsidRPr="008F1F8F" w:rsidRDefault="008E12A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C8F77A3" w14:textId="77777777" w:rsidR="008E12A5" w:rsidRPr="008F1F8F" w:rsidRDefault="008E12A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ED9323" w14:textId="77777777" w:rsidR="008E12A5" w:rsidRPr="008F1F8F" w:rsidRDefault="008E12A5">
            <w:pPr>
              <w:autoSpaceDE w:val="0"/>
              <w:autoSpaceDN w:val="0"/>
              <w:adjustRightInd w:val="0"/>
              <w:rPr>
                <w:rFonts w:ascii="sans-serif" w:hAnsi="sans-serif" w:cs="sans-serif"/>
                <w:color w:val="000000"/>
              </w:rPr>
            </w:pPr>
          </w:p>
        </w:tc>
      </w:tr>
      <w:tr w:rsidR="008E12A5" w:rsidRPr="008F1F8F" w14:paraId="342B41E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47C4EF0" w14:textId="77777777" w:rsidR="008E12A5" w:rsidRPr="008F1F8F" w:rsidRDefault="008E12A5">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FED241B" w14:textId="77777777" w:rsidR="008E12A5" w:rsidRPr="008F1F8F" w:rsidRDefault="008E12A5">
            <w:pPr>
              <w:autoSpaceDE w:val="0"/>
              <w:autoSpaceDN w:val="0"/>
              <w:adjustRightInd w:val="0"/>
              <w:rPr>
                <w:color w:val="000000"/>
                <w:sz w:val="20"/>
              </w:rPr>
            </w:pPr>
            <w:r>
              <w:rPr>
                <w:color w:val="000000"/>
                <w:sz w:val="20"/>
              </w:rPr>
              <w:t>+:</w:t>
            </w:r>
          </w:p>
          <w:p w14:paraId="078EEE43" w14:textId="77777777" w:rsidR="008E12A5" w:rsidRPr="008F1F8F" w:rsidRDefault="008E12A5">
            <w:pPr>
              <w:autoSpaceDE w:val="0"/>
              <w:autoSpaceDN w:val="0"/>
              <w:adjustRightInd w:val="0"/>
              <w:rPr>
                <w:color w:val="000000"/>
                <w:sz w:val="20"/>
              </w:rPr>
            </w:pPr>
            <w:r>
              <w:rPr>
                <w:color w:val="000000"/>
                <w:sz w:val="20"/>
              </w:rPr>
              <w:t>–:</w:t>
            </w:r>
          </w:p>
          <w:p w14:paraId="11573AA3" w14:textId="77777777" w:rsidR="008E12A5" w:rsidRPr="008F1F8F" w:rsidRDefault="008E12A5">
            <w:pPr>
              <w:autoSpaceDE w:val="0"/>
              <w:autoSpaceDN w:val="0"/>
              <w:adjustRightInd w:val="0"/>
              <w:rPr>
                <w:color w:val="000000"/>
                <w:sz w:val="20"/>
              </w:rPr>
            </w:pPr>
            <w:proofErr w:type="gramStart"/>
            <w:r>
              <w:rPr>
                <w:color w:val="000000"/>
                <w:sz w:val="20"/>
              </w:rPr>
              <w:t>0:</w:t>
            </w:r>
            <w:proofErr w:type="gramEnd"/>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713ED4" w14:textId="77777777" w:rsidR="008E12A5" w:rsidRPr="008F1F8F" w:rsidRDefault="008E12A5">
            <w:pPr>
              <w:autoSpaceDE w:val="0"/>
              <w:autoSpaceDN w:val="0"/>
              <w:adjustRightInd w:val="0"/>
              <w:rPr>
                <w:color w:val="000000"/>
                <w:sz w:val="20"/>
              </w:rPr>
            </w:pPr>
            <w:r>
              <w:rPr>
                <w:color w:val="000000"/>
                <w:sz w:val="20"/>
              </w:rPr>
              <w:t>11</w:t>
            </w:r>
          </w:p>
          <w:p w14:paraId="45842D06" w14:textId="77777777" w:rsidR="008E12A5" w:rsidRPr="008F1F8F" w:rsidRDefault="008E12A5">
            <w:pPr>
              <w:autoSpaceDE w:val="0"/>
              <w:autoSpaceDN w:val="0"/>
              <w:adjustRightInd w:val="0"/>
              <w:rPr>
                <w:color w:val="000000"/>
                <w:sz w:val="20"/>
              </w:rPr>
            </w:pPr>
            <w:r>
              <w:rPr>
                <w:color w:val="000000"/>
                <w:sz w:val="20"/>
              </w:rPr>
              <w:t>6</w:t>
            </w:r>
          </w:p>
          <w:p w14:paraId="7AC00921" w14:textId="77777777" w:rsidR="008E12A5" w:rsidRPr="008F1F8F" w:rsidRDefault="008E12A5">
            <w:pPr>
              <w:autoSpaceDE w:val="0"/>
              <w:autoSpaceDN w:val="0"/>
              <w:adjustRightInd w:val="0"/>
              <w:rPr>
                <w:color w:val="000000"/>
                <w:sz w:val="20"/>
              </w:rPr>
            </w:pPr>
            <w:r>
              <w:rPr>
                <w:color w:val="000000"/>
                <w:sz w:val="20"/>
              </w:rPr>
              <w:t>9</w:t>
            </w:r>
          </w:p>
        </w:tc>
      </w:tr>
    </w:tbl>
    <w:p w14:paraId="7A8C3220" w14:textId="77777777" w:rsidR="008E12A5" w:rsidRPr="008F1F8F" w:rsidRDefault="008E12A5"/>
    <w:bookmarkEnd w:id="4"/>
    <w:p w14:paraId="475B0F23" w14:textId="11F860B1" w:rsidR="00AC2EED" w:rsidRPr="008F1F8F" w:rsidRDefault="00AC2EED">
      <w:pPr>
        <w:widowControl/>
      </w:pPr>
      <w:r>
        <w:br w:type="page"/>
      </w:r>
    </w:p>
    <w:p w14:paraId="48480DEB" w14:textId="2B8484D7" w:rsidR="00AC2EED" w:rsidRPr="008F1F8F" w:rsidRDefault="00AC2EED" w:rsidP="00AC2EED">
      <w:pPr>
        <w:pStyle w:val="PageHeading"/>
      </w:pPr>
      <w:bookmarkStart w:id="6" w:name="RollCallPageRR"/>
      <w:bookmarkStart w:id="7" w:name="_Toc222311395"/>
      <w:r>
        <w:lastRenderedPageBreak/>
        <w:t>VOTE FINAL PAR APPEL NOMINAL</w:t>
      </w:r>
      <w:r>
        <w:br/>
        <w:t>PAR LA COMMISSION COMPÉTENTE AU FOND</w:t>
      </w:r>
      <w:bookmarkEnd w:id="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2EED" w:rsidRPr="008F1F8F" w14:paraId="3C52DB85" w14:textId="77777777" w:rsidTr="00A8254D">
        <w:trPr>
          <w:cantSplit/>
        </w:trPr>
        <w:tc>
          <w:tcPr>
            <w:tcW w:w="1701" w:type="dxa"/>
            <w:shd w:val="pct10" w:color="000000" w:fill="FFFFFF"/>
            <w:vAlign w:val="center"/>
          </w:tcPr>
          <w:p w14:paraId="0F4AC1D2" w14:textId="77777777" w:rsidR="00AC2EED" w:rsidRPr="008F1F8F" w:rsidRDefault="00AC2EED" w:rsidP="00A8254D">
            <w:pPr>
              <w:pStyle w:val="RollCallVotes"/>
            </w:pPr>
            <w:r>
              <w:t>11</w:t>
            </w:r>
          </w:p>
        </w:tc>
        <w:tc>
          <w:tcPr>
            <w:tcW w:w="7371" w:type="dxa"/>
            <w:shd w:val="pct10" w:color="000000" w:fill="FFFFFF"/>
          </w:tcPr>
          <w:p w14:paraId="41FA59C6" w14:textId="77777777" w:rsidR="00AC2EED" w:rsidRPr="008F1F8F" w:rsidRDefault="00AC2EED" w:rsidP="00A8254D">
            <w:pPr>
              <w:pStyle w:val="RollCallSymbols14pt"/>
            </w:pPr>
            <w:r>
              <w:t>+</w:t>
            </w:r>
          </w:p>
        </w:tc>
      </w:tr>
      <w:tr w:rsidR="00AC2EED" w:rsidRPr="008F1F8F" w14:paraId="6C0F8B79" w14:textId="77777777" w:rsidTr="00A8254D">
        <w:trPr>
          <w:cantSplit/>
        </w:trPr>
        <w:tc>
          <w:tcPr>
            <w:tcW w:w="1701" w:type="dxa"/>
            <w:shd w:val="clear" w:color="auto" w:fill="FFFFFF"/>
          </w:tcPr>
          <w:p w14:paraId="51BC47F2" w14:textId="77777777" w:rsidR="00AC2EED" w:rsidRPr="008F1F8F" w:rsidRDefault="00AC2EED" w:rsidP="00A8254D">
            <w:pPr>
              <w:pStyle w:val="RollCallTable"/>
            </w:pPr>
            <w:r>
              <w:t>ESN</w:t>
            </w:r>
          </w:p>
        </w:tc>
        <w:tc>
          <w:tcPr>
            <w:tcW w:w="7371" w:type="dxa"/>
            <w:shd w:val="clear" w:color="auto" w:fill="FFFFFF"/>
          </w:tcPr>
          <w:p w14:paraId="3F20E575" w14:textId="77777777" w:rsidR="00AC2EED" w:rsidRPr="008F1F8F" w:rsidRDefault="00AC2EED" w:rsidP="00A8254D">
            <w:pPr>
              <w:pStyle w:val="RollCallTable"/>
            </w:pPr>
            <w:proofErr w:type="spellStart"/>
            <w:r>
              <w:t>Petras</w:t>
            </w:r>
            <w:proofErr w:type="spellEnd"/>
            <w:r>
              <w:t xml:space="preserve"> </w:t>
            </w:r>
            <w:proofErr w:type="spellStart"/>
            <w:r>
              <w:t>Gražulis</w:t>
            </w:r>
            <w:proofErr w:type="spellEnd"/>
            <w:r>
              <w:t xml:space="preserve">, </w:t>
            </w:r>
            <w:proofErr w:type="spellStart"/>
            <w:r>
              <w:t>Marcin</w:t>
            </w:r>
            <w:proofErr w:type="spellEnd"/>
            <w:r>
              <w:t xml:space="preserve"> </w:t>
            </w:r>
            <w:proofErr w:type="spellStart"/>
            <w:r>
              <w:t>Sypniewski</w:t>
            </w:r>
            <w:proofErr w:type="spellEnd"/>
          </w:p>
        </w:tc>
      </w:tr>
      <w:tr w:rsidR="00AC2EED" w:rsidRPr="008F1F8F" w14:paraId="54D5D6E6" w14:textId="77777777" w:rsidTr="00A8254D">
        <w:trPr>
          <w:cantSplit/>
        </w:trPr>
        <w:tc>
          <w:tcPr>
            <w:tcW w:w="1701" w:type="dxa"/>
            <w:shd w:val="clear" w:color="auto" w:fill="FFFFFF"/>
          </w:tcPr>
          <w:p w14:paraId="2B669639" w14:textId="77777777" w:rsidR="00AC2EED" w:rsidRPr="008F1F8F" w:rsidRDefault="00AC2EED" w:rsidP="00A8254D">
            <w:pPr>
              <w:pStyle w:val="RollCallTable"/>
            </w:pPr>
            <w:r>
              <w:t>PPE</w:t>
            </w:r>
          </w:p>
        </w:tc>
        <w:tc>
          <w:tcPr>
            <w:tcW w:w="7371" w:type="dxa"/>
            <w:shd w:val="clear" w:color="auto" w:fill="FFFFFF"/>
          </w:tcPr>
          <w:p w14:paraId="199DC687" w14:textId="77777777" w:rsidR="00AC2EED" w:rsidRPr="008F1F8F" w:rsidRDefault="00AC2EED" w:rsidP="00A8254D">
            <w:pPr>
              <w:pStyle w:val="RollCallTable"/>
            </w:pPr>
            <w:r>
              <w:t xml:space="preserve">Peter </w:t>
            </w:r>
            <w:proofErr w:type="spellStart"/>
            <w:r>
              <w:t>Agius</w:t>
            </w:r>
            <w:proofErr w:type="spellEnd"/>
            <w:r>
              <w:t xml:space="preserve">, </w:t>
            </w:r>
            <w:proofErr w:type="spellStart"/>
            <w:r>
              <w:t>Fredis</w:t>
            </w:r>
            <w:proofErr w:type="spellEnd"/>
            <w:r>
              <w:t xml:space="preserve"> </w:t>
            </w:r>
            <w:proofErr w:type="spellStart"/>
            <w:r>
              <w:t>Beleris</w:t>
            </w:r>
            <w:proofErr w:type="spellEnd"/>
            <w:r>
              <w:t xml:space="preserve">, Alexander </w:t>
            </w:r>
            <w:proofErr w:type="spellStart"/>
            <w:r>
              <w:t>Bernhuber</w:t>
            </w:r>
            <w:proofErr w:type="spellEnd"/>
            <w:r>
              <w:t xml:space="preserve">, Daniel Caspary, Gheorghe </w:t>
            </w:r>
            <w:proofErr w:type="spellStart"/>
            <w:r>
              <w:t>Falcă</w:t>
            </w:r>
            <w:proofErr w:type="spellEnd"/>
            <w:r>
              <w:t xml:space="preserve">, Elena Nevado </w:t>
            </w:r>
            <w:proofErr w:type="spellStart"/>
            <w:r>
              <w:t>del</w:t>
            </w:r>
            <w:proofErr w:type="spellEnd"/>
            <w:r>
              <w:t xml:space="preserve"> Campo, </w:t>
            </w:r>
            <w:proofErr w:type="spellStart"/>
            <w:r>
              <w:t>Nicolás</w:t>
            </w:r>
            <w:proofErr w:type="spellEnd"/>
            <w:r>
              <w:t xml:space="preserve"> Pascual de la Parte</w:t>
            </w:r>
          </w:p>
        </w:tc>
      </w:tr>
      <w:tr w:rsidR="00AC2EED" w:rsidRPr="008F1F8F" w14:paraId="18E5F2FE" w14:textId="77777777" w:rsidTr="00A8254D">
        <w:trPr>
          <w:cantSplit/>
        </w:trPr>
        <w:tc>
          <w:tcPr>
            <w:tcW w:w="1701" w:type="dxa"/>
            <w:shd w:val="clear" w:color="auto" w:fill="FFFFFF"/>
          </w:tcPr>
          <w:p w14:paraId="2AA215B0" w14:textId="77777777" w:rsidR="00AC2EED" w:rsidRPr="008F1F8F" w:rsidRDefault="00AC2EED" w:rsidP="00A8254D">
            <w:pPr>
              <w:pStyle w:val="RollCallTable"/>
            </w:pPr>
            <w:proofErr w:type="spellStart"/>
            <w:r>
              <w:t>Renew</w:t>
            </w:r>
            <w:proofErr w:type="spellEnd"/>
          </w:p>
        </w:tc>
        <w:tc>
          <w:tcPr>
            <w:tcW w:w="7371" w:type="dxa"/>
            <w:shd w:val="clear" w:color="auto" w:fill="FFFFFF"/>
          </w:tcPr>
          <w:p w14:paraId="2726DC80" w14:textId="77777777" w:rsidR="00AC2EED" w:rsidRPr="008F1F8F" w:rsidRDefault="00AC2EED" w:rsidP="00A8254D">
            <w:pPr>
              <w:pStyle w:val="RollCallTable"/>
            </w:pPr>
            <w:proofErr w:type="spellStart"/>
            <w:r>
              <w:t>Michał</w:t>
            </w:r>
            <w:proofErr w:type="spellEnd"/>
            <w:r>
              <w:t xml:space="preserve"> </w:t>
            </w:r>
            <w:proofErr w:type="spellStart"/>
            <w:r>
              <w:t>Kobosko</w:t>
            </w:r>
            <w:proofErr w:type="spellEnd"/>
            <w:r>
              <w:t xml:space="preserve">, Eugen </w:t>
            </w:r>
            <w:proofErr w:type="spellStart"/>
            <w:r>
              <w:t>Tomac</w:t>
            </w:r>
            <w:proofErr w:type="spellEnd"/>
          </w:p>
        </w:tc>
      </w:tr>
    </w:tbl>
    <w:p w14:paraId="48A7C19B" w14:textId="77777777" w:rsidR="00AC2EED" w:rsidRPr="008F1F8F" w:rsidRDefault="00AC2EED" w:rsidP="00AC2EED"/>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2EED" w:rsidRPr="008F1F8F" w14:paraId="6070A615" w14:textId="77777777" w:rsidTr="00A8254D">
        <w:trPr>
          <w:cantSplit/>
        </w:trPr>
        <w:tc>
          <w:tcPr>
            <w:tcW w:w="1701" w:type="dxa"/>
            <w:shd w:val="pct10" w:color="000000" w:fill="FFFFFF"/>
            <w:vAlign w:val="center"/>
          </w:tcPr>
          <w:p w14:paraId="66BB2E26" w14:textId="77777777" w:rsidR="00AC2EED" w:rsidRPr="008F1F8F" w:rsidRDefault="00AC2EED" w:rsidP="00A8254D">
            <w:pPr>
              <w:pStyle w:val="RollCallVotes"/>
            </w:pPr>
            <w:r>
              <w:t>6</w:t>
            </w:r>
          </w:p>
        </w:tc>
        <w:tc>
          <w:tcPr>
            <w:tcW w:w="7371" w:type="dxa"/>
            <w:shd w:val="pct10" w:color="000000" w:fill="FFFFFF"/>
          </w:tcPr>
          <w:p w14:paraId="35E655A7" w14:textId="77777777" w:rsidR="00AC2EED" w:rsidRPr="008F1F8F" w:rsidRDefault="00AC2EED" w:rsidP="00A8254D">
            <w:pPr>
              <w:pStyle w:val="RollCallSymbols14pt"/>
            </w:pPr>
            <w:r>
              <w:t>-</w:t>
            </w:r>
          </w:p>
        </w:tc>
      </w:tr>
      <w:tr w:rsidR="00AC2EED" w:rsidRPr="008F1F8F" w14:paraId="2E99E8EE" w14:textId="77777777" w:rsidTr="00A8254D">
        <w:trPr>
          <w:cantSplit/>
        </w:trPr>
        <w:tc>
          <w:tcPr>
            <w:tcW w:w="1701" w:type="dxa"/>
            <w:shd w:val="clear" w:color="auto" w:fill="FFFFFF"/>
          </w:tcPr>
          <w:p w14:paraId="5CA0593B" w14:textId="77777777" w:rsidR="00AC2EED" w:rsidRPr="008F1F8F" w:rsidRDefault="00AC2EED" w:rsidP="00A8254D">
            <w:pPr>
              <w:pStyle w:val="RollCallTable"/>
            </w:pPr>
            <w:r>
              <w:t>ECR</w:t>
            </w:r>
          </w:p>
        </w:tc>
        <w:tc>
          <w:tcPr>
            <w:tcW w:w="7371" w:type="dxa"/>
            <w:shd w:val="clear" w:color="auto" w:fill="FFFFFF"/>
          </w:tcPr>
          <w:p w14:paraId="0E8C11F7" w14:textId="77777777" w:rsidR="00AC2EED" w:rsidRPr="008F1F8F" w:rsidRDefault="00AC2EED" w:rsidP="00A8254D">
            <w:pPr>
              <w:pStyle w:val="RollCallTable"/>
            </w:pPr>
            <w:r>
              <w:t xml:space="preserve">Paolo </w:t>
            </w:r>
            <w:proofErr w:type="spellStart"/>
            <w:r>
              <w:t>Inselvini</w:t>
            </w:r>
            <w:proofErr w:type="spellEnd"/>
            <w:r>
              <w:t xml:space="preserve">, Bogdan </w:t>
            </w:r>
            <w:proofErr w:type="spellStart"/>
            <w:r>
              <w:t>Rzońca</w:t>
            </w:r>
            <w:proofErr w:type="spellEnd"/>
            <w:r>
              <w:t xml:space="preserve">, Diego Solier, </w:t>
            </w:r>
            <w:proofErr w:type="spellStart"/>
            <w:r>
              <w:t>Ivaylo</w:t>
            </w:r>
            <w:proofErr w:type="spellEnd"/>
            <w:r>
              <w:t xml:space="preserve"> </w:t>
            </w:r>
            <w:proofErr w:type="spellStart"/>
            <w:r>
              <w:t>Valchev</w:t>
            </w:r>
            <w:proofErr w:type="spellEnd"/>
            <w:r>
              <w:t xml:space="preserve">, Kosma </w:t>
            </w:r>
            <w:proofErr w:type="spellStart"/>
            <w:r>
              <w:t>Złotowski</w:t>
            </w:r>
            <w:proofErr w:type="spellEnd"/>
          </w:p>
        </w:tc>
      </w:tr>
      <w:tr w:rsidR="00AC2EED" w:rsidRPr="008F1F8F" w14:paraId="5CEED568" w14:textId="77777777" w:rsidTr="00A8254D">
        <w:trPr>
          <w:cantSplit/>
        </w:trPr>
        <w:tc>
          <w:tcPr>
            <w:tcW w:w="1701" w:type="dxa"/>
            <w:shd w:val="clear" w:color="auto" w:fill="FFFFFF"/>
          </w:tcPr>
          <w:p w14:paraId="6189AEC7" w14:textId="77777777" w:rsidR="00AC2EED" w:rsidRPr="008F1F8F" w:rsidRDefault="00AC2EED" w:rsidP="00A8254D">
            <w:pPr>
              <w:pStyle w:val="RollCallTable"/>
            </w:pPr>
            <w:r>
              <w:t>NI</w:t>
            </w:r>
          </w:p>
        </w:tc>
        <w:tc>
          <w:tcPr>
            <w:tcW w:w="7371" w:type="dxa"/>
            <w:shd w:val="clear" w:color="auto" w:fill="FFFFFF"/>
          </w:tcPr>
          <w:p w14:paraId="7A02EA98" w14:textId="77777777" w:rsidR="00AC2EED" w:rsidRPr="008F1F8F" w:rsidRDefault="00AC2EED" w:rsidP="00A8254D">
            <w:pPr>
              <w:pStyle w:val="RollCallTable"/>
            </w:pPr>
            <w:r>
              <w:t xml:space="preserve">Maria </w:t>
            </w:r>
            <w:proofErr w:type="spellStart"/>
            <w:r>
              <w:t>Zacharia</w:t>
            </w:r>
            <w:proofErr w:type="spellEnd"/>
          </w:p>
        </w:tc>
      </w:tr>
    </w:tbl>
    <w:p w14:paraId="517DF14A" w14:textId="77777777" w:rsidR="00AC2EED" w:rsidRPr="008F1F8F" w:rsidRDefault="00AC2EED" w:rsidP="00AC2EED"/>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C2EED" w:rsidRPr="008F1F8F" w14:paraId="3DA41F1D" w14:textId="77777777" w:rsidTr="00A8254D">
        <w:trPr>
          <w:cantSplit/>
        </w:trPr>
        <w:tc>
          <w:tcPr>
            <w:tcW w:w="1701" w:type="dxa"/>
            <w:shd w:val="pct10" w:color="000000" w:fill="FFFFFF"/>
            <w:vAlign w:val="center"/>
          </w:tcPr>
          <w:p w14:paraId="679E7D0C" w14:textId="77777777" w:rsidR="00AC2EED" w:rsidRPr="008F1F8F" w:rsidRDefault="00AC2EED" w:rsidP="00A8254D">
            <w:pPr>
              <w:pStyle w:val="RollCallVotes"/>
            </w:pPr>
            <w:r>
              <w:t>9</w:t>
            </w:r>
          </w:p>
        </w:tc>
        <w:tc>
          <w:tcPr>
            <w:tcW w:w="7371" w:type="dxa"/>
            <w:shd w:val="pct10" w:color="000000" w:fill="FFFFFF"/>
          </w:tcPr>
          <w:p w14:paraId="4630150B" w14:textId="77777777" w:rsidR="00AC2EED" w:rsidRPr="008F1F8F" w:rsidRDefault="00AC2EED" w:rsidP="00A8254D">
            <w:pPr>
              <w:pStyle w:val="RollCallSymbols14pt"/>
            </w:pPr>
            <w:r>
              <w:t>0</w:t>
            </w:r>
          </w:p>
        </w:tc>
      </w:tr>
      <w:tr w:rsidR="00AC2EED" w:rsidRPr="008F1F8F" w14:paraId="108FDB1F" w14:textId="77777777" w:rsidTr="00A8254D">
        <w:trPr>
          <w:cantSplit/>
        </w:trPr>
        <w:tc>
          <w:tcPr>
            <w:tcW w:w="1701" w:type="dxa"/>
            <w:shd w:val="clear" w:color="auto" w:fill="FFFFFF"/>
          </w:tcPr>
          <w:p w14:paraId="5C4A6663" w14:textId="77777777" w:rsidR="00AC2EED" w:rsidRPr="008F1F8F" w:rsidRDefault="00AC2EED" w:rsidP="00A8254D">
            <w:pPr>
              <w:pStyle w:val="RollCallTable"/>
            </w:pPr>
            <w:proofErr w:type="spellStart"/>
            <w:r>
              <w:t>PfE</w:t>
            </w:r>
            <w:proofErr w:type="spellEnd"/>
          </w:p>
        </w:tc>
        <w:tc>
          <w:tcPr>
            <w:tcW w:w="7371" w:type="dxa"/>
            <w:shd w:val="clear" w:color="auto" w:fill="FFFFFF"/>
          </w:tcPr>
          <w:p w14:paraId="2D46CF6A" w14:textId="77777777" w:rsidR="00AC2EED" w:rsidRPr="008F1F8F" w:rsidRDefault="00AC2EED" w:rsidP="00A8254D">
            <w:pPr>
              <w:pStyle w:val="RollCallTable"/>
            </w:pPr>
            <w:r>
              <w:t xml:space="preserve">Juan Carlos </w:t>
            </w:r>
            <w:proofErr w:type="spellStart"/>
            <w:r>
              <w:t>Girauta</w:t>
            </w:r>
            <w:proofErr w:type="spellEnd"/>
            <w:r>
              <w:t xml:space="preserve"> Vidal, </w:t>
            </w:r>
            <w:proofErr w:type="spellStart"/>
            <w:r>
              <w:t>Annamária</w:t>
            </w:r>
            <w:proofErr w:type="spellEnd"/>
            <w:r>
              <w:t xml:space="preserve"> </w:t>
            </w:r>
            <w:proofErr w:type="spellStart"/>
            <w:r>
              <w:t>Vicsek</w:t>
            </w:r>
            <w:proofErr w:type="spellEnd"/>
          </w:p>
        </w:tc>
      </w:tr>
      <w:tr w:rsidR="00AC2EED" w:rsidRPr="008F1F8F" w14:paraId="13D8D9AB" w14:textId="77777777" w:rsidTr="00A8254D">
        <w:trPr>
          <w:cantSplit/>
        </w:trPr>
        <w:tc>
          <w:tcPr>
            <w:tcW w:w="1701" w:type="dxa"/>
            <w:shd w:val="clear" w:color="auto" w:fill="FFFFFF"/>
          </w:tcPr>
          <w:p w14:paraId="79D5DDEB" w14:textId="77777777" w:rsidR="00AC2EED" w:rsidRPr="008F1F8F" w:rsidRDefault="00AC2EED" w:rsidP="00A8254D">
            <w:pPr>
              <w:pStyle w:val="RollCallTable"/>
            </w:pPr>
            <w:r>
              <w:t>S&amp;D</w:t>
            </w:r>
          </w:p>
        </w:tc>
        <w:tc>
          <w:tcPr>
            <w:tcW w:w="7371" w:type="dxa"/>
            <w:shd w:val="clear" w:color="auto" w:fill="FFFFFF"/>
          </w:tcPr>
          <w:p w14:paraId="1CAF8047" w14:textId="77777777" w:rsidR="00AC2EED" w:rsidRPr="008F1F8F" w:rsidRDefault="00AC2EED" w:rsidP="00A8254D">
            <w:pPr>
              <w:pStyle w:val="RollCallTable"/>
            </w:pPr>
            <w:r>
              <w:t xml:space="preserve">Sandra Gómez </w:t>
            </w:r>
            <w:proofErr w:type="spellStart"/>
            <w:r>
              <w:t>López</w:t>
            </w:r>
            <w:proofErr w:type="spellEnd"/>
            <w:r>
              <w:t xml:space="preserve">, Murielle Laurent, Sandro </w:t>
            </w:r>
            <w:proofErr w:type="spellStart"/>
            <w:r>
              <w:t>Ruotolo</w:t>
            </w:r>
            <w:proofErr w:type="spellEnd"/>
            <w:r>
              <w:t xml:space="preserve">, Nils </w:t>
            </w:r>
            <w:proofErr w:type="spellStart"/>
            <w:r>
              <w:t>Ušakovs</w:t>
            </w:r>
            <w:proofErr w:type="spellEnd"/>
          </w:p>
        </w:tc>
      </w:tr>
      <w:tr w:rsidR="00AC2EED" w:rsidRPr="008F1F8F" w14:paraId="35005E70" w14:textId="77777777" w:rsidTr="00A8254D">
        <w:trPr>
          <w:cantSplit/>
        </w:trPr>
        <w:tc>
          <w:tcPr>
            <w:tcW w:w="1701" w:type="dxa"/>
            <w:shd w:val="clear" w:color="auto" w:fill="FFFFFF"/>
          </w:tcPr>
          <w:p w14:paraId="01233F9B" w14:textId="77777777" w:rsidR="00AC2EED" w:rsidRPr="008F1F8F" w:rsidRDefault="00AC2EED" w:rsidP="00A8254D">
            <w:pPr>
              <w:pStyle w:val="RollCallTable"/>
            </w:pPr>
            <w:r>
              <w:t xml:space="preserve">The </w:t>
            </w:r>
            <w:proofErr w:type="spellStart"/>
            <w:r>
              <w:t>Left</w:t>
            </w:r>
            <w:proofErr w:type="spellEnd"/>
          </w:p>
        </w:tc>
        <w:tc>
          <w:tcPr>
            <w:tcW w:w="7371" w:type="dxa"/>
            <w:shd w:val="clear" w:color="auto" w:fill="FFFFFF"/>
          </w:tcPr>
          <w:p w14:paraId="404BBF8D" w14:textId="77777777" w:rsidR="00AC2EED" w:rsidRPr="008F1F8F" w:rsidRDefault="00AC2EED" w:rsidP="00A8254D">
            <w:pPr>
              <w:pStyle w:val="RollCallTable"/>
            </w:pPr>
            <w:r>
              <w:t>Damien Carême</w:t>
            </w:r>
          </w:p>
        </w:tc>
      </w:tr>
      <w:tr w:rsidR="00AC2EED" w:rsidRPr="008F1F8F" w14:paraId="686E6C32" w14:textId="77777777" w:rsidTr="00A8254D">
        <w:trPr>
          <w:cantSplit/>
        </w:trPr>
        <w:tc>
          <w:tcPr>
            <w:tcW w:w="1701" w:type="dxa"/>
            <w:shd w:val="clear" w:color="auto" w:fill="FFFFFF"/>
          </w:tcPr>
          <w:p w14:paraId="6A33C84D" w14:textId="77777777" w:rsidR="00AC2EED" w:rsidRPr="008F1F8F" w:rsidRDefault="00AC2EED" w:rsidP="00A8254D">
            <w:pPr>
              <w:pStyle w:val="RollCallTable"/>
            </w:pPr>
            <w:r>
              <w:t>Verts/ALE</w:t>
            </w:r>
          </w:p>
        </w:tc>
        <w:tc>
          <w:tcPr>
            <w:tcW w:w="7371" w:type="dxa"/>
            <w:shd w:val="clear" w:color="auto" w:fill="FFFFFF"/>
          </w:tcPr>
          <w:p w14:paraId="5F98151A" w14:textId="77777777" w:rsidR="00AC2EED" w:rsidRPr="008F1F8F" w:rsidRDefault="00AC2EED" w:rsidP="00A8254D">
            <w:pPr>
              <w:pStyle w:val="RollCallTable"/>
            </w:pPr>
            <w:r>
              <w:t>Cristina Guarda, Ana Miranda Paz</w:t>
            </w:r>
          </w:p>
        </w:tc>
      </w:tr>
    </w:tbl>
    <w:p w14:paraId="6F39ADA0" w14:textId="77777777" w:rsidR="00AC2EED" w:rsidRPr="008F1F8F" w:rsidRDefault="00AC2EED" w:rsidP="00AC2EED">
      <w:pPr>
        <w:pStyle w:val="Normal12a"/>
      </w:pPr>
    </w:p>
    <w:p w14:paraId="12C6CFCF" w14:textId="673ECA81" w:rsidR="00AC2EED" w:rsidRPr="008F1F8F" w:rsidRDefault="00AC2EED" w:rsidP="00AC2EED">
      <w:r>
        <w:t xml:space="preserve">Légende de signes </w:t>
      </w:r>
      <w:proofErr w:type="gramStart"/>
      <w:r>
        <w:t>utilisés:</w:t>
      </w:r>
      <w:proofErr w:type="gramEnd"/>
    </w:p>
    <w:p w14:paraId="701EF543" w14:textId="1417C735" w:rsidR="00AC2EED" w:rsidRPr="008F1F8F" w:rsidRDefault="00AC2EED" w:rsidP="00AC2EED">
      <w:pPr>
        <w:pStyle w:val="RollCallTabs"/>
      </w:pPr>
      <w:r>
        <w:t>+</w:t>
      </w:r>
      <w:r>
        <w:tab/>
        <w:t>:</w:t>
      </w:r>
      <w:r>
        <w:tab/>
        <w:t>pour</w:t>
      </w:r>
    </w:p>
    <w:p w14:paraId="6EB40CF7" w14:textId="07DFC29A" w:rsidR="00AC2EED" w:rsidRPr="008F1F8F" w:rsidRDefault="00AC2EED" w:rsidP="00AC2EED">
      <w:pPr>
        <w:pStyle w:val="RollCallTabs"/>
      </w:pPr>
      <w:r>
        <w:t>-</w:t>
      </w:r>
      <w:r>
        <w:tab/>
        <w:t>:</w:t>
      </w:r>
      <w:r>
        <w:tab/>
        <w:t>contre</w:t>
      </w:r>
    </w:p>
    <w:p w14:paraId="0C6242DD" w14:textId="77777777" w:rsidR="00AC2EED" w:rsidRPr="008F1F8F" w:rsidRDefault="00AC2EED" w:rsidP="00AC2EED">
      <w:pPr>
        <w:pStyle w:val="RollCallTabs"/>
      </w:pPr>
      <w:r>
        <w:t>0</w:t>
      </w:r>
      <w:r>
        <w:tab/>
        <w:t>:</w:t>
      </w:r>
      <w:r>
        <w:tab/>
        <w:t>abstention</w:t>
      </w:r>
    </w:p>
    <w:p w14:paraId="30ABD7C0" w14:textId="77777777" w:rsidR="00AC2EED" w:rsidRPr="008F1F8F" w:rsidRDefault="00AC2EED" w:rsidP="00AC2EED"/>
    <w:bookmarkEnd w:id="6"/>
    <w:p w14:paraId="4B80B4D2" w14:textId="77777777" w:rsidR="00AC2EED" w:rsidRPr="008F1F8F" w:rsidRDefault="00AC2EED" w:rsidP="00AC2EED"/>
    <w:p w14:paraId="00A21E93" w14:textId="77777777" w:rsidR="008E12A5" w:rsidRPr="008F1F8F" w:rsidRDefault="008E12A5" w:rsidP="008E12A5"/>
    <w:sectPr w:rsidR="008E12A5" w:rsidRPr="008F1F8F" w:rsidSect="008E12A5">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999A" w14:textId="77777777" w:rsidR="00FF47DF" w:rsidRPr="008F1F8F" w:rsidRDefault="00FF47DF">
      <w:r w:rsidRPr="008F1F8F">
        <w:separator/>
      </w:r>
    </w:p>
  </w:endnote>
  <w:endnote w:type="continuationSeparator" w:id="0">
    <w:p w14:paraId="111D2AB2" w14:textId="77777777" w:rsidR="00FF47DF" w:rsidRPr="008F1F8F" w:rsidRDefault="00FF47DF">
      <w:r w:rsidRPr="008F1F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3BC8" w14:textId="77777777" w:rsidR="00000449" w:rsidRPr="008F1F8F" w:rsidRDefault="00000449" w:rsidP="00000449">
    <w:pPr>
      <w:pStyle w:val="EPFooter"/>
    </w:pPr>
    <w:r w:rsidRPr="008F1F8F">
      <w:t>PE</w:t>
    </w:r>
    <w:r w:rsidRPr="008F1F8F">
      <w:rPr>
        <w:rStyle w:val="HideTWBExt"/>
      </w:rPr>
      <w:t>&lt;</w:t>
    </w:r>
    <w:proofErr w:type="spellStart"/>
    <w:r w:rsidRPr="008F1F8F">
      <w:rPr>
        <w:rStyle w:val="HideTWBExt"/>
      </w:rPr>
      <w:t>NoPE</w:t>
    </w:r>
    <w:proofErr w:type="spellEnd"/>
    <w:r w:rsidRPr="008F1F8F">
      <w:rPr>
        <w:rStyle w:val="HideTWBExt"/>
      </w:rPr>
      <w:t>&gt;</w:t>
    </w:r>
    <w:r w:rsidRPr="008F1F8F">
      <w:t>775.671</w:t>
    </w:r>
    <w:r w:rsidRPr="008F1F8F">
      <w:rPr>
        <w:rStyle w:val="HideTWBExt"/>
      </w:rPr>
      <w:t>&lt;/</w:t>
    </w:r>
    <w:proofErr w:type="spellStart"/>
    <w:r w:rsidRPr="008F1F8F">
      <w:rPr>
        <w:rStyle w:val="HideTWBExt"/>
      </w:rPr>
      <w:t>NoPE</w:t>
    </w:r>
    <w:proofErr w:type="spellEnd"/>
    <w:r w:rsidRPr="008F1F8F">
      <w:rPr>
        <w:rStyle w:val="HideTWBExt"/>
      </w:rPr>
      <w:t>&gt;&lt;Version&gt;</w:t>
    </w:r>
    <w:r w:rsidRPr="008F1F8F">
      <w:t>v04-00</w:t>
    </w:r>
    <w:r w:rsidRPr="008F1F8F">
      <w:rPr>
        <w:rStyle w:val="HideTWBExt"/>
      </w:rPr>
      <w:t>&lt;/Version&gt;</w:t>
    </w:r>
    <w:r w:rsidRPr="008F1F8F">
      <w:tab/>
    </w:r>
    <w:r w:rsidRPr="008F1F8F">
      <w:fldChar w:fldCharType="begin"/>
    </w:r>
    <w:r w:rsidRPr="008F1F8F">
      <w:instrText xml:space="preserve"> PAGE  \* MERGEFORMAT </w:instrText>
    </w:r>
    <w:r w:rsidRPr="008F1F8F">
      <w:fldChar w:fldCharType="separate"/>
    </w:r>
    <w:r w:rsidRPr="008F1F8F">
      <w:rPr>
        <w:noProof/>
      </w:rPr>
      <w:t>2</w:t>
    </w:r>
    <w:r w:rsidRPr="008F1F8F">
      <w:fldChar w:fldCharType="end"/>
    </w:r>
    <w:r w:rsidRPr="008F1F8F">
      <w:t>/</w:t>
    </w:r>
    <w:r w:rsidR="00AF7EE6">
      <w:fldChar w:fldCharType="begin"/>
    </w:r>
    <w:r w:rsidR="00AF7EE6">
      <w:instrText xml:space="preserve"> NUMPAGES  \* MERGEFORMAT </w:instrText>
    </w:r>
    <w:r w:rsidR="00AF7EE6">
      <w:fldChar w:fldCharType="separate"/>
    </w:r>
    <w:r w:rsidRPr="008F1F8F">
      <w:rPr>
        <w:noProof/>
      </w:rPr>
      <w:t>21</w:t>
    </w:r>
    <w:r w:rsidR="00AF7EE6">
      <w:rPr>
        <w:noProof/>
      </w:rPr>
      <w:fldChar w:fldCharType="end"/>
    </w:r>
    <w:r w:rsidRPr="008F1F8F">
      <w:tab/>
    </w:r>
    <w:r w:rsidRPr="008F1F8F">
      <w:rPr>
        <w:rStyle w:val="HideTWBExt"/>
      </w:rPr>
      <w:t>&lt;PathFdR&gt;</w:t>
    </w:r>
    <w:r w:rsidRPr="008F1F8F">
      <w:t>RR\1337760FR.docx</w:t>
    </w:r>
    <w:r w:rsidRPr="008F1F8F">
      <w:rPr>
        <w:rStyle w:val="HideTWBExt"/>
      </w:rPr>
      <w:t>&lt;/</w:t>
    </w:r>
    <w:proofErr w:type="spellStart"/>
    <w:r w:rsidRPr="008F1F8F">
      <w:rPr>
        <w:rStyle w:val="HideTWBExt"/>
      </w:rPr>
      <w:t>PathFdR</w:t>
    </w:r>
    <w:proofErr w:type="spellEnd"/>
    <w:r w:rsidRPr="008F1F8F">
      <w:rPr>
        <w:rStyle w:val="HideTWBExt"/>
      </w:rPr>
      <w:t>&gt;</w:t>
    </w:r>
  </w:p>
  <w:p w14:paraId="6E86FD03" w14:textId="4E104BC8" w:rsidR="00C01246" w:rsidRPr="008F1F8F" w:rsidRDefault="00000449" w:rsidP="00000449">
    <w:pPr>
      <w:pStyle w:val="EPFooter2"/>
    </w:pPr>
    <w:r w:rsidRPr="008F1F8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FFCC" w14:textId="77777777" w:rsidR="00000449" w:rsidRPr="008F1F8F" w:rsidRDefault="00000449" w:rsidP="00000449">
    <w:pPr>
      <w:pStyle w:val="EPFooter"/>
    </w:pPr>
    <w:r w:rsidRPr="008F1F8F">
      <w:rPr>
        <w:rStyle w:val="HideTWBExt"/>
      </w:rPr>
      <w:t>&lt;PathFdR&gt;</w:t>
    </w:r>
    <w:r w:rsidRPr="008F1F8F">
      <w:t>RR\1337760FR.docx</w:t>
    </w:r>
    <w:r w:rsidRPr="008F1F8F">
      <w:rPr>
        <w:rStyle w:val="HideTWBExt"/>
      </w:rPr>
      <w:t>&lt;/</w:t>
    </w:r>
    <w:proofErr w:type="spellStart"/>
    <w:r w:rsidRPr="008F1F8F">
      <w:rPr>
        <w:rStyle w:val="HideTWBExt"/>
      </w:rPr>
      <w:t>PathFdR</w:t>
    </w:r>
    <w:proofErr w:type="spellEnd"/>
    <w:r w:rsidRPr="008F1F8F">
      <w:rPr>
        <w:rStyle w:val="HideTWBExt"/>
      </w:rPr>
      <w:t>&gt;</w:t>
    </w:r>
    <w:r w:rsidRPr="008F1F8F">
      <w:tab/>
    </w:r>
    <w:r w:rsidRPr="008F1F8F">
      <w:fldChar w:fldCharType="begin"/>
    </w:r>
    <w:r w:rsidRPr="008F1F8F">
      <w:instrText xml:space="preserve"> PAGE  \* MERGEFORMAT </w:instrText>
    </w:r>
    <w:r w:rsidRPr="008F1F8F">
      <w:fldChar w:fldCharType="separate"/>
    </w:r>
    <w:r w:rsidRPr="008F1F8F">
      <w:rPr>
        <w:noProof/>
      </w:rPr>
      <w:t>3</w:t>
    </w:r>
    <w:r w:rsidRPr="008F1F8F">
      <w:fldChar w:fldCharType="end"/>
    </w:r>
    <w:r w:rsidRPr="008F1F8F">
      <w:t>/</w:t>
    </w:r>
    <w:r w:rsidR="00AF7EE6">
      <w:fldChar w:fldCharType="begin"/>
    </w:r>
    <w:r w:rsidR="00AF7EE6">
      <w:instrText xml:space="preserve"> NUMPAGES  \* MERGEFORMAT </w:instrText>
    </w:r>
    <w:r w:rsidR="00AF7EE6">
      <w:fldChar w:fldCharType="separate"/>
    </w:r>
    <w:r w:rsidRPr="008F1F8F">
      <w:rPr>
        <w:noProof/>
      </w:rPr>
      <w:t>21</w:t>
    </w:r>
    <w:r w:rsidR="00AF7EE6">
      <w:rPr>
        <w:noProof/>
      </w:rPr>
      <w:fldChar w:fldCharType="end"/>
    </w:r>
    <w:r w:rsidRPr="008F1F8F">
      <w:tab/>
      <w:t>PE</w:t>
    </w:r>
    <w:r w:rsidRPr="008F1F8F">
      <w:rPr>
        <w:rStyle w:val="HideTWBExt"/>
      </w:rPr>
      <w:t>&lt;</w:t>
    </w:r>
    <w:proofErr w:type="spellStart"/>
    <w:r w:rsidRPr="008F1F8F">
      <w:rPr>
        <w:rStyle w:val="HideTWBExt"/>
      </w:rPr>
      <w:t>NoPE</w:t>
    </w:r>
    <w:proofErr w:type="spellEnd"/>
    <w:r w:rsidRPr="008F1F8F">
      <w:rPr>
        <w:rStyle w:val="HideTWBExt"/>
      </w:rPr>
      <w:t>&gt;</w:t>
    </w:r>
    <w:r w:rsidRPr="008F1F8F">
      <w:t>775.671</w:t>
    </w:r>
    <w:r w:rsidRPr="008F1F8F">
      <w:rPr>
        <w:rStyle w:val="HideTWBExt"/>
      </w:rPr>
      <w:t>&lt;/</w:t>
    </w:r>
    <w:proofErr w:type="spellStart"/>
    <w:r w:rsidRPr="008F1F8F">
      <w:rPr>
        <w:rStyle w:val="HideTWBExt"/>
      </w:rPr>
      <w:t>NoPE</w:t>
    </w:r>
    <w:proofErr w:type="spellEnd"/>
    <w:r w:rsidRPr="008F1F8F">
      <w:rPr>
        <w:rStyle w:val="HideTWBExt"/>
      </w:rPr>
      <w:t>&gt;&lt;Version&gt;</w:t>
    </w:r>
    <w:r w:rsidRPr="008F1F8F">
      <w:t>v04-00</w:t>
    </w:r>
    <w:r w:rsidRPr="008F1F8F">
      <w:rPr>
        <w:rStyle w:val="HideTWBExt"/>
      </w:rPr>
      <w:t>&lt;/Version&gt;</w:t>
    </w:r>
  </w:p>
  <w:p w14:paraId="098F3960" w14:textId="4A80E058" w:rsidR="00C01246" w:rsidRPr="008F1F8F" w:rsidRDefault="00000449" w:rsidP="00000449">
    <w:pPr>
      <w:pStyle w:val="EPFooter2"/>
    </w:pPr>
    <w:r w:rsidRPr="008F1F8F">
      <w:tab/>
    </w:r>
    <w:r w:rsidRPr="008F1F8F">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53BAD" w14:textId="77777777" w:rsidR="00000449" w:rsidRPr="008F1F8F" w:rsidRDefault="00000449" w:rsidP="00000449">
    <w:pPr>
      <w:pStyle w:val="EPFooter"/>
    </w:pPr>
    <w:r w:rsidRPr="008F1F8F">
      <w:rPr>
        <w:rStyle w:val="HideTWBExt"/>
      </w:rPr>
      <w:t>&lt;PathFdR&gt;</w:t>
    </w:r>
    <w:r w:rsidRPr="008F1F8F">
      <w:t>RR\1337760FR.docx</w:t>
    </w:r>
    <w:r w:rsidRPr="008F1F8F">
      <w:rPr>
        <w:rStyle w:val="HideTWBExt"/>
      </w:rPr>
      <w:t>&lt;/</w:t>
    </w:r>
    <w:proofErr w:type="spellStart"/>
    <w:r w:rsidRPr="008F1F8F">
      <w:rPr>
        <w:rStyle w:val="HideTWBExt"/>
      </w:rPr>
      <w:t>PathFdR</w:t>
    </w:r>
    <w:proofErr w:type="spellEnd"/>
    <w:r w:rsidRPr="008F1F8F">
      <w:rPr>
        <w:rStyle w:val="HideTWBExt"/>
      </w:rPr>
      <w:t>&gt;</w:t>
    </w:r>
    <w:r w:rsidRPr="008F1F8F">
      <w:tab/>
    </w:r>
    <w:r w:rsidRPr="008F1F8F">
      <w:tab/>
      <w:t>PE</w:t>
    </w:r>
    <w:r w:rsidRPr="008F1F8F">
      <w:rPr>
        <w:rStyle w:val="HideTWBExt"/>
      </w:rPr>
      <w:t>&lt;</w:t>
    </w:r>
    <w:proofErr w:type="spellStart"/>
    <w:r w:rsidRPr="008F1F8F">
      <w:rPr>
        <w:rStyle w:val="HideTWBExt"/>
      </w:rPr>
      <w:t>NoPE</w:t>
    </w:r>
    <w:proofErr w:type="spellEnd"/>
    <w:r w:rsidRPr="008F1F8F">
      <w:rPr>
        <w:rStyle w:val="HideTWBExt"/>
      </w:rPr>
      <w:t>&gt;</w:t>
    </w:r>
    <w:r w:rsidRPr="008F1F8F">
      <w:t>775.671</w:t>
    </w:r>
    <w:r w:rsidRPr="008F1F8F">
      <w:rPr>
        <w:rStyle w:val="HideTWBExt"/>
      </w:rPr>
      <w:t>&lt;/</w:t>
    </w:r>
    <w:proofErr w:type="spellStart"/>
    <w:r w:rsidRPr="008F1F8F">
      <w:rPr>
        <w:rStyle w:val="HideTWBExt"/>
      </w:rPr>
      <w:t>NoPE</w:t>
    </w:r>
    <w:proofErr w:type="spellEnd"/>
    <w:r w:rsidRPr="008F1F8F">
      <w:rPr>
        <w:rStyle w:val="HideTWBExt"/>
      </w:rPr>
      <w:t>&gt;&lt;Version&gt;</w:t>
    </w:r>
    <w:r w:rsidRPr="008F1F8F">
      <w:t>v04-00</w:t>
    </w:r>
    <w:r w:rsidRPr="008F1F8F">
      <w:rPr>
        <w:rStyle w:val="HideTWBExt"/>
      </w:rPr>
      <w:t>&lt;/Version&gt;</w:t>
    </w:r>
  </w:p>
  <w:p w14:paraId="3CD424B5" w14:textId="06472EE1" w:rsidR="00C01246" w:rsidRPr="008F1F8F" w:rsidRDefault="00000449" w:rsidP="00000449">
    <w:pPr>
      <w:pStyle w:val="EPFooter2"/>
    </w:pPr>
    <w:r w:rsidRPr="008F1F8F">
      <w:t>FR</w:t>
    </w:r>
    <w:r w:rsidRPr="008F1F8F">
      <w:tab/>
    </w:r>
    <w:r w:rsidRPr="008F1F8F">
      <w:rPr>
        <w:b w:val="0"/>
        <w:i/>
        <w:color w:val="C0C0C0"/>
        <w:sz w:val="22"/>
      </w:rPr>
      <w:t>Unie dans la diversité</w:t>
    </w:r>
    <w:r w:rsidRPr="008F1F8F">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200E" w14:textId="77777777" w:rsidR="00FF47DF" w:rsidRPr="008F1F8F" w:rsidRDefault="00FF47DF">
      <w:r w:rsidRPr="008F1F8F">
        <w:separator/>
      </w:r>
    </w:p>
  </w:footnote>
  <w:footnote w:type="continuationSeparator" w:id="0">
    <w:p w14:paraId="13E22281" w14:textId="77777777" w:rsidR="00FF47DF" w:rsidRPr="008F1F8F" w:rsidRDefault="00FF47DF">
      <w:r w:rsidRPr="008F1F8F">
        <w:continuationSeparator/>
      </w:r>
    </w:p>
  </w:footnote>
  <w:footnote w:id="1">
    <w:p w14:paraId="5A185251" w14:textId="521927C1" w:rsidR="008A616B" w:rsidRPr="008F1F8F" w:rsidRDefault="008A616B" w:rsidP="008A616B">
      <w:pPr>
        <w:pStyle w:val="FootnoteText"/>
      </w:pPr>
      <w:r>
        <w:rPr>
          <w:rStyle w:val="FootnoteReference"/>
        </w:rPr>
        <w:footnoteRef/>
      </w:r>
      <w:r>
        <w:t xml:space="preserve"> M. </w:t>
      </w:r>
      <w:proofErr w:type="spellStart"/>
      <w:r>
        <w:t>Rzońca</w:t>
      </w:r>
      <w:proofErr w:type="spellEnd"/>
      <w:r>
        <w:t xml:space="preserve"> a repris en charge le rapport en sa qualité de président de la commission PETI, à la suite du retrait de l’ancienne</w:t>
      </w:r>
      <w:r w:rsidR="00AF7EE6">
        <w:t xml:space="preserve"> </w:t>
      </w:r>
      <w:proofErr w:type="spellStart"/>
      <w:r>
        <w:t>rapporteure</w:t>
      </w:r>
      <w:proofErr w:type="spellEnd"/>
      <w:r>
        <w:t>, M</w:t>
      </w:r>
      <w:r>
        <w:rPr>
          <w:vertAlign w:val="superscript"/>
        </w:rPr>
        <w:t>me</w:t>
      </w:r>
      <w:r>
        <w:t> Guarda, après le vote en commission du 28 janvier 2026.</w:t>
      </w:r>
    </w:p>
  </w:footnote>
  <w:footnote w:id="2">
    <w:p w14:paraId="4023C6DE" w14:textId="0A09A243" w:rsidR="002A1B4B" w:rsidRPr="00AF7EE6" w:rsidRDefault="002A1B4B" w:rsidP="002A1B4B">
      <w:pPr>
        <w:pStyle w:val="FootnoteText"/>
        <w:rPr>
          <w:lang w:val="fi-FI"/>
        </w:rPr>
      </w:pPr>
      <w:r>
        <w:rPr>
          <w:rStyle w:val="FootnoteReference"/>
        </w:rPr>
        <w:footnoteRef/>
      </w:r>
      <w:r w:rsidRPr="00AF7EE6">
        <w:rPr>
          <w:rStyle w:val="FootnoteReference"/>
          <w:lang w:val="fi-FI"/>
        </w:rPr>
        <w:t xml:space="preserve"> </w:t>
      </w:r>
      <w:r w:rsidRPr="00AF7EE6">
        <w:rPr>
          <w:lang w:val="fi-FI"/>
        </w:rPr>
        <w:t xml:space="preserve">JO L 253 du 16.7.2021, p. 1 (ELI: </w:t>
      </w:r>
      <w:hyperlink r:id="rId1" w:history="1">
        <w:r w:rsidRPr="00AF7EE6">
          <w:rPr>
            <w:rStyle w:val="Hyperlink"/>
            <w:lang w:val="fi-FI"/>
          </w:rPr>
          <w:t>http://data.europa.eu/eli/reg/2021/1163/oj</w:t>
        </w:r>
      </w:hyperlink>
      <w:r w:rsidRPr="00AF7EE6">
        <w:rPr>
          <w:lang w:val="fi-FI"/>
        </w:rPr>
        <w:t>).</w:t>
      </w:r>
    </w:p>
  </w:footnote>
  <w:footnote w:id="3">
    <w:p w14:paraId="3790FD81" w14:textId="31A39C33" w:rsidR="002A1B4B" w:rsidRPr="00532DF2" w:rsidRDefault="002A1B4B" w:rsidP="002A1B4B">
      <w:pPr>
        <w:pStyle w:val="FootnoteText"/>
      </w:pPr>
      <w:r>
        <w:rPr>
          <w:rStyle w:val="FootnoteReference"/>
        </w:rPr>
        <w:footnoteRef/>
      </w:r>
      <w:r>
        <w:t xml:space="preserve"> Règlement (UE) 2024/1991 du Parlement européen et du Conseil du 24 juin 2024 relatif à la restauration de la nature et modifiant le règlement (UE) 2022/869 (JO L, 2024/1991, 29.7.2024, </w:t>
      </w:r>
      <w:proofErr w:type="gramStart"/>
      <w:r>
        <w:t>ELI:</w:t>
      </w:r>
      <w:proofErr w:type="gramEnd"/>
      <w:r>
        <w:t xml:space="preserve"> </w:t>
      </w:r>
      <w:hyperlink r:id="rId2" w:history="1">
        <w:r>
          <w:rPr>
            <w:rStyle w:val="Hyperlink"/>
          </w:rPr>
          <w:t>http://data.europa.eu/eli/reg/2024/1991/oj</w:t>
        </w:r>
      </w:hyperlink>
      <w:r>
        <w:t>).</w:t>
      </w:r>
    </w:p>
  </w:footnote>
  <w:footnote w:id="4">
    <w:p w14:paraId="505A02F2" w14:textId="2083D09F" w:rsidR="002A1B4B" w:rsidRPr="00532DF2" w:rsidRDefault="002A1B4B" w:rsidP="002A1B4B">
      <w:pPr>
        <w:pStyle w:val="FootnoteText"/>
      </w:pPr>
      <w:r>
        <w:rPr>
          <w:rStyle w:val="FootnoteReference"/>
        </w:rPr>
        <w:footnoteRef/>
      </w:r>
      <w:r>
        <w:t xml:space="preserve"> 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3" w:tooltip="Donne accès à ce document par l’intermédiaire des identifiants URI et ELI." w:history="1">
        <w:r>
          <w:rPr>
            <w:rStyle w:val="Hyperlink"/>
          </w:rPr>
          <w:t>http://data.europa.eu/eli/reg/2006/1907/oj</w:t>
        </w:r>
      </w:hyperlink>
      <w:r>
        <w:t xml:space="preserve">). </w:t>
      </w:r>
    </w:p>
  </w:footnote>
  <w:footnote w:id="5">
    <w:p w14:paraId="282FE9E3" w14:textId="6CB54258" w:rsidR="002A1B4B" w:rsidRPr="00532DF2" w:rsidRDefault="002A1B4B" w:rsidP="002A1B4B">
      <w:pPr>
        <w:pStyle w:val="FootnoteText"/>
      </w:pPr>
      <w:r>
        <w:rPr>
          <w:rStyle w:val="FootnoteReference"/>
        </w:rPr>
        <w:footnoteRef/>
      </w:r>
      <w:r>
        <w:t xml:space="preserve"> Règlement (CE) nº 1049/2001 du Parlement européen et du Conseil du 30 mai 2001 relatif à l’accès du public aux documents du Parlement européen, du Conseil et de la Commission (JO L 145 du 31.5.2001, p. 43, </w:t>
      </w:r>
      <w:proofErr w:type="gramStart"/>
      <w:r>
        <w:t>ELI:</w:t>
      </w:r>
      <w:proofErr w:type="gramEnd"/>
      <w:r>
        <w:t> </w:t>
      </w:r>
      <w:hyperlink r:id="rId4" w:tooltip="Donne accès à ce document par l’intermédiaire des identifiants URI et ELI." w:history="1">
        <w:r>
          <w:rPr>
            <w:rStyle w:val="Hyperlink"/>
          </w:rPr>
          <w:t>http://data.europa.eu/eli/reg/2001/1049/oj</w:t>
        </w:r>
      </w:hyperlink>
      <w:r>
        <w:t xml:space="preserve">). </w:t>
      </w:r>
    </w:p>
  </w:footnote>
  <w:footnote w:id="6">
    <w:p w14:paraId="512C797D" w14:textId="40882E51" w:rsidR="002A1B4B" w:rsidRPr="00532DF2" w:rsidRDefault="002A1B4B" w:rsidP="002A1B4B">
      <w:pPr>
        <w:pStyle w:val="FootnoteText"/>
      </w:pPr>
      <w:r>
        <w:rPr>
          <w:rStyle w:val="FootnoteReference"/>
        </w:rPr>
        <w:footnoteRef/>
      </w:r>
      <w:r>
        <w:t xml:space="preserve"> Règlement (UE) 2019/1896 du Parlement européen et du Conseil du 13 novembre 2019 relatif au corps européen de garde-frontières et de garde-côtes et abrogeant les règlements (UE) nº 1052/2013 et (UE) 2016/1624 (JO L 295 du 14.11.2019, p. 1, </w:t>
      </w:r>
      <w:proofErr w:type="gramStart"/>
      <w:r>
        <w:t>ELI:</w:t>
      </w:r>
      <w:proofErr w:type="gramEnd"/>
      <w:r>
        <w:t> </w:t>
      </w:r>
      <w:hyperlink r:id="rId5" w:tooltip="Donne accès à ce document par l’intermédiaire des identifiants URI et ELI." w:history="1">
        <w:r>
          <w:rPr>
            <w:rStyle w:val="Hyperlink"/>
          </w:rPr>
          <w:t>http://data.europa.eu/eli/reg/2019/1896/oj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DD66F" w14:textId="77777777" w:rsidR="002A1B4B" w:rsidRDefault="002A1B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489FA" w14:textId="77777777" w:rsidR="002A1B4B" w:rsidRDefault="002A1B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89FAD" w14:textId="77777777" w:rsidR="002A1B4B" w:rsidRDefault="002A1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30536598">
    <w:abstractNumId w:val="9"/>
  </w:num>
  <w:num w:numId="2" w16cid:durableId="143934467">
    <w:abstractNumId w:val="9"/>
  </w:num>
  <w:num w:numId="3" w16cid:durableId="2065761121">
    <w:abstractNumId w:val="7"/>
  </w:num>
  <w:num w:numId="4" w16cid:durableId="386610559">
    <w:abstractNumId w:val="7"/>
  </w:num>
  <w:num w:numId="5" w16cid:durableId="888763303">
    <w:abstractNumId w:val="6"/>
  </w:num>
  <w:num w:numId="6" w16cid:durableId="1891528302">
    <w:abstractNumId w:val="6"/>
  </w:num>
  <w:num w:numId="7" w16cid:durableId="469370324">
    <w:abstractNumId w:val="5"/>
  </w:num>
  <w:num w:numId="8" w16cid:durableId="172767659">
    <w:abstractNumId w:val="5"/>
  </w:num>
  <w:num w:numId="9" w16cid:durableId="614487442">
    <w:abstractNumId w:val="4"/>
  </w:num>
  <w:num w:numId="10" w16cid:durableId="252134493">
    <w:abstractNumId w:val="4"/>
  </w:num>
  <w:num w:numId="11" w16cid:durableId="860121712">
    <w:abstractNumId w:val="8"/>
  </w:num>
  <w:num w:numId="12" w16cid:durableId="1813714943">
    <w:abstractNumId w:val="8"/>
  </w:num>
  <w:num w:numId="13" w16cid:durableId="1688289590">
    <w:abstractNumId w:val="3"/>
  </w:num>
  <w:num w:numId="14" w16cid:durableId="1757945917">
    <w:abstractNumId w:val="3"/>
  </w:num>
  <w:num w:numId="15" w16cid:durableId="631978350">
    <w:abstractNumId w:val="2"/>
  </w:num>
  <w:num w:numId="16" w16cid:durableId="962424771">
    <w:abstractNumId w:val="2"/>
  </w:num>
  <w:num w:numId="17" w16cid:durableId="1420640820">
    <w:abstractNumId w:val="1"/>
  </w:num>
  <w:num w:numId="18" w16cid:durableId="1471678726">
    <w:abstractNumId w:val="1"/>
  </w:num>
  <w:num w:numId="19" w16cid:durableId="789594071">
    <w:abstractNumId w:val="0"/>
  </w:num>
  <w:num w:numId="20" w16cid:durableId="1180854602">
    <w:abstractNumId w:val="0"/>
  </w:num>
  <w:num w:numId="21" w16cid:durableId="1527719564">
    <w:abstractNumId w:val="9"/>
  </w:num>
  <w:num w:numId="22" w16cid:durableId="1840191807">
    <w:abstractNumId w:val="7"/>
  </w:num>
  <w:num w:numId="23" w16cid:durableId="1467620861">
    <w:abstractNumId w:val="6"/>
  </w:num>
  <w:num w:numId="24" w16cid:durableId="287201192">
    <w:abstractNumId w:val="5"/>
  </w:num>
  <w:num w:numId="25" w16cid:durableId="838928998">
    <w:abstractNumId w:val="4"/>
  </w:num>
  <w:num w:numId="26" w16cid:durableId="522283400">
    <w:abstractNumId w:val="8"/>
  </w:num>
  <w:num w:numId="27" w16cid:durableId="1156605682">
    <w:abstractNumId w:val="3"/>
  </w:num>
  <w:num w:numId="28" w16cid:durableId="2050451695">
    <w:abstractNumId w:val="2"/>
  </w:num>
  <w:num w:numId="29" w16cid:durableId="262109503">
    <w:abstractNumId w:val="1"/>
  </w:num>
  <w:num w:numId="30" w16cid:durableId="1614826459">
    <w:abstractNumId w:val="0"/>
  </w:num>
  <w:num w:numId="31" w16cid:durableId="1724675191">
    <w:abstractNumId w:val="9"/>
  </w:num>
  <w:num w:numId="32" w16cid:durableId="1530336963">
    <w:abstractNumId w:val="7"/>
  </w:num>
  <w:num w:numId="33" w16cid:durableId="195167820">
    <w:abstractNumId w:val="6"/>
  </w:num>
  <w:num w:numId="34" w16cid:durableId="321348614">
    <w:abstractNumId w:val="5"/>
  </w:num>
  <w:num w:numId="35" w16cid:durableId="555164328">
    <w:abstractNumId w:val="4"/>
  </w:num>
  <w:num w:numId="36" w16cid:durableId="1146437508">
    <w:abstractNumId w:val="8"/>
  </w:num>
  <w:num w:numId="37" w16cid:durableId="278529291">
    <w:abstractNumId w:val="3"/>
  </w:num>
  <w:num w:numId="38" w16cid:durableId="1628508844">
    <w:abstractNumId w:val="2"/>
  </w:num>
  <w:num w:numId="39" w16cid:durableId="1826623137">
    <w:abstractNumId w:val="1"/>
  </w:num>
  <w:num w:numId="40" w16cid:durableId="379936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EditedSection" w:val=" 1"/>
    <w:docVar w:name="strDocTypeID" w:val="PR_INI_AnnOmbud"/>
    <w:docVar w:name="strSubDir" w:val="1337"/>
    <w:docVar w:name="TXTLANGUE" w:val="FR"/>
    <w:docVar w:name="TXTLANGUEMIN" w:val="fr"/>
    <w:docVar w:name="TXTNRINI" w:val="2025/2138"/>
    <w:docVar w:name="TXTNRPE" w:val="775.671"/>
    <w:docVar w:name="TXTPEorAP" w:val="PE"/>
    <w:docVar w:name="TXTROUTE" w:val="RR\1337760FR.docx"/>
    <w:docVar w:name="TXTVERSION" w:val="04-00"/>
    <w:docVar w:name="TXTYEAR" w:val="2024"/>
  </w:docVars>
  <w:rsids>
    <w:rsidRoot w:val="00FF47DF"/>
    <w:rsid w:val="00000449"/>
    <w:rsid w:val="00002D0E"/>
    <w:rsid w:val="00027A13"/>
    <w:rsid w:val="00037608"/>
    <w:rsid w:val="00040B09"/>
    <w:rsid w:val="00047387"/>
    <w:rsid w:val="00085975"/>
    <w:rsid w:val="00094B4D"/>
    <w:rsid w:val="00097425"/>
    <w:rsid w:val="000C3131"/>
    <w:rsid w:val="000D1947"/>
    <w:rsid w:val="000D2A61"/>
    <w:rsid w:val="000E16AA"/>
    <w:rsid w:val="000F2F44"/>
    <w:rsid w:val="00111FCA"/>
    <w:rsid w:val="00112520"/>
    <w:rsid w:val="00113A7B"/>
    <w:rsid w:val="0012194D"/>
    <w:rsid w:val="00133134"/>
    <w:rsid w:val="001355F6"/>
    <w:rsid w:val="0013639C"/>
    <w:rsid w:val="00144ED6"/>
    <w:rsid w:val="00161743"/>
    <w:rsid w:val="00186A73"/>
    <w:rsid w:val="00196EC0"/>
    <w:rsid w:val="001A5E49"/>
    <w:rsid w:val="001B1339"/>
    <w:rsid w:val="001F2A1F"/>
    <w:rsid w:val="002068F9"/>
    <w:rsid w:val="002175D5"/>
    <w:rsid w:val="002335AD"/>
    <w:rsid w:val="00272DF2"/>
    <w:rsid w:val="0028725A"/>
    <w:rsid w:val="002905B3"/>
    <w:rsid w:val="002935C0"/>
    <w:rsid w:val="0029383D"/>
    <w:rsid w:val="002A1556"/>
    <w:rsid w:val="002A1B4B"/>
    <w:rsid w:val="002A74E5"/>
    <w:rsid w:val="002C2905"/>
    <w:rsid w:val="002C65F1"/>
    <w:rsid w:val="002D471E"/>
    <w:rsid w:val="002D5B46"/>
    <w:rsid w:val="002E4BE9"/>
    <w:rsid w:val="002F26F2"/>
    <w:rsid w:val="0030003D"/>
    <w:rsid w:val="00304921"/>
    <w:rsid w:val="00320CF9"/>
    <w:rsid w:val="003231EC"/>
    <w:rsid w:val="0032351D"/>
    <w:rsid w:val="00367783"/>
    <w:rsid w:val="00367830"/>
    <w:rsid w:val="00370DC8"/>
    <w:rsid w:val="003750E6"/>
    <w:rsid w:val="003918FC"/>
    <w:rsid w:val="003B6834"/>
    <w:rsid w:val="003C1343"/>
    <w:rsid w:val="00414D51"/>
    <w:rsid w:val="00454E6E"/>
    <w:rsid w:val="004602D2"/>
    <w:rsid w:val="0048647A"/>
    <w:rsid w:val="004A582A"/>
    <w:rsid w:val="004C3AD4"/>
    <w:rsid w:val="004C79DC"/>
    <w:rsid w:val="004D77EF"/>
    <w:rsid w:val="00513382"/>
    <w:rsid w:val="005138E3"/>
    <w:rsid w:val="00547205"/>
    <w:rsid w:val="00555494"/>
    <w:rsid w:val="00595D4F"/>
    <w:rsid w:val="005B39B8"/>
    <w:rsid w:val="005F1B3A"/>
    <w:rsid w:val="00611B1C"/>
    <w:rsid w:val="00633DE0"/>
    <w:rsid w:val="00647EB3"/>
    <w:rsid w:val="00683B78"/>
    <w:rsid w:val="006A4787"/>
    <w:rsid w:val="006D5B06"/>
    <w:rsid w:val="006E6E95"/>
    <w:rsid w:val="006F5842"/>
    <w:rsid w:val="00700E1A"/>
    <w:rsid w:val="00712339"/>
    <w:rsid w:val="007149F9"/>
    <w:rsid w:val="0075040B"/>
    <w:rsid w:val="0075781D"/>
    <w:rsid w:val="00763B8A"/>
    <w:rsid w:val="007722B5"/>
    <w:rsid w:val="00787D6D"/>
    <w:rsid w:val="007B6070"/>
    <w:rsid w:val="007C1B46"/>
    <w:rsid w:val="007C6A21"/>
    <w:rsid w:val="007E6D73"/>
    <w:rsid w:val="00812C30"/>
    <w:rsid w:val="00820044"/>
    <w:rsid w:val="00825D51"/>
    <w:rsid w:val="00875622"/>
    <w:rsid w:val="00885727"/>
    <w:rsid w:val="00886D6A"/>
    <w:rsid w:val="00890E28"/>
    <w:rsid w:val="008A616B"/>
    <w:rsid w:val="008B5071"/>
    <w:rsid w:val="008C52C7"/>
    <w:rsid w:val="008E12A5"/>
    <w:rsid w:val="008E263B"/>
    <w:rsid w:val="008E68E9"/>
    <w:rsid w:val="008F1F8F"/>
    <w:rsid w:val="008F3140"/>
    <w:rsid w:val="009004D0"/>
    <w:rsid w:val="009129B2"/>
    <w:rsid w:val="009149DB"/>
    <w:rsid w:val="00915225"/>
    <w:rsid w:val="00920C5E"/>
    <w:rsid w:val="009579A0"/>
    <w:rsid w:val="00961CAE"/>
    <w:rsid w:val="00967A8B"/>
    <w:rsid w:val="00992EF7"/>
    <w:rsid w:val="009B52DC"/>
    <w:rsid w:val="009D4932"/>
    <w:rsid w:val="009F4889"/>
    <w:rsid w:val="009F74EA"/>
    <w:rsid w:val="00A036F5"/>
    <w:rsid w:val="00A240F9"/>
    <w:rsid w:val="00A2585E"/>
    <w:rsid w:val="00A42964"/>
    <w:rsid w:val="00A42AB1"/>
    <w:rsid w:val="00A4448C"/>
    <w:rsid w:val="00A45CAB"/>
    <w:rsid w:val="00A47A2E"/>
    <w:rsid w:val="00A64803"/>
    <w:rsid w:val="00A65592"/>
    <w:rsid w:val="00A85D80"/>
    <w:rsid w:val="00A904BB"/>
    <w:rsid w:val="00A917A6"/>
    <w:rsid w:val="00AB2FF3"/>
    <w:rsid w:val="00AB48B8"/>
    <w:rsid w:val="00AB5170"/>
    <w:rsid w:val="00AC2EED"/>
    <w:rsid w:val="00AE1E07"/>
    <w:rsid w:val="00AE6C29"/>
    <w:rsid w:val="00AF7EE6"/>
    <w:rsid w:val="00B25DAA"/>
    <w:rsid w:val="00B270D3"/>
    <w:rsid w:val="00B30A55"/>
    <w:rsid w:val="00B65104"/>
    <w:rsid w:val="00B83F06"/>
    <w:rsid w:val="00B87473"/>
    <w:rsid w:val="00BA57B7"/>
    <w:rsid w:val="00BB23A6"/>
    <w:rsid w:val="00BD524C"/>
    <w:rsid w:val="00C01246"/>
    <w:rsid w:val="00C17643"/>
    <w:rsid w:val="00C22DAC"/>
    <w:rsid w:val="00C27E42"/>
    <w:rsid w:val="00C358EF"/>
    <w:rsid w:val="00C64EA7"/>
    <w:rsid w:val="00C67651"/>
    <w:rsid w:val="00C77114"/>
    <w:rsid w:val="00C90207"/>
    <w:rsid w:val="00CA526E"/>
    <w:rsid w:val="00CC649F"/>
    <w:rsid w:val="00CF41A7"/>
    <w:rsid w:val="00CF6EBA"/>
    <w:rsid w:val="00D06B95"/>
    <w:rsid w:val="00D10E95"/>
    <w:rsid w:val="00D12C11"/>
    <w:rsid w:val="00D34AF5"/>
    <w:rsid w:val="00D45D70"/>
    <w:rsid w:val="00D52262"/>
    <w:rsid w:val="00D56E9D"/>
    <w:rsid w:val="00D71846"/>
    <w:rsid w:val="00D75C95"/>
    <w:rsid w:val="00D76FE8"/>
    <w:rsid w:val="00D823B1"/>
    <w:rsid w:val="00D967A5"/>
    <w:rsid w:val="00DB24FB"/>
    <w:rsid w:val="00DB4011"/>
    <w:rsid w:val="00DB4723"/>
    <w:rsid w:val="00DB5EA4"/>
    <w:rsid w:val="00DB63A5"/>
    <w:rsid w:val="00DE5A50"/>
    <w:rsid w:val="00E05262"/>
    <w:rsid w:val="00E07A70"/>
    <w:rsid w:val="00E3283C"/>
    <w:rsid w:val="00E3567A"/>
    <w:rsid w:val="00E369BA"/>
    <w:rsid w:val="00E36B6D"/>
    <w:rsid w:val="00E41BA2"/>
    <w:rsid w:val="00E565C0"/>
    <w:rsid w:val="00E60193"/>
    <w:rsid w:val="00E61AFD"/>
    <w:rsid w:val="00E8435E"/>
    <w:rsid w:val="00E94313"/>
    <w:rsid w:val="00EC6A17"/>
    <w:rsid w:val="00EE2D62"/>
    <w:rsid w:val="00F042E9"/>
    <w:rsid w:val="00F1408B"/>
    <w:rsid w:val="00F2608F"/>
    <w:rsid w:val="00F2681B"/>
    <w:rsid w:val="00F311D3"/>
    <w:rsid w:val="00F34F9F"/>
    <w:rsid w:val="00F46446"/>
    <w:rsid w:val="00F52043"/>
    <w:rsid w:val="00F6022F"/>
    <w:rsid w:val="00F72A7C"/>
    <w:rsid w:val="00F95555"/>
    <w:rsid w:val="00F97C35"/>
    <w:rsid w:val="00FA1AAC"/>
    <w:rsid w:val="00FC10C8"/>
    <w:rsid w:val="00FD0304"/>
    <w:rsid w:val="00FD27CB"/>
    <w:rsid w:val="00FF47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E9E19"/>
  <w15:chartTrackingRefBased/>
  <w15:docId w15:val="{5206D602-A83F-4607-AE38-835809843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Body Text" w:uiPriority="99"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1AA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595D4F"/>
    <w:pPr>
      <w:spacing w:before="480" w:after="240"/>
    </w:pPr>
  </w:style>
  <w:style w:type="paragraph" w:styleId="TOC1">
    <w:name w:val="toc 1"/>
    <w:basedOn w:val="Normal"/>
    <w:next w:val="Normal"/>
    <w:autoRedefine/>
    <w:uiPriority w:val="39"/>
    <w:rsid w:val="00B87473"/>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uiPriority w:val="99"/>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547205"/>
    <w:pPr>
      <w:spacing w:before="80" w:after="80"/>
    </w:pPr>
    <w:rPr>
      <w:rFonts w:ascii="Arial Narrow" w:hAnsi="Arial Narrow" w:cs="Arial"/>
      <w:b/>
      <w:sz w:val="32"/>
      <w:szCs w:val="22"/>
    </w:rPr>
  </w:style>
  <w:style w:type="paragraph" w:customStyle="1" w:styleId="CoverNormal24a">
    <w:name w:val="CoverNormal24a"/>
    <w:basedOn w:val="Normal"/>
    <w:rsid w:val="002F26F2"/>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B6834"/>
    <w:pPr>
      <w:spacing w:before="1080"/>
      <w:jc w:val="right"/>
    </w:pPr>
    <w:rPr>
      <w:rFonts w:ascii="Arial" w:hAnsi="Arial" w:cs="Arial"/>
      <w:b/>
    </w:rPr>
  </w:style>
  <w:style w:type="paragraph" w:customStyle="1" w:styleId="CoverDocType24a">
    <w:name w:val="CoverDocType24a"/>
    <w:basedOn w:val="Normal"/>
    <w:rsid w:val="002F26F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CF41A7"/>
    <w:pPr>
      <w:tabs>
        <w:tab w:val="center" w:pos="4513"/>
        <w:tab w:val="right" w:pos="9026"/>
      </w:tabs>
    </w:pPr>
  </w:style>
  <w:style w:type="table" w:styleId="TableGrid">
    <w:name w:val="Table Grid"/>
    <w:basedOn w:val="TableNormal"/>
    <w:rsid w:val="00D76F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76FE8"/>
    <w:pPr>
      <w:jc w:val="center"/>
    </w:pPr>
    <w:rPr>
      <w:rFonts w:ascii="Arial" w:hAnsi="Arial" w:cs="Arial"/>
      <w:i/>
      <w:sz w:val="22"/>
      <w:szCs w:val="22"/>
    </w:rPr>
  </w:style>
  <w:style w:type="paragraph" w:customStyle="1" w:styleId="LineTop">
    <w:name w:val="LineTop"/>
    <w:basedOn w:val="Normal"/>
    <w:next w:val="Normal"/>
    <w:rsid w:val="00D76FE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76FE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47205"/>
    <w:pPr>
      <w:spacing w:after="80"/>
    </w:pPr>
    <w:rPr>
      <w:rFonts w:ascii="Arial" w:hAnsi="Arial" w:cs="Arial"/>
      <w:sz w:val="20"/>
      <w:szCs w:val="22"/>
    </w:rPr>
  </w:style>
  <w:style w:type="paragraph" w:customStyle="1" w:styleId="EPLogo">
    <w:name w:val="EPLogo"/>
    <w:basedOn w:val="Normal"/>
    <w:qFormat/>
    <w:rsid w:val="00547205"/>
    <w:pPr>
      <w:jc w:val="right"/>
    </w:pPr>
  </w:style>
  <w:style w:type="paragraph" w:customStyle="1" w:styleId="EPFooter">
    <w:name w:val="EPFooter"/>
    <w:basedOn w:val="Normal"/>
    <w:rsid w:val="002F26F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CF41A7"/>
    <w:rPr>
      <w:sz w:val="24"/>
    </w:rPr>
  </w:style>
  <w:style w:type="paragraph" w:styleId="FootnoteText">
    <w:name w:val="footnote text"/>
    <w:basedOn w:val="Normal"/>
    <w:link w:val="FootnoteTextChar"/>
    <w:rsid w:val="00A85D80"/>
    <w:rPr>
      <w:sz w:val="20"/>
    </w:rPr>
  </w:style>
  <w:style w:type="character" w:customStyle="1" w:styleId="FootnoteTextChar">
    <w:name w:val="Footnote Text Char"/>
    <w:basedOn w:val="DefaultParagraphFont"/>
    <w:link w:val="FootnoteText"/>
    <w:rsid w:val="00A85D80"/>
  </w:style>
  <w:style w:type="character" w:styleId="FootnoteReference">
    <w:name w:val="footnote reference"/>
    <w:basedOn w:val="DefaultParagraphFont"/>
    <w:rsid w:val="00A85D80"/>
    <w:rPr>
      <w:vertAlign w:val="superscript"/>
    </w:rPr>
  </w:style>
  <w:style w:type="character" w:styleId="Hyperlink">
    <w:name w:val="Hyperlink"/>
    <w:basedOn w:val="DefaultParagraphFont"/>
    <w:unhideWhenUsed/>
    <w:rsid w:val="00A85D80"/>
    <w:rPr>
      <w:color w:val="0563C1" w:themeColor="hyperlink"/>
      <w:u w:val="single"/>
    </w:rPr>
  </w:style>
  <w:style w:type="paragraph" w:styleId="Footer">
    <w:name w:val="footer"/>
    <w:basedOn w:val="Normal"/>
    <w:link w:val="FooterChar"/>
    <w:semiHidden/>
    <w:rsid w:val="008E68E9"/>
    <w:pPr>
      <w:tabs>
        <w:tab w:val="center" w:pos="4513"/>
        <w:tab w:val="right" w:pos="9026"/>
      </w:tabs>
    </w:pPr>
  </w:style>
  <w:style w:type="character" w:customStyle="1" w:styleId="FooterChar">
    <w:name w:val="Footer Char"/>
    <w:basedOn w:val="DefaultParagraphFont"/>
    <w:link w:val="Footer"/>
    <w:semiHidden/>
    <w:rsid w:val="008E68E9"/>
    <w:rPr>
      <w:sz w:val="24"/>
    </w:rPr>
  </w:style>
  <w:style w:type="paragraph" w:styleId="BalloonText">
    <w:name w:val="Balloon Text"/>
    <w:basedOn w:val="Normal"/>
    <w:link w:val="BalloonTextChar"/>
    <w:semiHidden/>
    <w:unhideWhenUsed/>
    <w:rsid w:val="008E68E9"/>
    <w:rPr>
      <w:rFonts w:ascii="Segoe UI" w:hAnsi="Segoe UI" w:cs="Segoe UI"/>
      <w:sz w:val="18"/>
      <w:szCs w:val="18"/>
    </w:rPr>
  </w:style>
  <w:style w:type="character" w:customStyle="1" w:styleId="BalloonTextChar">
    <w:name w:val="Balloon Text Char"/>
    <w:basedOn w:val="DefaultParagraphFont"/>
    <w:link w:val="BalloonText"/>
    <w:semiHidden/>
    <w:rsid w:val="008E68E9"/>
    <w:rPr>
      <w:rFonts w:ascii="Segoe UI" w:hAnsi="Segoe UI" w:cs="Segoe UI"/>
      <w:sz w:val="18"/>
      <w:szCs w:val="18"/>
    </w:rPr>
  </w:style>
  <w:style w:type="paragraph" w:styleId="BodyText">
    <w:name w:val="Body Text"/>
    <w:link w:val="BodyTextChar"/>
    <w:uiPriority w:val="99"/>
    <w:unhideWhenUsed/>
    <w:qFormat/>
    <w:rsid w:val="00E565C0"/>
    <w:pPr>
      <w:spacing w:before="120" w:after="120"/>
    </w:pPr>
    <w:rPr>
      <w:rFonts w:ascii="Palatino Linotype" w:hAnsi="Palatino Linotype"/>
      <w:spacing w:val="5"/>
      <w:szCs w:val="24"/>
    </w:rPr>
  </w:style>
  <w:style w:type="character" w:customStyle="1" w:styleId="BodyTextChar">
    <w:name w:val="Body Text Char"/>
    <w:basedOn w:val="DefaultParagraphFont"/>
    <w:link w:val="BodyText"/>
    <w:uiPriority w:val="99"/>
    <w:rsid w:val="00E565C0"/>
    <w:rPr>
      <w:rFonts w:ascii="Palatino Linotype" w:hAnsi="Palatino Linotype"/>
      <w:spacing w:val="5"/>
      <w:szCs w:val="24"/>
    </w:rPr>
  </w:style>
  <w:style w:type="character" w:customStyle="1" w:styleId="NormalHanging12aChar">
    <w:name w:val="NormalHanging12a Char"/>
    <w:basedOn w:val="DefaultParagraphFont"/>
    <w:link w:val="NormalHanging12a"/>
    <w:locked/>
    <w:rsid w:val="00E565C0"/>
    <w:rPr>
      <w:sz w:val="24"/>
    </w:rPr>
  </w:style>
  <w:style w:type="paragraph" w:styleId="Revision">
    <w:name w:val="Revision"/>
    <w:hidden/>
    <w:uiPriority w:val="99"/>
    <w:semiHidden/>
    <w:rsid w:val="00DB63A5"/>
    <w:rPr>
      <w:sz w:val="24"/>
    </w:rPr>
  </w:style>
  <w:style w:type="character" w:styleId="CommentReference">
    <w:name w:val="annotation reference"/>
    <w:basedOn w:val="DefaultParagraphFont"/>
    <w:rsid w:val="008C52C7"/>
    <w:rPr>
      <w:sz w:val="16"/>
      <w:szCs w:val="16"/>
    </w:rPr>
  </w:style>
  <w:style w:type="paragraph" w:styleId="CommentText">
    <w:name w:val="annotation text"/>
    <w:basedOn w:val="Normal"/>
    <w:link w:val="CommentTextChar"/>
    <w:rsid w:val="008C52C7"/>
    <w:rPr>
      <w:sz w:val="20"/>
    </w:rPr>
  </w:style>
  <w:style w:type="character" w:customStyle="1" w:styleId="CommentTextChar">
    <w:name w:val="Comment Text Char"/>
    <w:basedOn w:val="DefaultParagraphFont"/>
    <w:link w:val="CommentText"/>
    <w:rsid w:val="008C52C7"/>
  </w:style>
  <w:style w:type="paragraph" w:styleId="CommentSubject">
    <w:name w:val="annotation subject"/>
    <w:basedOn w:val="CommentText"/>
    <w:next w:val="CommentText"/>
    <w:link w:val="CommentSubjectChar"/>
    <w:semiHidden/>
    <w:unhideWhenUsed/>
    <w:rsid w:val="008C52C7"/>
    <w:rPr>
      <w:b/>
      <w:bCs/>
    </w:rPr>
  </w:style>
  <w:style w:type="character" w:customStyle="1" w:styleId="CommentSubjectChar">
    <w:name w:val="Comment Subject Char"/>
    <w:basedOn w:val="CommentTextChar"/>
    <w:link w:val="CommentSubject"/>
    <w:semiHidden/>
    <w:rsid w:val="008C52C7"/>
    <w:rPr>
      <w:b/>
      <w:bCs/>
    </w:rPr>
  </w:style>
  <w:style w:type="character" w:styleId="UnresolvedMention">
    <w:name w:val="Unresolved Mention"/>
    <w:basedOn w:val="DefaultParagraphFont"/>
    <w:uiPriority w:val="99"/>
    <w:semiHidden/>
    <w:unhideWhenUsed/>
    <w:rsid w:val="00CC649F"/>
    <w:rPr>
      <w:color w:val="605E5C"/>
      <w:shd w:val="clear" w:color="auto" w:fill="E1DFDD"/>
    </w:rPr>
  </w:style>
  <w:style w:type="paragraph" w:customStyle="1" w:styleId="Normal12a">
    <w:name w:val="Normal12a"/>
    <w:basedOn w:val="Normal"/>
    <w:rsid w:val="00AC2EED"/>
    <w:pPr>
      <w:spacing w:after="240"/>
    </w:pPr>
  </w:style>
  <w:style w:type="paragraph" w:customStyle="1" w:styleId="RollCallVotes">
    <w:name w:val="RollCallVotes"/>
    <w:basedOn w:val="Normal"/>
    <w:rsid w:val="00AC2EED"/>
    <w:pPr>
      <w:spacing w:before="120" w:after="120"/>
      <w:jc w:val="center"/>
    </w:pPr>
    <w:rPr>
      <w:b/>
      <w:bCs/>
      <w:snapToGrid w:val="0"/>
      <w:sz w:val="16"/>
      <w:lang w:eastAsia="en-US"/>
    </w:rPr>
  </w:style>
  <w:style w:type="paragraph" w:customStyle="1" w:styleId="RollCallTabs">
    <w:name w:val="RollCallTabs"/>
    <w:basedOn w:val="Normal"/>
    <w:qFormat/>
    <w:rsid w:val="00AC2EED"/>
    <w:pPr>
      <w:tabs>
        <w:tab w:val="center" w:pos="284"/>
        <w:tab w:val="left" w:pos="426"/>
      </w:tabs>
    </w:pPr>
    <w:rPr>
      <w:snapToGrid w:val="0"/>
      <w:lang w:eastAsia="en-US"/>
    </w:rPr>
  </w:style>
  <w:style w:type="paragraph" w:customStyle="1" w:styleId="RollCallSymbols14pt">
    <w:name w:val="RollCallSymbols14pt"/>
    <w:basedOn w:val="Normal"/>
    <w:rsid w:val="00AC2EED"/>
    <w:pPr>
      <w:spacing w:before="120" w:after="120"/>
      <w:jc w:val="center"/>
    </w:pPr>
    <w:rPr>
      <w:rFonts w:ascii="Arial" w:hAnsi="Arial"/>
      <w:b/>
      <w:bCs/>
      <w:snapToGrid w:val="0"/>
      <w:sz w:val="28"/>
      <w:lang w:eastAsia="en-US"/>
    </w:rPr>
  </w:style>
  <w:style w:type="paragraph" w:customStyle="1" w:styleId="RollCallTable">
    <w:name w:val="RollCallTable"/>
    <w:basedOn w:val="Normal"/>
    <w:rsid w:val="00AC2EE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1207414">
      <w:bodyDiv w:val="1"/>
      <w:marLeft w:val="0"/>
      <w:marRight w:val="0"/>
      <w:marTop w:val="0"/>
      <w:marBottom w:val="0"/>
      <w:divBdr>
        <w:top w:val="none" w:sz="0" w:space="0" w:color="auto"/>
        <w:left w:val="none" w:sz="0" w:space="0" w:color="auto"/>
        <w:bottom w:val="none" w:sz="0" w:space="0" w:color="auto"/>
        <w:right w:val="none" w:sz="0" w:space="0" w:color="auto"/>
      </w:divBdr>
    </w:div>
    <w:div w:id="66598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24/1991/oj" TargetMode="External"/><Relationship Id="rId1" Type="http://schemas.openxmlformats.org/officeDocument/2006/relationships/hyperlink" Target="http://data.europa.eu/eli/reg/2021/1163/oj" TargetMode="External"/><Relationship Id="rId5" Type="http://schemas.openxmlformats.org/officeDocument/2006/relationships/hyperlink" Target="http://data.europa.eu/eli/reg/2019/1896/oj" TargetMode="External"/><Relationship Id="rId4"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13F10E-5886-43CE-931F-80B61D68C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5097</Words>
  <Characters>29054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PR_INI_Ann_Ombud</vt:lpstr>
    </vt:vector>
  </TitlesOfParts>
  <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PR_INI_Ann_Ombud</dc:title>
  <dc:subject/>
  <dc:creator>BLONDIAU Charlotte</dc:creator>
  <cp:keywords/>
  <dc:description/>
  <cp:lastModifiedBy>PATTYN Baptiste</cp:lastModifiedBy>
  <cp:revision>2</cp:revision>
  <cp:lastPrinted>2025-09-11T11:44:00Z</cp:lastPrinted>
  <dcterms:created xsi:type="dcterms:W3CDTF">2026-02-18T11:49:00Z</dcterms:created>
  <dcterms:modified xsi:type="dcterms:W3CDTF">2026-02-18T11:49:00Z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10.2.1 Build [20260110]</vt:lpwstr>
  </property>
  <property fmtid="{D5CDD505-2E9C-101B-9397-08002B2CF9AE}" pid="5" name="&lt;FdR&gt;">
    <vt:lpwstr>1337760</vt:lpwstr>
  </property>
  <property fmtid="{D5CDD505-2E9C-101B-9397-08002B2CF9AE}" pid="6" name="&lt;Type&gt;">
    <vt:lpwstr>RR</vt:lpwstr>
  </property>
  <property fmtid="{D5CDD505-2E9C-101B-9397-08002B2CF9AE}" pid="7" name="&lt;ModelCod&gt;">
    <vt:lpwstr>\\eiciBRUpr1\pdocep$\DocEP\DOCS\General\PR\PR_NonLeg\INI\PR_INI_AnnOmbud.dotx(17/04/2020 19:28:09)</vt:lpwstr>
  </property>
  <property fmtid="{D5CDD505-2E9C-101B-9397-08002B2CF9AE}" pid="8" name="&lt;ModelTra&gt;">
    <vt:lpwstr>\\eiciBRUpr1\pdocep$\DocEP\TRANSFIL\EN\PR_INI_AnnOmbud.EN(03/10/2024 15:52:00)</vt:lpwstr>
  </property>
  <property fmtid="{D5CDD505-2E9C-101B-9397-08002B2CF9AE}" pid="9" name="&lt;Model&gt;">
    <vt:lpwstr>PR_INI_AnnOmbud</vt:lpwstr>
  </property>
  <property fmtid="{D5CDD505-2E9C-101B-9397-08002B2CF9AE}" pid="10" name="FooterPath">
    <vt:lpwstr>RR\1337760FR.docx</vt:lpwstr>
  </property>
  <property fmtid="{D5CDD505-2E9C-101B-9397-08002B2CF9AE}" pid="11" name="PE number">
    <vt:lpwstr>775.671</vt:lpwstr>
  </property>
  <property fmtid="{D5CDD505-2E9C-101B-9397-08002B2CF9AE}" pid="12" name="SendToEpades">
    <vt:lpwstr>OK - 2025/09/09 13:35</vt:lpwstr>
  </property>
  <property fmtid="{D5CDD505-2E9C-101B-9397-08002B2CF9AE}" pid="13" name="Bookout">
    <vt:lpwstr>OK(HDG) - 2026/02/17 17:15</vt:lpwstr>
  </property>
  <property fmtid="{D5CDD505-2E9C-101B-9397-08002B2CF9AE}" pid="14" name="OriLang">
    <vt:lpwstr>EN</vt:lpwstr>
  </property>
  <property fmtid="{D5CDD505-2E9C-101B-9397-08002B2CF9AE}" pid="15" name="SDLStudio">
    <vt:lpwstr/>
  </property>
</Properties>
</file>