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75B91" w:rsidRPr="00BD4007" w14:paraId="5DC9A9FA" w14:textId="77777777" w:rsidTr="00C85D0F">
        <w:trPr>
          <w:trHeight w:hRule="exact" w:val="1418"/>
        </w:trPr>
        <w:tc>
          <w:tcPr>
            <w:tcW w:w="6804" w:type="dxa"/>
            <w:shd w:val="clear" w:color="auto" w:fill="auto"/>
            <w:vAlign w:val="center"/>
          </w:tcPr>
          <w:p w14:paraId="26613E88" w14:textId="5828A1F4" w:rsidR="00775B91" w:rsidRPr="00BD4007" w:rsidRDefault="002C4481" w:rsidP="00C85D0F">
            <w:pPr>
              <w:pStyle w:val="EPName"/>
            </w:pPr>
            <w:r>
              <w:t>Parlement européen</w:t>
            </w:r>
          </w:p>
          <w:p w14:paraId="7BA8ABAA" w14:textId="5441973F" w:rsidR="00775B91" w:rsidRPr="00BD4007" w:rsidRDefault="004F51EE" w:rsidP="00C85D0F">
            <w:pPr>
              <w:pStyle w:val="EPTerm"/>
            </w:pPr>
            <w:r>
              <w:t>2024-2029</w:t>
            </w:r>
          </w:p>
        </w:tc>
        <w:tc>
          <w:tcPr>
            <w:tcW w:w="2268" w:type="dxa"/>
            <w:shd w:val="clear" w:color="auto" w:fill="auto"/>
          </w:tcPr>
          <w:p w14:paraId="10CE84CF" w14:textId="77777777" w:rsidR="00775B91" w:rsidRPr="00BD4007" w:rsidRDefault="00775B91" w:rsidP="00C85D0F">
            <w:pPr>
              <w:pStyle w:val="EPLogo"/>
            </w:pPr>
            <w:r w:rsidRPr="00BD4007">
              <w:rPr>
                <w:noProof/>
                <w:lang w:eastAsia="ja-JP"/>
              </w:rPr>
              <w:drawing>
                <wp:inline distT="0" distB="0" distL="0" distR="0" wp14:anchorId="1D07FCFE" wp14:editId="56815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8ABF2D" w14:textId="77777777" w:rsidR="00332734" w:rsidRPr="00BD4007" w:rsidRDefault="00332734" w:rsidP="00332734">
      <w:pPr>
        <w:pStyle w:val="LineTop"/>
      </w:pPr>
    </w:p>
    <w:p w14:paraId="11D4F5A5" w14:textId="68A58B64" w:rsidR="00332734" w:rsidRPr="00BD4007" w:rsidRDefault="004F51EE" w:rsidP="00332734">
      <w:pPr>
        <w:pStyle w:val="EPBody"/>
      </w:pPr>
      <w:r>
        <w:t>Document de séance</w:t>
      </w:r>
    </w:p>
    <w:p w14:paraId="31E07BAE" w14:textId="77777777" w:rsidR="00332734" w:rsidRPr="00BD4007" w:rsidRDefault="00332734" w:rsidP="00332734">
      <w:pPr>
        <w:pStyle w:val="LineBottom"/>
      </w:pPr>
    </w:p>
    <w:p w14:paraId="0BF599A8" w14:textId="4210F544" w:rsidR="00ED0821" w:rsidRPr="00BD4007" w:rsidRDefault="004F51EE">
      <w:pPr>
        <w:pStyle w:val="CoverReference"/>
      </w:pPr>
      <w:r>
        <w:rPr>
          <w:rStyle w:val="HideTWBExt"/>
          <w:b w:val="0"/>
        </w:rPr>
        <w:t>&lt;NoDocSe&gt;</w:t>
      </w:r>
      <w:r>
        <w:t>A10-0099/2026</w:t>
      </w:r>
      <w:r>
        <w:rPr>
          <w:rStyle w:val="HideTWBExt"/>
          <w:b w:val="0"/>
        </w:rPr>
        <w:t>&lt;/NoDocSe&gt;</w:t>
      </w:r>
    </w:p>
    <w:p w14:paraId="68147488" w14:textId="024445F9" w:rsidR="00ED0821" w:rsidRPr="00BD4007" w:rsidRDefault="00ED0821">
      <w:pPr>
        <w:pStyle w:val="CoverDate"/>
      </w:pPr>
      <w:r>
        <w:rPr>
          <w:rStyle w:val="HideTWBExt"/>
        </w:rPr>
        <w:t>&lt;Date&gt;</w:t>
      </w:r>
      <w:r>
        <w:rPr>
          <w:rStyle w:val="HideTWBInt"/>
        </w:rPr>
        <w:t>{17/04/2026}</w:t>
      </w:r>
      <w:r>
        <w:t>17.4.2026</w:t>
      </w:r>
      <w:r>
        <w:rPr>
          <w:rStyle w:val="HideTWBExt"/>
        </w:rPr>
        <w:t>&lt;/Date&gt;</w:t>
      </w:r>
    </w:p>
    <w:p w14:paraId="73C76F94" w14:textId="77777777" w:rsidR="00ED0821" w:rsidRPr="00BD4007" w:rsidRDefault="00ED0821">
      <w:pPr>
        <w:pStyle w:val="CoverDocType"/>
      </w:pPr>
      <w:r>
        <w:rPr>
          <w:rStyle w:val="HideTWBExt"/>
          <w:b w:val="0"/>
        </w:rPr>
        <w:t>&lt;RefProcLect&gt;</w:t>
      </w:r>
      <w:r>
        <w:t>***I</w:t>
      </w:r>
      <w:r>
        <w:rPr>
          <w:rStyle w:val="HideTWBExt"/>
          <w:b w:val="0"/>
        </w:rPr>
        <w:t>&lt;/RefProcLect&gt;</w:t>
      </w:r>
    </w:p>
    <w:p w14:paraId="4510695E" w14:textId="009977BC" w:rsidR="00ED0821" w:rsidRPr="00BD4007" w:rsidRDefault="00ED0821">
      <w:pPr>
        <w:pStyle w:val="CoverDocType24a"/>
      </w:pPr>
      <w:r>
        <w:rPr>
          <w:rStyle w:val="HideTWBExt"/>
          <w:b w:val="0"/>
        </w:rPr>
        <w:t>&lt;TitreType&gt;</w:t>
      </w:r>
      <w:r>
        <w:t>RAPPORT</w:t>
      </w:r>
      <w:r>
        <w:rPr>
          <w:rStyle w:val="HideTWBExt"/>
          <w:b w:val="0"/>
        </w:rPr>
        <w:t>&lt;/TitreType&gt;</w:t>
      </w:r>
    </w:p>
    <w:p w14:paraId="21A70481" w14:textId="2D59918E" w:rsidR="00ED0821" w:rsidRPr="00BD4007" w:rsidRDefault="00ED0821">
      <w:pPr>
        <w:pStyle w:val="CoverNormal"/>
      </w:pPr>
      <w:r>
        <w:rPr>
          <w:rStyle w:val="HideTWBExt"/>
        </w:rPr>
        <w:t>&lt;Titre&gt;</w:t>
      </w:r>
      <w:r>
        <w:t>sur la proposition de règlement du Parlement européen et du Conseil modifiant les règlements (UE) nº 1173/2011 et (UE) nº 473/2013 en ce qui concerne l’alignement sur le cadre de gouvernance économique de l’UE et la poursuite de la simplification de ce cadre</w:t>
      </w:r>
      <w:r>
        <w:rPr>
          <w:rStyle w:val="HideTWBExt"/>
        </w:rPr>
        <w:t>&lt;/Titre&gt;</w:t>
      </w:r>
    </w:p>
    <w:p w14:paraId="1F649C09" w14:textId="737C17E2" w:rsidR="00ED0821" w:rsidRPr="00ED3151" w:rsidRDefault="00ED0821">
      <w:pPr>
        <w:pStyle w:val="CoverNormal24a"/>
        <w:rPr>
          <w:lang w:val="pt-PT"/>
        </w:rPr>
      </w:pPr>
      <w:r w:rsidRPr="00ED3151">
        <w:rPr>
          <w:rStyle w:val="HideTWBExt"/>
          <w:lang w:val="pt-PT"/>
        </w:rPr>
        <w:t>&lt;DocRef&gt;</w:t>
      </w:r>
      <w:r w:rsidRPr="00ED3151">
        <w:rPr>
          <w:lang w:val="pt-PT"/>
        </w:rPr>
        <w:t>(COM(2025)0591 – C10</w:t>
      </w:r>
      <w:r w:rsidRPr="00ED3151">
        <w:rPr>
          <w:lang w:val="pt-PT"/>
        </w:rPr>
        <w:noBreakHyphen/>
        <w:t>0227/2025 – 2025/0311(COD))</w:t>
      </w:r>
      <w:r w:rsidRPr="00ED3151">
        <w:rPr>
          <w:rStyle w:val="HideTWBExt"/>
          <w:lang w:val="pt-PT"/>
        </w:rPr>
        <w:t>&lt;/DocRef&gt;</w:t>
      </w:r>
    </w:p>
    <w:p w14:paraId="71C2D092" w14:textId="6381CB63" w:rsidR="00ED0821" w:rsidRPr="00BD4007" w:rsidRDefault="00ED0821">
      <w:pPr>
        <w:pStyle w:val="CoverNormal24a"/>
      </w:pPr>
      <w:r>
        <w:rPr>
          <w:rStyle w:val="HideTWBExt"/>
        </w:rPr>
        <w:t>&lt;Commission&gt;</w:t>
      </w:r>
      <w:r>
        <w:rPr>
          <w:rStyle w:val="HideTWBInt"/>
        </w:rPr>
        <w:t>{ECON}</w:t>
      </w:r>
      <w:r>
        <w:t>Commission des affaires économiques et monétaires</w:t>
      </w:r>
      <w:r>
        <w:rPr>
          <w:rStyle w:val="HideTWBExt"/>
        </w:rPr>
        <w:t>&lt;/Commission&gt;</w:t>
      </w:r>
    </w:p>
    <w:p w14:paraId="59C85FEF" w14:textId="216505FE" w:rsidR="00ED0821" w:rsidRPr="00BD4007" w:rsidRDefault="004F51EE">
      <w:pPr>
        <w:pStyle w:val="CoverNormal24a"/>
      </w:pPr>
      <w:r>
        <w:t xml:space="preserve">Rapporteurs: </w:t>
      </w:r>
      <w:r>
        <w:rPr>
          <w:rStyle w:val="HideTWBExt"/>
        </w:rPr>
        <w:t>&lt;Depute&gt;</w:t>
      </w:r>
      <w:r>
        <w:t xml:space="preserve"> Markus Ferber, Carla Tavares </w:t>
      </w:r>
      <w:r>
        <w:rPr>
          <w:rStyle w:val="HideTWBExt"/>
        </w:rPr>
        <w:t>&lt;/Depute&gt;</w:t>
      </w:r>
    </w:p>
    <w:p w14:paraId="77152711" w14:textId="77777777" w:rsidR="00BE4EC7" w:rsidRPr="00BD4007" w:rsidRDefault="00BE4EC7" w:rsidP="00BE4EC7">
      <w:pPr>
        <w:pStyle w:val="CoverNormal"/>
      </w:pPr>
    </w:p>
    <w:p w14:paraId="61B85F66" w14:textId="679C3FC0" w:rsidR="004F51EE" w:rsidRPr="00BD4007" w:rsidRDefault="00ED0821" w:rsidP="00894923">
      <w:r>
        <w:br w:type="page"/>
      </w:r>
      <w:fldSimple w:instr=" TITLE  \* MERGEFORMAT ">
        <w:r w:rsidR="00ED3151">
          <w:t>PR_COD_1consamCom</w:t>
        </w:r>
      </w:fldSimple>
    </w:p>
    <w:p w14:paraId="7930B4CD" w14:textId="77777777" w:rsidR="004F51EE" w:rsidRPr="00BD4007" w:rsidRDefault="004F51EE" w:rsidP="00894923"/>
    <w:p w14:paraId="5C951A20" w14:textId="77777777" w:rsidR="004F51EE" w:rsidRPr="00BD4007" w:rsidRDefault="004F51EE"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F51EE" w:rsidRPr="00BD4007" w14:paraId="3DCF994B" w14:textId="77777777">
        <w:tc>
          <w:tcPr>
            <w:tcW w:w="5811" w:type="dxa"/>
          </w:tcPr>
          <w:p w14:paraId="5F182EFD" w14:textId="77777777" w:rsidR="004F51EE" w:rsidRPr="00BD4007" w:rsidRDefault="004F51EE" w:rsidP="00894923">
            <w:pPr>
              <w:pStyle w:val="Lgendetitre"/>
            </w:pPr>
            <w:r>
              <w:t>Légende des signes utilisés</w:t>
            </w:r>
          </w:p>
        </w:tc>
      </w:tr>
      <w:tr w:rsidR="004F51EE" w:rsidRPr="00BD4007" w14:paraId="18D44E7C" w14:textId="77777777" w:rsidTr="00C50C36">
        <w:trPr>
          <w:cantSplit/>
          <w:trHeight w:val="1944"/>
        </w:trPr>
        <w:tc>
          <w:tcPr>
            <w:tcW w:w="5811" w:type="dxa"/>
            <w:tcBorders>
              <w:bottom w:val="single" w:sz="4" w:space="0" w:color="auto"/>
            </w:tcBorders>
          </w:tcPr>
          <w:p w14:paraId="6038B5F9" w14:textId="77777777" w:rsidR="004F51EE" w:rsidRPr="00BD4007" w:rsidRDefault="004F51EE" w:rsidP="0069092A">
            <w:pPr>
              <w:pStyle w:val="Lgendesigne"/>
            </w:pPr>
            <w:r>
              <w:tab/>
              <w:t>*</w:t>
            </w:r>
            <w:r>
              <w:tab/>
              <w:t>Procédure de consultation</w:t>
            </w:r>
          </w:p>
          <w:p w14:paraId="7AAA0897" w14:textId="77777777" w:rsidR="004F51EE" w:rsidRPr="00BD4007" w:rsidRDefault="004F51EE" w:rsidP="0069092A">
            <w:pPr>
              <w:pStyle w:val="Lgendesigne"/>
            </w:pPr>
            <w:r>
              <w:tab/>
              <w:t>***</w:t>
            </w:r>
            <w:r>
              <w:tab/>
              <w:t>Procédure d’approbation</w:t>
            </w:r>
          </w:p>
          <w:p w14:paraId="681881B6" w14:textId="77777777" w:rsidR="004F51EE" w:rsidRPr="00BD4007" w:rsidRDefault="004F51EE" w:rsidP="0069092A">
            <w:pPr>
              <w:pStyle w:val="Lgendesigne"/>
            </w:pPr>
            <w:r>
              <w:tab/>
              <w:t>***I</w:t>
            </w:r>
            <w:r>
              <w:tab/>
              <w:t>Procédure législative ordinaire (première lecture)</w:t>
            </w:r>
          </w:p>
          <w:p w14:paraId="0F3522E0" w14:textId="77777777" w:rsidR="004F51EE" w:rsidRPr="00BD4007" w:rsidRDefault="004F51EE" w:rsidP="0069092A">
            <w:pPr>
              <w:pStyle w:val="Lgendesigne"/>
            </w:pPr>
            <w:r>
              <w:tab/>
              <w:t>***II</w:t>
            </w:r>
            <w:r>
              <w:tab/>
              <w:t>Procédure législative ordinaire (deuxième lecture)</w:t>
            </w:r>
          </w:p>
          <w:p w14:paraId="0487933E" w14:textId="77777777" w:rsidR="004F51EE" w:rsidRPr="00BD4007" w:rsidRDefault="004F51EE" w:rsidP="0069092A">
            <w:pPr>
              <w:pStyle w:val="Lgendesigne"/>
            </w:pPr>
            <w:r>
              <w:tab/>
              <w:t>***III</w:t>
            </w:r>
            <w:r>
              <w:tab/>
              <w:t>Procédure législative ordinaire (troisième lecture)</w:t>
            </w:r>
          </w:p>
          <w:p w14:paraId="602856E9" w14:textId="77777777" w:rsidR="004F51EE" w:rsidRPr="00BD4007" w:rsidRDefault="004F51EE" w:rsidP="0069092A">
            <w:pPr>
              <w:pStyle w:val="Lgendestandard"/>
            </w:pPr>
          </w:p>
          <w:p w14:paraId="069B1AFD" w14:textId="77777777" w:rsidR="004F51EE" w:rsidRPr="00BD4007" w:rsidRDefault="004F51EE" w:rsidP="0069092A">
            <w:pPr>
              <w:pStyle w:val="Lgendestandard"/>
            </w:pPr>
            <w:r>
              <w:t>(La procédure indiquée est fondée sur la base juridique proposée par le projet d’acte.)</w:t>
            </w:r>
          </w:p>
          <w:p w14:paraId="0767166F" w14:textId="77777777" w:rsidR="004F51EE" w:rsidRPr="00BD4007" w:rsidRDefault="004F51EE" w:rsidP="00784280">
            <w:pPr>
              <w:pStyle w:val="Lgendestandard"/>
            </w:pPr>
          </w:p>
        </w:tc>
      </w:tr>
    </w:tbl>
    <w:p w14:paraId="23D39A54" w14:textId="77777777" w:rsidR="004F51EE" w:rsidRPr="00BD4007" w:rsidRDefault="004F51EE" w:rsidP="00894923"/>
    <w:p w14:paraId="07D45399" w14:textId="77777777" w:rsidR="004F51EE" w:rsidRPr="00BD4007" w:rsidRDefault="004F51EE" w:rsidP="00894923"/>
    <w:p w14:paraId="7797C834" w14:textId="77777777" w:rsidR="004F51EE" w:rsidRPr="00BD4007" w:rsidRDefault="004F51EE" w:rsidP="00894923"/>
    <w:p w14:paraId="14E878DE" w14:textId="77777777" w:rsidR="004F51EE" w:rsidRPr="00BD4007" w:rsidRDefault="004F51EE"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F51EE" w:rsidRPr="00BD4007" w14:paraId="5F657C4C" w14:textId="77777777">
        <w:tc>
          <w:tcPr>
            <w:tcW w:w="5811" w:type="dxa"/>
          </w:tcPr>
          <w:p w14:paraId="3571876F" w14:textId="77777777" w:rsidR="004F51EE" w:rsidRPr="00BD4007" w:rsidRDefault="004F51EE" w:rsidP="00894923">
            <w:pPr>
              <w:pStyle w:val="Lgendetitre"/>
            </w:pPr>
            <w:r>
              <w:t>Amendements à un projet d’acte</w:t>
            </w:r>
          </w:p>
        </w:tc>
      </w:tr>
      <w:tr w:rsidR="004F51EE" w:rsidRPr="00BD4007" w14:paraId="009F3051" w14:textId="77777777" w:rsidTr="00161731">
        <w:trPr>
          <w:trHeight w:val="4923"/>
        </w:trPr>
        <w:tc>
          <w:tcPr>
            <w:tcW w:w="5811" w:type="dxa"/>
          </w:tcPr>
          <w:p w14:paraId="535E5AAE" w14:textId="77777777" w:rsidR="004F51EE" w:rsidRPr="00BD4007" w:rsidRDefault="004F51EE" w:rsidP="0069092A">
            <w:pPr>
              <w:pStyle w:val="Lgendestandard"/>
              <w:rPr>
                <w:b/>
                <w:szCs w:val="18"/>
              </w:rPr>
            </w:pPr>
            <w:r>
              <w:rPr>
                <w:b/>
              </w:rPr>
              <w:t>Amendements du Parlement présentés en deux colonnes</w:t>
            </w:r>
          </w:p>
          <w:p w14:paraId="65C9B4B4" w14:textId="77777777" w:rsidR="004F51EE" w:rsidRPr="00BD4007" w:rsidRDefault="004F51EE" w:rsidP="0069092A">
            <w:pPr>
              <w:pStyle w:val="Lgendestandard"/>
              <w:rPr>
                <w:szCs w:val="18"/>
              </w:rPr>
            </w:pPr>
          </w:p>
          <w:p w14:paraId="06264206" w14:textId="77777777" w:rsidR="004F51EE" w:rsidRPr="00BD4007" w:rsidRDefault="004F51EE" w:rsidP="0069092A">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04BF917D" w14:textId="77777777" w:rsidR="004F51EE" w:rsidRPr="00BD4007" w:rsidRDefault="004F51EE" w:rsidP="0069092A">
            <w:pPr>
              <w:pStyle w:val="Lgendestandard"/>
            </w:pPr>
          </w:p>
          <w:p w14:paraId="443D0974" w14:textId="77777777" w:rsidR="004F51EE" w:rsidRPr="00BD4007" w:rsidRDefault="004F51EE" w:rsidP="0069092A">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74A084F3" w14:textId="77777777" w:rsidR="004F51EE" w:rsidRPr="00BD4007" w:rsidRDefault="004F51EE" w:rsidP="0069092A">
            <w:pPr>
              <w:pStyle w:val="Lgendestandard"/>
            </w:pPr>
          </w:p>
          <w:p w14:paraId="4D194800" w14:textId="77777777" w:rsidR="004F51EE" w:rsidRPr="00BD4007" w:rsidRDefault="004F51EE" w:rsidP="0069092A">
            <w:pPr>
              <w:pStyle w:val="Lgendestandard"/>
              <w:rPr>
                <w:b/>
                <w:szCs w:val="18"/>
              </w:rPr>
            </w:pPr>
            <w:r>
              <w:rPr>
                <w:b/>
              </w:rPr>
              <w:t>Amendements du Parlement prenant la forme d’un texte consolidé</w:t>
            </w:r>
          </w:p>
          <w:p w14:paraId="5DEC0D3A" w14:textId="77777777" w:rsidR="004F51EE" w:rsidRPr="00BD4007" w:rsidRDefault="004F51EE" w:rsidP="0069092A">
            <w:pPr>
              <w:pStyle w:val="Lgendestandard"/>
              <w:rPr>
                <w:szCs w:val="18"/>
              </w:rPr>
            </w:pPr>
          </w:p>
          <w:p w14:paraId="43C4531F" w14:textId="77777777" w:rsidR="004F51EE" w:rsidRPr="00BD4007" w:rsidRDefault="004F51EE" w:rsidP="0069092A">
            <w:pPr>
              <w:pStyle w:val="Lgendestandard"/>
              <w:rPr>
                <w:szCs w:val="18"/>
              </w:rPr>
            </w:pPr>
            <w:r>
              <w:t xml:space="preserve">Les parties de textes nouvelles sont indiquées en </w:t>
            </w:r>
            <w:r>
              <w:rPr>
                <w:b/>
                <w:i/>
              </w:rPr>
              <w:t>italiques gras</w:t>
            </w:r>
            <w:r>
              <w:t xml:space="preserve">. Les parties de texte supprimées sont indiquées par le symbole ▌ ou barrées. Les remplacements sont signalés en indiquant en </w:t>
            </w:r>
            <w:r>
              <w:rPr>
                <w:b/>
                <w:i/>
              </w:rPr>
              <w:t xml:space="preserve">italiques gras </w:t>
            </w:r>
            <w:r>
              <w:t xml:space="preserve">le texte nouveau et en effaçant ou en barrant le texte remplacé. </w:t>
            </w:r>
          </w:p>
          <w:p w14:paraId="5DB59910" w14:textId="77777777" w:rsidR="004F51EE" w:rsidRPr="00BD4007" w:rsidRDefault="004F51EE" w:rsidP="0069092A">
            <w:pPr>
              <w:pStyle w:val="Lgendestandard"/>
            </w:pPr>
            <w:r>
              <w:t>Par exception, les modifications de nature strictement technique apportées par les services en vue de l’élaboration du texte final ne sont pas marquées.</w:t>
            </w:r>
          </w:p>
          <w:p w14:paraId="1ABDDB9F" w14:textId="77777777" w:rsidR="004F51EE" w:rsidRPr="00BD4007" w:rsidRDefault="004F51EE" w:rsidP="0069092A">
            <w:pPr>
              <w:pStyle w:val="Lgendestandard"/>
            </w:pPr>
          </w:p>
        </w:tc>
      </w:tr>
    </w:tbl>
    <w:p w14:paraId="760D46D3" w14:textId="77777777" w:rsidR="004F51EE" w:rsidRPr="00BD4007" w:rsidRDefault="004F51EE" w:rsidP="00894923"/>
    <w:p w14:paraId="0188AFD1" w14:textId="7662FDB8" w:rsidR="00ED0821" w:rsidRPr="00BD4007" w:rsidRDefault="00ED0821" w:rsidP="006506C7">
      <w:pPr>
        <w:widowControl/>
        <w:tabs>
          <w:tab w:val="center" w:pos="4677"/>
        </w:tabs>
      </w:pPr>
    </w:p>
    <w:p w14:paraId="73CD831E" w14:textId="37EE6169" w:rsidR="00ED0821" w:rsidRPr="00BD4007" w:rsidRDefault="00ED0821">
      <w:pPr>
        <w:pStyle w:val="TOCHeading"/>
      </w:pPr>
      <w:r>
        <w:br w:type="page"/>
      </w:r>
      <w:r>
        <w:lastRenderedPageBreak/>
        <w:t>SOMMAIRE</w:t>
      </w:r>
    </w:p>
    <w:p w14:paraId="2E2C1DD2" w14:textId="75638E4A" w:rsidR="00ED0821" w:rsidRPr="00BD4007" w:rsidRDefault="002C4481">
      <w:pPr>
        <w:pStyle w:val="TOCPage"/>
      </w:pPr>
      <w:r>
        <w:t>Page</w:t>
      </w:r>
    </w:p>
    <w:p w14:paraId="7FB6111A" w14:textId="61C6AA92" w:rsidR="00ED3151" w:rsidRDefault="006506C7">
      <w:pPr>
        <w:pStyle w:val="TOC1"/>
        <w:tabs>
          <w:tab w:val="right" w:leader="dot" w:pos="9063"/>
        </w:tabs>
        <w:rPr>
          <w:rFonts w:asciiTheme="minorHAnsi" w:eastAsiaTheme="minorEastAsia" w:hAnsiTheme="minorHAnsi" w:cstheme="minorBidi"/>
          <w:noProof/>
          <w:kern w:val="2"/>
          <w:szCs w:val="24"/>
          <w:lang w:val="en-GB"/>
          <w14:ligatures w14:val="standardContextual"/>
        </w:rPr>
      </w:pPr>
      <w:r w:rsidRPr="00BD4007">
        <w:rPr>
          <w:b/>
        </w:rPr>
        <w:fldChar w:fldCharType="begin"/>
      </w:r>
      <w:r w:rsidRPr="00BD4007">
        <w:rPr>
          <w:b/>
        </w:rPr>
        <w:instrText xml:space="preserve"> TOC \t "PageHeading</w:instrText>
      </w:r>
      <w:r w:rsidR="004F51EE" w:rsidRPr="00BD4007">
        <w:rPr>
          <w:b/>
        </w:rPr>
        <w:instrText>;</w:instrText>
      </w:r>
      <w:r w:rsidRPr="00BD4007">
        <w:rPr>
          <w:b/>
        </w:rPr>
        <w:instrText xml:space="preserve">1" </w:instrText>
      </w:r>
      <w:r w:rsidRPr="00BD4007">
        <w:rPr>
          <w:b/>
        </w:rPr>
        <w:fldChar w:fldCharType="separate"/>
      </w:r>
      <w:r w:rsidR="00ED3151">
        <w:rPr>
          <w:noProof/>
        </w:rPr>
        <w:t>PROJET DE RÉSOLUTION LÉGISLATIVE DU PARLEMENT EUROPÉEN</w:t>
      </w:r>
      <w:r w:rsidR="00ED3151">
        <w:rPr>
          <w:noProof/>
        </w:rPr>
        <w:tab/>
      </w:r>
      <w:r w:rsidR="00ED3151">
        <w:rPr>
          <w:noProof/>
        </w:rPr>
        <w:fldChar w:fldCharType="begin"/>
      </w:r>
      <w:r w:rsidR="00ED3151">
        <w:rPr>
          <w:noProof/>
        </w:rPr>
        <w:instrText xml:space="preserve"> PAGEREF _Toc229066278 \h </w:instrText>
      </w:r>
      <w:r w:rsidR="00ED3151">
        <w:rPr>
          <w:noProof/>
        </w:rPr>
      </w:r>
      <w:r w:rsidR="00ED3151">
        <w:rPr>
          <w:noProof/>
        </w:rPr>
        <w:fldChar w:fldCharType="separate"/>
      </w:r>
      <w:r w:rsidR="00ED3151">
        <w:rPr>
          <w:noProof/>
        </w:rPr>
        <w:t>5</w:t>
      </w:r>
      <w:r w:rsidR="00ED3151">
        <w:rPr>
          <w:noProof/>
        </w:rPr>
        <w:fldChar w:fldCharType="end"/>
      </w:r>
    </w:p>
    <w:p w14:paraId="06BAFCEC" w14:textId="661087F5" w:rsidR="00ED3151" w:rsidRDefault="00ED3151">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_Toc229066279 \h </w:instrText>
      </w:r>
      <w:r>
        <w:rPr>
          <w:noProof/>
        </w:rPr>
      </w:r>
      <w:r>
        <w:rPr>
          <w:noProof/>
        </w:rPr>
        <w:fldChar w:fldCharType="separate"/>
      </w:r>
      <w:r>
        <w:rPr>
          <w:noProof/>
        </w:rPr>
        <w:t>23</w:t>
      </w:r>
      <w:r>
        <w:rPr>
          <w:noProof/>
        </w:rPr>
        <w:fldChar w:fldCharType="end"/>
      </w:r>
    </w:p>
    <w:p w14:paraId="4E85A18E" w14:textId="6BE50914" w:rsidR="00ED3151" w:rsidRDefault="00ED3151">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_Toc229066280 \h </w:instrText>
      </w:r>
      <w:r>
        <w:rPr>
          <w:noProof/>
        </w:rPr>
      </w:r>
      <w:r>
        <w:rPr>
          <w:noProof/>
        </w:rPr>
        <w:fldChar w:fldCharType="separate"/>
      </w:r>
      <w:r>
        <w:rPr>
          <w:noProof/>
        </w:rPr>
        <w:t>24</w:t>
      </w:r>
      <w:r>
        <w:rPr>
          <w:noProof/>
        </w:rPr>
        <w:fldChar w:fldCharType="end"/>
      </w:r>
    </w:p>
    <w:p w14:paraId="7793AAC9" w14:textId="55BFFBA6" w:rsidR="00ED3151" w:rsidRDefault="00ED3151">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_Toc229066281 \h </w:instrText>
      </w:r>
      <w:r>
        <w:rPr>
          <w:noProof/>
        </w:rPr>
      </w:r>
      <w:r>
        <w:rPr>
          <w:noProof/>
        </w:rPr>
        <w:fldChar w:fldCharType="separate"/>
      </w:r>
      <w:r>
        <w:rPr>
          <w:noProof/>
        </w:rPr>
        <w:t>25</w:t>
      </w:r>
      <w:r>
        <w:rPr>
          <w:noProof/>
        </w:rPr>
        <w:fldChar w:fldCharType="end"/>
      </w:r>
    </w:p>
    <w:p w14:paraId="0238601D" w14:textId="770BD7ED" w:rsidR="001A06D8" w:rsidRPr="00BD4007" w:rsidRDefault="006506C7" w:rsidP="002C16AB">
      <w:r w:rsidRPr="00BD4007">
        <w:rPr>
          <w:b/>
        </w:rPr>
        <w:fldChar w:fldCharType="end"/>
      </w:r>
    </w:p>
    <w:p w14:paraId="47CBF24E" w14:textId="6936A03F" w:rsidR="00ED0821" w:rsidRPr="00BD4007" w:rsidRDefault="00ED0821">
      <w:pPr>
        <w:pStyle w:val="PageHeading"/>
      </w:pPr>
      <w:r>
        <w:br w:type="page"/>
      </w:r>
      <w:r>
        <w:lastRenderedPageBreak/>
        <w:br w:type="page"/>
      </w:r>
      <w:bookmarkStart w:id="0" w:name="_Toc229066278"/>
      <w:r>
        <w:lastRenderedPageBreak/>
        <w:t>PROJET DE RÉSOLUTION LÉGISLATIVE DU PARLEMENT EUROPÉEN</w:t>
      </w:r>
      <w:bookmarkEnd w:id="0"/>
    </w:p>
    <w:p w14:paraId="66053D8E" w14:textId="77777777" w:rsidR="004F51EE" w:rsidRPr="00BD4007" w:rsidRDefault="004F51EE" w:rsidP="004F51EE">
      <w:pPr>
        <w:pStyle w:val="NormalBold"/>
      </w:pPr>
      <w:r>
        <w:t>sur la proposition de règlement du Parlement européen et du Conseil modifiant les règlements (UE) nº 1173/2011 et (UE) nº 473/2013 en ce qui concerne l’alignement sur le cadre de gouvernance économique de l’UE et la poursuite de la simplification de ce cadre</w:t>
      </w:r>
    </w:p>
    <w:p w14:paraId="1686E80D" w14:textId="28376829" w:rsidR="00ED0821" w:rsidRPr="00BD4007" w:rsidRDefault="004F51EE" w:rsidP="004F51EE">
      <w:pPr>
        <w:pStyle w:val="NormalBold12a"/>
      </w:pPr>
      <w:r>
        <w:t>(COM(2025)0591 – C10</w:t>
      </w:r>
      <w:r>
        <w:noBreakHyphen/>
        <w:t>0227/2025 – 2025/0311(COD))</w:t>
      </w:r>
    </w:p>
    <w:p w14:paraId="5080F8FD" w14:textId="39826F66" w:rsidR="00ED0821" w:rsidRPr="00BD4007" w:rsidRDefault="002C4481" w:rsidP="00B03ED6">
      <w:pPr>
        <w:pStyle w:val="NormalBold"/>
      </w:pPr>
      <w:r>
        <w:t>(Procédure législative ordinaire: première lecture)</w:t>
      </w:r>
    </w:p>
    <w:p w14:paraId="7EDCD993" w14:textId="28B8C208" w:rsidR="00ED0821" w:rsidRPr="00BD4007" w:rsidRDefault="002C4481">
      <w:pPr>
        <w:pStyle w:val="EPComma"/>
      </w:pPr>
      <w:r>
        <w:rPr>
          <w:i/>
        </w:rPr>
        <w:t>Le Parlement européen</w:t>
      </w:r>
      <w:r>
        <w:t>,</w:t>
      </w:r>
    </w:p>
    <w:p w14:paraId="7FB69825" w14:textId="77777777" w:rsidR="004F51EE" w:rsidRPr="00BD4007" w:rsidRDefault="00ED0821" w:rsidP="004F51EE">
      <w:pPr>
        <w:pStyle w:val="NormalHanging12a"/>
      </w:pPr>
      <w:r>
        <w:t>–</w:t>
      </w:r>
      <w:r>
        <w:tab/>
        <w:t>vu la proposition de la Commission au Parlement européen et au Conseil (COM(2025)0591),</w:t>
      </w:r>
    </w:p>
    <w:p w14:paraId="1AF7D195" w14:textId="77777777" w:rsidR="004F51EE" w:rsidRPr="00BD4007" w:rsidRDefault="004F51EE" w:rsidP="004F51EE">
      <w:pPr>
        <w:pStyle w:val="NormalHanging12a"/>
      </w:pPr>
      <w:r>
        <w:t>–</w:t>
      </w:r>
      <w:r>
        <w:tab/>
        <w:t>vu l’article 294, paragraphe 2, et l’article 114 du traité sur le fonctionnement de l’Union européenne, conformément auxquels la proposition lui a été présentée par la Commission (C10</w:t>
      </w:r>
      <w:r>
        <w:noBreakHyphen/>
        <w:t>0227/2025),</w:t>
      </w:r>
    </w:p>
    <w:p w14:paraId="30300AA3" w14:textId="77777777" w:rsidR="004F51EE" w:rsidRPr="00BD4007" w:rsidRDefault="004F51EE" w:rsidP="004F51EE">
      <w:pPr>
        <w:pStyle w:val="NormalHanging12a"/>
      </w:pPr>
      <w:r>
        <w:t>–</w:t>
      </w:r>
      <w:r>
        <w:tab/>
        <w:t>vu l’article 294, paragraphe 3, du traité sur le fonctionnement de l’Union européenne,</w:t>
      </w:r>
    </w:p>
    <w:p w14:paraId="3E14C9F6" w14:textId="77777777" w:rsidR="004F51EE" w:rsidRPr="00BD4007" w:rsidRDefault="004F51EE" w:rsidP="004F51EE">
      <w:pPr>
        <w:pStyle w:val="NormalHanging12a"/>
      </w:pPr>
      <w:r>
        <w:t>–</w:t>
      </w:r>
      <w:r>
        <w:tab/>
        <w:t>vu l’avis de la Banque centrale européenne du 18 novembre 2025</w:t>
      </w:r>
      <w:r w:rsidRPr="00BD4007">
        <w:rPr>
          <w:vertAlign w:val="superscript"/>
        </w:rPr>
        <w:footnoteReference w:id="1"/>
      </w:r>
      <w:r>
        <w:t>,</w:t>
      </w:r>
    </w:p>
    <w:p w14:paraId="3E94A56E" w14:textId="77777777" w:rsidR="004F51EE" w:rsidRPr="00BD4007" w:rsidRDefault="004F51EE" w:rsidP="004F51EE">
      <w:pPr>
        <w:pStyle w:val="NormalHanging12a"/>
      </w:pPr>
      <w:r>
        <w:t>–</w:t>
      </w:r>
      <w:r>
        <w:tab/>
        <w:t xml:space="preserve">vu l’article 60 de son règlement intérieur,  </w:t>
      </w:r>
    </w:p>
    <w:p w14:paraId="679B363D" w14:textId="77777777" w:rsidR="004F51EE" w:rsidRPr="00BD4007" w:rsidRDefault="004F51EE" w:rsidP="004F51EE">
      <w:pPr>
        <w:pStyle w:val="NormalHanging12a"/>
      </w:pPr>
      <w:r>
        <w:t>–</w:t>
      </w:r>
      <w:r>
        <w:tab/>
        <w:t>vu le rapport de la commission des affaires économiques et monétaires (A10-0099/2026),</w:t>
      </w:r>
    </w:p>
    <w:p w14:paraId="487CB4BA" w14:textId="77777777" w:rsidR="004F51EE" w:rsidRPr="00BD4007" w:rsidRDefault="004F51EE" w:rsidP="004F51EE">
      <w:pPr>
        <w:pStyle w:val="NormalHanging12a"/>
      </w:pPr>
      <w:r>
        <w:t>1.</w:t>
      </w:r>
      <w:r>
        <w:tab/>
        <w:t>arrête la position en première lecture figurant ci-après;</w:t>
      </w:r>
    </w:p>
    <w:p w14:paraId="732E12FE" w14:textId="77777777" w:rsidR="004F51EE" w:rsidRPr="00BD4007" w:rsidRDefault="004F51EE" w:rsidP="004F51EE">
      <w:pPr>
        <w:pStyle w:val="NormalHanging12a"/>
      </w:pPr>
      <w:r>
        <w:t>2.</w:t>
      </w:r>
      <w:r>
        <w:tab/>
        <w:t>demande à la Commission de le saisir à nouveau, si elle remplace, modifie de manière substantielle ou entend modifier de manière substantielle sa proposition;</w:t>
      </w:r>
    </w:p>
    <w:p w14:paraId="7552DF06" w14:textId="77777777" w:rsidR="00FB045D" w:rsidRDefault="004F51EE" w:rsidP="004F51EE">
      <w:pPr>
        <w:pStyle w:val="NormalHanging12a"/>
        <w:sectPr w:rsidR="00FB045D" w:rsidSect="004F51E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cols w:space="720"/>
          <w:titlePg/>
        </w:sectPr>
      </w:pPr>
      <w:r>
        <w:t>3.</w:t>
      </w:r>
      <w:r>
        <w:tab/>
        <w:t>charge sa Présidente de transmettre la position du Parlement au Conseil et à la Commission ainsi qu’aux parlements nationaux.</w:t>
      </w:r>
    </w:p>
    <w:p w14:paraId="4BEC1B8F" w14:textId="5A25FD5F" w:rsidR="005508B4" w:rsidRPr="00BD4007" w:rsidRDefault="002C4481" w:rsidP="005508B4">
      <w:pPr>
        <w:pStyle w:val="AmNumberTabs"/>
        <w:keepNext/>
      </w:pPr>
      <w:r>
        <w:lastRenderedPageBreak/>
        <w:t>Amendement</w:t>
      </w:r>
      <w:r>
        <w:tab/>
      </w:r>
      <w:r>
        <w:tab/>
        <w:t>1</w:t>
      </w:r>
    </w:p>
    <w:p w14:paraId="3BEA2147" w14:textId="0F36B85B" w:rsidR="00DD5DB1" w:rsidRPr="00BD4007" w:rsidRDefault="002C4481" w:rsidP="00DD5DB1">
      <w:pPr>
        <w:pStyle w:val="AmHeadingConsam"/>
      </w:pPr>
      <w:r>
        <w:t>AMENDEMENTS DU PARLEMENT EUROPÉEN</w:t>
      </w:r>
      <w:r>
        <w:rPr>
          <w:rStyle w:val="FootnoteReference"/>
        </w:rPr>
        <w:footnoteReference w:customMarkFollows="1" w:id="2"/>
        <w:t>*</w:t>
      </w:r>
    </w:p>
    <w:p w14:paraId="200B82F4" w14:textId="7B0E9D68" w:rsidR="00DD5DB1" w:rsidRPr="00BD4007" w:rsidRDefault="002C4481" w:rsidP="0050599C">
      <w:pPr>
        <w:pStyle w:val="NormalCenter12a"/>
      </w:pPr>
      <w:r>
        <w:t>à la proposition de la Commission</w:t>
      </w:r>
    </w:p>
    <w:p w14:paraId="74AB7C2A" w14:textId="77777777" w:rsidR="00842A4F" w:rsidRPr="00BD4007" w:rsidRDefault="00842A4F" w:rsidP="0050599C">
      <w:pPr>
        <w:pStyle w:val="NormalCenter12a"/>
      </w:pPr>
      <w:r>
        <w:t>---------------------------------------------------------</w:t>
      </w:r>
    </w:p>
    <w:p w14:paraId="388F5CBA" w14:textId="77777777" w:rsidR="004F51EE" w:rsidRPr="00BD4007" w:rsidRDefault="004F51EE" w:rsidP="004F51EE">
      <w:pPr>
        <w:pStyle w:val="Rfrenceinterinstitutionnelle"/>
        <w:rPr>
          <w:noProof/>
        </w:rPr>
      </w:pPr>
      <w:r>
        <w:t>2025/0311(COD)</w:t>
      </w:r>
    </w:p>
    <w:p w14:paraId="6EE50CAE" w14:textId="77777777" w:rsidR="004F51EE" w:rsidRPr="00BD4007" w:rsidRDefault="004F51EE" w:rsidP="004F51EE">
      <w:pPr>
        <w:widowControl/>
        <w:spacing w:before="360"/>
        <w:jc w:val="center"/>
        <w:rPr>
          <w:rFonts w:eastAsia="Calibri"/>
          <w:noProof/>
          <w:szCs w:val="22"/>
        </w:rPr>
      </w:pPr>
      <w:r>
        <w:t>Proposition de</w:t>
      </w:r>
    </w:p>
    <w:p w14:paraId="6424697E" w14:textId="77777777" w:rsidR="004F51EE" w:rsidRPr="00BD4007" w:rsidRDefault="004F51EE" w:rsidP="004F51EE">
      <w:pPr>
        <w:widowControl/>
        <w:spacing w:before="360"/>
        <w:jc w:val="center"/>
        <w:rPr>
          <w:rFonts w:eastAsia="Calibri"/>
          <w:b/>
          <w:noProof/>
          <w:szCs w:val="22"/>
        </w:rPr>
      </w:pPr>
      <w:r>
        <w:rPr>
          <w:b/>
        </w:rPr>
        <w:t>RÈGLEMENT DU PARLEMENT EUROPÉEN ET DU CONSEIL</w:t>
      </w:r>
    </w:p>
    <w:p w14:paraId="63EFF165" w14:textId="77777777" w:rsidR="004F51EE" w:rsidRPr="00BD4007" w:rsidRDefault="004F51EE" w:rsidP="004F51EE">
      <w:pPr>
        <w:widowControl/>
        <w:spacing w:before="360" w:after="360"/>
        <w:jc w:val="center"/>
        <w:rPr>
          <w:rFonts w:eastAsia="Calibri"/>
          <w:b/>
          <w:noProof/>
          <w:szCs w:val="22"/>
        </w:rPr>
      </w:pPr>
      <w:r>
        <w:rPr>
          <w:b/>
        </w:rPr>
        <w:t>modifiant les règlements (UE) nº 1173/2011 et (UE) nº 473/2013 en ce qui concerne l’alignement sur le cadre de gouvernance économique de l’UE et la poursuite de la simplification de ce cadre</w:t>
      </w:r>
    </w:p>
    <w:p w14:paraId="070C9BBE" w14:textId="77777777" w:rsidR="004F51EE" w:rsidRPr="00BD4007" w:rsidRDefault="004F51EE" w:rsidP="004F51EE">
      <w:pPr>
        <w:keepNext/>
        <w:widowControl/>
        <w:spacing w:before="600" w:after="120"/>
        <w:jc w:val="both"/>
        <w:rPr>
          <w:rFonts w:eastAsia="Calibri"/>
          <w:noProof/>
          <w:szCs w:val="22"/>
        </w:rPr>
      </w:pPr>
      <w:r>
        <w:t>LE PARLEMENT EUROPÉEN ET LE CONSEIL DE L’UNION EUROPÉENNE,</w:t>
      </w:r>
    </w:p>
    <w:p w14:paraId="09BF78A8" w14:textId="77777777" w:rsidR="004F51EE" w:rsidRPr="00BD4007" w:rsidRDefault="004F51EE" w:rsidP="004F51EE">
      <w:pPr>
        <w:widowControl/>
        <w:spacing w:before="120" w:after="120"/>
        <w:jc w:val="both"/>
        <w:rPr>
          <w:rFonts w:eastAsia="Calibri"/>
          <w:noProof/>
          <w:szCs w:val="22"/>
        </w:rPr>
      </w:pPr>
      <w:r>
        <w:t xml:space="preserve">vu le traité sur le fonctionnement de l’Union européenne, et notamment </w:t>
      </w:r>
      <w:bookmarkStart w:id="1" w:name="_Hlk205285112"/>
      <w:r>
        <w:t>son article 121, paragraphe 6, en liaison avec son article 136</w:t>
      </w:r>
      <w:bookmarkEnd w:id="1"/>
      <w:r>
        <w:t>,</w:t>
      </w:r>
    </w:p>
    <w:p w14:paraId="11847417" w14:textId="77777777" w:rsidR="004F51EE" w:rsidRPr="00BD4007" w:rsidRDefault="004F51EE" w:rsidP="004F51EE">
      <w:pPr>
        <w:widowControl/>
        <w:spacing w:before="120" w:after="120"/>
        <w:jc w:val="both"/>
        <w:rPr>
          <w:rFonts w:eastAsia="Calibri"/>
          <w:noProof/>
          <w:szCs w:val="22"/>
        </w:rPr>
      </w:pPr>
      <w:r>
        <w:t>vu la proposition de la Commission européenne,</w:t>
      </w:r>
    </w:p>
    <w:p w14:paraId="21664C88" w14:textId="77777777" w:rsidR="004F51EE" w:rsidRPr="00BD4007" w:rsidRDefault="004F51EE" w:rsidP="004F51EE">
      <w:pPr>
        <w:widowControl/>
        <w:spacing w:before="120" w:after="120"/>
        <w:jc w:val="both"/>
        <w:rPr>
          <w:rFonts w:eastAsia="Calibri"/>
          <w:noProof/>
          <w:szCs w:val="22"/>
        </w:rPr>
      </w:pPr>
      <w:bookmarkStart w:id="2" w:name="_Hlk205285128"/>
      <w:r>
        <w:t>après transmission du projet d’acte législatif aux parlements nationaux,</w:t>
      </w:r>
    </w:p>
    <w:p w14:paraId="6C92BD65" w14:textId="77777777" w:rsidR="004F51EE" w:rsidRPr="00BD4007" w:rsidRDefault="004F51EE" w:rsidP="004F51EE">
      <w:pPr>
        <w:widowControl/>
        <w:spacing w:before="120" w:after="120"/>
        <w:jc w:val="both"/>
        <w:rPr>
          <w:rFonts w:eastAsia="Calibri"/>
          <w:noProof/>
          <w:szCs w:val="22"/>
        </w:rPr>
      </w:pPr>
      <w:r>
        <w:t>vu l’avis de la Banque centrale européenne</w:t>
      </w:r>
      <w:r w:rsidRPr="00BD4007">
        <w:rPr>
          <w:rFonts w:eastAsia="Calibri"/>
          <w:noProof/>
          <w:szCs w:val="22"/>
          <w:vertAlign w:val="superscript"/>
          <w:lang w:eastAsia="en-US"/>
        </w:rPr>
        <w:footnoteReference w:id="3"/>
      </w:r>
      <w:r>
        <w:t>,</w:t>
      </w:r>
    </w:p>
    <w:p w14:paraId="5478AA2D" w14:textId="77777777" w:rsidR="004F51EE" w:rsidRPr="00BD4007" w:rsidRDefault="004F51EE" w:rsidP="004F51EE">
      <w:pPr>
        <w:widowControl/>
        <w:spacing w:before="120" w:after="120"/>
        <w:jc w:val="both"/>
        <w:rPr>
          <w:rFonts w:eastAsia="Calibri"/>
          <w:noProof/>
          <w:szCs w:val="22"/>
        </w:rPr>
      </w:pPr>
      <w:r>
        <w:t>statuant conformément à la procédure législative ordinaire</w:t>
      </w:r>
      <w:bookmarkEnd w:id="2"/>
      <w:r>
        <w:t>,</w:t>
      </w:r>
    </w:p>
    <w:p w14:paraId="34255C23" w14:textId="77777777" w:rsidR="004F51EE" w:rsidRPr="00BD4007" w:rsidRDefault="004F51EE" w:rsidP="004F51EE">
      <w:pPr>
        <w:widowControl/>
        <w:spacing w:before="120" w:after="160"/>
        <w:jc w:val="both"/>
        <w:rPr>
          <w:rFonts w:eastAsia="Calibri"/>
          <w:noProof/>
          <w:szCs w:val="22"/>
        </w:rPr>
      </w:pPr>
      <w:r>
        <w:t xml:space="preserve">considérant ce qui suit: </w:t>
      </w:r>
    </w:p>
    <w:p w14:paraId="184C71C0" w14:textId="77777777" w:rsidR="004F51EE" w:rsidRPr="00BD4007" w:rsidRDefault="004F51EE" w:rsidP="004F51EE">
      <w:pPr>
        <w:widowControl/>
        <w:spacing w:before="120" w:after="120"/>
        <w:ind w:left="850" w:hanging="850"/>
        <w:jc w:val="both"/>
        <w:rPr>
          <w:rFonts w:eastAsia="Calibri"/>
          <w:noProof/>
          <w:szCs w:val="22"/>
        </w:rPr>
      </w:pPr>
      <w:r>
        <w:t>(1)</w:t>
      </w:r>
      <w:r>
        <w:tab/>
        <w:t xml:space="preserve">Le cadre de gouvernance économique de l’Union a été réformé en 2024. L’objectif de la réforme est de faciliter une surveillance économique efficace, ancrée dans un cadre commun qui garantisse l’égalité de traitement et la coordination multilatérale des politiques. Les objectifs de la réforme étaient de continuer à encourager des finances publiques saines et soutenables, une croissance saine et inclusive et la résilience au moyen de réformes et d’investissements, de prévenir l’apparition de déficits excessifs et de renforcer l’appropriation nationale. Pour atteindre ces objectifs, la réforme a introduit de nouveaux concepts et modifié la structure du cadre de gouvernance économique de l’Union. La réforme a été mise en œuvre par l’adoption du </w:t>
      </w:r>
      <w:r>
        <w:lastRenderedPageBreak/>
        <w:t>règlement (UE) 2024/1263 du Parlement européen et du Conseil</w:t>
      </w:r>
      <w:r w:rsidRPr="00BD4007">
        <w:rPr>
          <w:rFonts w:eastAsia="Calibri"/>
          <w:noProof/>
          <w:szCs w:val="22"/>
          <w:vertAlign w:val="superscript"/>
          <w:lang w:eastAsia="en-US"/>
        </w:rPr>
        <w:footnoteReference w:id="4"/>
      </w:r>
      <w:r>
        <w:t>, du règlement (UE) 2024/1264 du Conseil</w:t>
      </w:r>
      <w:r w:rsidRPr="00BD4007">
        <w:rPr>
          <w:rFonts w:eastAsia="Calibri"/>
          <w:noProof/>
          <w:szCs w:val="22"/>
          <w:vertAlign w:val="superscript"/>
          <w:lang w:eastAsia="en-US"/>
        </w:rPr>
        <w:footnoteReference w:id="5"/>
      </w:r>
      <w:r>
        <w:t xml:space="preserve"> et de la directive (UE) 2024/1265 du Conseil</w:t>
      </w:r>
      <w:r w:rsidRPr="00BD4007">
        <w:rPr>
          <w:rFonts w:eastAsia="Calibri"/>
          <w:noProof/>
          <w:szCs w:val="22"/>
          <w:vertAlign w:val="superscript"/>
          <w:lang w:eastAsia="en-US"/>
        </w:rPr>
        <w:footnoteReference w:id="6"/>
      </w:r>
      <w:r>
        <w:t>.</w:t>
      </w:r>
    </w:p>
    <w:p w14:paraId="47B48DB8" w14:textId="77777777" w:rsidR="004F51EE" w:rsidRPr="00BD4007" w:rsidRDefault="004F51EE" w:rsidP="004F51EE">
      <w:pPr>
        <w:widowControl/>
        <w:spacing w:before="120" w:after="120"/>
        <w:ind w:left="850" w:hanging="850"/>
        <w:jc w:val="both"/>
        <w:rPr>
          <w:rFonts w:eastAsia="Calibri"/>
          <w:noProof/>
          <w:szCs w:val="22"/>
        </w:rPr>
      </w:pPr>
      <w:r>
        <w:t>(2)</w:t>
      </w:r>
      <w:r>
        <w:tab/>
        <w:t>Dans sa communication du 11 février 2025 intitulée «Une Europe plus simple et plus rapide: Communication sur la mise en œuvre et la simplification»</w:t>
      </w:r>
      <w:r w:rsidRPr="00BD4007">
        <w:rPr>
          <w:rFonts w:eastAsia="Calibri"/>
          <w:noProof/>
          <w:szCs w:val="22"/>
          <w:vertAlign w:val="superscript"/>
          <w:lang w:eastAsia="en-US"/>
        </w:rPr>
        <w:footnoteReference w:id="7"/>
      </w:r>
      <w:r>
        <w:t>, la Commission a exposé une vision d’un programme de mise en œuvre et de simplification qui vise à stimuler la compétitivité et à préserver les objectifs économiques, sociaux et environnementaux en réduisant les charges réglementaires et en simplifiant la législation de l’Union, ce qui facilitera sa mise en œuvre.</w:t>
      </w:r>
    </w:p>
    <w:p w14:paraId="74ADA3CF" w14:textId="77777777" w:rsidR="004F51EE" w:rsidRPr="00BD4007" w:rsidRDefault="004F51EE" w:rsidP="004F51EE">
      <w:pPr>
        <w:widowControl/>
        <w:spacing w:before="120" w:after="120"/>
        <w:ind w:left="850" w:hanging="850"/>
        <w:jc w:val="both"/>
        <w:rPr>
          <w:rFonts w:eastAsia="Calibri"/>
          <w:noProof/>
          <w:szCs w:val="22"/>
        </w:rPr>
      </w:pPr>
      <w:r>
        <w:t>(3)</w:t>
      </w:r>
      <w:r>
        <w:tab/>
        <w:t>Dans le contexte de la réforme du cadre de gouvernance économique de l’Union de 2024 et en vue de simplifier, de consolider et de codifier la législation, il est nécessaire de modifier les règlements (UE) nº 1173/2011</w:t>
      </w:r>
      <w:r w:rsidRPr="00BD4007">
        <w:rPr>
          <w:rFonts w:eastAsia="Calibri"/>
          <w:noProof/>
          <w:szCs w:val="22"/>
          <w:vertAlign w:val="superscript"/>
          <w:lang w:eastAsia="en-US"/>
        </w:rPr>
        <w:footnoteReference w:id="8"/>
      </w:r>
      <w:r>
        <w:t xml:space="preserve"> et (UE) nº 473/2013</w:t>
      </w:r>
      <w:r w:rsidRPr="00BD4007">
        <w:rPr>
          <w:rFonts w:eastAsia="Calibri"/>
          <w:noProof/>
          <w:szCs w:val="22"/>
          <w:vertAlign w:val="superscript"/>
          <w:lang w:eastAsia="en-US"/>
        </w:rPr>
        <w:footnoteReference w:id="9"/>
      </w:r>
      <w:r>
        <w:t xml:space="preserve"> du Parlement européen et du Conseil afin d’assurer la cohérence avec d’autres actes du cadre de gouvernance économique et de contribuer à sa rationalisation et à sa simplification.</w:t>
      </w:r>
    </w:p>
    <w:p w14:paraId="44721F7B" w14:textId="77777777" w:rsidR="004F51EE" w:rsidRPr="00BD4007" w:rsidRDefault="004F51EE" w:rsidP="004F51EE">
      <w:pPr>
        <w:widowControl/>
        <w:spacing w:before="120" w:after="120"/>
        <w:ind w:left="850" w:hanging="850"/>
        <w:jc w:val="both"/>
        <w:rPr>
          <w:rFonts w:eastAsia="Calibri"/>
          <w:noProof/>
          <w:szCs w:val="22"/>
        </w:rPr>
      </w:pPr>
      <w:r>
        <w:t>(4)</w:t>
      </w:r>
      <w:r>
        <w:tab/>
        <w:t xml:space="preserve">Les États membres dont la monnaie est l’euro ont un intérêt et une responsabilité particuliers à mener des politiques économiques qui contribuent au bon fonctionnement de l’Union économique et monétaire et à éviter toute politique susceptible de le compromettre. L’article 136 du TFUE permet d’adopter, dans la zone euro, des mesures spécifiques allant au-delà des dispositions applicables à tous les États membres, afin d’assurer le bon fonctionnement de l’Union économique et monétaire, y compris les sanctions supplémentaires instaurées par le règlement (UE) nº 1173/2011, afin de renforcer la crédibilité du cadre de surveillance budgétaire de l’Union et de dissuader de faire des déclarations erronées, intentionnellement ou par négligence grave, au sujet des données relatives au déficit public et à la dette publique, qui constituent un élément essentiel de la coordination des politiques économiques dans l’Union.  </w:t>
      </w:r>
    </w:p>
    <w:p w14:paraId="692E7F15" w14:textId="77777777" w:rsidR="004F51EE" w:rsidRPr="00BD4007" w:rsidRDefault="004F51EE" w:rsidP="004F51EE">
      <w:pPr>
        <w:widowControl/>
        <w:spacing w:before="120" w:after="120"/>
        <w:ind w:left="850" w:hanging="850"/>
        <w:jc w:val="both"/>
        <w:rPr>
          <w:rFonts w:eastAsia="Calibri"/>
          <w:noProof/>
          <w:szCs w:val="22"/>
        </w:rPr>
      </w:pPr>
      <w:r>
        <w:t>(5)</w:t>
      </w:r>
      <w:r>
        <w:tab/>
        <w:t xml:space="preserve">L’un des principaux objectifs de la réforme du cadre de gouvernance économique de l’Union de 2024 était de renforcer la surveillance budgétaire et les procédures d’exécution afin de tenir l’engagement de favoriser des finances publiques saines et soutenables et une croissance durable et inclusive. Les mécanismes d’exécution ont donc été renforcés, notamment en facilitant le recours effectif à des sanctions </w:t>
      </w:r>
      <w:r>
        <w:lastRenderedPageBreak/>
        <w:t>financières par la réduction de leurs montants. Conformément à la réforme de 2024, il convient de modifier le règlement (UE) nº 1173/2011 afin de garantir sa cohérence avec d’autres éléments du cadre, à savoir les dispositions du règlement (UE) 2024/1263 et du règlement (CE) nº 1467/97</w:t>
      </w:r>
      <w:r w:rsidRPr="00BD4007">
        <w:rPr>
          <w:rFonts w:eastAsia="Calibri"/>
          <w:noProof/>
          <w:szCs w:val="22"/>
          <w:vertAlign w:val="superscript"/>
          <w:lang w:eastAsia="en-US"/>
        </w:rPr>
        <w:footnoteReference w:id="10"/>
      </w:r>
      <w:r>
        <w:t xml:space="preserve">. </w:t>
      </w:r>
    </w:p>
    <w:p w14:paraId="37CE3AD2" w14:textId="77777777" w:rsidR="004F51EE" w:rsidRPr="00BD4007" w:rsidRDefault="004F51EE" w:rsidP="004F51EE">
      <w:pPr>
        <w:widowControl/>
        <w:spacing w:before="120" w:after="120"/>
        <w:ind w:left="850" w:hanging="850"/>
        <w:jc w:val="both"/>
        <w:rPr>
          <w:rFonts w:eastAsia="Calibri"/>
          <w:noProof/>
          <w:szCs w:val="22"/>
        </w:rPr>
      </w:pPr>
      <w:r>
        <w:t>(6)</w:t>
      </w:r>
      <w:r>
        <w:tab/>
        <w:t>La réforme du cadre de gouvernance économique de l’Union de 2024 a éliminé le concept d’écart important et la procédure connexe des exigences du règlement (UE) 2024/1263, conformément à l’intention des colégislateurs de simplifier le cadre budgétaire et d’appliquer une approche fondée sur les risques. Avec la suppression de la procédure pour écart important, l’obligation pour un État membre de constituer auprès de la Commission un dépôt portant intérêt, en raison du non-respect d’une procédure pour écart important, devrait être supprimée du règlement (UE) nº 1173/2011. L’article 1</w:t>
      </w:r>
      <w:r>
        <w:rPr>
          <w:vertAlign w:val="superscript"/>
        </w:rPr>
        <w:t>er</w:t>
      </w:r>
      <w:r>
        <w:t>, point 10, du règlement (UE) 2024/1264 a modifié le règlement (CE) nº 1467/97 en réduisant le montant des sanctions financières autorisées au titre du volet correctif, tout en rendant l’imposition de ces sanctions plus progressive. Il convient de modifier le règlement (UE) nº 1173/2011 afin de tenir compte de ces principes régissant l’imposition de sanctions financières pour ce qui est de l’imposition d’amendes.</w:t>
      </w:r>
    </w:p>
    <w:p w14:paraId="7DB35D3B" w14:textId="77777777" w:rsidR="004F51EE" w:rsidRPr="00BD4007" w:rsidRDefault="004F51EE" w:rsidP="004F51EE">
      <w:pPr>
        <w:widowControl/>
        <w:spacing w:before="120" w:after="120"/>
        <w:ind w:left="850" w:hanging="850"/>
        <w:jc w:val="both"/>
        <w:rPr>
          <w:rFonts w:eastAsia="Calibri"/>
          <w:noProof/>
          <w:szCs w:val="22"/>
        </w:rPr>
      </w:pPr>
      <w:r>
        <w:t>(7)</w:t>
      </w:r>
      <w:r>
        <w:tab/>
      </w:r>
      <w:r>
        <w:rPr>
          <w:b/>
          <w:i/>
        </w:rPr>
        <w:t>Afin de renforcer le dialogue entre les institutions de l’Union, en particulier le Parlement européen, le Conseil et la Commission, et pour accroître la transparence et la responsabilité</w:t>
      </w:r>
      <w:r>
        <w:t>, le règlement (UE) nº 1173/2011 permet un dialogue économique entre les institutions de l’Union, à l’invitation de la commission compétente du Parlement européen, afin d’examiner les décisions prises en ce qui concerne l’imposition de sanctions financières en cas de non-respect des règles budgétaires de l’Union. ▌</w:t>
      </w:r>
    </w:p>
    <w:p w14:paraId="650CA38E" w14:textId="77777777" w:rsidR="004F51EE" w:rsidRPr="00BD4007" w:rsidRDefault="004F51EE" w:rsidP="004F51EE">
      <w:pPr>
        <w:widowControl/>
        <w:spacing w:before="120" w:after="120"/>
        <w:ind w:left="850" w:hanging="850"/>
        <w:jc w:val="both"/>
        <w:rPr>
          <w:rFonts w:eastAsia="Calibri"/>
          <w:noProof/>
          <w:szCs w:val="22"/>
        </w:rPr>
      </w:pPr>
      <w:r>
        <w:t>(8)</w:t>
      </w:r>
      <w:r>
        <w:tab/>
        <w:t>Le pouvoir d’adopter des actes délégués relatifs à l’imposition de sanctions concernant la manipulation des statistiques, conféré à la Commission en vertu du règlement (UE) nº 1173/2011, n’est plus nécessaire et devrait être supprimé.</w:t>
      </w:r>
    </w:p>
    <w:p w14:paraId="30EB79FE" w14:textId="77777777" w:rsidR="004F51EE" w:rsidRPr="00BD4007" w:rsidRDefault="004F51EE" w:rsidP="004F51EE">
      <w:pPr>
        <w:widowControl/>
        <w:spacing w:before="120" w:after="120"/>
        <w:ind w:left="850" w:hanging="850"/>
        <w:jc w:val="both"/>
        <w:rPr>
          <w:rFonts w:eastAsia="Calibri"/>
          <w:noProof/>
          <w:szCs w:val="22"/>
        </w:rPr>
      </w:pPr>
      <w:r>
        <w:t>(9)</w:t>
      </w:r>
      <w:r>
        <w:tab/>
        <w:t>Il convient de modifier le règlement (UE) nº 1173/2011 afin de préciser le délai et les éléments à inclure dans le rapport de la Commission sur l’application dudit règlement.</w:t>
      </w:r>
    </w:p>
    <w:p w14:paraId="54B3E555" w14:textId="77777777" w:rsidR="004F51EE" w:rsidRPr="00BD4007" w:rsidRDefault="004F51EE" w:rsidP="004F51EE">
      <w:pPr>
        <w:widowControl/>
        <w:spacing w:before="120" w:after="120"/>
        <w:ind w:left="850" w:hanging="850"/>
        <w:jc w:val="both"/>
        <w:rPr>
          <w:rFonts w:eastAsia="Calibri"/>
          <w:noProof/>
          <w:szCs w:val="22"/>
        </w:rPr>
      </w:pPr>
      <w:r>
        <w:t>(10)</w:t>
      </w:r>
      <w:r>
        <w:tab/>
        <w:t>Les plans budgétaires et structurels nationaux à moyen terme, introduits par le règlement (UE) 2024/1263, constituent la pierre angulaire de la réforme de 2024. Ils ont remplacé les programmes de stabilité et de convergence et les programmes nationaux de réforme, rassemblant ainsi les engagements en matière de budget, de réforme et d’investissement de chaque État membre dans un cadre commun. Il convient de modifier le règlement (UE) nº 473/2013 afin de tenir compte de l’introduction des plans budgétaires et structurels nationaux à moyen terme dans le cadre commun.</w:t>
      </w:r>
    </w:p>
    <w:p w14:paraId="1471C27A" w14:textId="77777777" w:rsidR="004F51EE" w:rsidRPr="00BD4007" w:rsidRDefault="004F51EE" w:rsidP="004F51EE">
      <w:pPr>
        <w:widowControl/>
        <w:spacing w:before="120" w:after="120"/>
        <w:ind w:left="851" w:hanging="851"/>
        <w:jc w:val="both"/>
        <w:rPr>
          <w:rFonts w:eastAsia="Calibri"/>
          <w:noProof/>
          <w:szCs w:val="22"/>
        </w:rPr>
      </w:pPr>
      <w:r>
        <w:rPr>
          <w:b/>
          <w:i/>
        </w:rPr>
        <w:t>(10 bis)</w:t>
      </w:r>
      <w:r>
        <w:rPr>
          <w:b/>
          <w:i/>
        </w:rPr>
        <w:tab/>
        <w:t xml:space="preserve">Le règlement (UE) 2024/1263 exige que les plans budgétaires et structurels nationaux à moyen terme répondent aux priorités communes de l’Union. Conformément à l’article 13, point c), dudit règlement, ces priorités communes comprennent une transition écologique et numérique équitable, y compris les objectifs climatiques fixés dans le règlement (UE) 2021/1119 du Parlement </w:t>
      </w:r>
      <w:r>
        <w:rPr>
          <w:b/>
          <w:i/>
        </w:rPr>
        <w:lastRenderedPageBreak/>
        <w:t>européen et du Conseil</w:t>
      </w:r>
      <w:r w:rsidRPr="00BD4007">
        <w:rPr>
          <w:rStyle w:val="FootnoteReference"/>
          <w:rFonts w:eastAsia="Calibri"/>
          <w:b/>
          <w:bCs/>
          <w:i/>
          <w:iCs/>
          <w:noProof/>
          <w:szCs w:val="22"/>
          <w:lang w:eastAsia="en-US"/>
        </w:rPr>
        <w:footnoteReference w:id="11"/>
      </w:r>
      <w:r>
        <w:rPr>
          <w:b/>
          <w:i/>
        </w:rPr>
        <w:t>, ainsi que la résilience sociale et économique, y compris le socle européen des droits sociaux, la sécurité énergétique et, lorsque cela est nécessaire, le renforcement des capacités de défense.</w:t>
      </w:r>
    </w:p>
    <w:p w14:paraId="6B3E7891" w14:textId="77777777" w:rsidR="004F51EE" w:rsidRPr="00BD4007" w:rsidRDefault="004F51EE" w:rsidP="004F51EE">
      <w:pPr>
        <w:widowControl/>
        <w:spacing w:before="120" w:after="120"/>
        <w:ind w:left="851" w:hanging="851"/>
        <w:jc w:val="both"/>
        <w:rPr>
          <w:rFonts w:eastAsia="Calibri"/>
          <w:noProof/>
          <w:szCs w:val="22"/>
        </w:rPr>
      </w:pPr>
      <w:r>
        <w:t>(11)</w:t>
      </w:r>
      <w:r>
        <w:tab/>
        <w:t>Le règlement (UE) 2024/1263 établissait des dispositions visant à assurer la cohérence avec le règlement (UE) nº 1176/2011 du Parlement européen et du Conseil</w:t>
      </w:r>
      <w:r w:rsidRPr="00BD4007">
        <w:rPr>
          <w:rFonts w:eastAsia="Calibri"/>
          <w:noProof/>
          <w:szCs w:val="22"/>
          <w:vertAlign w:val="superscript"/>
          <w:lang w:eastAsia="en-US"/>
        </w:rPr>
        <w:footnoteReference w:id="12"/>
      </w:r>
      <w:r>
        <w:t>, notamment en intégrant dans la procédure prévue par le règlement (UE) 2024/1263 des mesures et des réformes à entreprendre dans le cadre de la procédure de prévention et de correction des déséquilibres macroéconomiques excessifs. En particulier, conformément à l’article 31, paragraphe 1, point a), du règlement (UE) 2024/1263, une mise en œuvre insatisfaisante des réformes et des investissements inclus dans le plan budgétaire et structurel national à moyen terme d’un État membre qui sont pertinents pour les déséquilibres macroéconomiques doit être prise en considération par la Commission lorsqu’elle procède à des bilans approfondis et lorsqu’elle examine s’il y a lieu de constater l’existence d’un déséquilibre excessif au titre du règlement (UE) nº 1176/2011. En outre, conformément à l’article 17, paragraphe 2, du règlement (UE) 2024/1263, lorsqu’une procédure concernant les déséquilibres excessifs est ouverte, l’État membre doit présenter un plan budgétaire et structurel à moyen terme révisé, qui doit également tenir lieu de plan de mesures correctives au titre du règlement (UE) nº 1176/2011.</w:t>
      </w:r>
    </w:p>
    <w:p w14:paraId="56A43FFF" w14:textId="77777777" w:rsidR="004F51EE" w:rsidRPr="00BD4007" w:rsidRDefault="004F51EE" w:rsidP="004F51EE">
      <w:pPr>
        <w:widowControl/>
        <w:spacing w:before="120" w:after="120"/>
        <w:ind w:left="850" w:hanging="850"/>
        <w:jc w:val="both"/>
        <w:rPr>
          <w:rFonts w:eastAsia="Calibri"/>
          <w:noProof/>
          <w:szCs w:val="22"/>
        </w:rPr>
      </w:pPr>
      <w:r>
        <w:t>(12)</w:t>
      </w:r>
      <w:r>
        <w:tab/>
        <w:t>Afin de simplifier le cadre budgétaire de l’Union et de renforcer la transparence, la réforme de 2024 a introduit un indicateur opérationnel unique fondé sur la soutenabilité de la dette, qui sert de base à la définition de la trajectoire budgétaire et à l’exercice de la surveillance budgétaire annuelle pour chaque État membre. Cet indicateur opérationnel unique, fondé sur la trajectoire des dépenses nettes, remplace l’objectif à moyen terme, le solde structurel, le critère des dépenses nettes et le critère de réduction de la dette du cadre budgétaire précédent. Les États membres faisant l’objet d’une procédure concernant les déficits excessifs (PDE) se voient fixer une trajectoire de correction des dépenses nettes sur la base du règlement (CE) nº 1467/97 du Conseil.</w:t>
      </w:r>
    </w:p>
    <w:p w14:paraId="7637F412" w14:textId="77777777" w:rsidR="004F51EE" w:rsidRPr="00BD4007" w:rsidRDefault="004F51EE" w:rsidP="004F51EE">
      <w:pPr>
        <w:widowControl/>
        <w:spacing w:before="120" w:after="120"/>
        <w:ind w:left="850" w:hanging="850"/>
        <w:jc w:val="both"/>
        <w:rPr>
          <w:rFonts w:eastAsia="Calibri"/>
          <w:noProof/>
          <w:szCs w:val="22"/>
        </w:rPr>
      </w:pPr>
      <w:r>
        <w:t>(13)</w:t>
      </w:r>
      <w:r>
        <w:tab/>
        <w:t>Afin de simplifier le cadre juridique, il convient de modifier la définition d’un organisme indépendant figurant dans le règlement (UE) nº 473/2013 afin de faire référence à l’article 8 </w:t>
      </w:r>
      <w:r>
        <w:rPr>
          <w:i/>
          <w:iCs/>
        </w:rPr>
        <w:t>bis</w:t>
      </w:r>
      <w:r>
        <w:t xml:space="preserve"> de la directive 2011/85/UE du Conseil</w:t>
      </w:r>
      <w:r w:rsidRPr="00BD4007">
        <w:rPr>
          <w:rFonts w:eastAsia="Calibri"/>
          <w:noProof/>
          <w:szCs w:val="22"/>
          <w:vertAlign w:val="superscript"/>
          <w:lang w:eastAsia="en-US"/>
        </w:rPr>
        <w:footnoteReference w:id="13"/>
      </w:r>
      <w:r>
        <w:t>, qui établit des dispositions visant à garantir que les exigences en matière de garanties d’indépendance, de ressources et de tâches s’appliquent à ces organismes indépendants dans tous les États membres. En outre, l’article 4, paragraphe 5, de la directive 2011/85/UE prévoit déjà un dialogue technique entre les États membres et la Commission concernant les hypothèses qui sous-tendent la préparation des prévisions macroéconomiques et budgétaires. Il n’est donc pas nécessaire d’inclure cette disposition dans le règlement (UE) nº 473/2013.</w:t>
      </w:r>
    </w:p>
    <w:p w14:paraId="5B9B5FF5" w14:textId="77777777" w:rsidR="004F51EE" w:rsidRPr="00BD4007" w:rsidRDefault="004F51EE" w:rsidP="004F51EE">
      <w:pPr>
        <w:widowControl/>
        <w:spacing w:before="120" w:after="120"/>
        <w:ind w:left="850" w:hanging="850"/>
        <w:jc w:val="both"/>
        <w:rPr>
          <w:rFonts w:eastAsia="Calibri"/>
          <w:noProof/>
          <w:szCs w:val="22"/>
        </w:rPr>
      </w:pPr>
      <w:r>
        <w:lastRenderedPageBreak/>
        <w:t>(14)</w:t>
      </w:r>
      <w:r>
        <w:tab/>
        <w:t xml:space="preserve">La directive 2011/85/UE établit les procédures applicables aux cadres budgétaires nationaux à moyen terme prévoyant l’adoption de la programmation budgétaire pluriannuelle. En outre, l’article 9, paragraphe 2, point c), de ladite directive fixe les paramètres des cadres budgétaires nationaux à moyen terme comprenant une description des politiques envisagées à moyen terme, y compris les réformes et les investissements, ayant une incidence sur les finances des administrations publiques et la croissance durable et inclusive. Afin de simplifier le cadre juridique, il convient de modifier le règlement (UE) nº 473/2013 afin d’éviter une répétition des dispositions énoncées dans la directive 2011/85/UE.  </w:t>
      </w:r>
    </w:p>
    <w:p w14:paraId="72BD18EF" w14:textId="77777777" w:rsidR="004F51EE" w:rsidRPr="00BD4007" w:rsidRDefault="004F51EE" w:rsidP="004F51EE">
      <w:pPr>
        <w:widowControl/>
        <w:spacing w:before="120" w:after="120"/>
        <w:ind w:left="850" w:hanging="850"/>
        <w:jc w:val="both"/>
        <w:rPr>
          <w:rFonts w:eastAsia="Calibri"/>
          <w:noProof/>
          <w:szCs w:val="22"/>
        </w:rPr>
      </w:pPr>
      <w:r>
        <w:t>(15)</w:t>
      </w:r>
      <w:r>
        <w:tab/>
        <w:t xml:space="preserve">Le règlement (UE) 2024/1263 prévoit que les institutions budgétaires indépendantes peuvent être invitées à émettre des avis sur les prévisions et les hypothèses macroéconomiques qui sous-tendent la trajectoire des dépenses nettes du plan budgétaire et structurel national à moyen terme ou du plan budgétaire et structurel national à moyen terme révisé. À partir de 2032, l’avis de ces institutions devient obligatoire, pour autant qu’elles aient constitué une capacité suffisante. En outre, les institutions budgétaires indépendantes peuvent être invitées à fournir une évaluation des résultats budgétaires communiqués dans le rapport d’avancement annuel par rapport à la trajectoire des dépenses nettes fixée par le Conseil. Les institutions budgétaires indépendantes concernées peuvent également être invitées à analyser les facteurs à l’origine d’un écart par rapport à la trajectoire des dépenses nettes fixée. En vue d’assurer la cohérence avec la réforme du cadre de gouvernance économique de l’Union de 2024 </w:t>
      </w:r>
      <w:r>
        <w:rPr>
          <w:b/>
          <w:i/>
        </w:rPr>
        <w:t>et d’améliorer l’efficacité des institutions budgétaires indépendantes</w:t>
      </w:r>
      <w:r>
        <w:t>, il convient de modifier le règlement (UE) nº 473/2013 afin de tenir compte des changements apportés au rôle des institutions budgétaires indépendantes par le règlement (UE) 2024/1263.</w:t>
      </w:r>
    </w:p>
    <w:p w14:paraId="5B728E58" w14:textId="77777777" w:rsidR="004F51EE" w:rsidRPr="00BD4007" w:rsidRDefault="004F51EE" w:rsidP="004F51EE">
      <w:pPr>
        <w:widowControl/>
        <w:spacing w:before="120" w:after="120"/>
        <w:ind w:left="850" w:hanging="850"/>
        <w:jc w:val="both"/>
        <w:rPr>
          <w:rFonts w:eastAsia="Calibri"/>
          <w:noProof/>
          <w:szCs w:val="22"/>
        </w:rPr>
      </w:pPr>
      <w:r>
        <w:t>(16)</w:t>
      </w:r>
      <w:r>
        <w:tab/>
        <w:t xml:space="preserve">Il convient de modifier le règlement (UE) nº 473/2013 afin de garantir la cohérence des procédures budgétaires nationales avec les recommandations émises dans le cadre du règlement (UE) 2024/1263, avec les recommandations et décisions émises dans le cadre du règlement (CE) nº 1467/1997, avec les décisions prises au titre du règlement (UE) nº 1173/2011, le cas échéant, et avec les règles et procédures prévues par la directive 2011/85/UE.  </w:t>
      </w:r>
    </w:p>
    <w:p w14:paraId="54CBBA2E" w14:textId="77777777" w:rsidR="004F51EE" w:rsidRPr="00BD4007" w:rsidRDefault="004F51EE" w:rsidP="004F51EE">
      <w:pPr>
        <w:widowControl/>
        <w:spacing w:before="120" w:after="120"/>
        <w:ind w:left="850" w:hanging="850"/>
        <w:jc w:val="both"/>
        <w:rPr>
          <w:rFonts w:eastAsia="Calibri"/>
          <w:noProof/>
          <w:szCs w:val="22"/>
        </w:rPr>
      </w:pPr>
      <w:r>
        <w:t>(17)</w:t>
      </w:r>
      <w:r>
        <w:tab/>
        <w:t xml:space="preserve">Il convient de modifier le règlement (UE) nº 473/2013 afin de prescrire que les projets de plans budgétaires (PPB) doivent être cohérents et conformes aux exigences résultant de la réforme du cadre de gouvernance de l’Union de 2024. Les PPB doivent refléter la mise en œuvre des recommandations du Conseil concernant les plans budgétaires et structurels à moyen terme. À cet égard, ils doivent exposer la manière dont la stratégie de politique budgétaire sera mise en œuvre au cours de l’année suivante, présenter les mesures concrètes en matière de dépenses et de recettes qui garantissent le respect de la trajectoire des dépenses nettes fixée par le Conseil en vertu du règlement (UE) 2024/1263 ou expliquer tout écart par rapport à ladite trajectoire. Si l’État membre fait l’objet d’une PDE, les PPB doivent présenter des mesures concrètes en matière de dépenses et de recettes qui garantissent le respect de la trajectoire de correction fixée par le règlement (CE) nº 1467/97. </w:t>
      </w:r>
    </w:p>
    <w:p w14:paraId="26B26C5A" w14:textId="77777777" w:rsidR="004F51EE" w:rsidRPr="00BD4007" w:rsidRDefault="004F51EE" w:rsidP="004F51EE">
      <w:pPr>
        <w:widowControl/>
        <w:spacing w:before="120" w:after="120"/>
        <w:ind w:left="850" w:hanging="850"/>
        <w:jc w:val="both"/>
        <w:rPr>
          <w:rFonts w:eastAsia="Calibri"/>
          <w:noProof/>
          <w:szCs w:val="22"/>
        </w:rPr>
      </w:pPr>
      <w:r>
        <w:t>(18)</w:t>
      </w:r>
      <w:r>
        <w:tab/>
        <w:t xml:space="preserve">Dans le même temps, à des fins de simplification et afin de réduire la charge administrative, le règlement (UE) nº 473/2013 doit être modifié afin de réduire l’obligation des États membres de communiquer des données qui, par le passé, n’ont pas apporté de valeur ajoutée claire. En outre, afin de réduire la charge de déclaration </w:t>
      </w:r>
      <w:r>
        <w:lastRenderedPageBreak/>
        <w:t xml:space="preserve">et étant donné que la communication d’informations à la Commission est suffisante pour permettre la coordination des émissions nationales de dette des États membres sur les marchés de la dette souveraine de l’Union, il convient de modifier le règlement (UE) nº 473/2013 afin d’éliminer les rapports ex ante des États membres sur leurs plans d’émission de dette publique à l’Eurogroupe. </w:t>
      </w:r>
    </w:p>
    <w:p w14:paraId="25F372EB" w14:textId="77777777" w:rsidR="004F51EE" w:rsidRPr="00BD4007" w:rsidRDefault="004F51EE" w:rsidP="004F51EE">
      <w:pPr>
        <w:widowControl/>
        <w:spacing w:before="120" w:after="120"/>
        <w:ind w:left="850" w:hanging="850"/>
        <w:jc w:val="both"/>
        <w:rPr>
          <w:rFonts w:eastAsia="Calibri"/>
          <w:noProof/>
          <w:szCs w:val="22"/>
        </w:rPr>
      </w:pPr>
      <w:r>
        <w:t>(19)</w:t>
      </w:r>
      <w:r>
        <w:tab/>
        <w:t xml:space="preserve">Afin de simplifier la surveillance budgétaire de l’UE et de réduire la charge administrative, la Commission ne doit plus rendre compte, dans son évaluation globale de la situation et des perspectives budgétaires pour la zone euro dans son ensemble, d’éléments qui ne se sont pas avérés apporter une valeur ajoutée dans le processus de surveillance (par exemple, une analyse de sensibilité des risques pour la viabilité des finances publiques en cas d’évolutions économiques, financières ou budgétaires négatives, ou la méthodologie, les modèles et les hypothèses des prévisions économiques les plus récentes, effectuées par les services de la Commission pour chacun des États membres). </w:t>
      </w:r>
    </w:p>
    <w:p w14:paraId="078C5A05" w14:textId="77777777" w:rsidR="004F51EE" w:rsidRPr="00BD4007" w:rsidRDefault="004F51EE" w:rsidP="004F51EE">
      <w:pPr>
        <w:widowControl/>
        <w:spacing w:before="120" w:after="120"/>
        <w:ind w:left="850" w:hanging="850"/>
        <w:jc w:val="both"/>
        <w:rPr>
          <w:rFonts w:eastAsia="Calibri"/>
          <w:noProof/>
          <w:szCs w:val="22"/>
        </w:rPr>
      </w:pPr>
      <w:r>
        <w:t>(20)</w:t>
      </w:r>
      <w:r>
        <w:tab/>
        <w:t>Si un gouvernement n’est pas en mesure d’élaborer un projet de loi budgétaire en vue de son adoption par le parlement national, la présentation d’un PPB à politiques inchangées n’est pas non plus nécessaire et devrait être remplacée par un échange technique dans le cadre duquel les États membres fournissent à la Commission des informations sur les positions macroéconomiques et budgétaires que cette dernière inclura dans ses prévisions.</w:t>
      </w:r>
    </w:p>
    <w:p w14:paraId="2E663195" w14:textId="77777777" w:rsidR="004F51EE" w:rsidRPr="00BD4007" w:rsidRDefault="004F51EE" w:rsidP="004F51EE">
      <w:pPr>
        <w:widowControl/>
        <w:spacing w:before="120" w:after="120"/>
        <w:ind w:left="850" w:hanging="850"/>
        <w:jc w:val="both"/>
        <w:rPr>
          <w:rFonts w:eastAsia="Calibri"/>
          <w:noProof/>
          <w:szCs w:val="22"/>
        </w:rPr>
      </w:pPr>
      <w:r>
        <w:t>(21)</w:t>
      </w:r>
      <w:r>
        <w:tab/>
        <w:t>Le traité de 2012 sur la stabilité, la coordination et la gouvernance au sein de l’Union économique et monétaire</w:t>
      </w:r>
      <w:r w:rsidRPr="00BD4007">
        <w:rPr>
          <w:rFonts w:eastAsia="Calibri"/>
          <w:noProof/>
          <w:szCs w:val="22"/>
          <w:vertAlign w:val="superscript"/>
          <w:lang w:eastAsia="en-US"/>
        </w:rPr>
        <w:footnoteReference w:id="14"/>
      </w:r>
      <w:r>
        <w:t xml:space="preserve"> a établi les programmes de partenariat économique, qui sont devenus partie intégrante du cadre de gouvernance économique de l’Union en 2013 en vertu du règlement (UE) nº 473/2013. Leur objectif était d’assurer une correction effective et durable des déficits excessifs des États membres en exigeant que les États membres faisant l’objet d’une PDE présentent une description détaillée des réformes structurelles spécifiques destinées à réduire leur déficit et leur dette. La fonction des programmes de partenariat économique est assurée par deux canaux principaux dans la réforme du cadre de gouvernance de l’Union de 2024. Le premier consiste à adopter une approche à moyen terme et fondée sur les risques dans les plans budgétaires et structurels à moyen terme, incluant l’incidence des réformes et des investissements sur la viabilité budgétaire. Le second consiste à renforcer la PDE par l’introduction de critères clairs d’activation et d’abrogation pour les PDE fondées sur la dette. Il convient dès lors de modifier le règlement (UE) nº 473/2013 afin de tenir compte du fait que les programmes de partenariat économique sont devenus obsolètes. </w:t>
      </w:r>
    </w:p>
    <w:p w14:paraId="2188EAB6" w14:textId="77777777" w:rsidR="004F51EE" w:rsidRPr="00BD4007" w:rsidRDefault="004F51EE" w:rsidP="004F51EE">
      <w:pPr>
        <w:widowControl/>
        <w:spacing w:before="120" w:after="120"/>
        <w:ind w:left="850" w:hanging="850"/>
        <w:jc w:val="both"/>
        <w:rPr>
          <w:rFonts w:eastAsia="Calibri"/>
          <w:noProof/>
          <w:szCs w:val="22"/>
        </w:rPr>
      </w:pPr>
      <w:r>
        <w:t>(22)</w:t>
      </w:r>
      <w:r>
        <w:tab/>
        <w:t xml:space="preserve">Le règlement (UE) nº 473/2013 introduisait des obligations de déclaration supplémentaires pour les États membres dont la monnaie est l’euro et qui faisaient l’objet d’une PDE en vertu du règlement (CE) nº 1467/97. L’objectif de ces exigences supplémentaires était de permettre un meilleur échange d’informations entre les États membres concernés et la Commission et de déceler rapidement les risques liés au respect du délai pour la correction du déficit excessif. La réforme du cadre de gouvernance économique de l’Union de 2024 a introduit un indicateur unique pour l’évaluation du respect de la trajectoire de correction des dépenses nettes dans le cadre de la PDE. Les États membres doivent en rendre compte régulièrement dans leurs rapports annuels d’avancement présentés au titre du règlement (UE) 2024/1263. Par conséquent, il convient de modifier le règlement (UE) nº 473/2013 afin de réduire la </w:t>
      </w:r>
      <w:r>
        <w:lastRenderedPageBreak/>
        <w:t xml:space="preserve">charge de déclaration et de mettre l’accent sur la mise en œuvre de la réforme de 2024. Les États membres faisant l’objet d’une PDE ne devraient fournir que les informations demandées en vertu du règlement (UE) 2024/1263, du règlement (CE) nº 1467/97 et des rapports ultérieurs sur les actions suivies d’effets concernant les recommandations du Conseil au titre de l’article 126, paragraphe 7, du TFUE ou les communications du Conseil au titre de l’article 126, paragraphe 9, du TFUE, comme le prévoit le règlement (UE) nº 473/2013, étant donné que ces informations sont suffisantes pour évaluer le respect de la trajectoire de correction des dépenses nettes. La Commission devrait conserver le droit de demander toute information complémentaire qu’elle juge nécessaire à des fins de surveillance budgétaire. </w:t>
      </w:r>
    </w:p>
    <w:p w14:paraId="1CA109D5" w14:textId="77777777" w:rsidR="004F51EE" w:rsidRPr="00BD4007" w:rsidRDefault="004F51EE" w:rsidP="004F51EE">
      <w:pPr>
        <w:widowControl/>
        <w:spacing w:before="120" w:after="120"/>
        <w:ind w:left="850" w:hanging="850"/>
        <w:jc w:val="both"/>
        <w:rPr>
          <w:rFonts w:eastAsia="Calibri"/>
          <w:noProof/>
          <w:szCs w:val="22"/>
        </w:rPr>
      </w:pPr>
      <w:r>
        <w:t>(23)</w:t>
      </w:r>
      <w:r>
        <w:tab/>
        <w:t xml:space="preserve">Étant donné que ces rapports supplémentaires ne sont plus nécessaires, il convient de modifier le règlement (UE) nº 473/2013 afin de supprimer l’habilitation à adopter des actes délégués afin de préciser le contenu desdits rapports. </w:t>
      </w:r>
    </w:p>
    <w:p w14:paraId="6902EF51" w14:textId="77777777" w:rsidR="004F51EE" w:rsidRPr="00BD4007" w:rsidRDefault="004F51EE" w:rsidP="004F51EE">
      <w:pPr>
        <w:widowControl/>
        <w:spacing w:before="120" w:after="120"/>
        <w:ind w:left="850" w:hanging="850"/>
        <w:jc w:val="both"/>
        <w:rPr>
          <w:rFonts w:eastAsia="Calibri"/>
          <w:noProof/>
          <w:szCs w:val="22"/>
        </w:rPr>
      </w:pPr>
      <w:r>
        <w:t>(24)</w:t>
      </w:r>
      <w:r>
        <w:tab/>
        <w:t xml:space="preserve">Conformément aux recommandations du Conseil au titre de l’article 126, paragraphe 7, du TFUE ou aux communications au titre de l’article 126, paragraphe 9, du TFUE, les États membres doivent rendre compte des mesures prises. Afin d’assurer un suivi efficace des mesures prises pour corriger le déficit excessif, il convient de modifier le règlement (UE) nº 473/2013 afin de clarifier les obligations en matière de rapports découlant de ces recommandations du Conseil et d’obliger les États membres à présenter tous les six mois des rapports de suivi à la Commission et au Conseil sur l’action suivie d’effets lorsqu’ils font l’objet d’une recommandation du Conseil au titre de l’article 126, paragraphe 7, du TFUE, jusqu’à ce que le Conseil abroge la décision sur l’existence d’un déficit excessif. En outre, l’État membre devrait présenter chaque trimestre au Conseil et à la Commission des rapports de suivi sur une action suivie d’effets lorsqu’il fait l’objet d’une mise en demeure du Conseil au titre de l’article 126, paragraphe 9, du TFUE, jusqu’à ce que le Conseil abroge la décision sur l’existence d’un déficit excessif. Afin de réduire la charge de déclaration pesant sur les États membres, il devrait être possible d’inclure ces rapports d’action suivie d’effets dans les rapports d’avancement annuels tels que définis dans le règlement (UE) 2024/1263 et dans le projet de plan budgétaire, dans la mesure du possible. Étant donné que le suivi au titre de la PDE doit être remplacé par les rapports prévus par le règlement (CE) nº 1467/97, la Commission devrait tenir compte de tous les rapports d’action suivie d’effets transmis par l’État membre lorsqu’elle évalue l’action suivie d’effets. </w:t>
      </w:r>
    </w:p>
    <w:p w14:paraId="30A3E672" w14:textId="77777777" w:rsidR="004F51EE" w:rsidRPr="00BD4007" w:rsidRDefault="004F51EE" w:rsidP="004F51EE">
      <w:pPr>
        <w:widowControl/>
        <w:spacing w:before="120" w:after="120"/>
        <w:ind w:left="850" w:hanging="850"/>
        <w:jc w:val="both"/>
        <w:rPr>
          <w:rFonts w:eastAsia="Calibri"/>
          <w:noProof/>
          <w:szCs w:val="22"/>
        </w:rPr>
      </w:pPr>
      <w:r>
        <w:t>(25)</w:t>
      </w:r>
      <w:r>
        <w:tab/>
        <w:t xml:space="preserve">Le règlement (UE) nº 473/2013 doit être modifié afin de simplifier les procédures existantes et d’éliminer celles qui ne se sont pas révélées utiles et qui ne sont pas conformes à l’approche globale du cadre révisé. En particulier, il y a lieu de supprimer les dispositions exigeant de la Commission qu’elle adresse une recommandation à l’État membre en cas de risque de non-respect du délai fixé pour corriger le déficit excessif, étant donné que la réforme du cadre de gouvernance économique de 2024 a introduit une approche à moyen terme qui ne se concentre plus sur une année spécifique pour la correction du déficit excessif, mais vise plutôt à faire en sorte que le déficit public soit ramené et maintenu en dessous de 3 % du PIB à moyen terme.  </w:t>
      </w:r>
    </w:p>
    <w:p w14:paraId="1ACC6C19" w14:textId="77777777" w:rsidR="004F51EE" w:rsidRPr="00BD4007" w:rsidRDefault="004F51EE" w:rsidP="004F51EE">
      <w:pPr>
        <w:widowControl/>
        <w:spacing w:before="120" w:after="120"/>
        <w:ind w:left="850" w:hanging="850"/>
        <w:jc w:val="both"/>
        <w:rPr>
          <w:rFonts w:eastAsia="Calibri"/>
          <w:noProof/>
          <w:szCs w:val="22"/>
        </w:rPr>
      </w:pPr>
      <w:r>
        <w:t>(26)</w:t>
      </w:r>
      <w:r>
        <w:tab/>
        <w:t xml:space="preserve">L’article 2, paragraphe 3, du règlement (CE) nº 1467/97 exige que tous les facteurs pertinents visés à l’article 126, paragraphe 3, du TFUE soient pris en compte lors de l’élaboration d’un rapport au titre de l’article 126, paragraphe 3, du TFUE sur l’existence d’un déficit excessif. Il n’est donc pas nécessaire que l’avis de la </w:t>
      </w:r>
      <w:r>
        <w:lastRenderedPageBreak/>
        <w:t xml:space="preserve">Commission au titre de l’article 7, paragraphe 1, du règlement (UE) nº 473/2013 soit pris en considération lors de l’élaboration d’un rapport au titre de l’article 126, paragraphe 3, du TFUE ou lors de la prise d’une décision sur l’existence d’un déficit excessif au titre de l’article 126, paragraphe 6, du TFUE. En outre, la prise en compte de l’avis de la Commission au titre de l’article 7, paragraphe 1, du règlement (UE) nº 473/2013 lorsqu’elle recommande l’imposition d’un dépôt ne portant pas intérêt en vertu de l’article 5 du règlement (UE) nº 1173/2011 est obsolète compte tenu de la suppression de cet article. </w:t>
      </w:r>
    </w:p>
    <w:p w14:paraId="2F5BB5E7" w14:textId="77777777" w:rsidR="004F51EE" w:rsidRPr="00BD4007" w:rsidRDefault="004F51EE" w:rsidP="004F51EE">
      <w:pPr>
        <w:widowControl/>
        <w:spacing w:before="120" w:after="120"/>
        <w:ind w:left="850" w:hanging="850"/>
        <w:jc w:val="both"/>
        <w:rPr>
          <w:rFonts w:eastAsia="Calibri"/>
          <w:noProof/>
          <w:szCs w:val="22"/>
        </w:rPr>
      </w:pPr>
      <w:r>
        <w:t>(27)</w:t>
      </w:r>
      <w:r>
        <w:tab/>
        <w:t>Afin d’accroître la transparence, la responsabilité et l’appropriation des décisions prises dans le cadre du règlement (UE) nº 473/2013, un dialogue économique peut avoir lieu entre le Parlement européen, le Conseil et la Commission afin d’examiner le détail des éléments devant figurer dans les PPB, les résultats de l’examen par l’Eurogroupe des avis de la Commission concernant les PPB dans la mesure où ces résultats ont été rendus publics, et l’évaluation globale de la situation et des perspectives budgétaires pour la zone euro dans son ensemble. ▌</w:t>
      </w:r>
      <w:r>
        <w:rPr>
          <w:b/>
          <w:i/>
        </w:rPr>
        <w:t xml:space="preserve"> </w:t>
      </w:r>
    </w:p>
    <w:p w14:paraId="6C5E28F2" w14:textId="77777777" w:rsidR="004F51EE" w:rsidRPr="00BD4007" w:rsidRDefault="004F51EE" w:rsidP="004F51EE">
      <w:pPr>
        <w:widowControl/>
        <w:spacing w:before="120" w:after="120"/>
        <w:ind w:left="850" w:hanging="850"/>
        <w:jc w:val="both"/>
        <w:rPr>
          <w:rFonts w:eastAsia="Calibri"/>
          <w:noProof/>
          <w:szCs w:val="22"/>
        </w:rPr>
      </w:pPr>
      <w:r>
        <w:t>(28)</w:t>
      </w:r>
      <w:r>
        <w:tab/>
        <w:t xml:space="preserve">La stratégie de l’Union pour la croissance et l’emploi est mise en œuvre au moyen des priorités de la Commission pour la période 2024-2029, qui sont axées sur l’amélioration de la résilience sociale et économique et de la croissance durable et inclusive en stimulant la compétitivité, la productivité, le potentiel de croissance, la cohésion sociale et la convergence économique, contribuant ainsi à relever les défis à moyen et à long terme auxquels l’Union est confrontée.  </w:t>
      </w:r>
    </w:p>
    <w:p w14:paraId="7355B76F" w14:textId="77777777" w:rsidR="004F51EE" w:rsidRPr="00BD4007" w:rsidRDefault="004F51EE" w:rsidP="004F51EE">
      <w:pPr>
        <w:widowControl/>
        <w:spacing w:before="120" w:after="120"/>
        <w:ind w:left="850" w:hanging="850"/>
        <w:jc w:val="both"/>
        <w:rPr>
          <w:rFonts w:eastAsia="Calibri"/>
          <w:noProof/>
          <w:szCs w:val="22"/>
        </w:rPr>
      </w:pPr>
      <w:r>
        <w:t>(29)</w:t>
      </w:r>
      <w:r>
        <w:tab/>
        <w:t>Il convient de modifier le règlement (UE) nº 473/2013 afin de préciser le délai et les éléments à inclure dans les rapports de la Commission sur l’application dudit règlement.</w:t>
      </w:r>
    </w:p>
    <w:p w14:paraId="3A6B1057" w14:textId="77777777" w:rsidR="004F51EE" w:rsidRPr="00BD4007" w:rsidRDefault="004F51EE" w:rsidP="004F51EE">
      <w:pPr>
        <w:widowControl/>
        <w:spacing w:before="120" w:after="120"/>
        <w:ind w:left="850" w:hanging="850"/>
        <w:jc w:val="both"/>
        <w:rPr>
          <w:rFonts w:eastAsia="Calibri"/>
          <w:noProof/>
          <w:szCs w:val="22"/>
        </w:rPr>
      </w:pPr>
      <w:r>
        <w:t>(30)</w:t>
      </w:r>
      <w:r>
        <w:tab/>
        <w:t xml:space="preserve">Il </w:t>
      </w:r>
      <w:bookmarkStart w:id="3" w:name="_Hlk205285157"/>
      <w:r>
        <w:t>y a donc lieu de</w:t>
      </w:r>
      <w:bookmarkEnd w:id="3"/>
      <w:r>
        <w:t xml:space="preserve"> modifier les règlements (UE) nº 473/2013 et (UE) nº 1173/2011 en conséquence,</w:t>
      </w:r>
    </w:p>
    <w:p w14:paraId="385EAC8D" w14:textId="77777777" w:rsidR="004F51EE" w:rsidRPr="00BD4007" w:rsidRDefault="004F51EE" w:rsidP="004F51EE">
      <w:pPr>
        <w:widowControl/>
        <w:spacing w:before="120" w:after="120"/>
        <w:jc w:val="both"/>
        <w:rPr>
          <w:rFonts w:eastAsia="Calibri"/>
          <w:noProof/>
          <w:szCs w:val="22"/>
          <w:lang w:eastAsia="en-US"/>
        </w:rPr>
      </w:pPr>
    </w:p>
    <w:p w14:paraId="230E79FC" w14:textId="77777777" w:rsidR="004F51EE" w:rsidRPr="00BD4007" w:rsidRDefault="004F51EE" w:rsidP="004F51EE">
      <w:pPr>
        <w:keepNext/>
        <w:widowControl/>
        <w:spacing w:before="120" w:after="120"/>
        <w:jc w:val="both"/>
        <w:rPr>
          <w:rFonts w:eastAsia="Calibri"/>
          <w:noProof/>
          <w:szCs w:val="22"/>
        </w:rPr>
      </w:pPr>
      <w:r>
        <w:t>ONT ADOPTÉ LE PRÉSENT RÈGLEMENT:</w:t>
      </w:r>
    </w:p>
    <w:p w14:paraId="7D6A8D70" w14:textId="77777777" w:rsidR="004F51EE" w:rsidRPr="00BD4007" w:rsidRDefault="004F51EE" w:rsidP="004F51EE">
      <w:pPr>
        <w:keepNext/>
        <w:widowControl/>
        <w:spacing w:before="360" w:after="120"/>
        <w:jc w:val="center"/>
        <w:rPr>
          <w:rFonts w:eastAsia="Calibri"/>
          <w:i/>
          <w:noProof/>
          <w:szCs w:val="22"/>
        </w:rPr>
      </w:pPr>
      <w:r>
        <w:rPr>
          <w:i/>
        </w:rPr>
        <w:t>Article premier</w:t>
      </w:r>
    </w:p>
    <w:p w14:paraId="7BC0FA2B" w14:textId="77777777" w:rsidR="004F51EE" w:rsidRPr="00BD4007" w:rsidRDefault="004F51EE" w:rsidP="004F51EE">
      <w:pPr>
        <w:widowControl/>
        <w:spacing w:before="120" w:after="120"/>
        <w:jc w:val="center"/>
        <w:rPr>
          <w:rFonts w:eastAsia="Calibri"/>
          <w:noProof/>
          <w:szCs w:val="22"/>
        </w:rPr>
      </w:pPr>
      <w:r>
        <w:rPr>
          <w:b/>
        </w:rPr>
        <w:t>Modifications apportées au règlement</w:t>
      </w:r>
      <w:r>
        <w:t> </w:t>
      </w:r>
      <w:bookmarkStart w:id="4" w:name="_Hlk205221064"/>
      <w:r>
        <w:rPr>
          <w:b/>
        </w:rPr>
        <w:t xml:space="preserve">(UE) nº 1173/2011 </w:t>
      </w:r>
      <w:bookmarkEnd w:id="4"/>
    </w:p>
    <w:p w14:paraId="354A46D2" w14:textId="77777777" w:rsidR="004F51EE" w:rsidRPr="00BD4007" w:rsidRDefault="004F51EE" w:rsidP="004F51EE">
      <w:pPr>
        <w:widowControl/>
        <w:spacing w:before="120" w:after="120"/>
        <w:rPr>
          <w:rFonts w:eastAsia="Calibri"/>
          <w:noProof/>
          <w:szCs w:val="22"/>
        </w:rPr>
      </w:pPr>
      <w:r>
        <w:t>Le règlement (UE) nº 1173/2011 est modifié comme suit:</w:t>
      </w:r>
    </w:p>
    <w:p w14:paraId="7D8BC239" w14:textId="77777777" w:rsidR="004F51EE" w:rsidRPr="00BD4007" w:rsidRDefault="004F51EE" w:rsidP="004F51EE">
      <w:pPr>
        <w:widowControl/>
        <w:spacing w:before="120" w:after="120"/>
        <w:ind w:left="850" w:hanging="850"/>
        <w:jc w:val="both"/>
        <w:rPr>
          <w:rFonts w:eastAsia="Calibri"/>
          <w:noProof/>
          <w:szCs w:val="22"/>
        </w:rPr>
      </w:pPr>
      <w:r>
        <w:t>1)</w:t>
      </w:r>
      <w:r>
        <w:tab/>
        <w:t>à l’article 1</w:t>
      </w:r>
      <w:r>
        <w:rPr>
          <w:vertAlign w:val="superscript"/>
        </w:rPr>
        <w:t>er</w:t>
      </w:r>
      <w:r>
        <w:t>, le paragraphe 1 est remplacé par le texte suivant:</w:t>
      </w:r>
    </w:p>
    <w:p w14:paraId="75A70009" w14:textId="77777777" w:rsidR="004F51EE" w:rsidRPr="00BD4007" w:rsidRDefault="004F51EE" w:rsidP="004F51EE">
      <w:pPr>
        <w:widowControl/>
        <w:spacing w:before="120" w:after="120"/>
        <w:ind w:left="360"/>
        <w:jc w:val="both"/>
        <w:rPr>
          <w:rFonts w:eastAsia="Calibri"/>
          <w:noProof/>
          <w:szCs w:val="22"/>
        </w:rPr>
      </w:pPr>
      <w:r>
        <w:t>«1. Le présent règlement établit un système de sanctions visant à mieux faire respecter le pacte de stabilité et de croissance dans la zone euro.»;</w:t>
      </w:r>
    </w:p>
    <w:p w14:paraId="22B958E0" w14:textId="77777777" w:rsidR="004F51EE" w:rsidRPr="00BD4007" w:rsidRDefault="004F51EE" w:rsidP="004F51EE">
      <w:pPr>
        <w:widowControl/>
        <w:spacing w:before="120" w:after="120"/>
        <w:ind w:left="850" w:hanging="850"/>
        <w:jc w:val="both"/>
        <w:rPr>
          <w:rFonts w:eastAsia="Calibri"/>
          <w:noProof/>
          <w:szCs w:val="22"/>
        </w:rPr>
      </w:pPr>
      <w:r>
        <w:t>2)</w:t>
      </w:r>
      <w:r>
        <w:tab/>
        <w:t>l’article 2 est modifié comme suit:</w:t>
      </w:r>
    </w:p>
    <w:p w14:paraId="3B9349BD" w14:textId="77777777" w:rsidR="004F51EE" w:rsidRPr="00BD4007" w:rsidRDefault="004F51EE" w:rsidP="004F51EE">
      <w:pPr>
        <w:widowControl/>
        <w:spacing w:before="120" w:after="120"/>
        <w:ind w:left="1417" w:hanging="567"/>
        <w:jc w:val="both"/>
        <w:rPr>
          <w:rFonts w:eastAsia="Calibri"/>
          <w:noProof/>
          <w:szCs w:val="22"/>
        </w:rPr>
      </w:pPr>
      <w:r>
        <w:t>a)</w:t>
      </w:r>
      <w:r>
        <w:tab/>
        <w:t>le point 1 est supprimé;</w:t>
      </w:r>
    </w:p>
    <w:p w14:paraId="1C80B2A0" w14:textId="77777777" w:rsidR="004F51EE" w:rsidRPr="00BD4007" w:rsidRDefault="004F51EE" w:rsidP="004F51EE">
      <w:pPr>
        <w:widowControl/>
        <w:spacing w:before="120" w:after="120"/>
        <w:ind w:left="1417" w:hanging="567"/>
        <w:jc w:val="both"/>
        <w:rPr>
          <w:rFonts w:eastAsia="Calibri"/>
          <w:noProof/>
          <w:szCs w:val="22"/>
        </w:rPr>
      </w:pPr>
      <w:r>
        <w:t>b)</w:t>
      </w:r>
      <w:r>
        <w:tab/>
        <w:t>le point 2 est remplacé par le texte suivant:</w:t>
      </w:r>
    </w:p>
    <w:p w14:paraId="10516B3C" w14:textId="77777777" w:rsidR="004F51EE" w:rsidRPr="00BD4007" w:rsidRDefault="004F51EE" w:rsidP="004F51EE">
      <w:pPr>
        <w:widowControl/>
        <w:spacing w:before="120" w:after="120"/>
        <w:ind w:left="360"/>
        <w:jc w:val="both"/>
        <w:rPr>
          <w:rFonts w:eastAsia="Calibri"/>
          <w:noProof/>
          <w:szCs w:val="22"/>
        </w:rPr>
      </w:pPr>
      <w:r>
        <w:t>«2) “volet correctif du pacte de stabilité et de croissance”: la procédure d’évitement et de correction des déficits excessifs des États membres, telle que régie par l’article 126 du traité sur le fonctionnement de l’Union européenne et par le règlement (CE) nº 1467/97.»;</w:t>
      </w:r>
    </w:p>
    <w:p w14:paraId="1E8B9EBC" w14:textId="77777777" w:rsidR="004F51EE" w:rsidRPr="00BD4007" w:rsidRDefault="004F51EE" w:rsidP="004F51EE">
      <w:pPr>
        <w:widowControl/>
        <w:spacing w:before="120" w:after="120"/>
        <w:ind w:left="1417" w:hanging="567"/>
        <w:jc w:val="both"/>
        <w:rPr>
          <w:rFonts w:eastAsia="Calibri"/>
          <w:noProof/>
          <w:szCs w:val="22"/>
        </w:rPr>
      </w:pPr>
      <w:r>
        <w:t>c)</w:t>
      </w:r>
      <w:r>
        <w:tab/>
        <w:t>le point 3 est supprimé;</w:t>
      </w:r>
    </w:p>
    <w:p w14:paraId="6D556624" w14:textId="77777777" w:rsidR="004F51EE" w:rsidRPr="00BD4007" w:rsidRDefault="004F51EE" w:rsidP="004F51EE">
      <w:pPr>
        <w:widowControl/>
        <w:spacing w:before="120" w:after="120"/>
        <w:ind w:left="850" w:hanging="850"/>
        <w:jc w:val="both"/>
        <w:rPr>
          <w:rFonts w:eastAsia="Calibri"/>
          <w:noProof/>
          <w:szCs w:val="22"/>
        </w:rPr>
      </w:pPr>
      <w:r>
        <w:lastRenderedPageBreak/>
        <w:t>3)</w:t>
      </w:r>
      <w:r>
        <w:tab/>
        <w:t>à l’article 3, le premier alinéa est remplacé par le texte suivant:</w:t>
      </w:r>
    </w:p>
    <w:p w14:paraId="003C56BD" w14:textId="77777777" w:rsidR="004F51EE" w:rsidRPr="00BD4007" w:rsidRDefault="004F51EE" w:rsidP="004F51EE">
      <w:pPr>
        <w:widowControl/>
        <w:spacing w:before="120" w:after="120"/>
        <w:ind w:left="360"/>
        <w:jc w:val="both"/>
        <w:rPr>
          <w:rFonts w:eastAsia="Calibri"/>
          <w:noProof/>
          <w:szCs w:val="22"/>
        </w:rPr>
      </w:pPr>
      <w:r>
        <w:t>«Afin de renforcer le dialogue entre les institutions de l’Union, en particulier le Parlement européen, le Conseil et la Commission, et pour accroître la transparence et la responsabilité, la commission compétente du Parlement européen peut inviter le président du Conseil, la Commission et, le cas échéant, le président du Conseil européen ou le président de l’Eurogroupe à se présenter devant elle afin de débattre des décisions prises au titre de l’article 6 du présent règlement.»;</w:t>
      </w:r>
    </w:p>
    <w:p w14:paraId="25D83441" w14:textId="77777777" w:rsidR="004F51EE" w:rsidRPr="00BD4007" w:rsidRDefault="004F51EE" w:rsidP="004F51EE">
      <w:pPr>
        <w:widowControl/>
        <w:spacing w:before="120" w:after="120"/>
        <w:ind w:left="357"/>
        <w:jc w:val="both"/>
        <w:rPr>
          <w:rFonts w:eastAsia="Calibri"/>
          <w:b/>
          <w:bCs/>
          <w:i/>
          <w:iCs/>
          <w:noProof/>
          <w:szCs w:val="22"/>
        </w:rPr>
      </w:pPr>
      <w:r>
        <w:rPr>
          <w:b/>
          <w:i/>
        </w:rPr>
        <w:t xml:space="preserve">3 bis) l’article suivant est inséré: </w:t>
      </w:r>
    </w:p>
    <w:p w14:paraId="72595FCD" w14:textId="77777777" w:rsidR="004F51EE" w:rsidRPr="00BD4007" w:rsidRDefault="004F51EE" w:rsidP="004F51EE">
      <w:pPr>
        <w:widowControl/>
        <w:spacing w:before="120" w:after="120"/>
        <w:ind w:left="357"/>
        <w:jc w:val="both"/>
        <w:rPr>
          <w:rFonts w:eastAsia="Calibri"/>
          <w:b/>
          <w:bCs/>
          <w:i/>
          <w:iCs/>
          <w:noProof/>
          <w:szCs w:val="22"/>
        </w:rPr>
      </w:pPr>
      <w:r>
        <w:rPr>
          <w:b/>
          <w:i/>
        </w:rPr>
        <w:t xml:space="preserve">«Article 3 bis </w:t>
      </w:r>
    </w:p>
    <w:p w14:paraId="69BD40EB" w14:textId="77777777" w:rsidR="004F51EE" w:rsidRPr="00BD4007" w:rsidRDefault="004F51EE" w:rsidP="004F51EE">
      <w:pPr>
        <w:widowControl/>
        <w:spacing w:before="120" w:after="120"/>
        <w:ind w:left="357"/>
        <w:jc w:val="both"/>
        <w:rPr>
          <w:rFonts w:eastAsia="Calibri"/>
          <w:b/>
          <w:bCs/>
          <w:i/>
          <w:iCs/>
          <w:noProof/>
          <w:szCs w:val="22"/>
        </w:rPr>
      </w:pPr>
      <w:r>
        <w:rPr>
          <w:b/>
          <w:i/>
        </w:rPr>
        <w:t xml:space="preserve">Communication d’informations au Parlement européen </w:t>
      </w:r>
    </w:p>
    <w:p w14:paraId="1C70648B" w14:textId="77777777" w:rsidR="004F51EE" w:rsidRPr="00BD4007" w:rsidRDefault="004F51EE" w:rsidP="004F51EE">
      <w:pPr>
        <w:widowControl/>
        <w:spacing w:before="120" w:after="120"/>
        <w:ind w:left="357"/>
        <w:jc w:val="both"/>
        <w:rPr>
          <w:rFonts w:eastAsia="Calibri"/>
          <w:b/>
          <w:bCs/>
          <w:i/>
          <w:iCs/>
          <w:noProof/>
          <w:szCs w:val="22"/>
        </w:rPr>
      </w:pPr>
      <w:r>
        <w:rPr>
          <w:b/>
          <w:i/>
        </w:rPr>
        <w:t xml:space="preserve">1. Les informations communiquées par la Commission au Conseil ou à l’une de ses instances préparatoires dans le cadre du présent règlement ou de sa mise en œuvre sont mises simultanément à la disposition du Parlement européen, sous réserve de dispositions sur la confidentialité si nécessaire. Les résultats pertinents des discussions tenues au sein des instances préparatoires du Conseil sont partagés avec la commission compétente du Parlement européen. </w:t>
      </w:r>
    </w:p>
    <w:p w14:paraId="1ECDF4ED" w14:textId="77777777" w:rsidR="004F51EE" w:rsidRPr="00BD4007" w:rsidRDefault="004F51EE" w:rsidP="004F51EE">
      <w:pPr>
        <w:widowControl/>
        <w:spacing w:before="120" w:after="120"/>
        <w:ind w:left="357"/>
        <w:jc w:val="both"/>
        <w:rPr>
          <w:rFonts w:eastAsia="Calibri"/>
          <w:b/>
          <w:bCs/>
          <w:i/>
          <w:iCs/>
          <w:noProof/>
          <w:szCs w:val="22"/>
        </w:rPr>
      </w:pPr>
      <w:r>
        <w:rPr>
          <w:b/>
          <w:i/>
        </w:rPr>
        <w:t>2. L’État membre concerné peut demander à la Commission d’expurger les informations sensibles ou confidentielles dont la divulgation porterait atteinte à ses intérêts publics. Dans ce cas, la Commission se concerte avec le Parlement européen et le Conseil sur la manière dont les informations expurgées peuvent être mises à leur disposition de façon confidentielle conformément aux règles applicables.»;</w:t>
      </w:r>
    </w:p>
    <w:p w14:paraId="5E39E610" w14:textId="77777777" w:rsidR="004F51EE" w:rsidRPr="00BD4007" w:rsidRDefault="004F51EE" w:rsidP="004F51EE">
      <w:pPr>
        <w:widowControl/>
        <w:spacing w:before="120" w:after="120"/>
        <w:ind w:left="850" w:hanging="850"/>
        <w:jc w:val="both"/>
        <w:rPr>
          <w:rFonts w:eastAsia="Calibri"/>
          <w:noProof/>
          <w:szCs w:val="22"/>
        </w:rPr>
      </w:pPr>
      <w:r>
        <w:t>4)</w:t>
      </w:r>
      <w:r>
        <w:tab/>
        <w:t>les articles 4 et 5 sont supprimés;</w:t>
      </w:r>
    </w:p>
    <w:p w14:paraId="6E3BD5F7" w14:textId="77777777" w:rsidR="004F51EE" w:rsidRPr="00BD4007" w:rsidRDefault="004F51EE" w:rsidP="004F51EE">
      <w:pPr>
        <w:widowControl/>
        <w:spacing w:before="120" w:after="120"/>
        <w:ind w:left="850" w:hanging="850"/>
        <w:jc w:val="both"/>
        <w:rPr>
          <w:rFonts w:eastAsia="Calibri"/>
          <w:noProof/>
          <w:szCs w:val="22"/>
        </w:rPr>
      </w:pPr>
      <w:r>
        <w:t>5)</w:t>
      </w:r>
      <w:r>
        <w:tab/>
        <w:t>l’article 6 est remplacé par le texte suivant:</w:t>
      </w:r>
    </w:p>
    <w:p w14:paraId="088C62FD" w14:textId="77777777" w:rsidR="004F51EE" w:rsidRPr="00BD4007" w:rsidRDefault="004F51EE" w:rsidP="004F51EE">
      <w:pPr>
        <w:widowControl/>
        <w:spacing w:before="120" w:after="120"/>
        <w:ind w:left="360"/>
        <w:jc w:val="both"/>
        <w:rPr>
          <w:rFonts w:eastAsia="Calibri"/>
          <w:noProof/>
          <w:szCs w:val="22"/>
        </w:rPr>
      </w:pPr>
      <w:r>
        <w:t>«</w:t>
      </w:r>
      <w:r>
        <w:rPr>
          <w:i/>
        </w:rPr>
        <w:t>Article 6</w:t>
      </w:r>
    </w:p>
    <w:p w14:paraId="0CBE39F0" w14:textId="77777777" w:rsidR="004F51EE" w:rsidRPr="00BD4007" w:rsidRDefault="004F51EE" w:rsidP="004F51EE">
      <w:pPr>
        <w:widowControl/>
        <w:spacing w:before="120" w:after="120"/>
        <w:ind w:left="360"/>
        <w:jc w:val="both"/>
        <w:rPr>
          <w:rFonts w:eastAsia="Calibri"/>
          <w:b/>
          <w:bCs/>
          <w:noProof/>
          <w:szCs w:val="22"/>
        </w:rPr>
      </w:pPr>
      <w:r>
        <w:rPr>
          <w:b/>
        </w:rPr>
        <w:t>Amendes</w:t>
      </w:r>
    </w:p>
    <w:p w14:paraId="78C15E3D" w14:textId="77777777" w:rsidR="004F51EE" w:rsidRPr="00BD4007" w:rsidRDefault="004F51EE" w:rsidP="004F51EE">
      <w:pPr>
        <w:widowControl/>
        <w:spacing w:before="120" w:after="120"/>
        <w:ind w:left="360"/>
        <w:jc w:val="both"/>
        <w:rPr>
          <w:rFonts w:eastAsia="Calibri"/>
          <w:noProof/>
          <w:szCs w:val="22"/>
        </w:rPr>
      </w:pPr>
      <w:r>
        <w:t>1. Lorsque le Conseil, agissant en vertu de l’article 126, paragraphe 8, du traité sur le fonctionnement de l’Union européenne, décide qu’un État membre n’a pris aucune action suivie d’effets pour corriger son déficit excessif, la Commission recommande au Conseil, dans un délai de vingt jours à compter de ladite décision, d’imposer, au moyen d’une décision ultérieure, une amende s’élevant à un maximum de 0,02 % de la dernière estimation du PIB enregistré l’année précédente par cet État membre. L’amende est payée tous les six mois jusqu’à ce que le Conseil estime que l’État membre concerné a engagé une action suivie d’effets en réponse à la décision prise en vertu de l’article 126, paragraphe 7, du TFUE.</w:t>
      </w:r>
    </w:p>
    <w:p w14:paraId="2D4930E3" w14:textId="77777777" w:rsidR="004F51EE" w:rsidRPr="00BD4007" w:rsidRDefault="004F51EE" w:rsidP="004F51EE">
      <w:pPr>
        <w:widowControl/>
        <w:spacing w:before="120" w:after="120"/>
        <w:ind w:left="360"/>
        <w:jc w:val="both"/>
        <w:rPr>
          <w:rFonts w:eastAsia="Calibri"/>
          <w:noProof/>
          <w:szCs w:val="22"/>
        </w:rPr>
      </w:pPr>
      <w:r>
        <w:t>2. La décision d’imposer une amende est réputée adoptée par le Conseil, à moins que celui-ci ne décide, statuant à la majorité qualifiée, de rejeter la recommandation de la Commission dans un délai de dix jours à compter de son adoption par la Commission.</w:t>
      </w:r>
    </w:p>
    <w:p w14:paraId="6BE54F80" w14:textId="77777777" w:rsidR="004F51EE" w:rsidRPr="00BD4007" w:rsidRDefault="004F51EE" w:rsidP="004F51EE">
      <w:pPr>
        <w:widowControl/>
        <w:spacing w:before="120" w:after="120"/>
        <w:ind w:left="360"/>
        <w:jc w:val="both"/>
        <w:rPr>
          <w:rFonts w:eastAsia="Calibri"/>
          <w:noProof/>
          <w:szCs w:val="22"/>
        </w:rPr>
      </w:pPr>
      <w:r>
        <w:t>3. Le Conseil, statuant à la majorité qualifiée, peut modifier la recommandation de la Commission et adopter le texte ainsi modifié comme décision du Conseil.»;</w:t>
      </w:r>
    </w:p>
    <w:p w14:paraId="5727D5F0" w14:textId="77777777" w:rsidR="004F51EE" w:rsidRPr="00BD4007" w:rsidRDefault="004F51EE" w:rsidP="004F51EE">
      <w:pPr>
        <w:widowControl/>
        <w:spacing w:before="120" w:after="120"/>
        <w:ind w:left="850" w:hanging="850"/>
        <w:jc w:val="both"/>
        <w:rPr>
          <w:rFonts w:eastAsia="Calibri"/>
          <w:noProof/>
          <w:szCs w:val="22"/>
        </w:rPr>
      </w:pPr>
      <w:r>
        <w:t>6)</w:t>
      </w:r>
      <w:r>
        <w:tab/>
        <w:t>l’article 7 est supprimé;</w:t>
      </w:r>
    </w:p>
    <w:p w14:paraId="2E473C85" w14:textId="77777777" w:rsidR="004F51EE" w:rsidRPr="00BD4007" w:rsidRDefault="004F51EE" w:rsidP="004F51EE">
      <w:pPr>
        <w:widowControl/>
        <w:spacing w:before="120" w:after="120"/>
        <w:ind w:left="850" w:hanging="850"/>
        <w:jc w:val="both"/>
        <w:rPr>
          <w:rFonts w:eastAsia="Calibri"/>
          <w:noProof/>
          <w:szCs w:val="22"/>
        </w:rPr>
      </w:pPr>
      <w:r>
        <w:t>7)</w:t>
      </w:r>
      <w:r>
        <w:tab/>
        <w:t>à l’article 8, le paragraphe 4 est supprimé;</w:t>
      </w:r>
    </w:p>
    <w:p w14:paraId="7DE9761B" w14:textId="77777777" w:rsidR="004F51EE" w:rsidRPr="00BD4007" w:rsidRDefault="004F51EE" w:rsidP="004F51EE">
      <w:pPr>
        <w:widowControl/>
        <w:spacing w:before="120" w:after="120"/>
        <w:ind w:left="850" w:hanging="850"/>
        <w:jc w:val="both"/>
        <w:rPr>
          <w:rFonts w:eastAsia="Calibri"/>
          <w:noProof/>
          <w:szCs w:val="22"/>
        </w:rPr>
      </w:pPr>
      <w:r>
        <w:t>8)</w:t>
      </w:r>
      <w:r>
        <w:tab/>
        <w:t>l’article 9 est remplacé par le texte suivant:</w:t>
      </w:r>
    </w:p>
    <w:p w14:paraId="0064E811" w14:textId="77777777" w:rsidR="004F51EE" w:rsidRPr="00BD4007" w:rsidRDefault="004F51EE" w:rsidP="004F51EE">
      <w:pPr>
        <w:widowControl/>
        <w:spacing w:before="120" w:after="120"/>
        <w:ind w:left="360"/>
        <w:jc w:val="both"/>
        <w:rPr>
          <w:rFonts w:eastAsia="Calibri"/>
          <w:noProof/>
          <w:szCs w:val="22"/>
        </w:rPr>
      </w:pPr>
      <w:r>
        <w:lastRenderedPageBreak/>
        <w:t>«</w:t>
      </w:r>
      <w:r>
        <w:rPr>
          <w:i/>
        </w:rPr>
        <w:t>Article 9</w:t>
      </w:r>
    </w:p>
    <w:p w14:paraId="3A278A33" w14:textId="77777777" w:rsidR="004F51EE" w:rsidRPr="00BD4007" w:rsidRDefault="004F51EE" w:rsidP="004F51EE">
      <w:pPr>
        <w:widowControl/>
        <w:spacing w:before="120" w:after="120"/>
        <w:ind w:left="360"/>
        <w:jc w:val="both"/>
        <w:rPr>
          <w:rFonts w:eastAsia="Calibri"/>
          <w:b/>
          <w:bCs/>
          <w:noProof/>
          <w:szCs w:val="22"/>
        </w:rPr>
      </w:pPr>
      <w:r>
        <w:rPr>
          <w:b/>
        </w:rPr>
        <w:t>Nature administrative des sanctions</w:t>
      </w:r>
    </w:p>
    <w:p w14:paraId="19ED9EF2" w14:textId="77777777" w:rsidR="004F51EE" w:rsidRPr="00BD4007" w:rsidRDefault="004F51EE" w:rsidP="004F51EE">
      <w:pPr>
        <w:widowControl/>
        <w:spacing w:before="120" w:after="120"/>
        <w:ind w:left="360"/>
        <w:jc w:val="both"/>
        <w:rPr>
          <w:rFonts w:eastAsia="Calibri"/>
          <w:noProof/>
          <w:szCs w:val="22"/>
        </w:rPr>
      </w:pPr>
      <w:r>
        <w:t>Les sanctions imposées au titre des articles 6 et 8 sont de nature administrative.»;</w:t>
      </w:r>
    </w:p>
    <w:p w14:paraId="4BF778AA" w14:textId="77777777" w:rsidR="004F51EE" w:rsidRPr="00BD4007" w:rsidRDefault="004F51EE" w:rsidP="004F51EE">
      <w:pPr>
        <w:widowControl/>
        <w:spacing w:before="120" w:after="120"/>
        <w:ind w:left="850" w:hanging="850"/>
        <w:jc w:val="both"/>
        <w:rPr>
          <w:rFonts w:eastAsia="Calibri"/>
          <w:noProof/>
          <w:szCs w:val="22"/>
        </w:rPr>
      </w:pPr>
      <w:r>
        <w:t>9)</w:t>
      </w:r>
      <w:r>
        <w:tab/>
        <w:t>les articles 10 et 11 sont supprimés;</w:t>
      </w:r>
    </w:p>
    <w:p w14:paraId="6FDCE7EC" w14:textId="77777777" w:rsidR="004F51EE" w:rsidRPr="00BD4007" w:rsidRDefault="004F51EE" w:rsidP="004F51EE">
      <w:pPr>
        <w:widowControl/>
        <w:spacing w:before="120" w:after="120"/>
        <w:ind w:left="850" w:hanging="850"/>
        <w:jc w:val="both"/>
        <w:rPr>
          <w:rFonts w:eastAsia="Calibri"/>
          <w:noProof/>
          <w:szCs w:val="22"/>
        </w:rPr>
      </w:pPr>
      <w:r>
        <w:t>10)</w:t>
      </w:r>
      <w:r>
        <w:tab/>
        <w:t>à l’article 12, le paragraphe 1 est remplacé par le texte suivant:</w:t>
      </w:r>
    </w:p>
    <w:p w14:paraId="08BA4498" w14:textId="77777777" w:rsidR="004F51EE" w:rsidRPr="00BD4007" w:rsidRDefault="004F51EE" w:rsidP="004F51EE">
      <w:pPr>
        <w:widowControl/>
        <w:spacing w:before="120" w:after="120"/>
        <w:ind w:left="360"/>
        <w:jc w:val="both"/>
        <w:rPr>
          <w:rFonts w:eastAsia="Calibri"/>
          <w:noProof/>
          <w:szCs w:val="22"/>
        </w:rPr>
      </w:pPr>
      <w:r>
        <w:t>«1. Pour les mesures visées aux articles 6 et 8, seuls votent les membres du Conseil représentant les États membres dont la monnaie est l’euro et le Conseil statue sans tenir compte du vote du membre du Conseil représentant l’État membre concerné.»;</w:t>
      </w:r>
    </w:p>
    <w:p w14:paraId="6CE6386F" w14:textId="77777777" w:rsidR="004F51EE" w:rsidRPr="00BD4007" w:rsidRDefault="004F51EE" w:rsidP="004F51EE">
      <w:pPr>
        <w:widowControl/>
        <w:spacing w:before="120" w:after="120"/>
        <w:ind w:left="850" w:hanging="850"/>
        <w:jc w:val="both"/>
        <w:rPr>
          <w:rFonts w:eastAsia="Calibri"/>
          <w:noProof/>
          <w:szCs w:val="22"/>
        </w:rPr>
      </w:pPr>
      <w:r>
        <w:t>11)</w:t>
      </w:r>
      <w:r>
        <w:tab/>
        <w:t>l’article 13 est remplacé par le texte suivant:</w:t>
      </w:r>
    </w:p>
    <w:p w14:paraId="570FE386" w14:textId="77777777" w:rsidR="004F51EE" w:rsidRPr="00BD4007" w:rsidRDefault="004F51EE" w:rsidP="004F51EE">
      <w:pPr>
        <w:widowControl/>
        <w:spacing w:before="120" w:after="120"/>
        <w:ind w:left="360"/>
        <w:jc w:val="both"/>
        <w:rPr>
          <w:rFonts w:eastAsia="Calibri"/>
          <w:noProof/>
          <w:szCs w:val="22"/>
        </w:rPr>
      </w:pPr>
      <w:r>
        <w:t>«</w:t>
      </w:r>
      <w:r>
        <w:rPr>
          <w:i/>
        </w:rPr>
        <w:t>Article 13</w:t>
      </w:r>
    </w:p>
    <w:p w14:paraId="1798666C" w14:textId="77777777" w:rsidR="004F51EE" w:rsidRPr="00BD4007" w:rsidRDefault="004F51EE" w:rsidP="004F51EE">
      <w:pPr>
        <w:widowControl/>
        <w:spacing w:before="120" w:after="120"/>
        <w:ind w:left="360"/>
        <w:jc w:val="both"/>
        <w:rPr>
          <w:rFonts w:eastAsia="Calibri"/>
          <w:b/>
          <w:bCs/>
          <w:noProof/>
          <w:szCs w:val="22"/>
        </w:rPr>
      </w:pPr>
      <w:r>
        <w:rPr>
          <w:b/>
        </w:rPr>
        <w:t xml:space="preserve">Examen </w:t>
      </w:r>
      <w:r>
        <w:rPr>
          <w:b/>
          <w:i/>
        </w:rPr>
        <w:t>et rapports relatifs à l’application du présent règlement</w:t>
      </w:r>
    </w:p>
    <w:p w14:paraId="4C9DEF70" w14:textId="77777777" w:rsidR="004F51EE" w:rsidRPr="00BD4007" w:rsidRDefault="004F51EE" w:rsidP="004F51EE">
      <w:pPr>
        <w:widowControl/>
        <w:spacing w:before="120" w:after="120"/>
        <w:ind w:left="360"/>
        <w:jc w:val="both"/>
        <w:rPr>
          <w:rFonts w:eastAsia="Calibri"/>
          <w:noProof/>
          <w:szCs w:val="22"/>
        </w:rPr>
      </w:pPr>
      <w:r>
        <w:t>1. Le XXX au plus tard puis tous les cinq ans, la Commission soumet au Parlement européen et au Conseil un rapport sur l’application du présent règlement accompagné, s’il y a lieu, d’une proposition de modification du présent règlement. La Commission rend ce rapport public.</w:t>
      </w:r>
    </w:p>
    <w:p w14:paraId="61F769FC" w14:textId="77777777" w:rsidR="004F51EE" w:rsidRPr="00BD4007" w:rsidRDefault="004F51EE" w:rsidP="004F51EE">
      <w:pPr>
        <w:widowControl/>
        <w:spacing w:before="120" w:after="120"/>
        <w:ind w:left="360"/>
        <w:jc w:val="both"/>
        <w:rPr>
          <w:rFonts w:eastAsia="Calibri"/>
          <w:noProof/>
          <w:szCs w:val="22"/>
        </w:rPr>
      </w:pPr>
      <w:r>
        <w:t>Le rapport visé au premier alinéa évalue:</w:t>
      </w:r>
    </w:p>
    <w:p w14:paraId="6BA9E1A1" w14:textId="77777777" w:rsidR="004F51EE" w:rsidRPr="00BD4007" w:rsidRDefault="004F51EE" w:rsidP="004F51EE">
      <w:pPr>
        <w:widowControl/>
        <w:spacing w:before="120" w:after="120"/>
        <w:ind w:left="360"/>
        <w:jc w:val="both"/>
        <w:rPr>
          <w:rFonts w:eastAsia="Calibri"/>
          <w:noProof/>
          <w:szCs w:val="22"/>
        </w:rPr>
      </w:pPr>
      <w:r>
        <w:t>a) l’efficacité du présent règlement dans la réalisation de ses objectifs, tels qu’ils sont exposés à l’article 1</w:t>
      </w:r>
      <w:r>
        <w:rPr>
          <w:vertAlign w:val="superscript"/>
        </w:rPr>
        <w:t>er</w:t>
      </w:r>
      <w:r>
        <w:t>;</w:t>
      </w:r>
    </w:p>
    <w:p w14:paraId="6F41CBB5" w14:textId="77777777" w:rsidR="004F51EE" w:rsidRPr="00BD4007" w:rsidRDefault="004F51EE" w:rsidP="004F51EE">
      <w:pPr>
        <w:widowControl/>
        <w:spacing w:before="120" w:after="120"/>
        <w:ind w:left="360"/>
        <w:jc w:val="both"/>
        <w:rPr>
          <w:rFonts w:eastAsia="Calibri"/>
          <w:noProof/>
          <w:szCs w:val="22"/>
        </w:rPr>
      </w:pPr>
      <w:r>
        <w:t>b) les progrès accomplis en vue d’une coordination plus étroite des politiques économiques et d’une convergence soutenue des performances économiques des États membres conformément au traité sur le fonctionnement de l’Union européenne;</w:t>
      </w:r>
    </w:p>
    <w:p w14:paraId="4A30C016" w14:textId="77777777" w:rsidR="004F51EE" w:rsidRPr="00BD4007" w:rsidRDefault="004F51EE" w:rsidP="004F51EE">
      <w:pPr>
        <w:widowControl/>
        <w:spacing w:before="120" w:after="120"/>
        <w:ind w:left="360"/>
        <w:jc w:val="both"/>
        <w:rPr>
          <w:rFonts w:eastAsia="Calibri"/>
          <w:noProof/>
          <w:szCs w:val="22"/>
        </w:rPr>
      </w:pPr>
      <w:r>
        <w:t>c) la contribution du présent règlement à la réalisation d’une croissance durable et inclusive et d’une résilience sociale et économique.</w:t>
      </w:r>
    </w:p>
    <w:p w14:paraId="4B45E408" w14:textId="77777777" w:rsidR="004F51EE" w:rsidRPr="00BD4007" w:rsidRDefault="004F51EE" w:rsidP="004F51EE">
      <w:pPr>
        <w:widowControl/>
        <w:spacing w:before="120" w:after="120"/>
        <w:ind w:left="360"/>
        <w:jc w:val="both"/>
        <w:rPr>
          <w:rFonts w:eastAsia="Calibri"/>
          <w:noProof/>
          <w:szCs w:val="22"/>
        </w:rPr>
      </w:pPr>
      <w:r>
        <w:t>2. Ce rapport est transmis au Parlement européen et au Conseil.».</w:t>
      </w:r>
    </w:p>
    <w:p w14:paraId="5349F127" w14:textId="77777777" w:rsidR="004F51EE" w:rsidRPr="00BD4007" w:rsidRDefault="004F51EE" w:rsidP="004F51EE">
      <w:pPr>
        <w:keepNext/>
        <w:widowControl/>
        <w:spacing w:before="360" w:after="120"/>
        <w:jc w:val="center"/>
        <w:rPr>
          <w:rFonts w:eastAsia="Calibri"/>
          <w:i/>
          <w:noProof/>
          <w:szCs w:val="22"/>
        </w:rPr>
      </w:pPr>
      <w:r>
        <w:rPr>
          <w:i/>
        </w:rPr>
        <w:t>Article 2</w:t>
      </w:r>
    </w:p>
    <w:p w14:paraId="56B554BC" w14:textId="77777777" w:rsidR="004F51EE" w:rsidRPr="00BD4007" w:rsidRDefault="004F51EE" w:rsidP="004F51EE">
      <w:pPr>
        <w:widowControl/>
        <w:spacing w:before="120" w:after="120"/>
        <w:jc w:val="center"/>
        <w:rPr>
          <w:rFonts w:eastAsia="Calibri"/>
          <w:b/>
          <w:noProof/>
          <w:szCs w:val="22"/>
        </w:rPr>
      </w:pPr>
      <w:r>
        <w:rPr>
          <w:b/>
        </w:rPr>
        <w:t>Modifications apportées au règlement (UE) nº 473/2013</w:t>
      </w:r>
    </w:p>
    <w:p w14:paraId="05809BE6" w14:textId="77777777" w:rsidR="004F51EE" w:rsidRPr="00BD4007" w:rsidRDefault="004F51EE" w:rsidP="004F51EE">
      <w:pPr>
        <w:widowControl/>
        <w:spacing w:before="120" w:after="120"/>
        <w:jc w:val="both"/>
        <w:rPr>
          <w:noProof/>
          <w:szCs w:val="22"/>
        </w:rPr>
      </w:pPr>
      <w:r>
        <w:t>Le règlement (UE) nº 473/2013 est modifié comme suit:</w:t>
      </w:r>
    </w:p>
    <w:p w14:paraId="31E973BD" w14:textId="77777777" w:rsidR="004F51EE" w:rsidRPr="00BD4007" w:rsidRDefault="004F51EE" w:rsidP="004F51EE">
      <w:pPr>
        <w:widowControl/>
        <w:spacing w:before="120" w:after="120"/>
        <w:ind w:left="850" w:hanging="850"/>
        <w:jc w:val="both"/>
        <w:rPr>
          <w:rFonts w:eastAsia="Calibri"/>
          <w:noProof/>
          <w:szCs w:val="22"/>
        </w:rPr>
      </w:pPr>
      <w:r>
        <w:t>1)</w:t>
      </w:r>
      <w:r>
        <w:tab/>
        <w:t>L’article 1</w:t>
      </w:r>
      <w:r>
        <w:rPr>
          <w:vertAlign w:val="superscript"/>
        </w:rPr>
        <w:t>er</w:t>
      </w:r>
      <w:r>
        <w:t>, paragraphe 1, est modifié comme suit:</w:t>
      </w:r>
    </w:p>
    <w:p w14:paraId="6409E171" w14:textId="77777777" w:rsidR="004F51EE" w:rsidRPr="00BD4007" w:rsidRDefault="004F51EE" w:rsidP="004F51EE">
      <w:pPr>
        <w:widowControl/>
        <w:spacing w:before="120" w:after="120"/>
        <w:ind w:left="1417" w:hanging="567"/>
        <w:jc w:val="both"/>
        <w:rPr>
          <w:rFonts w:eastAsia="Calibri"/>
          <w:noProof/>
          <w:szCs w:val="22"/>
        </w:rPr>
      </w:pPr>
      <w:r>
        <w:t>a)</w:t>
      </w:r>
      <w:r>
        <w:tab/>
        <w:t>les points a), b) et c) sont remplacés par le texte suivant:</w:t>
      </w:r>
    </w:p>
    <w:p w14:paraId="6A1A8656" w14:textId="77777777" w:rsidR="004F51EE" w:rsidRPr="00BD4007" w:rsidRDefault="004F51EE" w:rsidP="004F51EE">
      <w:pPr>
        <w:widowControl/>
        <w:spacing w:before="120" w:after="120"/>
        <w:ind w:left="1077"/>
        <w:contextualSpacing/>
        <w:jc w:val="both"/>
        <w:rPr>
          <w:noProof/>
          <w:szCs w:val="22"/>
        </w:rPr>
      </w:pPr>
      <w:r>
        <w:t>«a) en complétant le Semestre européen, tel qu’établi dans le règlement (UE) 2024/1263 du Parlement européen et du Conseil*, par un calendrier budgétaire commun;</w:t>
      </w:r>
    </w:p>
    <w:p w14:paraId="16A08CBA" w14:textId="77777777" w:rsidR="004F51EE" w:rsidRPr="00BD4007" w:rsidRDefault="004F51EE" w:rsidP="004F51EE">
      <w:pPr>
        <w:widowControl/>
        <w:spacing w:before="120" w:after="120"/>
        <w:ind w:left="1077"/>
        <w:contextualSpacing/>
        <w:jc w:val="both"/>
        <w:rPr>
          <w:noProof/>
          <w:szCs w:val="22"/>
        </w:rPr>
      </w:pPr>
      <w:r>
        <w:t>b) en complétant la procédure de prévention et de correction des déséquilibres macroéconomiques instituée par le règlement (UE) nº 1176/2011;</w:t>
      </w:r>
    </w:p>
    <w:p w14:paraId="28437C3C" w14:textId="77777777" w:rsidR="004F51EE" w:rsidRPr="00BD4007" w:rsidRDefault="004F51EE" w:rsidP="004F51EE">
      <w:pPr>
        <w:widowControl/>
        <w:spacing w:before="120" w:after="120"/>
        <w:ind w:left="1077"/>
        <w:contextualSpacing/>
        <w:jc w:val="both"/>
        <w:rPr>
          <w:noProof/>
          <w:szCs w:val="22"/>
        </w:rPr>
      </w:pPr>
      <w:r>
        <w:t>c) en complétant le système de surveillance multilatérale des politiques budgétaires, établi par le règlement (UE) 2024/1263, par des exigences de surveillance supplémentaires afin de garantir que les recommandations formulées par l’Union dans le domaine budgétaire sont dûment prises en compte dans la préparation des budgets nationaux;</w:t>
      </w:r>
    </w:p>
    <w:p w14:paraId="4001DA45" w14:textId="77777777" w:rsidR="004F51EE" w:rsidRPr="00BD4007" w:rsidRDefault="004F51EE" w:rsidP="004F51EE">
      <w:pPr>
        <w:widowControl/>
        <w:spacing w:before="120" w:after="120"/>
        <w:ind w:left="1077"/>
        <w:contextualSpacing/>
        <w:jc w:val="both"/>
        <w:rPr>
          <w:noProof/>
          <w:szCs w:val="22"/>
        </w:rPr>
      </w:pPr>
      <w:r>
        <w:t>______</w:t>
      </w:r>
    </w:p>
    <w:p w14:paraId="221F660E" w14:textId="375C1B03" w:rsidR="004F51EE" w:rsidRPr="00BD4007" w:rsidRDefault="004F51EE" w:rsidP="004F51EE">
      <w:pPr>
        <w:widowControl/>
        <w:spacing w:before="120" w:after="120"/>
        <w:ind w:left="1077"/>
        <w:contextualSpacing/>
        <w:jc w:val="both"/>
        <w:rPr>
          <w:noProof/>
          <w:szCs w:val="22"/>
        </w:rPr>
      </w:pPr>
      <w:r>
        <w:lastRenderedPageBreak/>
        <w:t xml:space="preserve">* 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5" w:history="1">
        <w:r>
          <w:rPr>
            <w:color w:val="0000FF"/>
            <w:u w:val="single"/>
          </w:rPr>
          <w:t>http://data.europa.eu/eli/reg/2024/1263/oj</w:t>
        </w:r>
      </w:hyperlink>
      <w:r>
        <w:t>).»;</w:t>
      </w:r>
    </w:p>
    <w:p w14:paraId="299AEA86" w14:textId="77777777" w:rsidR="004F51EE" w:rsidRPr="00BD4007" w:rsidRDefault="004F51EE" w:rsidP="004F51EE">
      <w:pPr>
        <w:widowControl/>
        <w:spacing w:before="120" w:after="120"/>
        <w:ind w:left="1417" w:hanging="567"/>
        <w:jc w:val="both"/>
        <w:rPr>
          <w:rFonts w:eastAsia="Calibri"/>
          <w:noProof/>
          <w:szCs w:val="22"/>
        </w:rPr>
      </w:pPr>
      <w:r>
        <w:t>b)</w:t>
      </w:r>
      <w:r>
        <w:tab/>
        <w:t>le point e) est supprimé;</w:t>
      </w:r>
    </w:p>
    <w:p w14:paraId="3723DC70" w14:textId="77777777" w:rsidR="004F51EE" w:rsidRPr="00BD4007" w:rsidRDefault="004F51EE" w:rsidP="004F51EE">
      <w:pPr>
        <w:widowControl/>
        <w:spacing w:before="120" w:after="120"/>
        <w:ind w:left="850" w:hanging="850"/>
        <w:jc w:val="both"/>
        <w:rPr>
          <w:rFonts w:eastAsia="Calibri"/>
          <w:noProof/>
          <w:szCs w:val="22"/>
        </w:rPr>
      </w:pPr>
      <w:r>
        <w:t>2)</w:t>
      </w:r>
      <w:r>
        <w:tab/>
        <w:t>l’article 2 est modifié comme suit:</w:t>
      </w:r>
    </w:p>
    <w:p w14:paraId="75CC92A5" w14:textId="77777777" w:rsidR="004F51EE" w:rsidRPr="00BD4007" w:rsidRDefault="004F51EE" w:rsidP="004F51EE">
      <w:pPr>
        <w:widowControl/>
        <w:spacing w:before="120" w:after="120"/>
        <w:ind w:left="1417" w:hanging="567"/>
        <w:jc w:val="both"/>
        <w:rPr>
          <w:rFonts w:eastAsia="Calibri"/>
          <w:noProof/>
          <w:szCs w:val="22"/>
        </w:rPr>
      </w:pPr>
      <w:r>
        <w:t>a)</w:t>
      </w:r>
      <w:r>
        <w:tab/>
        <w:t>le paragraphe 1 est modifié comme suit:</w:t>
      </w:r>
    </w:p>
    <w:p w14:paraId="4422BB9A" w14:textId="77777777" w:rsidR="004F51EE" w:rsidRPr="00BD4007" w:rsidRDefault="004F51EE" w:rsidP="004F51EE">
      <w:pPr>
        <w:widowControl/>
        <w:spacing w:before="120" w:after="120"/>
        <w:ind w:left="1984" w:hanging="567"/>
        <w:jc w:val="both"/>
        <w:rPr>
          <w:rFonts w:eastAsia="Calibri"/>
          <w:noProof/>
          <w:szCs w:val="22"/>
        </w:rPr>
      </w:pPr>
      <w:r>
        <w:t>i)</w:t>
      </w:r>
      <w:r>
        <w:tab/>
        <w:t>le premier alinéa est modifié comme suit:</w:t>
      </w:r>
    </w:p>
    <w:p w14:paraId="0383DFEF" w14:textId="77777777" w:rsidR="004F51EE" w:rsidRPr="00BD4007" w:rsidRDefault="004F51EE" w:rsidP="004F51EE">
      <w:pPr>
        <w:widowControl/>
        <w:tabs>
          <w:tab w:val="num" w:pos="2551"/>
        </w:tabs>
        <w:spacing w:before="120" w:after="120"/>
        <w:ind w:left="2551" w:hanging="567"/>
        <w:jc w:val="both"/>
        <w:rPr>
          <w:rFonts w:eastAsia="Calibri"/>
          <w:noProof/>
          <w:szCs w:val="22"/>
        </w:rPr>
      </w:pPr>
      <w:r>
        <w:t>le point a) est remplacé par le texte suivant:</w:t>
      </w:r>
    </w:p>
    <w:p w14:paraId="75329742" w14:textId="77777777" w:rsidR="004F51EE" w:rsidRPr="00BD4007" w:rsidRDefault="004F51EE" w:rsidP="004F51EE">
      <w:pPr>
        <w:widowControl/>
        <w:spacing w:before="120" w:after="120"/>
        <w:ind w:left="1984"/>
        <w:jc w:val="both"/>
        <w:rPr>
          <w:noProof/>
          <w:szCs w:val="22"/>
        </w:rPr>
      </w:pPr>
      <w:r>
        <w:t>«a) “organisme indépendant”, une institution budgétaire indépendante établie conformément à l’article 8 </w:t>
      </w:r>
      <w:r>
        <w:rPr>
          <w:i/>
          <w:iCs/>
        </w:rPr>
        <w:t>bis</w:t>
      </w:r>
      <w:r>
        <w:t xml:space="preserve"> de la directive 2011/85/UE;»;</w:t>
      </w:r>
    </w:p>
    <w:p w14:paraId="30E1AB19" w14:textId="77777777" w:rsidR="004F51EE" w:rsidRPr="00BD4007" w:rsidRDefault="004F51EE" w:rsidP="004F51EE">
      <w:pPr>
        <w:widowControl/>
        <w:tabs>
          <w:tab w:val="left" w:pos="2551"/>
        </w:tabs>
        <w:spacing w:before="120" w:after="120"/>
        <w:ind w:left="2551" w:hanging="567"/>
        <w:jc w:val="both"/>
        <w:rPr>
          <w:rFonts w:eastAsia="Calibri"/>
          <w:noProof/>
          <w:szCs w:val="22"/>
        </w:rPr>
      </w:pPr>
      <w:r>
        <w:t>–</w:t>
      </w:r>
      <w:r>
        <w:tab/>
        <w:t>le point d) est remplacé par le texte suivant:</w:t>
      </w:r>
    </w:p>
    <w:p w14:paraId="5C6DBC1E" w14:textId="77777777" w:rsidR="004F51EE" w:rsidRPr="00BD4007" w:rsidRDefault="004F51EE" w:rsidP="004F51EE">
      <w:pPr>
        <w:widowControl/>
        <w:spacing w:before="120" w:after="120"/>
        <w:ind w:left="1984"/>
        <w:jc w:val="both"/>
        <w:rPr>
          <w:rFonts w:eastAsia="Calibri"/>
          <w:noProof/>
          <w:szCs w:val="22"/>
        </w:rPr>
      </w:pPr>
      <w:r>
        <w:t>«d) “</w:t>
      </w:r>
      <w:bookmarkStart w:id="5" w:name="_Hlk205285921"/>
      <w:r>
        <w:t>plan budgétaire et structurel national à moyen terme</w:t>
      </w:r>
      <w:bookmarkEnd w:id="5"/>
      <w:r>
        <w:t>”, le plan budgétaire et structurel national à moyen terme au sens de l’article 2, point 6, du règlement (UE) 2024/1263;»;</w:t>
      </w:r>
    </w:p>
    <w:p w14:paraId="78D6A329" w14:textId="77777777" w:rsidR="004F51EE" w:rsidRPr="00BD4007" w:rsidRDefault="004F51EE" w:rsidP="004F51EE">
      <w:pPr>
        <w:widowControl/>
        <w:tabs>
          <w:tab w:val="left" w:pos="2551"/>
        </w:tabs>
        <w:spacing w:before="120" w:after="120"/>
        <w:ind w:left="2551" w:hanging="567"/>
        <w:jc w:val="both"/>
        <w:rPr>
          <w:rFonts w:eastAsia="Calibri"/>
          <w:noProof/>
          <w:szCs w:val="22"/>
        </w:rPr>
      </w:pPr>
      <w:r>
        <w:t>–</w:t>
      </w:r>
      <w:r>
        <w:tab/>
        <w:t>les points e) et f) suivants sont ajoutés:</w:t>
      </w:r>
    </w:p>
    <w:p w14:paraId="5D3E5B0C" w14:textId="77777777" w:rsidR="004F51EE" w:rsidRPr="00BD4007" w:rsidRDefault="004F51EE" w:rsidP="004F51EE">
      <w:pPr>
        <w:widowControl/>
        <w:spacing w:before="120" w:after="120"/>
        <w:ind w:left="1984"/>
        <w:jc w:val="both"/>
        <w:rPr>
          <w:rFonts w:eastAsia="Calibri"/>
          <w:noProof/>
          <w:szCs w:val="22"/>
        </w:rPr>
      </w:pPr>
      <w:r>
        <w:t>«e) “trajectoire des dépenses nettes”, la trajectoire des dépenses nettes au sens de l’article 2, point 5, du règlement (UE) 2024/1263;</w:t>
      </w:r>
    </w:p>
    <w:p w14:paraId="3C37BEA4" w14:textId="77777777" w:rsidR="004F51EE" w:rsidRPr="00BD4007" w:rsidRDefault="004F51EE" w:rsidP="004F51EE">
      <w:pPr>
        <w:widowControl/>
        <w:spacing w:before="120" w:after="120"/>
        <w:ind w:left="1984"/>
        <w:jc w:val="both"/>
        <w:rPr>
          <w:rFonts w:eastAsia="Calibri"/>
          <w:noProof/>
          <w:szCs w:val="22"/>
        </w:rPr>
      </w:pPr>
      <w:r>
        <w:t>f) “trajectoire de correction des dépenses nettes”, la trajectoire de correction des dépenses nettes visée à l’article 3, paragraphe 4, du règlement (CE) nº 1467/97.»;</w:t>
      </w:r>
    </w:p>
    <w:p w14:paraId="419966E8" w14:textId="77777777" w:rsidR="004F51EE" w:rsidRPr="00BD4007" w:rsidRDefault="004F51EE" w:rsidP="004F51EE">
      <w:pPr>
        <w:widowControl/>
        <w:spacing w:before="120" w:after="120"/>
        <w:ind w:left="1984" w:hanging="567"/>
        <w:jc w:val="both"/>
        <w:rPr>
          <w:rFonts w:eastAsia="Calibri"/>
          <w:noProof/>
          <w:szCs w:val="22"/>
        </w:rPr>
      </w:pPr>
      <w:r>
        <w:t>ii)</w:t>
      </w:r>
      <w:r>
        <w:tab/>
        <w:t>le deuxième alinéa est supprimé;</w:t>
      </w:r>
    </w:p>
    <w:p w14:paraId="350D9724" w14:textId="77777777" w:rsidR="004F51EE" w:rsidRPr="00BD4007" w:rsidRDefault="004F51EE" w:rsidP="004F51EE">
      <w:pPr>
        <w:widowControl/>
        <w:spacing w:before="120" w:after="120"/>
        <w:ind w:left="1417" w:hanging="567"/>
        <w:jc w:val="both"/>
        <w:rPr>
          <w:rFonts w:eastAsia="Calibri"/>
          <w:noProof/>
          <w:szCs w:val="22"/>
        </w:rPr>
      </w:pPr>
      <w:r>
        <w:t>b)</w:t>
      </w:r>
      <w:r>
        <w:tab/>
        <w:t>le paragraphe 2 est remplacé par le texte suivant:</w:t>
      </w:r>
    </w:p>
    <w:p w14:paraId="656C1725" w14:textId="77777777" w:rsidR="004F51EE" w:rsidRPr="00BD4007" w:rsidRDefault="004F51EE" w:rsidP="004F51EE">
      <w:pPr>
        <w:widowControl/>
        <w:spacing w:before="120" w:after="120"/>
        <w:ind w:left="1077"/>
        <w:contextualSpacing/>
        <w:jc w:val="both"/>
        <w:rPr>
          <w:noProof/>
          <w:szCs w:val="22"/>
        </w:rPr>
      </w:pPr>
      <w:r>
        <w:t>«2. S’appliquent également au présent règlement les définitions du “secteur des administrations publiques” et des “sous-secteurs du secteur des administrations publiques” établies à l’annexe A du règlement (UE) nº 549/2013 du Parlement européen et du Conseil*.</w:t>
      </w:r>
    </w:p>
    <w:p w14:paraId="7EC0C2D3" w14:textId="77777777" w:rsidR="004F51EE" w:rsidRPr="00BD4007" w:rsidRDefault="004F51EE" w:rsidP="004F51EE">
      <w:pPr>
        <w:widowControl/>
        <w:spacing w:before="120" w:after="120"/>
        <w:ind w:left="1077"/>
        <w:contextualSpacing/>
        <w:jc w:val="both"/>
        <w:rPr>
          <w:noProof/>
          <w:szCs w:val="22"/>
        </w:rPr>
      </w:pPr>
      <w:r>
        <w:t>______</w:t>
      </w:r>
    </w:p>
    <w:p w14:paraId="43FF176E" w14:textId="00689ADC" w:rsidR="004F51EE" w:rsidRPr="00BD4007" w:rsidRDefault="004F51EE" w:rsidP="004F51EE">
      <w:pPr>
        <w:widowControl/>
        <w:spacing w:before="120" w:after="120"/>
        <w:ind w:left="1077"/>
        <w:contextualSpacing/>
        <w:jc w:val="both"/>
        <w:rPr>
          <w:noProof/>
          <w:szCs w:val="22"/>
        </w:rPr>
      </w:pPr>
      <w:r>
        <w:t xml:space="preserve">* Règlement (UE) nº 549/2013 du Parlement européen et du Conseil du 21 mai 2013 relatif au système européen des comptes nationaux et régionaux dans l’Union européenne (JO L 174 du 26.6.2013, p. 1, ELI: </w:t>
      </w:r>
      <w:hyperlink r:id="rId16" w:history="1">
        <w:r>
          <w:rPr>
            <w:color w:val="0000FF"/>
            <w:u w:val="single"/>
          </w:rPr>
          <w:t>http://data.europa.eu/eli/reg/2013/549/oj</w:t>
        </w:r>
      </w:hyperlink>
      <w:r>
        <w:t>).»;</w:t>
      </w:r>
    </w:p>
    <w:p w14:paraId="2C32BDB0" w14:textId="77777777" w:rsidR="004F51EE" w:rsidRPr="00BD4007" w:rsidRDefault="004F51EE" w:rsidP="004F51EE">
      <w:pPr>
        <w:widowControl/>
        <w:spacing w:before="120" w:after="120"/>
        <w:ind w:left="850" w:hanging="850"/>
        <w:jc w:val="both"/>
        <w:rPr>
          <w:rFonts w:eastAsia="Calibri"/>
          <w:noProof/>
          <w:szCs w:val="22"/>
        </w:rPr>
      </w:pPr>
      <w:r>
        <w:t>3)</w:t>
      </w:r>
      <w:r>
        <w:tab/>
        <w:t>l’article 3 est remplacé par le texte suivant:</w:t>
      </w:r>
    </w:p>
    <w:p w14:paraId="31A3E3E7" w14:textId="77777777" w:rsidR="004F51EE" w:rsidRPr="00BD4007" w:rsidRDefault="004F51EE" w:rsidP="004F51EE">
      <w:pPr>
        <w:widowControl/>
        <w:spacing w:before="120" w:after="120"/>
        <w:ind w:left="720"/>
        <w:jc w:val="both"/>
        <w:rPr>
          <w:noProof/>
          <w:szCs w:val="22"/>
        </w:rPr>
      </w:pPr>
      <w:r>
        <w:t>«</w:t>
      </w:r>
      <w:r>
        <w:rPr>
          <w:i/>
        </w:rPr>
        <w:t>Article 3</w:t>
      </w:r>
    </w:p>
    <w:p w14:paraId="776ADC06" w14:textId="77777777" w:rsidR="004F51EE" w:rsidRPr="00BD4007" w:rsidRDefault="004F51EE" w:rsidP="004F51EE">
      <w:pPr>
        <w:widowControl/>
        <w:spacing w:before="120" w:after="120"/>
        <w:ind w:left="720"/>
        <w:jc w:val="both"/>
        <w:rPr>
          <w:b/>
          <w:bCs/>
          <w:noProof/>
          <w:szCs w:val="22"/>
        </w:rPr>
      </w:pPr>
      <w:r>
        <w:rPr>
          <w:b/>
        </w:rPr>
        <w:t>Cohérence avec le cadre de coordination des politiques économiques</w:t>
      </w:r>
    </w:p>
    <w:p w14:paraId="5987BA7B" w14:textId="77777777" w:rsidR="004F51EE" w:rsidRPr="00BD4007" w:rsidRDefault="004F51EE" w:rsidP="004F51EE">
      <w:pPr>
        <w:widowControl/>
        <w:spacing w:before="120" w:after="120"/>
        <w:ind w:left="720"/>
        <w:jc w:val="both"/>
        <w:rPr>
          <w:noProof/>
          <w:szCs w:val="22"/>
        </w:rPr>
      </w:pPr>
      <w:r>
        <w:t>La procédure budgétaire des États membres est cohérente avec l’ensemble des éléments suivants:</w:t>
      </w:r>
    </w:p>
    <w:p w14:paraId="4709D487" w14:textId="77777777" w:rsidR="004F51EE" w:rsidRPr="00BD4007" w:rsidRDefault="004F51EE" w:rsidP="004F51EE">
      <w:pPr>
        <w:widowControl/>
        <w:spacing w:before="120" w:after="120"/>
        <w:ind w:left="1417" w:hanging="567"/>
        <w:jc w:val="both"/>
        <w:rPr>
          <w:rFonts w:eastAsia="Calibri"/>
          <w:noProof/>
          <w:szCs w:val="22"/>
        </w:rPr>
      </w:pPr>
      <w:r>
        <w:t>1)</w:t>
      </w:r>
      <w:r>
        <w:tab/>
        <w:t>les recommandations adressées dans le contexte du règlement (UE) 2024/1263;</w:t>
      </w:r>
    </w:p>
    <w:p w14:paraId="5F2B22B2" w14:textId="77777777" w:rsidR="004F51EE" w:rsidRPr="00BD4007" w:rsidRDefault="004F51EE" w:rsidP="004F51EE">
      <w:pPr>
        <w:widowControl/>
        <w:spacing w:before="120" w:after="120"/>
        <w:ind w:left="1417" w:hanging="567"/>
        <w:jc w:val="both"/>
        <w:rPr>
          <w:rFonts w:eastAsia="Calibri"/>
          <w:noProof/>
          <w:szCs w:val="22"/>
        </w:rPr>
      </w:pPr>
      <w:r>
        <w:t>2)</w:t>
      </w:r>
      <w:r>
        <w:tab/>
        <w:t>le cas échéant, les recommandations et décisions du Conseil adressées dans le cadre du règlement (CE) nº 1467/97;</w:t>
      </w:r>
    </w:p>
    <w:p w14:paraId="14DEF6D6" w14:textId="77777777" w:rsidR="004F51EE" w:rsidRPr="00BD4007" w:rsidRDefault="004F51EE" w:rsidP="004F51EE">
      <w:pPr>
        <w:widowControl/>
        <w:spacing w:before="120" w:after="120"/>
        <w:ind w:left="1417" w:hanging="567"/>
        <w:jc w:val="both"/>
        <w:rPr>
          <w:rFonts w:eastAsia="Calibri"/>
          <w:noProof/>
          <w:szCs w:val="22"/>
        </w:rPr>
      </w:pPr>
      <w:r>
        <w:t>3)</w:t>
      </w:r>
      <w:r>
        <w:tab/>
        <w:t xml:space="preserve">le cas échéant, les décisions prises au titre du règlement (UE) nº 1173/2011; </w:t>
      </w:r>
    </w:p>
    <w:p w14:paraId="48B01FFF" w14:textId="77777777" w:rsidR="004F51EE" w:rsidRPr="00BD4007" w:rsidRDefault="004F51EE" w:rsidP="004F51EE">
      <w:pPr>
        <w:widowControl/>
        <w:spacing w:before="120" w:after="120"/>
        <w:ind w:left="1417" w:hanging="567"/>
        <w:jc w:val="both"/>
        <w:rPr>
          <w:rFonts w:eastAsia="Calibri"/>
          <w:noProof/>
          <w:szCs w:val="22"/>
        </w:rPr>
      </w:pPr>
      <w:r>
        <w:lastRenderedPageBreak/>
        <w:t>4)</w:t>
      </w:r>
      <w:r>
        <w:tab/>
        <w:t>les règles et procédures prévues par la directive 2011/85/UE.»;</w:t>
      </w:r>
    </w:p>
    <w:p w14:paraId="27C85294" w14:textId="77777777" w:rsidR="004F51EE" w:rsidRPr="00BD4007" w:rsidRDefault="004F51EE" w:rsidP="004F51EE">
      <w:pPr>
        <w:widowControl/>
        <w:spacing w:before="120" w:after="120"/>
        <w:ind w:left="850" w:hanging="850"/>
        <w:jc w:val="both"/>
        <w:rPr>
          <w:rFonts w:eastAsia="Calibri"/>
          <w:noProof/>
          <w:szCs w:val="22"/>
        </w:rPr>
      </w:pPr>
      <w:r>
        <w:t>4)</w:t>
      </w:r>
      <w:r>
        <w:tab/>
        <w:t>l’article 4 est modifié comme suit:</w:t>
      </w:r>
    </w:p>
    <w:p w14:paraId="4B14C28B" w14:textId="77777777" w:rsidR="004F51EE" w:rsidRPr="00BD4007" w:rsidRDefault="004F51EE" w:rsidP="004F51EE">
      <w:pPr>
        <w:widowControl/>
        <w:spacing w:before="120" w:after="120"/>
        <w:ind w:left="1417" w:hanging="567"/>
        <w:jc w:val="both"/>
        <w:rPr>
          <w:rFonts w:eastAsia="Calibri"/>
          <w:noProof/>
          <w:szCs w:val="22"/>
        </w:rPr>
      </w:pPr>
      <w:r>
        <w:t>a)</w:t>
      </w:r>
      <w:r>
        <w:tab/>
        <w:t>le paragraphe 1 est supprimé;</w:t>
      </w:r>
    </w:p>
    <w:p w14:paraId="767832F9" w14:textId="77777777" w:rsidR="004F51EE" w:rsidRPr="00BD4007" w:rsidRDefault="004F51EE" w:rsidP="004F51EE">
      <w:pPr>
        <w:widowControl/>
        <w:spacing w:before="120" w:after="120"/>
        <w:ind w:left="1417" w:hanging="567"/>
        <w:jc w:val="both"/>
        <w:rPr>
          <w:rFonts w:eastAsia="Calibri"/>
          <w:noProof/>
          <w:szCs w:val="22"/>
        </w:rPr>
      </w:pPr>
      <w:r>
        <w:t>b)</w:t>
      </w:r>
      <w:r>
        <w:tab/>
        <w:t>le paragraphe 4 est remplacé par le texte suivant:</w:t>
      </w:r>
    </w:p>
    <w:p w14:paraId="7C486A8C" w14:textId="77777777" w:rsidR="004F51EE" w:rsidRPr="00BD4007" w:rsidRDefault="004F51EE" w:rsidP="004F51EE">
      <w:pPr>
        <w:widowControl/>
        <w:spacing w:before="120" w:after="120"/>
        <w:ind w:left="1077"/>
        <w:contextualSpacing/>
        <w:jc w:val="both"/>
        <w:rPr>
          <w:noProof/>
          <w:szCs w:val="22"/>
        </w:rPr>
      </w:pPr>
      <w:r>
        <w:t>«4. La planification budgétaire pluriannuelle nationale au titre de la directive 2011/85/UE et les projets de budgets visés au paragraphe 2 du présent article sont basés sur des prévisions macroéconomiques indépendantes et précisent si les prévisions budgétaires ont été produites ou approuvées par un organisme indépendant. Ces prévisions sont rendues publiques, en même temps que les documents pertinents de la planification budgétaire pluriannuelle nationale au titre de la directive 2011/85/UE et les projets de budget qu’elles sous-tendent.»;</w:t>
      </w:r>
    </w:p>
    <w:p w14:paraId="012C72E0" w14:textId="77777777" w:rsidR="004F51EE" w:rsidRPr="00BD4007" w:rsidRDefault="004F51EE" w:rsidP="004F51EE">
      <w:pPr>
        <w:widowControl/>
        <w:spacing w:before="120" w:after="120"/>
        <w:ind w:left="850" w:hanging="850"/>
        <w:jc w:val="both"/>
        <w:rPr>
          <w:rFonts w:eastAsia="Calibri"/>
          <w:noProof/>
          <w:szCs w:val="22"/>
        </w:rPr>
      </w:pPr>
      <w:r>
        <w:t>5)</w:t>
      </w:r>
      <w:r>
        <w:tab/>
        <w:t>l’article 5 est modifié comme suit:</w:t>
      </w:r>
    </w:p>
    <w:p w14:paraId="213FB226" w14:textId="77777777" w:rsidR="004F51EE" w:rsidRPr="00BD4007" w:rsidRDefault="004F51EE" w:rsidP="004F51EE">
      <w:pPr>
        <w:widowControl/>
        <w:spacing w:before="120" w:after="120"/>
        <w:ind w:left="1417" w:hanging="567"/>
        <w:jc w:val="both"/>
        <w:rPr>
          <w:rFonts w:eastAsia="Calibri"/>
          <w:noProof/>
          <w:szCs w:val="22"/>
        </w:rPr>
      </w:pPr>
      <w:r>
        <w:t>a)</w:t>
      </w:r>
      <w:r>
        <w:tab/>
        <w:t>le paragraphe 1 est remplacé par le texte suivant:</w:t>
      </w:r>
    </w:p>
    <w:p w14:paraId="23A22D2E" w14:textId="77777777" w:rsidR="004F51EE" w:rsidRPr="00BD4007" w:rsidRDefault="004F51EE" w:rsidP="004F51EE">
      <w:pPr>
        <w:widowControl/>
        <w:spacing w:before="120" w:after="120"/>
        <w:ind w:left="1440" w:hanging="306"/>
        <w:contextualSpacing/>
        <w:jc w:val="both"/>
        <w:rPr>
          <w:noProof/>
          <w:szCs w:val="22"/>
        </w:rPr>
      </w:pPr>
      <w:r>
        <w:t>«1. Indépendamment des autres tâches énoncées à l’article 8 </w:t>
      </w:r>
      <w:r>
        <w:rPr>
          <w:i/>
          <w:iCs/>
        </w:rPr>
        <w:t>bis</w:t>
      </w:r>
      <w:r>
        <w:t xml:space="preserve"> de la directive 2011/85/UE, les États membres mettent en place </w:t>
      </w:r>
      <w:r>
        <w:rPr>
          <w:b/>
          <w:i/>
        </w:rPr>
        <w:t>un ou plusieurs</w:t>
      </w:r>
      <w:r>
        <w:t xml:space="preserve"> organismes indépendants chargés de:</w:t>
      </w:r>
    </w:p>
    <w:p w14:paraId="1FAC06BB" w14:textId="77777777" w:rsidR="004F51EE" w:rsidRPr="00BD4007" w:rsidRDefault="004F51EE" w:rsidP="004F51EE">
      <w:pPr>
        <w:widowControl/>
        <w:spacing w:before="120" w:after="120"/>
        <w:ind w:left="2551" w:hanging="567"/>
        <w:jc w:val="both"/>
        <w:rPr>
          <w:rFonts w:eastAsia="Calibri"/>
          <w:noProof/>
          <w:szCs w:val="22"/>
        </w:rPr>
      </w:pPr>
      <w:r>
        <w:t>a)</w:t>
      </w:r>
      <w:r>
        <w:tab/>
        <w:t>fournir l’avis visé à l’article 11, paragraphe 2, et l’évaluation visée à l’article 23 du règlement (UE) (UE) 2024/1263;</w:t>
      </w:r>
    </w:p>
    <w:p w14:paraId="258AFAEE" w14:textId="77777777" w:rsidR="004F51EE" w:rsidRPr="00BD4007" w:rsidRDefault="004F51EE" w:rsidP="004F51EE">
      <w:pPr>
        <w:widowControl/>
        <w:spacing w:before="120" w:after="120"/>
        <w:ind w:left="2551" w:hanging="567"/>
        <w:jc w:val="both"/>
        <w:rPr>
          <w:rFonts w:eastAsia="Calibri"/>
          <w:noProof/>
          <w:szCs w:val="22"/>
        </w:rPr>
      </w:pPr>
      <w:r>
        <w:t>b)</w:t>
      </w:r>
      <w:r>
        <w:tab/>
        <w:t>contrôler le respect des règles budgétaires chiffrées nationales visées aux articles 5 et 8 </w:t>
      </w:r>
      <w:r>
        <w:rPr>
          <w:i/>
          <w:iCs/>
        </w:rPr>
        <w:t>bis</w:t>
      </w:r>
      <w:r>
        <w:t xml:space="preserve"> de la directive 2011/85/UE.»;</w:t>
      </w:r>
    </w:p>
    <w:p w14:paraId="5FC94720" w14:textId="77777777" w:rsidR="004F51EE" w:rsidRPr="00BD4007" w:rsidRDefault="004F51EE" w:rsidP="004F51EE">
      <w:pPr>
        <w:widowControl/>
        <w:spacing w:before="120" w:after="120"/>
        <w:ind w:left="1417" w:hanging="567"/>
        <w:jc w:val="both"/>
        <w:rPr>
          <w:rFonts w:eastAsia="Calibri"/>
          <w:noProof/>
          <w:szCs w:val="22"/>
        </w:rPr>
      </w:pPr>
      <w:r>
        <w:t>b)</w:t>
      </w:r>
      <w:r>
        <w:tab/>
        <w:t>le paragraphe 2 est supprimé;</w:t>
      </w:r>
    </w:p>
    <w:p w14:paraId="47BA83D5" w14:textId="77777777" w:rsidR="004F51EE" w:rsidRPr="00BD4007" w:rsidRDefault="004F51EE" w:rsidP="004F51EE">
      <w:pPr>
        <w:widowControl/>
        <w:spacing w:before="120" w:after="120"/>
        <w:ind w:left="850" w:hanging="850"/>
        <w:jc w:val="both"/>
        <w:rPr>
          <w:rFonts w:eastAsia="Calibri"/>
          <w:noProof/>
          <w:szCs w:val="22"/>
        </w:rPr>
      </w:pPr>
      <w:r>
        <w:t>6)</w:t>
      </w:r>
      <w:r>
        <w:tab/>
        <w:t>l’article 6 est remplacé par le texte suivant:</w:t>
      </w:r>
    </w:p>
    <w:p w14:paraId="5960656F" w14:textId="77777777" w:rsidR="004F51EE" w:rsidRPr="00BD4007" w:rsidRDefault="004F51EE" w:rsidP="004F51EE">
      <w:pPr>
        <w:widowControl/>
        <w:spacing w:before="120" w:after="120"/>
        <w:ind w:left="1080"/>
        <w:contextualSpacing/>
        <w:jc w:val="both"/>
        <w:rPr>
          <w:noProof/>
          <w:szCs w:val="22"/>
        </w:rPr>
      </w:pPr>
      <w:r>
        <w:t>«</w:t>
      </w:r>
      <w:r>
        <w:rPr>
          <w:i/>
        </w:rPr>
        <w:t>Article 6</w:t>
      </w:r>
    </w:p>
    <w:p w14:paraId="6220321B" w14:textId="77777777" w:rsidR="004F51EE" w:rsidRPr="00BD4007" w:rsidRDefault="004F51EE" w:rsidP="004F51EE">
      <w:pPr>
        <w:widowControl/>
        <w:spacing w:before="120" w:after="120"/>
        <w:ind w:left="1080"/>
        <w:contextualSpacing/>
        <w:jc w:val="both"/>
        <w:rPr>
          <w:b/>
          <w:bCs/>
          <w:noProof/>
          <w:szCs w:val="22"/>
        </w:rPr>
      </w:pPr>
      <w:r>
        <w:rPr>
          <w:b/>
        </w:rPr>
        <w:t>Obligations liées au suivi</w:t>
      </w:r>
    </w:p>
    <w:p w14:paraId="082F2D66" w14:textId="77777777" w:rsidR="004F51EE" w:rsidRPr="00BD4007" w:rsidRDefault="004F51EE" w:rsidP="004F51EE">
      <w:pPr>
        <w:widowControl/>
        <w:spacing w:before="120" w:after="120"/>
        <w:ind w:left="1701" w:hanging="567"/>
        <w:jc w:val="both"/>
        <w:rPr>
          <w:rFonts w:eastAsia="Calibri"/>
          <w:noProof/>
          <w:szCs w:val="22"/>
        </w:rPr>
      </w:pPr>
      <w:r>
        <w:t>1.</w:t>
      </w:r>
      <w:r>
        <w:tab/>
        <w:t>Les États membres soumettent à la Commission et à l’Eurogroupe chaque année, et au plus tard le 15 octobre, un projet de plan budgétaire pour l’année suivante. Ce projet de plan budgétaire est cohérent avec le cadre défini à l’article 3.</w:t>
      </w:r>
    </w:p>
    <w:p w14:paraId="14ED51A3" w14:textId="77777777" w:rsidR="004F51EE" w:rsidRPr="00BD4007" w:rsidRDefault="004F51EE" w:rsidP="004F51EE">
      <w:pPr>
        <w:widowControl/>
        <w:spacing w:before="120" w:after="120"/>
        <w:ind w:left="1701" w:hanging="567"/>
        <w:jc w:val="both"/>
        <w:rPr>
          <w:rFonts w:eastAsia="Calibri"/>
          <w:noProof/>
          <w:szCs w:val="22"/>
        </w:rPr>
      </w:pPr>
      <w:r>
        <w:t>2.</w:t>
      </w:r>
      <w:r>
        <w:tab/>
        <w:t>Aussitôt que les projets de plan budgétaire, visés au paragraphe 1, sont transmis à la Commission, ils sont rendus publics.</w:t>
      </w:r>
    </w:p>
    <w:p w14:paraId="6F619ACD" w14:textId="77777777" w:rsidR="004F51EE" w:rsidRPr="00BD4007" w:rsidRDefault="004F51EE" w:rsidP="004F51EE">
      <w:pPr>
        <w:widowControl/>
        <w:spacing w:before="120" w:after="120"/>
        <w:ind w:left="1701" w:hanging="567"/>
        <w:jc w:val="both"/>
        <w:rPr>
          <w:rFonts w:eastAsia="Calibri"/>
          <w:noProof/>
          <w:szCs w:val="22"/>
        </w:rPr>
      </w:pPr>
      <w:r>
        <w:t>3.</w:t>
      </w:r>
      <w:r>
        <w:tab/>
        <w:t>Le projet de plan budgétaire contient les informations suivantes pour l’année couverte par le projet de budget et l’année précédente:</w:t>
      </w:r>
    </w:p>
    <w:p w14:paraId="0E7C9A58" w14:textId="77777777" w:rsidR="004F51EE" w:rsidRPr="00BD4007" w:rsidRDefault="004F51EE" w:rsidP="004F51EE">
      <w:pPr>
        <w:widowControl/>
        <w:spacing w:before="120" w:after="120"/>
        <w:ind w:left="850" w:hanging="850"/>
        <w:jc w:val="both"/>
        <w:rPr>
          <w:rFonts w:eastAsia="Calibri"/>
          <w:noProof/>
          <w:szCs w:val="22"/>
        </w:rPr>
      </w:pPr>
      <w:r>
        <w:t>a)</w:t>
      </w:r>
      <w:r>
        <w:tab/>
        <w:t>le taux de croissance des dépenses nettes, telles que définies à l’article 2, point 2, du règlement (UE) 2024/1263, et la ventilation de leurs composantes induite par le projet de budget;</w:t>
      </w:r>
    </w:p>
    <w:p w14:paraId="5D39DCC9" w14:textId="77777777" w:rsidR="004F51EE" w:rsidRPr="00BD4007" w:rsidRDefault="004F51EE" w:rsidP="004F51EE">
      <w:pPr>
        <w:widowControl/>
        <w:spacing w:before="120" w:after="120"/>
        <w:ind w:left="850" w:hanging="850"/>
        <w:jc w:val="both"/>
        <w:rPr>
          <w:rFonts w:eastAsia="Calibri"/>
          <w:noProof/>
          <w:szCs w:val="22"/>
        </w:rPr>
      </w:pPr>
      <w:r>
        <w:t>b)</w:t>
      </w:r>
      <w:r>
        <w:tab/>
        <w:t>une description et une quantification des mesures en matière de recettes et de dépenses figurant dans le projet de budget;</w:t>
      </w:r>
    </w:p>
    <w:p w14:paraId="0FD7FB6A" w14:textId="77777777" w:rsidR="004F51EE" w:rsidRPr="00BD4007" w:rsidRDefault="004F51EE" w:rsidP="004F51EE">
      <w:pPr>
        <w:widowControl/>
        <w:spacing w:before="120" w:after="120"/>
        <w:ind w:left="850" w:hanging="850"/>
        <w:jc w:val="both"/>
        <w:rPr>
          <w:rFonts w:eastAsia="Calibri"/>
          <w:noProof/>
          <w:szCs w:val="22"/>
        </w:rPr>
      </w:pPr>
      <w:r>
        <w:t>c)</w:t>
      </w:r>
      <w:r>
        <w:tab/>
        <w:t>une quantification des dépenses relatives aux programmes de l’Union entièrement compensées par des recettes provenant de fonds de l’Union, ainsi que des dépenses nationales de cofinancement des programmes financés par l’Union figurant dans le projet de budget;</w:t>
      </w:r>
    </w:p>
    <w:p w14:paraId="6BD4D6AA" w14:textId="77777777" w:rsidR="004F51EE" w:rsidRPr="00BD4007" w:rsidRDefault="004F51EE" w:rsidP="004F51EE">
      <w:pPr>
        <w:widowControl/>
        <w:spacing w:before="120" w:after="120"/>
        <w:ind w:left="850" w:hanging="850"/>
        <w:jc w:val="both"/>
        <w:rPr>
          <w:rFonts w:eastAsia="Calibri"/>
          <w:noProof/>
          <w:szCs w:val="22"/>
        </w:rPr>
      </w:pPr>
      <w:r>
        <w:lastRenderedPageBreak/>
        <w:t>d)</w:t>
      </w:r>
      <w:r>
        <w:tab/>
        <w:t>les projections à politiques inchangées, relatives aux dépenses et aux recettes des administrations publiques, en pourcentage du PIB, ainsi que leurs principales composantes, dont la formation brute de capital fixe;</w:t>
      </w:r>
    </w:p>
    <w:p w14:paraId="5F3C2AB2" w14:textId="77777777" w:rsidR="004F51EE" w:rsidRPr="00BD4007" w:rsidRDefault="004F51EE" w:rsidP="004F51EE">
      <w:pPr>
        <w:widowControl/>
        <w:spacing w:before="120" w:after="120"/>
        <w:ind w:left="850" w:hanging="850"/>
        <w:jc w:val="both"/>
        <w:rPr>
          <w:rFonts w:eastAsia="Calibri"/>
          <w:noProof/>
          <w:szCs w:val="22"/>
        </w:rPr>
      </w:pPr>
      <w:r>
        <w:t>e)</w:t>
      </w:r>
      <w:r>
        <w:tab/>
        <w:t>les projections macroéconomiques qui sous-tendent le projet de budget, y compris les principales hypothèses et les évolutions économiques importantes pertinentes pour le projet de budget;</w:t>
      </w:r>
    </w:p>
    <w:p w14:paraId="223EE115" w14:textId="77777777" w:rsidR="004F51EE" w:rsidRPr="00BD4007" w:rsidRDefault="004F51EE" w:rsidP="004F51EE">
      <w:pPr>
        <w:widowControl/>
        <w:spacing w:before="120" w:after="120"/>
        <w:ind w:left="850" w:hanging="850"/>
        <w:jc w:val="both"/>
        <w:rPr>
          <w:rFonts w:eastAsia="Calibri"/>
          <w:noProof/>
          <w:szCs w:val="22"/>
        </w:rPr>
      </w:pPr>
      <w:r>
        <w:t>f)</w:t>
      </w:r>
      <w:r>
        <w:tab/>
        <w:t>les projections en matière de recettes et de dépenses pour les administrations publiques et leurs principales composantes, fondées sur les données disponibles les plus récentes et compatibles avec le taux de croissance des dépenses nettes, les mesures en matière de recettes et de dépenses, les dépenses relatives aux programmes de l’Union entièrement compensées par des recettes provenant de fonds de l’Union et les projections macroéconomiques visées aux points a) à e);</w:t>
      </w:r>
    </w:p>
    <w:p w14:paraId="614DA41D" w14:textId="77777777" w:rsidR="004F51EE" w:rsidRPr="00BD4007" w:rsidRDefault="004F51EE" w:rsidP="004F51EE">
      <w:pPr>
        <w:widowControl/>
        <w:spacing w:before="120" w:after="120"/>
        <w:ind w:left="850" w:hanging="850"/>
        <w:jc w:val="both"/>
        <w:rPr>
          <w:rFonts w:eastAsia="Calibri"/>
          <w:noProof/>
          <w:szCs w:val="22"/>
        </w:rPr>
      </w:pPr>
      <w:r>
        <w:t>g)</w:t>
      </w:r>
      <w:r>
        <w:tab/>
        <w:t>le solde budgétaire des administrations publiques, calculé sur la base des projections en matière de recettes et de dépenses, ventilé par sous-secteur des administrations publiques, ainsi que de la dette publique;</w:t>
      </w:r>
    </w:p>
    <w:p w14:paraId="7A9DE34B" w14:textId="77777777" w:rsidR="004F51EE" w:rsidRPr="00BD4007" w:rsidRDefault="004F51EE" w:rsidP="004F51EE">
      <w:pPr>
        <w:widowControl/>
        <w:spacing w:before="120" w:after="120"/>
        <w:ind w:left="850" w:hanging="850"/>
        <w:jc w:val="both"/>
        <w:rPr>
          <w:rFonts w:eastAsia="Calibri"/>
          <w:noProof/>
          <w:szCs w:val="22"/>
        </w:rPr>
      </w:pPr>
      <w:r>
        <w:t>h)</w:t>
      </w:r>
      <w:r>
        <w:tab/>
        <w:t>des informations pertinentes sur les dépenses publiques par destination, y compris en ce qui concerne l’éducation, les soins de santé, l’emploi et la défense, y compris les investissements dans la défense;</w:t>
      </w:r>
    </w:p>
    <w:p w14:paraId="1625B0A1" w14:textId="77777777" w:rsidR="004F51EE" w:rsidRPr="00BD4007" w:rsidRDefault="004F51EE" w:rsidP="004F51EE">
      <w:pPr>
        <w:widowControl/>
        <w:spacing w:before="120" w:after="120"/>
        <w:ind w:left="850" w:hanging="850"/>
        <w:jc w:val="both"/>
        <w:rPr>
          <w:rFonts w:eastAsia="Calibri"/>
          <w:noProof/>
          <w:szCs w:val="22"/>
        </w:rPr>
      </w:pPr>
      <w:r>
        <w:t>i)</w:t>
      </w:r>
      <w:r>
        <w:tab/>
        <w:t>les hypothèses et méthodes sous-jacentes utilisées pour estimer l’incidence budgétaire des mesures en matière de dépenses et de recettes;</w:t>
      </w:r>
    </w:p>
    <w:p w14:paraId="3EF5D80C" w14:textId="77777777" w:rsidR="004F51EE" w:rsidRPr="00BD4007" w:rsidRDefault="004F51EE" w:rsidP="004F51EE">
      <w:pPr>
        <w:widowControl/>
        <w:spacing w:before="120" w:after="120"/>
        <w:ind w:left="850" w:hanging="850"/>
        <w:jc w:val="both"/>
        <w:rPr>
          <w:rFonts w:eastAsia="Calibri"/>
          <w:noProof/>
          <w:szCs w:val="22"/>
        </w:rPr>
      </w:pPr>
      <w:r>
        <w:t>j)</w:t>
      </w:r>
      <w:r>
        <w:tab/>
        <w:t>des indications sur la manière dont les engagements en matière de réformes et les investissements exposés dans le projet de plan budgétaire, y compris, en particulier, les investissements publics, répondent aux recommandations en vigueur qui ont été adressées à l’État membre concerné conformément aux articles 121 et 148 du traité sur le fonctionnement de l’Union européenne, ▌contribuent à l’obtention d’une croissance durable et inclusive et à la résilience sociale et économique</w:t>
      </w:r>
      <w:r>
        <w:rPr>
          <w:b/>
          <w:i/>
        </w:rPr>
        <w:t>, et à la réalisation des objectifs de l’Union fixés à l’article 13, point c), du règlement (UE) 2024/1263</w:t>
      </w:r>
      <w:r>
        <w:t>.</w:t>
      </w:r>
    </w:p>
    <w:p w14:paraId="786E09BD" w14:textId="77777777" w:rsidR="004F51EE" w:rsidRPr="00BD4007" w:rsidRDefault="004F51EE" w:rsidP="004F51EE">
      <w:pPr>
        <w:widowControl/>
        <w:spacing w:before="120" w:after="120"/>
        <w:ind w:left="1440"/>
        <w:jc w:val="both"/>
        <w:rPr>
          <w:rFonts w:eastAsia="Calibri"/>
          <w:noProof/>
          <w:szCs w:val="22"/>
        </w:rPr>
      </w:pPr>
      <w:r>
        <w:t xml:space="preserve">La description des mesures en matière de recettes et de dépenses </w:t>
      </w:r>
      <w:r>
        <w:rPr>
          <w:color w:val="000000"/>
          <w:shd w:val="clear" w:color="auto" w:fill="FFFFFF"/>
        </w:rPr>
        <w:t>visées au premier alinéa, point b)</w:t>
      </w:r>
      <w:r>
        <w:t>, peut être moins détaillée pour les mesures dont l’incidence budgétaire est estimée inférieure à 0,1 % du PIB. Une attention particulière et explicite est accordée aux plans de réforme majeure des politiques budgétaires, notamment ceux qui pourraient avoir des retombées sur les autres États membres dont la monnaie est l’euro.</w:t>
      </w:r>
    </w:p>
    <w:p w14:paraId="30789F82" w14:textId="77777777" w:rsidR="004F51EE" w:rsidRPr="00BD4007" w:rsidRDefault="004F51EE" w:rsidP="004F51EE">
      <w:pPr>
        <w:widowControl/>
        <w:spacing w:before="120" w:after="120"/>
        <w:ind w:left="1701" w:hanging="567"/>
        <w:jc w:val="both"/>
        <w:rPr>
          <w:rFonts w:eastAsia="Calibri"/>
          <w:noProof/>
          <w:szCs w:val="22"/>
        </w:rPr>
      </w:pPr>
      <w:r>
        <w:t>4.</w:t>
      </w:r>
      <w:r>
        <w:tab/>
        <w:t>Le projet de plan budgétaire explique comment le projet de budget pour l’année à venir garantit le respect de la trajectoire des dépenses nettes fixé par le Conseil en vertu du règlement (UE) 2024/1263 ou, le cas échéant, d’éventuels écarts par rapport à ladite trajectoire. Pour les États membres faisant l’objet d’une procédure concernant les déficits excessifs au titre du règlement (CE) nº 1467/97, le projet de plan budgétaire explique comment le projet de budget pour l’année à venir garantit le respect de la trajectoire de correction des dépenses nettes.</w:t>
      </w:r>
    </w:p>
    <w:p w14:paraId="1E8BFDD8" w14:textId="77777777" w:rsidR="004F51EE" w:rsidRPr="00BD4007" w:rsidRDefault="004F51EE" w:rsidP="004F51EE">
      <w:pPr>
        <w:widowControl/>
        <w:spacing w:before="120" w:after="120"/>
        <w:ind w:left="1701" w:hanging="567"/>
        <w:jc w:val="both"/>
        <w:rPr>
          <w:rFonts w:eastAsia="Calibri"/>
          <w:noProof/>
          <w:szCs w:val="22"/>
        </w:rPr>
      </w:pPr>
      <w:r>
        <w:t>5.</w:t>
      </w:r>
      <w:r>
        <w:tab/>
        <w:t xml:space="preserve">Le détail des éléments devant figurer dans le projet de plan budgétaire est exposé dans un </w:t>
      </w:r>
      <w:bookmarkStart w:id="6" w:name="_Hlk207093200"/>
      <w:r>
        <w:t>cadre harmonisé établi par la Commission en coopération avec les États membres</w:t>
      </w:r>
      <w:bookmarkEnd w:id="6"/>
      <w:r>
        <w:t>.»;</w:t>
      </w:r>
    </w:p>
    <w:p w14:paraId="7B96031C" w14:textId="77777777" w:rsidR="004F51EE" w:rsidRPr="00BD4007" w:rsidRDefault="004F51EE" w:rsidP="004F51EE">
      <w:pPr>
        <w:widowControl/>
        <w:spacing w:before="120" w:after="120"/>
        <w:ind w:left="850" w:hanging="850"/>
        <w:jc w:val="both"/>
        <w:rPr>
          <w:rFonts w:eastAsia="Calibri"/>
          <w:noProof/>
          <w:szCs w:val="22"/>
        </w:rPr>
      </w:pPr>
      <w:r>
        <w:t>7)</w:t>
      </w:r>
      <w:r>
        <w:tab/>
        <w:t>l’article 7 est modifié comme suit:</w:t>
      </w:r>
    </w:p>
    <w:p w14:paraId="4502397D" w14:textId="77777777" w:rsidR="004F51EE" w:rsidRPr="00BD4007" w:rsidRDefault="004F51EE" w:rsidP="004F51EE">
      <w:pPr>
        <w:widowControl/>
        <w:spacing w:before="120" w:after="120"/>
        <w:ind w:left="1417" w:hanging="567"/>
        <w:jc w:val="both"/>
        <w:rPr>
          <w:rFonts w:eastAsia="Calibri"/>
          <w:noProof/>
          <w:szCs w:val="22"/>
        </w:rPr>
      </w:pPr>
      <w:r>
        <w:lastRenderedPageBreak/>
        <w:t>a)</w:t>
      </w:r>
      <w:r>
        <w:tab/>
        <w:t>le paragraphe 2 est remplacé par le texte suivant:</w:t>
      </w:r>
    </w:p>
    <w:p w14:paraId="0164550B" w14:textId="77777777" w:rsidR="004F51EE" w:rsidRPr="00BD4007" w:rsidRDefault="004F51EE" w:rsidP="004F51EE">
      <w:pPr>
        <w:widowControl/>
        <w:spacing w:before="120" w:after="120"/>
        <w:ind w:left="1440"/>
        <w:contextualSpacing/>
        <w:jc w:val="both"/>
        <w:rPr>
          <w:noProof/>
          <w:szCs w:val="22"/>
        </w:rPr>
      </w:pPr>
      <w:r>
        <w:t>«2. Nonobstant le paragraphe 1, lorsque dans les cas exceptionnels où, après avoir consulté l’État membre concerné dans la semaine suivant la transmission de son projet de plan budgétaire, la Commission décèle</w:t>
      </w:r>
      <w:r>
        <w:rPr>
          <w:b/>
          <w:i/>
        </w:rPr>
        <w:t>, sur la base de méthodes et d’indicateurs transparents et à la disposition du public,</w:t>
      </w:r>
      <w:r>
        <w:t xml:space="preserve"> un manquement particulièrement grave dudit plan à la trajectoire de dépenses nettes fixées par le Conseil au titre du règlement (UE) 2024/1263 ou à la trajectoire de correction des dépenses nettes dans le cadre de la procédure concernant les déficits excessifs établie par le règlement (CE) nº 1467/97, la Commission adopte son avis dans les deux semaines suivant la transmission du projet de plan budgétaire. La Commission demande, dans son avis, qu’un projet révisé de plan budgétaire lui soit soumis dès que possible et en tout état de cause au plus tard trois semaines après la date de son avis. Cette demande de la Commission est motivée et rendue publique.</w:t>
      </w:r>
    </w:p>
    <w:p w14:paraId="011F384E" w14:textId="77777777" w:rsidR="004F51EE" w:rsidRPr="00BD4007" w:rsidRDefault="004F51EE" w:rsidP="004F51EE">
      <w:pPr>
        <w:widowControl/>
        <w:spacing w:before="120" w:after="120"/>
        <w:ind w:left="1440"/>
        <w:contextualSpacing/>
        <w:jc w:val="both"/>
        <w:rPr>
          <w:noProof/>
          <w:szCs w:val="22"/>
        </w:rPr>
      </w:pPr>
      <w:r>
        <w:t>L’article 6, paragraphes 2, 3 et 4, s’applique aux projets révisés de plan budgétaire transmis en vertu du premier alinéa du présent paragraphe.</w:t>
      </w:r>
    </w:p>
    <w:p w14:paraId="25BFA962" w14:textId="77777777" w:rsidR="004F51EE" w:rsidRPr="00BD4007" w:rsidRDefault="004F51EE" w:rsidP="004F51EE">
      <w:pPr>
        <w:widowControl/>
        <w:spacing w:before="120" w:after="120"/>
        <w:ind w:left="1440"/>
        <w:contextualSpacing/>
        <w:jc w:val="both"/>
        <w:rPr>
          <w:noProof/>
          <w:szCs w:val="22"/>
        </w:rPr>
      </w:pPr>
      <w:r>
        <w:t>La Commission adopte un nouvel avis sur le projet révisé de plan budgétaire, dès que possible et en tout état de cause au plus tard trois semaines après la soumission du projet révisé de plan budgétaire.»;</w:t>
      </w:r>
    </w:p>
    <w:p w14:paraId="44D1D78C" w14:textId="77777777" w:rsidR="004F51EE" w:rsidRPr="00BD4007" w:rsidRDefault="004F51EE" w:rsidP="004F51EE">
      <w:pPr>
        <w:widowControl/>
        <w:spacing w:before="120" w:after="120"/>
        <w:ind w:left="1417" w:hanging="567"/>
        <w:jc w:val="both"/>
        <w:rPr>
          <w:rFonts w:eastAsia="Calibri"/>
          <w:noProof/>
          <w:szCs w:val="22"/>
        </w:rPr>
      </w:pPr>
      <w:r>
        <w:t>b)</w:t>
      </w:r>
      <w:r>
        <w:tab/>
        <w:t>le paragraphe 4 est remplacé par le texte suivant:</w:t>
      </w:r>
    </w:p>
    <w:p w14:paraId="4146F73B" w14:textId="77777777" w:rsidR="004F51EE" w:rsidRPr="00BD4007" w:rsidRDefault="004F51EE" w:rsidP="004F51EE">
      <w:pPr>
        <w:widowControl/>
        <w:spacing w:before="120" w:after="120"/>
        <w:ind w:left="1440"/>
        <w:jc w:val="both"/>
        <w:rPr>
          <w:noProof/>
          <w:szCs w:val="22"/>
        </w:rPr>
      </w:pPr>
      <w:r>
        <w:t>«4. La Commission procède à une évaluation globale de la situation et des perspectives budgétaires pour la zone euro dans son ensemble, sur la base des perspectives budgétaires nationales et de leur interaction dans la zone, en se fondant sur les prévisions économiques les plus récentes de ses services.</w:t>
      </w:r>
    </w:p>
    <w:p w14:paraId="5A875AAA" w14:textId="77777777" w:rsidR="004F51EE" w:rsidRPr="00BD4007" w:rsidRDefault="004F51EE" w:rsidP="004F51EE">
      <w:pPr>
        <w:widowControl/>
        <w:spacing w:before="120" w:after="120"/>
        <w:ind w:left="1440"/>
        <w:jc w:val="both"/>
        <w:rPr>
          <w:noProof/>
          <w:szCs w:val="22"/>
        </w:rPr>
      </w:pPr>
      <w:r>
        <w:t>Elle expose, s’il y a lieu, des mesures de renforcement de la coordination dans la zone euro des politiques budgétaires et macroéconomiques.</w:t>
      </w:r>
    </w:p>
    <w:p w14:paraId="15AE097F" w14:textId="77777777" w:rsidR="004F51EE" w:rsidRPr="00BD4007" w:rsidRDefault="004F51EE" w:rsidP="004F51EE">
      <w:pPr>
        <w:widowControl/>
        <w:spacing w:before="120" w:after="120"/>
        <w:ind w:left="1440"/>
        <w:jc w:val="both"/>
        <w:rPr>
          <w:noProof/>
          <w:szCs w:val="22"/>
        </w:rPr>
      </w:pPr>
      <w:r>
        <w:t>L’évaluation globale est rendue publique et prise en compte dans les orientations générales annuelles émises par la Commission à l’intention des États membres.»;</w:t>
      </w:r>
    </w:p>
    <w:p w14:paraId="50AF0987" w14:textId="77777777" w:rsidR="004F51EE" w:rsidRPr="00BD4007" w:rsidRDefault="004F51EE" w:rsidP="004F51EE">
      <w:pPr>
        <w:widowControl/>
        <w:spacing w:before="120" w:after="120"/>
        <w:ind w:left="850" w:hanging="850"/>
        <w:jc w:val="both"/>
        <w:rPr>
          <w:rFonts w:eastAsia="Calibri"/>
          <w:noProof/>
          <w:szCs w:val="22"/>
        </w:rPr>
      </w:pPr>
      <w:r>
        <w:t>8)</w:t>
      </w:r>
      <w:r>
        <w:tab/>
        <w:t>à l’article 8, le paragraphe 1 est remplacé par le texte suivant:</w:t>
      </w:r>
    </w:p>
    <w:p w14:paraId="660D6951" w14:textId="77777777" w:rsidR="004F51EE" w:rsidRPr="00BD4007" w:rsidRDefault="004F51EE" w:rsidP="004F51EE">
      <w:pPr>
        <w:widowControl/>
        <w:spacing w:before="120" w:after="120"/>
        <w:ind w:left="1440"/>
        <w:contextualSpacing/>
        <w:jc w:val="both"/>
        <w:rPr>
          <w:noProof/>
          <w:szCs w:val="22"/>
        </w:rPr>
      </w:pPr>
      <w:r>
        <w:t>«1. Les États membres font rapport à la Commission, au préalable et en temps utile, sur leurs plans d’émission de dette souveraine.»;</w:t>
      </w:r>
    </w:p>
    <w:p w14:paraId="2B8E2A22" w14:textId="77777777" w:rsidR="004F51EE" w:rsidRPr="00BD4007" w:rsidRDefault="004F51EE" w:rsidP="004F51EE">
      <w:pPr>
        <w:widowControl/>
        <w:spacing w:before="120" w:after="120"/>
        <w:ind w:left="850" w:hanging="850"/>
        <w:jc w:val="both"/>
        <w:rPr>
          <w:rFonts w:eastAsia="Calibri"/>
          <w:noProof/>
          <w:szCs w:val="22"/>
        </w:rPr>
      </w:pPr>
      <w:r>
        <w:t>9)</w:t>
      </w:r>
      <w:r>
        <w:tab/>
        <w:t>l’article 9 est supprimé;</w:t>
      </w:r>
    </w:p>
    <w:p w14:paraId="07F32ECD" w14:textId="77777777" w:rsidR="004F51EE" w:rsidRPr="00BD4007" w:rsidRDefault="004F51EE" w:rsidP="004F51EE">
      <w:pPr>
        <w:widowControl/>
        <w:spacing w:before="120" w:after="120"/>
        <w:ind w:left="850" w:hanging="850"/>
        <w:jc w:val="both"/>
        <w:rPr>
          <w:rFonts w:eastAsia="Calibri"/>
          <w:noProof/>
          <w:szCs w:val="22"/>
        </w:rPr>
      </w:pPr>
      <w:r>
        <w:t>10)</w:t>
      </w:r>
      <w:r>
        <w:tab/>
        <w:t>l’article 10 est remplacé par le texte suivant:</w:t>
      </w:r>
    </w:p>
    <w:p w14:paraId="175716C9" w14:textId="77777777" w:rsidR="004F51EE" w:rsidRPr="00BD4007" w:rsidRDefault="004F51EE" w:rsidP="004F51EE">
      <w:pPr>
        <w:widowControl/>
        <w:spacing w:before="120" w:after="120"/>
        <w:ind w:left="1080" w:firstLine="54"/>
        <w:contextualSpacing/>
        <w:jc w:val="both"/>
        <w:rPr>
          <w:noProof/>
          <w:szCs w:val="22"/>
        </w:rPr>
      </w:pPr>
      <w:r>
        <w:t>«</w:t>
      </w:r>
      <w:r>
        <w:rPr>
          <w:i/>
        </w:rPr>
        <w:t>Article 10</w:t>
      </w:r>
      <w:r>
        <w:t xml:space="preserve"> </w:t>
      </w:r>
    </w:p>
    <w:p w14:paraId="0311EC39" w14:textId="77777777" w:rsidR="004F51EE" w:rsidRPr="00BD4007" w:rsidRDefault="004F51EE" w:rsidP="004F51EE">
      <w:pPr>
        <w:widowControl/>
        <w:spacing w:before="120" w:after="120"/>
        <w:ind w:left="1080" w:firstLine="196"/>
        <w:contextualSpacing/>
        <w:jc w:val="both"/>
        <w:rPr>
          <w:b/>
          <w:bCs/>
          <w:noProof/>
          <w:szCs w:val="22"/>
        </w:rPr>
      </w:pPr>
      <w:r>
        <w:rPr>
          <w:b/>
        </w:rPr>
        <w:t xml:space="preserve">Obligations de rapport pour les États membres faisant l’objet d’une procédure de déficit excessif </w:t>
      </w:r>
    </w:p>
    <w:p w14:paraId="619FF9F5" w14:textId="77777777" w:rsidR="004F51EE" w:rsidRPr="00BD4007" w:rsidRDefault="004F51EE" w:rsidP="004F51EE">
      <w:pPr>
        <w:widowControl/>
        <w:spacing w:before="120" w:after="120"/>
        <w:ind w:left="1984" w:hanging="567"/>
        <w:jc w:val="both"/>
        <w:rPr>
          <w:rFonts w:eastAsia="Calibri"/>
          <w:noProof/>
          <w:szCs w:val="22"/>
        </w:rPr>
      </w:pPr>
      <w:r>
        <w:t>1.</w:t>
      </w:r>
      <w:r>
        <w:tab/>
        <w:t>Lorsque le Conseil adresse des recommandations à l’État membre concerné conformément à l’article 126, paragraphe 7, du TFUE, à la suite de la présentation du premier rapport sur l’action engagée visé à l’article 3, paragraphe 5, du règlement (CE) nº 1467/97, l’État membre présente au Conseil et à la Commission, tous les six mois, des rapports de suivi sur l’action suivie d’effets jusqu’à ce que le Conseil abroge la décision constatant l’existence d’un déficit excessif. Les éléments à inclure dans ces rapports de suivi sur l’action suivie d’effets sont précisés à l’article 3, paragraphe 5, du règlement (CE) nº 1467/97.</w:t>
      </w:r>
    </w:p>
    <w:p w14:paraId="51450F23" w14:textId="77777777" w:rsidR="004F51EE" w:rsidRPr="00BD4007" w:rsidRDefault="004F51EE" w:rsidP="004F51EE">
      <w:pPr>
        <w:widowControl/>
        <w:spacing w:before="120" w:after="120"/>
        <w:ind w:left="1984" w:hanging="567"/>
        <w:jc w:val="both"/>
        <w:rPr>
          <w:rFonts w:eastAsia="Calibri"/>
          <w:noProof/>
          <w:szCs w:val="22"/>
        </w:rPr>
      </w:pPr>
      <w:r>
        <w:lastRenderedPageBreak/>
        <w:t>2.</w:t>
      </w:r>
      <w:r>
        <w:tab/>
        <w:t>Lorsque le Conseil met l’État membre concerné en demeure, conformément à l’article 126, paragraphe 9, du traité sur le fonctionnement de l’Union européenne, à la suite de la présentation du premier rapport sur l’action engagée visé à l’article 5, paragraphe 1 </w:t>
      </w:r>
      <w:r>
        <w:rPr>
          <w:i/>
          <w:iCs/>
        </w:rPr>
        <w:t>bis</w:t>
      </w:r>
      <w:r>
        <w:t>, du règlement (CE) nº 1467/97, l’État membre présente des rapports de suivi sur l’action suivie d’effets sur une base trimestrielle jusqu’à ce que le Conseil abroge la décision constatant l’existence d’un déficit excessif. Les éléments à inclure dans ces rapports de suivi sur l’action suivie d’effets sont précisés à l’article 5, paragraphe 1 </w:t>
      </w:r>
      <w:r>
        <w:rPr>
          <w:i/>
          <w:iCs/>
        </w:rPr>
        <w:t>bis</w:t>
      </w:r>
      <w:r>
        <w:t>, du règlement (CE) nº 1467/97.</w:t>
      </w:r>
    </w:p>
    <w:p w14:paraId="6162881B" w14:textId="77777777" w:rsidR="004F51EE" w:rsidRPr="00BD4007" w:rsidRDefault="004F51EE" w:rsidP="004F51EE">
      <w:pPr>
        <w:widowControl/>
        <w:spacing w:before="120" w:after="120"/>
        <w:ind w:left="1984" w:hanging="567"/>
        <w:jc w:val="both"/>
        <w:rPr>
          <w:rFonts w:eastAsia="Calibri"/>
          <w:noProof/>
          <w:szCs w:val="22"/>
        </w:rPr>
      </w:pPr>
      <w:r>
        <w:t>3.</w:t>
      </w:r>
      <w:r>
        <w:tab/>
        <w:t>Les rapports sur l’action suivie d’effets visés aux paragraphes 1 et 2 peuvent être inclus, dans la mesure du possible, dans le rapport d’avancement annuel tel que défini par le règlement (UE) 2024/1263 et dans le projet de plan budgétaire.</w:t>
      </w:r>
    </w:p>
    <w:p w14:paraId="1C0C5E36" w14:textId="77777777" w:rsidR="004F51EE" w:rsidRPr="00BD4007" w:rsidRDefault="004F51EE" w:rsidP="004F51EE">
      <w:pPr>
        <w:widowControl/>
        <w:spacing w:before="120" w:after="120"/>
        <w:ind w:left="1984" w:hanging="567"/>
        <w:jc w:val="both"/>
        <w:rPr>
          <w:rFonts w:eastAsia="Calibri"/>
          <w:noProof/>
          <w:szCs w:val="22"/>
        </w:rPr>
      </w:pPr>
      <w:r>
        <w:t>4.</w:t>
      </w:r>
      <w:r>
        <w:tab/>
        <w:t>Lorsqu’elle évalue si l’État membre prend des mesures suivies d’effet dans le cadre de la procédure concernant les déficits excessifs, en vertu d’une recommandation du Conseil au titre de l’article 126, paragraphe 7, du traité sur le fonctionnement de l’Union européenne ou d’une décision du Conseil adressée au titre de l’article 126, paragraphe 9, du traité sur le fonctionnement de l’Union européenne, la Commission tient compte, entre autres, dans son évaluation des rapports présentés par les États membres conformément aux paragraphes 1 et 2 du présent article.</w:t>
      </w:r>
    </w:p>
    <w:p w14:paraId="2186EE66" w14:textId="77777777" w:rsidR="004F51EE" w:rsidRPr="00BD4007" w:rsidRDefault="004F51EE" w:rsidP="004F51EE">
      <w:pPr>
        <w:widowControl/>
        <w:spacing w:before="120" w:after="120"/>
        <w:ind w:left="1984" w:hanging="567"/>
        <w:jc w:val="both"/>
        <w:rPr>
          <w:rFonts w:eastAsia="Calibri"/>
          <w:noProof/>
          <w:szCs w:val="22"/>
        </w:rPr>
      </w:pPr>
      <w:r>
        <w:t>5.</w:t>
      </w:r>
      <w:r>
        <w:tab/>
        <w:t>La Commission peut demander des informations complémentaires aux États membres si elle le juge nécessaire à des fins de surveillance budgétaire.</w:t>
      </w:r>
    </w:p>
    <w:p w14:paraId="50747C0C" w14:textId="77777777" w:rsidR="004F51EE" w:rsidRPr="00BD4007" w:rsidRDefault="004F51EE" w:rsidP="004F51EE">
      <w:pPr>
        <w:widowControl/>
        <w:spacing w:before="120" w:after="120"/>
        <w:ind w:left="1984" w:hanging="567"/>
        <w:jc w:val="both"/>
        <w:rPr>
          <w:rFonts w:eastAsia="Calibri"/>
          <w:noProof/>
          <w:szCs w:val="22"/>
        </w:rPr>
      </w:pPr>
      <w:r>
        <w:t>6.</w:t>
      </w:r>
      <w:r>
        <w:tab/>
        <w:t>La surveillance prévue par le présent article fait partie intégrante de la surveillance régulière, prévue par l’article 10, paragraphe 1, du règlement (CE) nº 1467/97, de la mise en œuvre des mesures prises par l’État membre concerné en réponse aux recommandations du Conseil au titre de l’article 126, paragraphe 7, du traité sur le fonctionnement de l’Union européenne ou aux décisions du Conseil au titre de l’article 126, paragraphe 9, du traité sur le fonctionnement de l’Union européenne pour corriger le déficit excessif.»;</w:t>
      </w:r>
    </w:p>
    <w:p w14:paraId="1FC7ACA8" w14:textId="77777777" w:rsidR="004F51EE" w:rsidRPr="00BD4007" w:rsidRDefault="004F51EE" w:rsidP="004F51EE">
      <w:pPr>
        <w:widowControl/>
        <w:spacing w:before="120" w:after="120"/>
        <w:ind w:left="850" w:hanging="850"/>
        <w:jc w:val="both"/>
        <w:rPr>
          <w:rFonts w:eastAsia="Calibri"/>
          <w:noProof/>
          <w:szCs w:val="22"/>
        </w:rPr>
      </w:pPr>
      <w:r>
        <w:t>11)</w:t>
      </w:r>
      <w:r>
        <w:tab/>
        <w:t>les articles 11 et 12 sont supprimés;</w:t>
      </w:r>
    </w:p>
    <w:p w14:paraId="4A3769C5" w14:textId="77777777" w:rsidR="004F51EE" w:rsidRPr="00BD4007" w:rsidRDefault="004F51EE" w:rsidP="004F51EE">
      <w:pPr>
        <w:widowControl/>
        <w:spacing w:before="120" w:after="120"/>
        <w:ind w:left="850" w:hanging="850"/>
        <w:jc w:val="both"/>
        <w:rPr>
          <w:rFonts w:eastAsia="Calibri"/>
          <w:noProof/>
          <w:szCs w:val="22"/>
        </w:rPr>
      </w:pPr>
      <w:r>
        <w:t>12)</w:t>
      </w:r>
      <w:r>
        <w:tab/>
        <w:t>l’article 13 est remplacé par le texte suivant:</w:t>
      </w:r>
    </w:p>
    <w:p w14:paraId="4AE18202" w14:textId="77777777" w:rsidR="004F51EE" w:rsidRPr="00BD4007" w:rsidRDefault="004F51EE" w:rsidP="004F51EE">
      <w:pPr>
        <w:widowControl/>
        <w:spacing w:before="120" w:after="120"/>
        <w:ind w:left="1440"/>
        <w:contextualSpacing/>
        <w:jc w:val="both"/>
        <w:rPr>
          <w:noProof/>
          <w:szCs w:val="22"/>
        </w:rPr>
      </w:pPr>
      <w:r>
        <w:t>«</w:t>
      </w:r>
      <w:r>
        <w:rPr>
          <w:i/>
        </w:rPr>
        <w:t>Article 13</w:t>
      </w:r>
    </w:p>
    <w:p w14:paraId="48455F97" w14:textId="77777777" w:rsidR="004F51EE" w:rsidRPr="00BD4007" w:rsidRDefault="004F51EE" w:rsidP="004F51EE">
      <w:pPr>
        <w:widowControl/>
        <w:spacing w:before="120" w:after="120"/>
        <w:ind w:left="1440"/>
        <w:contextualSpacing/>
        <w:jc w:val="both"/>
        <w:rPr>
          <w:b/>
          <w:bCs/>
          <w:noProof/>
          <w:szCs w:val="22"/>
        </w:rPr>
      </w:pPr>
      <w:r>
        <w:rPr>
          <w:b/>
        </w:rPr>
        <w:t>Cohérence avec le règlement (UE) nº 472/2013 du Parlement européen et du Conseil*</w:t>
      </w:r>
    </w:p>
    <w:p w14:paraId="28710E08" w14:textId="77777777" w:rsidR="004F51EE" w:rsidRPr="00BD4007" w:rsidRDefault="004F51EE" w:rsidP="004F51EE">
      <w:pPr>
        <w:widowControl/>
        <w:spacing w:before="120" w:after="120"/>
        <w:ind w:left="1440"/>
        <w:contextualSpacing/>
        <w:jc w:val="both"/>
        <w:rPr>
          <w:noProof/>
          <w:szCs w:val="22"/>
        </w:rPr>
      </w:pPr>
      <w:r>
        <w:t>Les articles 6, 7, 8 et 10 du présent règlement ne s’appliquent pas aux États membres soumis à un programme d’ajustement macroéconomique.</w:t>
      </w:r>
    </w:p>
    <w:p w14:paraId="14340B25" w14:textId="77777777" w:rsidR="004F51EE" w:rsidRPr="00BD4007" w:rsidRDefault="004F51EE" w:rsidP="004F51EE">
      <w:pPr>
        <w:widowControl/>
        <w:spacing w:before="120" w:after="120"/>
        <w:ind w:left="1440"/>
        <w:contextualSpacing/>
        <w:jc w:val="both"/>
        <w:rPr>
          <w:noProof/>
          <w:szCs w:val="22"/>
        </w:rPr>
      </w:pPr>
      <w:r>
        <w:t>___________</w:t>
      </w:r>
    </w:p>
    <w:p w14:paraId="2B9C53CC" w14:textId="31C31C6E" w:rsidR="004F51EE" w:rsidRPr="00BD4007" w:rsidRDefault="004F51EE" w:rsidP="004F51EE">
      <w:pPr>
        <w:widowControl/>
        <w:spacing w:before="120" w:after="120"/>
        <w:ind w:left="1440"/>
        <w:contextualSpacing/>
        <w:jc w:val="both"/>
        <w:rPr>
          <w:noProof/>
          <w:szCs w:val="22"/>
        </w:rPr>
      </w:pPr>
      <w:r>
        <w:t xml:space="preserve">* Règlement (UE) nº 472/2013 du Parlement européen et du Conseil du 21 mai 2013 relatif au renforcement de la surveillance économique et budgétaire des États membres de la zone euro connaissant ou risquant de connaître de sérieuses difficultés du point de vue de leur stabilité financière (JO L 140 du 27.5.2013, p. 1, ELI: </w:t>
      </w:r>
      <w:hyperlink r:id="rId17" w:history="1">
        <w:r>
          <w:rPr>
            <w:color w:val="0000FF"/>
            <w:u w:val="single"/>
          </w:rPr>
          <w:t>http://data.europa.eu/eli/reg/2013/472/oj</w:t>
        </w:r>
      </w:hyperlink>
      <w:r>
        <w:t>).»;</w:t>
      </w:r>
    </w:p>
    <w:p w14:paraId="27478C48" w14:textId="77777777" w:rsidR="004F51EE" w:rsidRPr="00BD4007" w:rsidRDefault="004F51EE" w:rsidP="004F51EE">
      <w:pPr>
        <w:widowControl/>
        <w:spacing w:before="120" w:after="120"/>
        <w:ind w:left="850" w:hanging="850"/>
        <w:jc w:val="both"/>
        <w:rPr>
          <w:rFonts w:eastAsia="Calibri"/>
          <w:noProof/>
          <w:szCs w:val="22"/>
        </w:rPr>
      </w:pPr>
      <w:r>
        <w:t>13)</w:t>
      </w:r>
      <w:r>
        <w:tab/>
        <w:t>l’article 14 est supprimé;</w:t>
      </w:r>
    </w:p>
    <w:p w14:paraId="7EDD7175" w14:textId="77777777" w:rsidR="004F51EE" w:rsidRPr="00BD4007" w:rsidRDefault="004F51EE" w:rsidP="004F51EE">
      <w:pPr>
        <w:widowControl/>
        <w:spacing w:before="120" w:after="120"/>
        <w:ind w:left="850" w:hanging="850"/>
        <w:contextualSpacing/>
        <w:jc w:val="both"/>
        <w:rPr>
          <w:rFonts w:eastAsia="Calibri"/>
          <w:noProof/>
          <w:szCs w:val="22"/>
        </w:rPr>
      </w:pPr>
      <w:r>
        <w:lastRenderedPageBreak/>
        <w:t>14)</w:t>
      </w:r>
      <w:r>
        <w:tab/>
        <w:t>l’article 15 est modifié comme suit:</w:t>
      </w:r>
    </w:p>
    <w:p w14:paraId="10568467" w14:textId="77777777" w:rsidR="004F51EE" w:rsidRPr="00BD4007" w:rsidRDefault="004F51EE" w:rsidP="004F51EE">
      <w:pPr>
        <w:widowControl/>
        <w:spacing w:before="120" w:after="120"/>
        <w:ind w:left="1417" w:hanging="567"/>
        <w:contextualSpacing/>
        <w:jc w:val="both"/>
        <w:rPr>
          <w:rFonts w:eastAsia="Calibri"/>
          <w:noProof/>
          <w:szCs w:val="22"/>
        </w:rPr>
      </w:pPr>
      <w:r>
        <w:t>a)</w:t>
      </w:r>
      <w:r>
        <w:tab/>
        <w:t>le paragraphe 1 est modifié comme suit:</w:t>
      </w:r>
    </w:p>
    <w:p w14:paraId="6222104C" w14:textId="77777777" w:rsidR="004F51EE" w:rsidRPr="00BD4007" w:rsidRDefault="004F51EE" w:rsidP="004F51EE">
      <w:pPr>
        <w:widowControl/>
        <w:spacing w:before="120" w:after="120"/>
        <w:ind w:left="851" w:hanging="851"/>
        <w:contextualSpacing/>
        <w:jc w:val="both"/>
        <w:rPr>
          <w:rFonts w:eastAsia="Calibri"/>
          <w:noProof/>
          <w:szCs w:val="22"/>
        </w:rPr>
      </w:pPr>
      <w:r>
        <w:t>i)</w:t>
      </w:r>
      <w:r>
        <w:tab/>
        <w:t>le point b) est remplacé par le texte suivant:</w:t>
      </w:r>
    </w:p>
    <w:p w14:paraId="4FD82C3E" w14:textId="77777777" w:rsidR="004F51EE" w:rsidRPr="00BD4007" w:rsidRDefault="004F51EE" w:rsidP="004F51EE">
      <w:pPr>
        <w:widowControl/>
        <w:spacing w:before="120" w:after="120"/>
        <w:ind w:left="2160"/>
        <w:contextualSpacing/>
        <w:jc w:val="both"/>
        <w:rPr>
          <w:noProof/>
          <w:szCs w:val="22"/>
        </w:rPr>
      </w:pPr>
      <w:r>
        <w:t>«b) les résultats de l’examen par l’Eurogroupe des avis de la Commission, adoptés en conformité avec l’article 7, paragraphes 1 et 2, dans la mesure où ces résultats sont rendus publics;»;</w:t>
      </w:r>
    </w:p>
    <w:p w14:paraId="3326314C" w14:textId="77777777" w:rsidR="004F51EE" w:rsidRPr="00BD4007" w:rsidRDefault="004F51EE" w:rsidP="004F51EE">
      <w:pPr>
        <w:widowControl/>
        <w:spacing w:before="120" w:after="120"/>
        <w:ind w:left="697" w:firstLine="720"/>
        <w:contextualSpacing/>
        <w:jc w:val="both"/>
        <w:rPr>
          <w:rFonts w:eastAsia="Calibri"/>
          <w:noProof/>
          <w:szCs w:val="22"/>
        </w:rPr>
      </w:pPr>
      <w:r>
        <w:t xml:space="preserve">▌ </w:t>
      </w:r>
    </w:p>
    <w:p w14:paraId="5B3E043A" w14:textId="77777777" w:rsidR="004F51EE" w:rsidRPr="00BD4007" w:rsidRDefault="004F51EE" w:rsidP="004F51EE">
      <w:pPr>
        <w:widowControl/>
        <w:spacing w:before="120" w:after="120"/>
        <w:ind w:left="851" w:hanging="851"/>
        <w:contextualSpacing/>
        <w:jc w:val="both"/>
        <w:rPr>
          <w:rFonts w:eastAsia="Calibri"/>
          <w:b/>
          <w:bCs/>
          <w:i/>
          <w:iCs/>
          <w:noProof/>
          <w:szCs w:val="22"/>
        </w:rPr>
      </w:pPr>
      <w:r>
        <w:rPr>
          <w:b/>
          <w:i/>
        </w:rPr>
        <w:t>ii) le point d) est remplacé par le texte suivant:</w:t>
      </w:r>
    </w:p>
    <w:p w14:paraId="75351A2E" w14:textId="77777777" w:rsidR="004F51EE" w:rsidRPr="00BD4007" w:rsidRDefault="004F51EE" w:rsidP="004F51EE">
      <w:pPr>
        <w:widowControl/>
        <w:spacing w:before="120" w:after="120"/>
        <w:ind w:left="2160"/>
        <w:contextualSpacing/>
        <w:jc w:val="both"/>
        <w:rPr>
          <w:rFonts w:eastAsia="Calibri"/>
          <w:noProof/>
          <w:szCs w:val="22"/>
        </w:rPr>
      </w:pPr>
      <w:r>
        <w:rPr>
          <w:b/>
          <w:i/>
        </w:rPr>
        <w:t>«d) les actes adoptés par le Conseil conformément à l’article 126, paragraphe 8, et à l’article 126, paragraphe 11, du traité sur le fonctionnement de l’Union européenne;»;</w:t>
      </w:r>
    </w:p>
    <w:p w14:paraId="113A533F" w14:textId="77777777" w:rsidR="004F51EE" w:rsidRPr="00BD4007" w:rsidRDefault="004F51EE" w:rsidP="004F51EE">
      <w:pPr>
        <w:widowControl/>
        <w:spacing w:before="120" w:after="120"/>
        <w:ind w:left="697" w:firstLine="720"/>
        <w:contextualSpacing/>
        <w:jc w:val="both"/>
        <w:rPr>
          <w:rFonts w:eastAsia="Calibri"/>
          <w:noProof/>
          <w:szCs w:val="22"/>
        </w:rPr>
      </w:pPr>
      <w:r>
        <w:t xml:space="preserve">▌ </w:t>
      </w:r>
    </w:p>
    <w:p w14:paraId="0598472C" w14:textId="77777777" w:rsidR="004F51EE" w:rsidRPr="00BD4007" w:rsidRDefault="004F51EE" w:rsidP="004F51EE">
      <w:pPr>
        <w:widowControl/>
        <w:spacing w:before="120" w:after="120"/>
        <w:ind w:left="1417" w:hanging="567"/>
        <w:contextualSpacing/>
        <w:jc w:val="both"/>
        <w:rPr>
          <w:rFonts w:eastAsia="Calibri"/>
          <w:b/>
          <w:bCs/>
          <w:i/>
          <w:iCs/>
          <w:noProof/>
          <w:szCs w:val="22"/>
        </w:rPr>
      </w:pPr>
      <w:r>
        <w:rPr>
          <w:b/>
          <w:i/>
        </w:rPr>
        <w:t>b) le paragraphe 2 est modifié comme suit:</w:t>
      </w:r>
    </w:p>
    <w:p w14:paraId="3DEF07B3" w14:textId="77777777" w:rsidR="004F51EE" w:rsidRPr="00BD4007" w:rsidRDefault="004F51EE" w:rsidP="004F51EE">
      <w:pPr>
        <w:widowControl/>
        <w:spacing w:before="120" w:after="120"/>
        <w:ind w:left="1417" w:hanging="567"/>
        <w:contextualSpacing/>
        <w:jc w:val="both"/>
        <w:rPr>
          <w:rFonts w:eastAsia="Calibri"/>
          <w:b/>
          <w:bCs/>
          <w:i/>
          <w:iCs/>
          <w:noProof/>
          <w:szCs w:val="22"/>
        </w:rPr>
      </w:pPr>
      <w:r>
        <w:rPr>
          <w:b/>
          <w:i/>
        </w:rPr>
        <w:t xml:space="preserve">«2. La commission compétente du Parlement européen peut proposer </w:t>
      </w:r>
    </w:p>
    <w:p w14:paraId="16073805" w14:textId="77777777" w:rsidR="004F51EE" w:rsidRPr="00BD4007" w:rsidRDefault="004F51EE" w:rsidP="004F51EE">
      <w:pPr>
        <w:widowControl/>
        <w:spacing w:before="120" w:after="120"/>
        <w:ind w:left="1417" w:hanging="567"/>
        <w:contextualSpacing/>
        <w:jc w:val="both"/>
        <w:rPr>
          <w:rFonts w:eastAsia="Calibri"/>
          <w:b/>
          <w:bCs/>
          <w:i/>
          <w:iCs/>
          <w:noProof/>
          <w:szCs w:val="22"/>
        </w:rPr>
      </w:pPr>
      <w:r>
        <w:rPr>
          <w:b/>
          <w:i/>
        </w:rPr>
        <w:t xml:space="preserve">à l’État membre concerné par l’acte du Conseil visé au </w:t>
      </w:r>
    </w:p>
    <w:p w14:paraId="2DFCD110" w14:textId="77777777" w:rsidR="004F51EE" w:rsidRPr="00BD4007" w:rsidRDefault="004F51EE" w:rsidP="004F51EE">
      <w:pPr>
        <w:widowControl/>
        <w:spacing w:before="120" w:after="120"/>
        <w:ind w:left="1418" w:hanging="567"/>
        <w:jc w:val="both"/>
        <w:rPr>
          <w:rFonts w:eastAsia="Calibri"/>
          <w:b/>
          <w:bCs/>
          <w:i/>
          <w:iCs/>
          <w:noProof/>
          <w:szCs w:val="22"/>
        </w:rPr>
      </w:pPr>
      <w:r>
        <w:rPr>
          <w:b/>
          <w:i/>
        </w:rPr>
        <w:t>paragraphe 1, point d), de prendre part à un échange de vues.»;</w:t>
      </w:r>
    </w:p>
    <w:p w14:paraId="56ED23F5" w14:textId="77777777" w:rsidR="004F51EE" w:rsidRPr="00BD4007" w:rsidRDefault="004F51EE" w:rsidP="004F51EE">
      <w:pPr>
        <w:widowControl/>
        <w:spacing w:before="120" w:after="120"/>
        <w:ind w:left="850" w:hanging="850"/>
        <w:jc w:val="both"/>
        <w:rPr>
          <w:rFonts w:eastAsia="Calibri"/>
          <w:noProof/>
          <w:szCs w:val="22"/>
        </w:rPr>
      </w:pPr>
      <w:r>
        <w:t>15)</w:t>
      </w:r>
      <w:r>
        <w:tab/>
        <w:t>l’article 16 est remplacé par le texte suivant:</w:t>
      </w:r>
    </w:p>
    <w:p w14:paraId="62896357" w14:textId="77777777" w:rsidR="004F51EE" w:rsidRPr="00BD4007" w:rsidRDefault="004F51EE" w:rsidP="004F51EE">
      <w:pPr>
        <w:widowControl/>
        <w:spacing w:before="120" w:after="120"/>
        <w:ind w:left="1440"/>
        <w:jc w:val="both"/>
        <w:rPr>
          <w:noProof/>
          <w:szCs w:val="22"/>
        </w:rPr>
      </w:pPr>
      <w:r>
        <w:t>«</w:t>
      </w:r>
      <w:r>
        <w:rPr>
          <w:i/>
        </w:rPr>
        <w:t>Article 16</w:t>
      </w:r>
    </w:p>
    <w:p w14:paraId="4BB4EBAD" w14:textId="77777777" w:rsidR="004F51EE" w:rsidRPr="00BD4007" w:rsidRDefault="004F51EE" w:rsidP="004F51EE">
      <w:pPr>
        <w:widowControl/>
        <w:spacing w:before="120" w:after="120"/>
        <w:ind w:left="1440"/>
        <w:jc w:val="both"/>
        <w:rPr>
          <w:b/>
          <w:bCs/>
          <w:noProof/>
          <w:szCs w:val="22"/>
        </w:rPr>
      </w:pPr>
      <w:r>
        <w:rPr>
          <w:b/>
        </w:rPr>
        <w:t>Examen et rapports relatifs à l’application du présent règlement</w:t>
      </w:r>
    </w:p>
    <w:p w14:paraId="76C23B57" w14:textId="77777777" w:rsidR="004F51EE" w:rsidRPr="00BD4007" w:rsidRDefault="004F51EE" w:rsidP="004F51EE">
      <w:pPr>
        <w:widowControl/>
        <w:spacing w:before="120" w:after="120"/>
        <w:ind w:left="850" w:hanging="850"/>
        <w:jc w:val="both"/>
        <w:rPr>
          <w:rFonts w:eastAsia="Calibri"/>
          <w:noProof/>
          <w:szCs w:val="22"/>
        </w:rPr>
      </w:pPr>
      <w:r>
        <w:t>1.</w:t>
      </w:r>
      <w:r>
        <w:tab/>
        <w:t>Le XXX au plus tard puis tous les cinq ans, la Commission soumet au Parlement européen et au Conseil un rapport sur l’application du présent règlement accompagné, s’il y a lieu, d’une proposition de modification du présent règlement. La Commission rend ce rapport public.</w:t>
      </w:r>
    </w:p>
    <w:p w14:paraId="146B5D3D" w14:textId="77777777" w:rsidR="004F51EE" w:rsidRPr="00BD4007" w:rsidRDefault="004F51EE" w:rsidP="004F51EE">
      <w:pPr>
        <w:widowControl/>
        <w:spacing w:before="120" w:after="120"/>
        <w:ind w:left="1797"/>
        <w:contextualSpacing/>
        <w:jc w:val="both"/>
        <w:rPr>
          <w:noProof/>
          <w:szCs w:val="22"/>
        </w:rPr>
      </w:pPr>
      <w:r>
        <w:t>Le rapport visé au premier alinéa évalue:</w:t>
      </w:r>
    </w:p>
    <w:p w14:paraId="75E49E89" w14:textId="77777777" w:rsidR="004F51EE" w:rsidRPr="00BD4007" w:rsidRDefault="004F51EE" w:rsidP="004F51EE">
      <w:pPr>
        <w:widowControl/>
        <w:spacing w:before="120" w:after="120"/>
        <w:ind w:left="850" w:hanging="850"/>
        <w:jc w:val="both"/>
        <w:rPr>
          <w:rFonts w:eastAsia="Calibri"/>
          <w:noProof/>
          <w:szCs w:val="22"/>
        </w:rPr>
      </w:pPr>
      <w:r>
        <w:t>a)</w:t>
      </w:r>
      <w:r>
        <w:tab/>
        <w:t>l’efficacité du présent règlement dans la réalisation de ses objectifs, tels qu’ils sont exposés à l’article 1</w:t>
      </w:r>
      <w:r>
        <w:rPr>
          <w:vertAlign w:val="superscript"/>
        </w:rPr>
        <w:t>er</w:t>
      </w:r>
      <w:r>
        <w:t>;</w:t>
      </w:r>
    </w:p>
    <w:p w14:paraId="5EA2E282" w14:textId="77777777" w:rsidR="004F51EE" w:rsidRPr="00BD4007" w:rsidRDefault="004F51EE" w:rsidP="004F51EE">
      <w:pPr>
        <w:widowControl/>
        <w:spacing w:before="120" w:after="120"/>
        <w:ind w:left="850" w:hanging="850"/>
        <w:jc w:val="both"/>
        <w:rPr>
          <w:rFonts w:eastAsia="Calibri"/>
          <w:noProof/>
          <w:szCs w:val="22"/>
        </w:rPr>
      </w:pPr>
      <w:r>
        <w:t>b)</w:t>
      </w:r>
      <w:r>
        <w:tab/>
        <w:t>les progrès accomplis en vue d’une coordination plus étroite des politiques économiques et d’une convergence soutenue des performances économiques des États membres conformément au traité sur le fonctionnement de l’Union européenne;</w:t>
      </w:r>
    </w:p>
    <w:p w14:paraId="29D86F11" w14:textId="77777777" w:rsidR="004F51EE" w:rsidRPr="00BD4007" w:rsidRDefault="004F51EE" w:rsidP="004F51EE">
      <w:pPr>
        <w:widowControl/>
        <w:spacing w:before="120" w:after="120"/>
        <w:ind w:left="850" w:hanging="850"/>
        <w:jc w:val="both"/>
        <w:rPr>
          <w:rFonts w:eastAsia="Calibri"/>
          <w:noProof/>
          <w:szCs w:val="22"/>
        </w:rPr>
      </w:pPr>
      <w:r>
        <w:t>c)</w:t>
      </w:r>
      <w:r>
        <w:tab/>
        <w:t>la contribution du présent règlement à la réalisation d’une croissance durable et inclusive et d’une résilience sociale et économique.</w:t>
      </w:r>
    </w:p>
    <w:p w14:paraId="6F29B0D8" w14:textId="77777777" w:rsidR="004F51EE" w:rsidRPr="00BD4007" w:rsidRDefault="004F51EE" w:rsidP="004F51EE">
      <w:pPr>
        <w:widowControl/>
        <w:spacing w:before="120" w:after="120"/>
        <w:ind w:left="850" w:hanging="850"/>
        <w:jc w:val="both"/>
        <w:rPr>
          <w:rFonts w:eastAsia="Calibri"/>
          <w:noProof/>
          <w:szCs w:val="22"/>
        </w:rPr>
      </w:pPr>
      <w:r>
        <w:t>2.</w:t>
      </w:r>
      <w:r>
        <w:tab/>
        <w:t>Ce rapport est transmis au Parlement européen et au Conseil.»;</w:t>
      </w:r>
    </w:p>
    <w:p w14:paraId="2D724E39" w14:textId="77777777" w:rsidR="004F51EE" w:rsidRPr="00BD4007" w:rsidRDefault="004F51EE" w:rsidP="004F51EE">
      <w:pPr>
        <w:widowControl/>
        <w:spacing w:before="120" w:after="120"/>
        <w:ind w:left="850" w:hanging="850"/>
        <w:jc w:val="both"/>
        <w:rPr>
          <w:rFonts w:eastAsia="Calibri"/>
          <w:noProof/>
          <w:szCs w:val="22"/>
        </w:rPr>
      </w:pPr>
      <w:r>
        <w:t>16)</w:t>
      </w:r>
      <w:r>
        <w:tab/>
      </w:r>
      <w:r>
        <w:tab/>
        <w:t xml:space="preserve">  l’article 17 est supprimé.</w:t>
      </w:r>
    </w:p>
    <w:p w14:paraId="152FAF03" w14:textId="77777777" w:rsidR="004F51EE" w:rsidRPr="00BD4007" w:rsidRDefault="004F51EE" w:rsidP="004F51EE">
      <w:pPr>
        <w:keepNext/>
        <w:widowControl/>
        <w:spacing w:before="360" w:after="120"/>
        <w:jc w:val="center"/>
        <w:rPr>
          <w:rFonts w:eastAsia="Calibri"/>
          <w:i/>
          <w:noProof/>
          <w:szCs w:val="22"/>
        </w:rPr>
      </w:pPr>
      <w:r>
        <w:rPr>
          <w:i/>
        </w:rPr>
        <w:t>Article 3</w:t>
      </w:r>
    </w:p>
    <w:p w14:paraId="6159B272" w14:textId="77777777" w:rsidR="004F51EE" w:rsidRPr="00BD4007" w:rsidRDefault="004F51EE" w:rsidP="004F51EE">
      <w:pPr>
        <w:widowControl/>
        <w:spacing w:before="120" w:after="120"/>
        <w:jc w:val="both"/>
        <w:rPr>
          <w:rFonts w:eastAsia="Calibri"/>
          <w:noProof/>
          <w:szCs w:val="22"/>
        </w:rPr>
      </w:pPr>
      <w:r>
        <w:t xml:space="preserve">Le présent règlement entre en vigueur le vingtième jour suivant celui de sa publication au </w:t>
      </w:r>
      <w:r>
        <w:rPr>
          <w:i/>
        </w:rPr>
        <w:t>Journal officiel de l’Union européenne</w:t>
      </w:r>
      <w:r>
        <w:t>.</w:t>
      </w:r>
    </w:p>
    <w:p w14:paraId="491FADA2" w14:textId="77777777" w:rsidR="004F51EE" w:rsidRPr="00BD4007" w:rsidRDefault="004F51EE" w:rsidP="004F51EE">
      <w:pPr>
        <w:widowControl/>
        <w:spacing w:before="480" w:after="120"/>
        <w:jc w:val="both"/>
        <w:rPr>
          <w:rFonts w:eastAsia="Calibri"/>
          <w:noProof/>
          <w:szCs w:val="22"/>
        </w:rPr>
      </w:pPr>
      <w:r>
        <w:t>Le présent règlement est obligatoire dans tous ses éléments et directement applicable dans les États membres conformément aux traités.</w:t>
      </w:r>
    </w:p>
    <w:p w14:paraId="5F55011B" w14:textId="77777777" w:rsidR="004F51EE" w:rsidRPr="00BD4007" w:rsidRDefault="004F51EE" w:rsidP="004F51EE">
      <w:pPr>
        <w:keepNext/>
        <w:widowControl/>
        <w:spacing w:before="120"/>
        <w:jc w:val="both"/>
        <w:rPr>
          <w:rFonts w:eastAsia="Calibri"/>
          <w:noProof/>
          <w:szCs w:val="22"/>
        </w:rPr>
      </w:pPr>
      <w:r>
        <w:lastRenderedPageBreak/>
        <w:t>Fait à Bruxelles, le</w:t>
      </w:r>
    </w:p>
    <w:p w14:paraId="5B18602B" w14:textId="77777777" w:rsidR="004F51EE" w:rsidRPr="00BD4007" w:rsidRDefault="004F51EE" w:rsidP="004F51EE">
      <w:pPr>
        <w:keepNext/>
        <w:widowControl/>
        <w:tabs>
          <w:tab w:val="left" w:pos="4252"/>
        </w:tabs>
        <w:spacing w:before="720"/>
        <w:jc w:val="both"/>
        <w:rPr>
          <w:rFonts w:eastAsia="Calibri"/>
          <w:i/>
          <w:noProof/>
          <w:szCs w:val="22"/>
        </w:rPr>
      </w:pPr>
      <w:r>
        <w:rPr>
          <w:i/>
        </w:rPr>
        <w:t>Par le Parlement européen</w:t>
      </w:r>
      <w:r>
        <w:rPr>
          <w:i/>
        </w:rPr>
        <w:tab/>
        <w:t>Par le Conseil</w:t>
      </w:r>
    </w:p>
    <w:p w14:paraId="512E3905" w14:textId="77777777" w:rsidR="004F51EE" w:rsidRPr="00BD4007" w:rsidRDefault="004F51EE" w:rsidP="004F51EE">
      <w:pPr>
        <w:widowControl/>
        <w:tabs>
          <w:tab w:val="left" w:pos="4252"/>
        </w:tabs>
        <w:rPr>
          <w:rFonts w:eastAsia="Calibri"/>
          <w:i/>
          <w:noProof/>
          <w:szCs w:val="22"/>
        </w:rPr>
      </w:pPr>
      <w:r>
        <w:rPr>
          <w:i/>
        </w:rPr>
        <w:t>La présidente</w:t>
      </w:r>
      <w:r>
        <w:rPr>
          <w:i/>
        </w:rPr>
        <w:tab/>
        <w:t>Le président</w:t>
      </w:r>
    </w:p>
    <w:p w14:paraId="754E6821" w14:textId="77777777" w:rsidR="004F51EE" w:rsidRPr="00BD4007" w:rsidRDefault="004F51EE" w:rsidP="004F51EE">
      <w:pPr>
        <w:widowControl/>
        <w:rPr>
          <w:rFonts w:eastAsia="Calibri"/>
          <w:noProof/>
          <w:szCs w:val="22"/>
          <w:lang w:eastAsia="en-US"/>
        </w:rPr>
        <w:sectPr w:rsidR="004F51EE" w:rsidRPr="00BD4007" w:rsidSect="004F51EE">
          <w:pgSz w:w="11907" w:h="16839"/>
          <w:pgMar w:top="1134" w:right="1417" w:bottom="1134" w:left="1417" w:header="709" w:footer="709" w:gutter="0"/>
          <w:cols w:space="720"/>
          <w:titlePg/>
        </w:sectPr>
      </w:pPr>
    </w:p>
    <w:p w14:paraId="5BFDA8BB" w14:textId="77777777" w:rsidR="004F51EE" w:rsidRPr="00BD4007" w:rsidRDefault="004F51EE" w:rsidP="004F51EE">
      <w:pPr>
        <w:pStyle w:val="PageHeading"/>
      </w:pPr>
      <w:bookmarkStart w:id="7" w:name="_Toc227325157"/>
      <w:bookmarkStart w:id="8" w:name="_Toc226977193"/>
      <w:bookmarkStart w:id="9" w:name="FootprintPageRR"/>
      <w:bookmarkStart w:id="10" w:name="_Toc229066279"/>
      <w:r>
        <w:lastRenderedPageBreak/>
        <w:t>ANNEXE: DÉCLARATION DES CONTRIBUTIONS</w:t>
      </w:r>
      <w:bookmarkEnd w:id="7"/>
      <w:bookmarkEnd w:id="10"/>
    </w:p>
    <w:bookmarkEnd w:id="8"/>
    <w:p w14:paraId="2D3EF9C2" w14:textId="77777777" w:rsidR="004F51EE" w:rsidRPr="00BD4007" w:rsidRDefault="004F51EE" w:rsidP="004F51EE">
      <w:r>
        <w:rPr>
          <w:rStyle w:val="HideTWBExt"/>
        </w:rPr>
        <w:t>&lt;FootprintIntro&gt;</w:t>
      </w:r>
      <w:r>
        <w:t>Les rapporteurs déclarent, sous leur responsabilité exclusive, n’avoir inclus dans leur rapport aucune contribution de représentants d’intérêts relevant du champ d’application de l’accord interinstitutionnel sur un registre de transparence obligatoire</w:t>
      </w:r>
      <w:r w:rsidRPr="00BD4007">
        <w:rPr>
          <w:vertAlign w:val="superscript"/>
        </w:rPr>
        <w:footnoteReference w:id="15"/>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bookmarkEnd w:id="9"/>
    </w:p>
    <w:p w14:paraId="71C759EE" w14:textId="30333BF1" w:rsidR="00842A4F" w:rsidRPr="00BD4007" w:rsidRDefault="00842A4F" w:rsidP="00842A4F">
      <w:pPr>
        <w:pStyle w:val="NormalCenter12a"/>
      </w:pPr>
    </w:p>
    <w:p w14:paraId="43E0A857" w14:textId="77777777" w:rsidR="00842A4F" w:rsidRPr="00FB045D" w:rsidRDefault="00842A4F" w:rsidP="00FB045D"/>
    <w:p w14:paraId="04C27A60" w14:textId="77777777" w:rsidR="00FB045D" w:rsidRPr="00FB045D" w:rsidRDefault="00FB045D" w:rsidP="00FB045D">
      <w:pPr>
        <w:sectPr w:rsidR="00FB045D" w:rsidRPr="00FB045D" w:rsidSect="004F51EE">
          <w:footerReference w:type="first" r:id="rId18"/>
          <w:footnotePr>
            <w:numRestart w:val="eachSect"/>
          </w:footnotePr>
          <w:endnotePr>
            <w:numFmt w:val="decimal"/>
          </w:endnotePr>
          <w:pgSz w:w="11906" w:h="16838" w:code="9"/>
          <w:pgMar w:top="1134" w:right="1418" w:bottom="1418" w:left="1418" w:header="1134" w:footer="567" w:gutter="0"/>
          <w:cols w:space="720"/>
          <w:noEndnote/>
        </w:sectPr>
      </w:pPr>
    </w:p>
    <w:p w14:paraId="7D2175F6" w14:textId="7D18DF6E" w:rsidR="00FB045D" w:rsidRDefault="00FB045D" w:rsidP="00FB045D">
      <w:pPr>
        <w:pStyle w:val="PageHeading"/>
      </w:pPr>
      <w:bookmarkStart w:id="11" w:name="ProcPageRR"/>
      <w:bookmarkStart w:id="12" w:name="_Toc229066280"/>
      <w:r>
        <w:lastRenderedPageBreak/>
        <w:t>PROCÉDURE DE LA COMMISSION COMPÉTENTE AU FOND</w:t>
      </w:r>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B045D" w14:paraId="16A2E0C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B76A0A" w14:textId="77777777" w:rsidR="00FB045D" w:rsidRDefault="00FB045D">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6BA4ED" w14:textId="77777777" w:rsidR="00FB045D" w:rsidRDefault="00FB045D">
            <w:pPr>
              <w:autoSpaceDE w:val="0"/>
              <w:autoSpaceDN w:val="0"/>
              <w:adjustRightInd w:val="0"/>
              <w:rPr>
                <w:color w:val="000000"/>
                <w:sz w:val="20"/>
              </w:rPr>
            </w:pPr>
            <w:r>
              <w:rPr>
                <w:color w:val="000000"/>
                <w:sz w:val="20"/>
              </w:rPr>
              <w:t>Modification des règlements (UE) nº 1173/2011 et (UE) nº 473/2013 en ce qui concerne l’alignement sur le cadre de gouvernance économique de l’Union et la poursuite de la simplification de ce cadre</w:t>
            </w:r>
          </w:p>
        </w:tc>
      </w:tr>
      <w:tr w:rsidR="00FB045D" w14:paraId="49EBB6D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196137B" w14:textId="77777777" w:rsidR="00FB045D" w:rsidRDefault="00FB045D">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575F959" w14:textId="77777777" w:rsidR="00FB045D" w:rsidRDefault="00FB045D">
            <w:pPr>
              <w:autoSpaceDE w:val="0"/>
              <w:autoSpaceDN w:val="0"/>
              <w:adjustRightInd w:val="0"/>
              <w:rPr>
                <w:color w:val="000000"/>
                <w:sz w:val="20"/>
              </w:rPr>
            </w:pPr>
            <w:r>
              <w:rPr>
                <w:color w:val="000000"/>
                <w:sz w:val="20"/>
              </w:rPr>
              <w:t>COM(2025)0591 – C10-0227/2025 – 2025/0311(COD)</w:t>
            </w:r>
          </w:p>
        </w:tc>
      </w:tr>
      <w:tr w:rsidR="00FB045D" w14:paraId="06F1907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D2C7BF" w14:textId="77777777" w:rsidR="00FB045D" w:rsidRDefault="00FB045D">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B45E293" w14:textId="77777777" w:rsidR="00FB045D" w:rsidRDefault="00FB045D">
            <w:pPr>
              <w:autoSpaceDE w:val="0"/>
              <w:autoSpaceDN w:val="0"/>
              <w:adjustRightInd w:val="0"/>
              <w:rPr>
                <w:color w:val="000000"/>
                <w:sz w:val="20"/>
              </w:rPr>
            </w:pPr>
            <w:r>
              <w:rPr>
                <w:color w:val="000000"/>
                <w:sz w:val="20"/>
              </w:rPr>
              <w:t>2.10.2025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311E25D"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25F622"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6042DB" w14:textId="77777777" w:rsidR="00FB045D" w:rsidRDefault="00FB045D">
            <w:pPr>
              <w:autoSpaceDE w:val="0"/>
              <w:autoSpaceDN w:val="0"/>
              <w:adjustRightInd w:val="0"/>
              <w:rPr>
                <w:rFonts w:ascii="sans-serif" w:hAnsi="sans-serif" w:cs="sans-serif"/>
                <w:color w:val="000000"/>
              </w:rPr>
            </w:pPr>
          </w:p>
        </w:tc>
      </w:tr>
      <w:tr w:rsidR="00FB045D" w14:paraId="0D95EDC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410FCE" w14:textId="77777777" w:rsidR="00FB045D" w:rsidRDefault="00FB045D">
            <w:pPr>
              <w:autoSpaceDE w:val="0"/>
              <w:autoSpaceDN w:val="0"/>
              <w:adjustRightInd w:val="0"/>
              <w:rPr>
                <w:b/>
                <w:bCs/>
                <w:color w:val="000000"/>
                <w:sz w:val="20"/>
              </w:rPr>
            </w:pPr>
            <w:r>
              <w:rPr>
                <w:b/>
                <w:color w:val="000000"/>
                <w:sz w:val="20"/>
              </w:rPr>
              <w:t>Commission(s) compétente(s) au fond</w:t>
            </w:r>
          </w:p>
          <w:p w14:paraId="67085076" w14:textId="77777777" w:rsidR="00FB045D" w:rsidRDefault="00FB045D">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14:paraId="4503BE2C" w14:textId="77777777" w:rsidR="00FB045D" w:rsidRDefault="00FB045D">
            <w:pPr>
              <w:autoSpaceDE w:val="0"/>
              <w:autoSpaceDN w:val="0"/>
              <w:adjustRightInd w:val="0"/>
              <w:rPr>
                <w:color w:val="000000"/>
                <w:sz w:val="20"/>
              </w:rPr>
            </w:pPr>
            <w:r>
              <w:rPr>
                <w:color w:val="000000"/>
                <w:sz w:val="20"/>
              </w:rPr>
              <w:t>ECON</w:t>
            </w:r>
          </w:p>
          <w:p w14:paraId="3BA368C3" w14:textId="77777777" w:rsidR="00FB045D" w:rsidRDefault="00FB045D">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nil"/>
            </w:tcBorders>
            <w:tcMar>
              <w:top w:w="79" w:type="dxa"/>
              <w:left w:w="79" w:type="dxa"/>
              <w:bottom w:w="79" w:type="dxa"/>
              <w:right w:w="79" w:type="dxa"/>
            </w:tcMar>
          </w:tcPr>
          <w:p w14:paraId="06F6E553" w14:textId="77777777" w:rsidR="00FB045D" w:rsidRDefault="00FB04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8C84485" w14:textId="77777777" w:rsidR="00FB045D" w:rsidRDefault="00FB04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5F971F7" w14:textId="77777777" w:rsidR="00FB045D" w:rsidRDefault="00FB045D">
            <w:pPr>
              <w:autoSpaceDE w:val="0"/>
              <w:autoSpaceDN w:val="0"/>
              <w:adjustRightInd w:val="0"/>
              <w:rPr>
                <w:rFonts w:ascii="sans-serif" w:hAnsi="sans-serif" w:cs="sans-serif"/>
                <w:color w:val="000000"/>
              </w:rPr>
            </w:pPr>
          </w:p>
        </w:tc>
      </w:tr>
      <w:tr w:rsidR="00FB045D" w14:paraId="3E7A1D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D04F26" w14:textId="77777777" w:rsidR="00FB045D" w:rsidRDefault="00FB045D">
            <w:pPr>
              <w:autoSpaceDE w:val="0"/>
              <w:autoSpaceDN w:val="0"/>
              <w:adjustRightInd w:val="0"/>
              <w:rPr>
                <w:b/>
                <w:bCs/>
                <w:color w:val="000000"/>
                <w:sz w:val="20"/>
              </w:rPr>
            </w:pPr>
            <w:r>
              <w:rPr>
                <w:b/>
                <w:color w:val="000000"/>
                <w:sz w:val="20"/>
              </w:rPr>
              <w:t>Commissions saisies pour avis</w:t>
            </w:r>
          </w:p>
          <w:p w14:paraId="11794CCF" w14:textId="77777777" w:rsidR="00FB045D" w:rsidRDefault="00FB045D">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84592B" w14:textId="77777777" w:rsidR="00FB045D" w:rsidRDefault="00FB045D">
            <w:pPr>
              <w:autoSpaceDE w:val="0"/>
              <w:autoSpaceDN w:val="0"/>
              <w:adjustRightInd w:val="0"/>
              <w:rPr>
                <w:color w:val="000000"/>
                <w:sz w:val="20"/>
              </w:rPr>
            </w:pPr>
            <w:r>
              <w:rPr>
                <w:color w:val="000000"/>
                <w:sz w:val="20"/>
              </w:rPr>
              <w:t>EMPL</w:t>
            </w:r>
          </w:p>
          <w:p w14:paraId="715DBAC2" w14:textId="77777777" w:rsidR="00FB045D" w:rsidRDefault="00FB045D">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D2934C"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6996F6"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D138BA" w14:textId="77777777" w:rsidR="00FB045D" w:rsidRDefault="00FB045D">
            <w:pPr>
              <w:autoSpaceDE w:val="0"/>
              <w:autoSpaceDN w:val="0"/>
              <w:adjustRightInd w:val="0"/>
              <w:rPr>
                <w:rFonts w:ascii="sans-serif" w:hAnsi="sans-serif" w:cs="sans-serif"/>
                <w:color w:val="000000"/>
              </w:rPr>
            </w:pPr>
          </w:p>
        </w:tc>
      </w:tr>
      <w:tr w:rsidR="00FB045D" w14:paraId="10A494E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DD7E559" w14:textId="77777777" w:rsidR="00FB045D" w:rsidRDefault="00FB045D">
            <w:pPr>
              <w:autoSpaceDE w:val="0"/>
              <w:autoSpaceDN w:val="0"/>
              <w:adjustRightInd w:val="0"/>
              <w:rPr>
                <w:b/>
                <w:bCs/>
                <w:color w:val="000000"/>
                <w:sz w:val="20"/>
              </w:rPr>
            </w:pPr>
            <w:r>
              <w:rPr>
                <w:b/>
                <w:color w:val="000000"/>
                <w:sz w:val="20"/>
              </w:rPr>
              <w:t>Avis non émis</w:t>
            </w:r>
          </w:p>
          <w:p w14:paraId="0E86672B" w14:textId="77777777" w:rsidR="00FB045D" w:rsidRDefault="00FB045D">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14:paraId="55309C62" w14:textId="77777777" w:rsidR="00FB045D" w:rsidRDefault="00FB045D">
            <w:pPr>
              <w:autoSpaceDE w:val="0"/>
              <w:autoSpaceDN w:val="0"/>
              <w:adjustRightInd w:val="0"/>
              <w:rPr>
                <w:color w:val="000000"/>
                <w:sz w:val="20"/>
              </w:rPr>
            </w:pPr>
            <w:r>
              <w:rPr>
                <w:color w:val="000000"/>
                <w:sz w:val="20"/>
              </w:rPr>
              <w:t>EMPL</w:t>
            </w:r>
          </w:p>
          <w:p w14:paraId="44EC4B8B" w14:textId="77777777" w:rsidR="00FB045D" w:rsidRDefault="00FB045D">
            <w:pPr>
              <w:autoSpaceDE w:val="0"/>
              <w:autoSpaceDN w:val="0"/>
              <w:adjustRightInd w:val="0"/>
              <w:rPr>
                <w:color w:val="000000"/>
                <w:sz w:val="20"/>
              </w:rPr>
            </w:pPr>
            <w:r>
              <w:rPr>
                <w:color w:val="000000"/>
                <w:sz w:val="20"/>
              </w:rPr>
              <w:t>3.12.2025</w:t>
            </w:r>
          </w:p>
        </w:tc>
        <w:tc>
          <w:tcPr>
            <w:tcW w:w="1474" w:type="dxa"/>
            <w:tcBorders>
              <w:top w:val="nil"/>
              <w:left w:val="nil"/>
              <w:bottom w:val="single" w:sz="8" w:space="0" w:color="000000"/>
              <w:right w:val="nil"/>
            </w:tcBorders>
            <w:tcMar>
              <w:top w:w="79" w:type="dxa"/>
              <w:left w:w="79" w:type="dxa"/>
              <w:bottom w:w="79" w:type="dxa"/>
              <w:right w:w="79" w:type="dxa"/>
            </w:tcMar>
          </w:tcPr>
          <w:p w14:paraId="381AFB93" w14:textId="77777777" w:rsidR="00FB045D" w:rsidRDefault="00FB04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E31F557" w14:textId="77777777" w:rsidR="00FB045D" w:rsidRDefault="00FB04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D9DFA9F" w14:textId="77777777" w:rsidR="00FB045D" w:rsidRDefault="00FB045D">
            <w:pPr>
              <w:autoSpaceDE w:val="0"/>
              <w:autoSpaceDN w:val="0"/>
              <w:adjustRightInd w:val="0"/>
              <w:rPr>
                <w:rFonts w:ascii="sans-serif" w:hAnsi="sans-serif" w:cs="sans-serif"/>
                <w:color w:val="000000"/>
              </w:rPr>
            </w:pPr>
          </w:p>
        </w:tc>
      </w:tr>
      <w:tr w:rsidR="00FB045D" w14:paraId="41C195C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F063E4" w14:textId="77777777" w:rsidR="00FB045D" w:rsidRDefault="00FB045D">
            <w:pPr>
              <w:autoSpaceDE w:val="0"/>
              <w:autoSpaceDN w:val="0"/>
              <w:adjustRightInd w:val="0"/>
              <w:rPr>
                <w:b/>
                <w:bCs/>
                <w:color w:val="000000"/>
                <w:sz w:val="20"/>
              </w:rPr>
            </w:pPr>
            <w:r>
              <w:rPr>
                <w:b/>
                <w:color w:val="000000"/>
                <w:sz w:val="20"/>
              </w:rPr>
              <w:t>Rapporteurs</w:t>
            </w:r>
          </w:p>
          <w:p w14:paraId="6534E7BC" w14:textId="77777777" w:rsidR="00FB045D" w:rsidRDefault="00FB045D">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AB0332" w14:textId="77777777" w:rsidR="00FB045D" w:rsidRDefault="00FB045D">
            <w:pPr>
              <w:autoSpaceDE w:val="0"/>
              <w:autoSpaceDN w:val="0"/>
              <w:adjustRightInd w:val="0"/>
              <w:rPr>
                <w:color w:val="000000"/>
                <w:sz w:val="20"/>
              </w:rPr>
            </w:pPr>
            <w:r>
              <w:rPr>
                <w:color w:val="000000"/>
                <w:sz w:val="20"/>
              </w:rPr>
              <w:t>Carla Tavares</w:t>
            </w:r>
          </w:p>
          <w:p w14:paraId="70A65E37" w14:textId="77777777" w:rsidR="00FB045D" w:rsidRDefault="00FB045D">
            <w:pPr>
              <w:autoSpaceDE w:val="0"/>
              <w:autoSpaceDN w:val="0"/>
              <w:adjustRightInd w:val="0"/>
              <w:rPr>
                <w:color w:val="000000"/>
                <w:sz w:val="20"/>
              </w:rPr>
            </w:pPr>
            <w:r>
              <w:rPr>
                <w:color w:val="000000"/>
                <w:sz w:val="20"/>
              </w:rPr>
              <w:t>20.11.2025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796801" w14:textId="77777777" w:rsidR="00FB045D" w:rsidRDefault="00FB045D">
            <w:pPr>
              <w:autoSpaceDE w:val="0"/>
              <w:autoSpaceDN w:val="0"/>
              <w:adjustRightInd w:val="0"/>
              <w:rPr>
                <w:color w:val="000000"/>
                <w:sz w:val="20"/>
              </w:rPr>
            </w:pPr>
            <w:r>
              <w:rPr>
                <w:color w:val="000000"/>
                <w:sz w:val="20"/>
              </w:rPr>
              <w:t>Markus Ferber</w:t>
            </w:r>
          </w:p>
          <w:p w14:paraId="0197CA4E" w14:textId="77777777" w:rsidR="00FB045D" w:rsidRDefault="00FB045D">
            <w:pPr>
              <w:autoSpaceDE w:val="0"/>
              <w:autoSpaceDN w:val="0"/>
              <w:adjustRightInd w:val="0"/>
              <w:rPr>
                <w:color w:val="000000"/>
                <w:sz w:val="20"/>
              </w:rPr>
            </w:pPr>
            <w:r>
              <w:rPr>
                <w:color w:val="000000"/>
                <w:sz w:val="20"/>
              </w:rPr>
              <w:t>20.11.2025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38C0F1"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4EB6A5" w14:textId="77777777" w:rsidR="00FB045D" w:rsidRDefault="00FB045D">
            <w:pPr>
              <w:autoSpaceDE w:val="0"/>
              <w:autoSpaceDN w:val="0"/>
              <w:adjustRightInd w:val="0"/>
              <w:rPr>
                <w:rFonts w:ascii="sans-serif" w:hAnsi="sans-serif" w:cs="sans-serif"/>
                <w:color w:val="000000"/>
              </w:rPr>
            </w:pPr>
          </w:p>
        </w:tc>
      </w:tr>
      <w:tr w:rsidR="00FB045D" w14:paraId="64C72B0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9B07B2" w14:textId="77777777" w:rsidR="00FB045D" w:rsidRDefault="00FB045D">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88317CB" w14:textId="77777777" w:rsidR="00FB045D" w:rsidRDefault="00FB045D">
            <w:pPr>
              <w:autoSpaceDE w:val="0"/>
              <w:autoSpaceDN w:val="0"/>
              <w:adjustRightInd w:val="0"/>
              <w:rPr>
                <w:color w:val="000000"/>
                <w:sz w:val="20"/>
              </w:rPr>
            </w:pPr>
            <w:r>
              <w:rPr>
                <w:color w:val="000000"/>
                <w:sz w:val="20"/>
              </w:rPr>
              <w:t>18.3.2026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34C8AD"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C0346F9" w14:textId="77777777" w:rsidR="00FB045D" w:rsidRDefault="00FB04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C6AC27" w14:textId="77777777" w:rsidR="00FB045D" w:rsidRDefault="00FB045D">
            <w:pPr>
              <w:autoSpaceDE w:val="0"/>
              <w:autoSpaceDN w:val="0"/>
              <w:adjustRightInd w:val="0"/>
              <w:rPr>
                <w:rFonts w:ascii="sans-serif" w:hAnsi="sans-serif" w:cs="sans-serif"/>
                <w:color w:val="000000"/>
              </w:rPr>
            </w:pPr>
          </w:p>
        </w:tc>
      </w:tr>
      <w:tr w:rsidR="00FB045D" w14:paraId="1C74206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7C9D992" w14:textId="77777777" w:rsidR="00FB045D" w:rsidRDefault="00FB045D">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25AC9AD2" w14:textId="77777777" w:rsidR="00FB045D" w:rsidRDefault="00FB045D">
            <w:pPr>
              <w:autoSpaceDE w:val="0"/>
              <w:autoSpaceDN w:val="0"/>
              <w:adjustRightInd w:val="0"/>
              <w:rPr>
                <w:color w:val="000000"/>
                <w:sz w:val="20"/>
              </w:rPr>
            </w:pPr>
            <w:r>
              <w:rPr>
                <w:color w:val="000000"/>
                <w:sz w:val="20"/>
              </w:rPr>
              <w:t>14.4.2026</w:t>
            </w:r>
          </w:p>
        </w:tc>
        <w:tc>
          <w:tcPr>
            <w:tcW w:w="1474" w:type="dxa"/>
            <w:tcBorders>
              <w:top w:val="nil"/>
              <w:left w:val="nil"/>
              <w:bottom w:val="single" w:sz="8" w:space="0" w:color="000000"/>
              <w:right w:val="nil"/>
            </w:tcBorders>
            <w:tcMar>
              <w:top w:w="79" w:type="dxa"/>
              <w:left w:w="79" w:type="dxa"/>
              <w:bottom w:w="79" w:type="dxa"/>
              <w:right w:w="79" w:type="dxa"/>
            </w:tcMar>
          </w:tcPr>
          <w:p w14:paraId="69BC2987" w14:textId="77777777" w:rsidR="00FB045D" w:rsidRDefault="00FB04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2920591" w14:textId="77777777" w:rsidR="00FB045D" w:rsidRDefault="00FB04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6EC9099" w14:textId="77777777" w:rsidR="00FB045D" w:rsidRDefault="00FB045D">
            <w:pPr>
              <w:autoSpaceDE w:val="0"/>
              <w:autoSpaceDN w:val="0"/>
              <w:adjustRightInd w:val="0"/>
              <w:rPr>
                <w:rFonts w:ascii="sans-serif" w:hAnsi="sans-serif" w:cs="sans-serif"/>
                <w:color w:val="000000"/>
              </w:rPr>
            </w:pPr>
          </w:p>
        </w:tc>
      </w:tr>
      <w:tr w:rsidR="00FB045D" w14:paraId="41440A3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0C4C63" w14:textId="77777777" w:rsidR="00FB045D" w:rsidRDefault="00FB045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8DB4F8D" w14:textId="77777777" w:rsidR="00FB045D" w:rsidRDefault="00FB045D">
            <w:pPr>
              <w:autoSpaceDE w:val="0"/>
              <w:autoSpaceDN w:val="0"/>
              <w:adjustRightInd w:val="0"/>
              <w:rPr>
                <w:color w:val="000000"/>
                <w:sz w:val="20"/>
              </w:rPr>
            </w:pPr>
            <w:r>
              <w:rPr>
                <w:color w:val="000000"/>
                <w:sz w:val="20"/>
              </w:rPr>
              <w:t>+:</w:t>
            </w:r>
          </w:p>
          <w:p w14:paraId="0087A90C" w14:textId="77777777" w:rsidR="00FB045D" w:rsidRDefault="00FB045D">
            <w:pPr>
              <w:autoSpaceDE w:val="0"/>
              <w:autoSpaceDN w:val="0"/>
              <w:adjustRightInd w:val="0"/>
              <w:rPr>
                <w:color w:val="000000"/>
                <w:sz w:val="20"/>
              </w:rPr>
            </w:pPr>
            <w:r>
              <w:rPr>
                <w:color w:val="000000"/>
                <w:sz w:val="20"/>
              </w:rPr>
              <w:t>–:</w:t>
            </w:r>
          </w:p>
          <w:p w14:paraId="6F6CD626" w14:textId="77777777" w:rsidR="00FB045D" w:rsidRDefault="00FB045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6050C3" w14:textId="77777777" w:rsidR="00FB045D" w:rsidRDefault="00FB045D">
            <w:pPr>
              <w:autoSpaceDE w:val="0"/>
              <w:autoSpaceDN w:val="0"/>
              <w:adjustRightInd w:val="0"/>
              <w:rPr>
                <w:color w:val="000000"/>
                <w:sz w:val="20"/>
              </w:rPr>
            </w:pPr>
            <w:r>
              <w:rPr>
                <w:color w:val="000000"/>
                <w:sz w:val="20"/>
              </w:rPr>
              <w:t>35</w:t>
            </w:r>
          </w:p>
          <w:p w14:paraId="33072FDE" w14:textId="77777777" w:rsidR="00FB045D" w:rsidRDefault="00FB045D">
            <w:pPr>
              <w:autoSpaceDE w:val="0"/>
              <w:autoSpaceDN w:val="0"/>
              <w:adjustRightInd w:val="0"/>
              <w:rPr>
                <w:color w:val="000000"/>
                <w:sz w:val="20"/>
              </w:rPr>
            </w:pPr>
            <w:r>
              <w:rPr>
                <w:color w:val="000000"/>
                <w:sz w:val="20"/>
              </w:rPr>
              <w:t>8</w:t>
            </w:r>
          </w:p>
          <w:p w14:paraId="35C4281F" w14:textId="77777777" w:rsidR="00FB045D" w:rsidRDefault="00FB045D">
            <w:pPr>
              <w:autoSpaceDE w:val="0"/>
              <w:autoSpaceDN w:val="0"/>
              <w:adjustRightInd w:val="0"/>
              <w:rPr>
                <w:color w:val="000000"/>
                <w:sz w:val="20"/>
              </w:rPr>
            </w:pPr>
            <w:r>
              <w:rPr>
                <w:color w:val="000000"/>
                <w:sz w:val="20"/>
              </w:rPr>
              <w:t>4</w:t>
            </w:r>
          </w:p>
        </w:tc>
      </w:tr>
      <w:tr w:rsidR="00FB045D" w14:paraId="5F00D79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49FCAF" w14:textId="77777777" w:rsidR="00FB045D" w:rsidRDefault="00FB045D">
            <w:pPr>
              <w:autoSpaceDE w:val="0"/>
              <w:autoSpaceDN w:val="0"/>
              <w:adjustRightInd w:val="0"/>
              <w:rPr>
                <w:b/>
                <w:bCs/>
                <w:color w:val="000000"/>
                <w:sz w:val="20"/>
              </w:rPr>
            </w:pPr>
            <w:r>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6FB1B2" w14:textId="77777777" w:rsidR="00FB045D" w:rsidRDefault="00FB045D">
            <w:pPr>
              <w:autoSpaceDE w:val="0"/>
              <w:autoSpaceDN w:val="0"/>
              <w:adjustRightInd w:val="0"/>
              <w:rPr>
                <w:color w:val="000000"/>
                <w:sz w:val="20"/>
              </w:rPr>
            </w:pPr>
            <w:r>
              <w:rPr>
                <w:color w:val="000000"/>
                <w:sz w:val="20"/>
              </w:rPr>
              <w:t>17.4.2026</w:t>
            </w:r>
          </w:p>
        </w:tc>
      </w:tr>
    </w:tbl>
    <w:p w14:paraId="3E5CE66C" w14:textId="77777777" w:rsidR="00FB045D" w:rsidRDefault="00FB045D"/>
    <w:bookmarkEnd w:id="11"/>
    <w:p w14:paraId="30F6BD21" w14:textId="0D4BDB4B" w:rsidR="00FB045D" w:rsidRDefault="00FB045D">
      <w:pPr>
        <w:widowControl/>
      </w:pPr>
      <w:r>
        <w:br w:type="page"/>
      </w:r>
    </w:p>
    <w:p w14:paraId="56DCA4CF" w14:textId="51548903" w:rsidR="00FB045D" w:rsidRPr="00262097" w:rsidRDefault="00FB045D" w:rsidP="00FB045D">
      <w:pPr>
        <w:pStyle w:val="PageHeading"/>
      </w:pPr>
      <w:bookmarkStart w:id="13" w:name="RollCallPageRR"/>
      <w:bookmarkStart w:id="14" w:name="_Toc229066281"/>
      <w:r>
        <w:lastRenderedPageBreak/>
        <w:t>VOTE FINAL PAR APPEL NOMINAL</w:t>
      </w:r>
      <w:r>
        <w:br/>
        <w:t>PAR LA COMMISSION COMPÉTENTE AU FOND</w:t>
      </w:r>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045D" w:rsidRPr="00262097" w14:paraId="6D2D9698" w14:textId="77777777" w:rsidTr="000432D1">
        <w:trPr>
          <w:cantSplit/>
        </w:trPr>
        <w:tc>
          <w:tcPr>
            <w:tcW w:w="1701" w:type="dxa"/>
            <w:shd w:val="pct10" w:color="000000" w:fill="FFFFFF"/>
            <w:vAlign w:val="center"/>
          </w:tcPr>
          <w:p w14:paraId="69AB89BD" w14:textId="77777777" w:rsidR="00FB045D" w:rsidRPr="00262097" w:rsidRDefault="00FB045D" w:rsidP="000432D1">
            <w:pPr>
              <w:pStyle w:val="RollCallVotes"/>
            </w:pPr>
            <w:r>
              <w:t>35</w:t>
            </w:r>
          </w:p>
        </w:tc>
        <w:tc>
          <w:tcPr>
            <w:tcW w:w="7371" w:type="dxa"/>
            <w:shd w:val="pct10" w:color="000000" w:fill="FFFFFF"/>
          </w:tcPr>
          <w:p w14:paraId="74D0111E" w14:textId="77777777" w:rsidR="00FB045D" w:rsidRPr="00262097" w:rsidRDefault="00FB045D" w:rsidP="000432D1">
            <w:pPr>
              <w:pStyle w:val="RollCallSymbols14pt"/>
            </w:pPr>
            <w:r>
              <w:t>+</w:t>
            </w:r>
          </w:p>
        </w:tc>
      </w:tr>
      <w:tr w:rsidR="00FB045D" w:rsidRPr="00ED3151" w14:paraId="0568DDCA" w14:textId="77777777" w:rsidTr="000432D1">
        <w:trPr>
          <w:cantSplit/>
        </w:trPr>
        <w:tc>
          <w:tcPr>
            <w:tcW w:w="1701" w:type="dxa"/>
            <w:shd w:val="clear" w:color="auto" w:fill="FFFFFF"/>
          </w:tcPr>
          <w:p w14:paraId="08F7383D" w14:textId="77777777" w:rsidR="00FB045D" w:rsidRPr="00262097" w:rsidRDefault="00FB045D" w:rsidP="000432D1">
            <w:pPr>
              <w:pStyle w:val="RollCallTable"/>
            </w:pPr>
            <w:r>
              <w:t>ECR</w:t>
            </w:r>
          </w:p>
        </w:tc>
        <w:tc>
          <w:tcPr>
            <w:tcW w:w="7371" w:type="dxa"/>
            <w:shd w:val="clear" w:color="auto" w:fill="FFFFFF"/>
          </w:tcPr>
          <w:p w14:paraId="0F3528BF" w14:textId="77777777" w:rsidR="00FB045D" w:rsidRPr="00ED3151" w:rsidRDefault="00FB045D" w:rsidP="000432D1">
            <w:pPr>
              <w:pStyle w:val="RollCallTable"/>
              <w:rPr>
                <w:lang w:val="it-IT"/>
              </w:rPr>
            </w:pPr>
            <w:r w:rsidRPr="00ED3151">
              <w:rPr>
                <w:lang w:val="it-IT"/>
              </w:rPr>
              <w:t>Marlena Maląg, Denis Nesci, Mariateresa Vivaldini, Roberts Zīle</w:t>
            </w:r>
          </w:p>
        </w:tc>
      </w:tr>
      <w:tr w:rsidR="00FB045D" w:rsidRPr="00262097" w14:paraId="1CFD61D4" w14:textId="77777777" w:rsidTr="000432D1">
        <w:trPr>
          <w:cantSplit/>
        </w:trPr>
        <w:tc>
          <w:tcPr>
            <w:tcW w:w="1701" w:type="dxa"/>
            <w:shd w:val="clear" w:color="auto" w:fill="FFFFFF"/>
          </w:tcPr>
          <w:p w14:paraId="23113CEA" w14:textId="77777777" w:rsidR="00FB045D" w:rsidRPr="00262097" w:rsidRDefault="00FB045D" w:rsidP="000432D1">
            <w:pPr>
              <w:pStyle w:val="RollCallTable"/>
            </w:pPr>
            <w:r>
              <w:t>PPE</w:t>
            </w:r>
          </w:p>
        </w:tc>
        <w:tc>
          <w:tcPr>
            <w:tcW w:w="7371" w:type="dxa"/>
            <w:shd w:val="clear" w:color="auto" w:fill="FFFFFF"/>
          </w:tcPr>
          <w:p w14:paraId="675AAF21" w14:textId="77777777" w:rsidR="00FB045D" w:rsidRPr="00262097" w:rsidRDefault="00FB045D" w:rsidP="000432D1">
            <w:pPr>
              <w:pStyle w:val="RollCallTable"/>
            </w:pPr>
            <w:r>
              <w:t>Stefan Berger, Marco Falcone, Markus Ferber, Dirk Gotink, Michalis Hadjipantela, Kinga Kollár, Antonio López-Istúriz White, Siegfried Mureşan, Luděk Niedermayer, Lídia Pereira, Sirpa Pietikäinen, Paulius Saudargas, Ralf Seekatz, Angelika Winzig</w:t>
            </w:r>
          </w:p>
        </w:tc>
      </w:tr>
      <w:tr w:rsidR="00FB045D" w:rsidRPr="00262097" w14:paraId="75DE3DD9" w14:textId="77777777" w:rsidTr="000432D1">
        <w:trPr>
          <w:cantSplit/>
        </w:trPr>
        <w:tc>
          <w:tcPr>
            <w:tcW w:w="1701" w:type="dxa"/>
            <w:shd w:val="clear" w:color="auto" w:fill="FFFFFF"/>
          </w:tcPr>
          <w:p w14:paraId="3F9EB784" w14:textId="77777777" w:rsidR="00FB045D" w:rsidRPr="00262097" w:rsidRDefault="00FB045D" w:rsidP="000432D1">
            <w:pPr>
              <w:pStyle w:val="RollCallTable"/>
            </w:pPr>
            <w:r>
              <w:t>Renew</w:t>
            </w:r>
          </w:p>
        </w:tc>
        <w:tc>
          <w:tcPr>
            <w:tcW w:w="7371" w:type="dxa"/>
            <w:shd w:val="clear" w:color="auto" w:fill="FFFFFF"/>
          </w:tcPr>
          <w:p w14:paraId="46F310F4" w14:textId="77777777" w:rsidR="00FB045D" w:rsidRPr="00262097" w:rsidRDefault="00FB045D" w:rsidP="000432D1">
            <w:pPr>
              <w:pStyle w:val="RollCallTable"/>
            </w:pPr>
            <w:r>
              <w:t>Gilles Boyer, Engin Eroglu, Ľudovít Ódor, Stéphanie Yon-Courtin</w:t>
            </w:r>
          </w:p>
        </w:tc>
      </w:tr>
      <w:tr w:rsidR="00FB045D" w:rsidRPr="00262097" w14:paraId="4D0270FF" w14:textId="77777777" w:rsidTr="000432D1">
        <w:trPr>
          <w:cantSplit/>
        </w:trPr>
        <w:tc>
          <w:tcPr>
            <w:tcW w:w="1701" w:type="dxa"/>
            <w:shd w:val="clear" w:color="auto" w:fill="FFFFFF"/>
          </w:tcPr>
          <w:p w14:paraId="69F7AC89" w14:textId="77777777" w:rsidR="00FB045D" w:rsidRPr="00262097" w:rsidRDefault="00FB045D" w:rsidP="000432D1">
            <w:pPr>
              <w:pStyle w:val="RollCallTable"/>
            </w:pPr>
            <w:r>
              <w:t>S&amp;D</w:t>
            </w:r>
          </w:p>
        </w:tc>
        <w:tc>
          <w:tcPr>
            <w:tcW w:w="7371" w:type="dxa"/>
            <w:shd w:val="clear" w:color="auto" w:fill="FFFFFF"/>
          </w:tcPr>
          <w:p w14:paraId="5DA2E39A" w14:textId="77777777" w:rsidR="00FB045D" w:rsidRPr="00262097" w:rsidRDefault="00FB045D" w:rsidP="000432D1">
            <w:pPr>
              <w:pStyle w:val="RollCallTable"/>
            </w:pPr>
            <w:r>
              <w:t>Jonás Fernández, Niels Fuglsang, Eero Heinäluoma, César Luena, Nikos Papandreou, Evelyn Regner, René Repasi, Carla Tavares, Marta Temido, Lara Wolters</w:t>
            </w:r>
          </w:p>
        </w:tc>
      </w:tr>
      <w:tr w:rsidR="00FB045D" w:rsidRPr="00262097" w14:paraId="4D384C94" w14:textId="77777777" w:rsidTr="000432D1">
        <w:trPr>
          <w:cantSplit/>
        </w:trPr>
        <w:tc>
          <w:tcPr>
            <w:tcW w:w="1701" w:type="dxa"/>
            <w:shd w:val="clear" w:color="auto" w:fill="FFFFFF"/>
          </w:tcPr>
          <w:p w14:paraId="71B5CF9C" w14:textId="77777777" w:rsidR="00FB045D" w:rsidRPr="00262097" w:rsidRDefault="00FB045D" w:rsidP="000432D1">
            <w:pPr>
              <w:pStyle w:val="RollCallTable"/>
            </w:pPr>
            <w:r>
              <w:t>Verts/ALE</w:t>
            </w:r>
          </w:p>
        </w:tc>
        <w:tc>
          <w:tcPr>
            <w:tcW w:w="7371" w:type="dxa"/>
            <w:shd w:val="clear" w:color="auto" w:fill="FFFFFF"/>
          </w:tcPr>
          <w:p w14:paraId="66EA7FDE" w14:textId="77777777" w:rsidR="00FB045D" w:rsidRPr="00262097" w:rsidRDefault="00FB045D" w:rsidP="000432D1">
            <w:pPr>
              <w:pStyle w:val="RollCallTable"/>
            </w:pPr>
            <w:r>
              <w:t>Rasmus Andresen, Damian Boeselager, Kira Marie Peter-Hansen</w:t>
            </w:r>
          </w:p>
        </w:tc>
      </w:tr>
    </w:tbl>
    <w:p w14:paraId="03DE96F2" w14:textId="77777777" w:rsidR="00FB045D" w:rsidRPr="00262097" w:rsidRDefault="00FB045D" w:rsidP="00FB045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045D" w:rsidRPr="00262097" w14:paraId="48B7935C" w14:textId="77777777" w:rsidTr="000432D1">
        <w:trPr>
          <w:cantSplit/>
        </w:trPr>
        <w:tc>
          <w:tcPr>
            <w:tcW w:w="1701" w:type="dxa"/>
            <w:shd w:val="pct10" w:color="000000" w:fill="FFFFFF"/>
            <w:vAlign w:val="center"/>
          </w:tcPr>
          <w:p w14:paraId="0D5178D7" w14:textId="77777777" w:rsidR="00FB045D" w:rsidRPr="00262097" w:rsidRDefault="00FB045D" w:rsidP="000432D1">
            <w:pPr>
              <w:pStyle w:val="RollCallVotes"/>
            </w:pPr>
            <w:r>
              <w:t>8</w:t>
            </w:r>
          </w:p>
        </w:tc>
        <w:tc>
          <w:tcPr>
            <w:tcW w:w="7371" w:type="dxa"/>
            <w:shd w:val="pct10" w:color="000000" w:fill="FFFFFF"/>
          </w:tcPr>
          <w:p w14:paraId="0995890E" w14:textId="77777777" w:rsidR="00FB045D" w:rsidRPr="00262097" w:rsidRDefault="00FB045D" w:rsidP="000432D1">
            <w:pPr>
              <w:pStyle w:val="RollCallSymbols14pt"/>
            </w:pPr>
            <w:r>
              <w:t>-</w:t>
            </w:r>
          </w:p>
        </w:tc>
      </w:tr>
      <w:tr w:rsidR="00FB045D" w:rsidRPr="00262097" w14:paraId="34531848" w14:textId="77777777" w:rsidTr="000432D1">
        <w:trPr>
          <w:cantSplit/>
        </w:trPr>
        <w:tc>
          <w:tcPr>
            <w:tcW w:w="1701" w:type="dxa"/>
            <w:shd w:val="clear" w:color="auto" w:fill="FFFFFF"/>
          </w:tcPr>
          <w:p w14:paraId="459D0FE1" w14:textId="77777777" w:rsidR="00FB045D" w:rsidRPr="00262097" w:rsidRDefault="00FB045D" w:rsidP="000432D1">
            <w:pPr>
              <w:pStyle w:val="RollCallTable"/>
            </w:pPr>
            <w:r>
              <w:t>ESN</w:t>
            </w:r>
          </w:p>
        </w:tc>
        <w:tc>
          <w:tcPr>
            <w:tcW w:w="7371" w:type="dxa"/>
            <w:shd w:val="clear" w:color="auto" w:fill="FFFFFF"/>
          </w:tcPr>
          <w:p w14:paraId="35771450" w14:textId="77777777" w:rsidR="00FB045D" w:rsidRPr="00262097" w:rsidRDefault="00FB045D" w:rsidP="000432D1">
            <w:pPr>
              <w:pStyle w:val="RollCallTable"/>
            </w:pPr>
            <w:r>
              <w:t>Siegbert Frank Droese</w:t>
            </w:r>
          </w:p>
        </w:tc>
      </w:tr>
      <w:tr w:rsidR="00FB045D" w:rsidRPr="00262097" w14:paraId="55C7432A" w14:textId="77777777" w:rsidTr="000432D1">
        <w:trPr>
          <w:cantSplit/>
        </w:trPr>
        <w:tc>
          <w:tcPr>
            <w:tcW w:w="1701" w:type="dxa"/>
            <w:shd w:val="clear" w:color="auto" w:fill="FFFFFF"/>
          </w:tcPr>
          <w:p w14:paraId="72D7461D" w14:textId="77777777" w:rsidR="00FB045D" w:rsidRPr="00262097" w:rsidRDefault="00FB045D" w:rsidP="000432D1">
            <w:pPr>
              <w:pStyle w:val="RollCallTable"/>
            </w:pPr>
            <w:r>
              <w:t>NI</w:t>
            </w:r>
          </w:p>
        </w:tc>
        <w:tc>
          <w:tcPr>
            <w:tcW w:w="7371" w:type="dxa"/>
            <w:shd w:val="clear" w:color="auto" w:fill="FFFFFF"/>
          </w:tcPr>
          <w:p w14:paraId="47A9BD12" w14:textId="77777777" w:rsidR="00FB045D" w:rsidRPr="00262097" w:rsidRDefault="00FB045D" w:rsidP="000432D1">
            <w:pPr>
              <w:pStyle w:val="RollCallTable"/>
            </w:pPr>
            <w:r>
              <w:t>Fernand Kartheiser</w:t>
            </w:r>
          </w:p>
        </w:tc>
      </w:tr>
      <w:tr w:rsidR="00FB045D" w:rsidRPr="00262097" w14:paraId="0E91B3CF" w14:textId="77777777" w:rsidTr="000432D1">
        <w:trPr>
          <w:cantSplit/>
        </w:trPr>
        <w:tc>
          <w:tcPr>
            <w:tcW w:w="1701" w:type="dxa"/>
            <w:shd w:val="clear" w:color="auto" w:fill="FFFFFF"/>
          </w:tcPr>
          <w:p w14:paraId="5868841D" w14:textId="77777777" w:rsidR="00FB045D" w:rsidRPr="00262097" w:rsidRDefault="00FB045D" w:rsidP="000432D1">
            <w:pPr>
              <w:pStyle w:val="RollCallTable"/>
            </w:pPr>
            <w:r>
              <w:t>PfE</w:t>
            </w:r>
          </w:p>
        </w:tc>
        <w:tc>
          <w:tcPr>
            <w:tcW w:w="7371" w:type="dxa"/>
            <w:shd w:val="clear" w:color="auto" w:fill="FFFFFF"/>
          </w:tcPr>
          <w:p w14:paraId="3CA12EEB" w14:textId="77777777" w:rsidR="00FB045D" w:rsidRPr="00262097" w:rsidRDefault="00FB045D" w:rsidP="000432D1">
            <w:pPr>
              <w:pStyle w:val="RollCallTable"/>
            </w:pPr>
            <w:r>
              <w:t>Enikő Győri, Jaroslav Knot, Tomáš Kubín, Jorge Martín Frías, Jaroslava Pokorná Jermanová, Auke Zijlstra</w:t>
            </w:r>
          </w:p>
        </w:tc>
      </w:tr>
    </w:tbl>
    <w:p w14:paraId="06ABB5CA" w14:textId="77777777" w:rsidR="00FB045D" w:rsidRPr="00262097" w:rsidRDefault="00FB045D" w:rsidP="00FB045D"/>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045D" w:rsidRPr="00262097" w14:paraId="0984C738" w14:textId="77777777" w:rsidTr="000432D1">
        <w:trPr>
          <w:cantSplit/>
        </w:trPr>
        <w:tc>
          <w:tcPr>
            <w:tcW w:w="1701" w:type="dxa"/>
            <w:shd w:val="pct10" w:color="000000" w:fill="FFFFFF"/>
            <w:vAlign w:val="center"/>
          </w:tcPr>
          <w:p w14:paraId="0469B298" w14:textId="77777777" w:rsidR="00FB045D" w:rsidRPr="00262097" w:rsidRDefault="00FB045D" w:rsidP="000432D1">
            <w:pPr>
              <w:pStyle w:val="RollCallVotes"/>
            </w:pPr>
            <w:r>
              <w:t>4</w:t>
            </w:r>
          </w:p>
        </w:tc>
        <w:tc>
          <w:tcPr>
            <w:tcW w:w="7371" w:type="dxa"/>
            <w:shd w:val="pct10" w:color="000000" w:fill="FFFFFF"/>
          </w:tcPr>
          <w:p w14:paraId="65F52B23" w14:textId="77777777" w:rsidR="00FB045D" w:rsidRPr="00262097" w:rsidRDefault="00FB045D" w:rsidP="000432D1">
            <w:pPr>
              <w:pStyle w:val="RollCallSymbols14pt"/>
            </w:pPr>
            <w:r>
              <w:t>0</w:t>
            </w:r>
          </w:p>
        </w:tc>
      </w:tr>
      <w:tr w:rsidR="00FB045D" w:rsidRPr="00262097" w14:paraId="58833BC0" w14:textId="77777777" w:rsidTr="000432D1">
        <w:trPr>
          <w:cantSplit/>
        </w:trPr>
        <w:tc>
          <w:tcPr>
            <w:tcW w:w="1701" w:type="dxa"/>
            <w:shd w:val="clear" w:color="auto" w:fill="FFFFFF"/>
          </w:tcPr>
          <w:p w14:paraId="45DB593B" w14:textId="77777777" w:rsidR="00FB045D" w:rsidRPr="00262097" w:rsidRDefault="00FB045D" w:rsidP="000432D1">
            <w:pPr>
              <w:pStyle w:val="RollCallTable"/>
            </w:pPr>
            <w:r>
              <w:t>S&amp;D</w:t>
            </w:r>
          </w:p>
        </w:tc>
        <w:tc>
          <w:tcPr>
            <w:tcW w:w="7371" w:type="dxa"/>
            <w:shd w:val="clear" w:color="auto" w:fill="FFFFFF"/>
          </w:tcPr>
          <w:p w14:paraId="0AFAF485" w14:textId="77777777" w:rsidR="00FB045D" w:rsidRPr="00262097" w:rsidRDefault="00FB045D" w:rsidP="000432D1">
            <w:pPr>
              <w:pStyle w:val="RollCallTable"/>
            </w:pPr>
            <w:r>
              <w:t>Aurore Lalucq</w:t>
            </w:r>
          </w:p>
        </w:tc>
      </w:tr>
      <w:tr w:rsidR="00FB045D" w:rsidRPr="00ED3151" w14:paraId="6FA33564" w14:textId="77777777" w:rsidTr="000432D1">
        <w:trPr>
          <w:cantSplit/>
        </w:trPr>
        <w:tc>
          <w:tcPr>
            <w:tcW w:w="1701" w:type="dxa"/>
            <w:shd w:val="clear" w:color="auto" w:fill="FFFFFF"/>
          </w:tcPr>
          <w:p w14:paraId="3D981FC0" w14:textId="77777777" w:rsidR="00FB045D" w:rsidRPr="00262097" w:rsidRDefault="00FB045D" w:rsidP="000432D1">
            <w:pPr>
              <w:pStyle w:val="RollCallTable"/>
            </w:pPr>
            <w:r>
              <w:t>The Left</w:t>
            </w:r>
          </w:p>
        </w:tc>
        <w:tc>
          <w:tcPr>
            <w:tcW w:w="7371" w:type="dxa"/>
            <w:shd w:val="clear" w:color="auto" w:fill="FFFFFF"/>
          </w:tcPr>
          <w:p w14:paraId="1006CAEA" w14:textId="77777777" w:rsidR="00FB045D" w:rsidRPr="00ED3151" w:rsidRDefault="00FB045D" w:rsidP="000432D1">
            <w:pPr>
              <w:pStyle w:val="RollCallTable"/>
              <w:rPr>
                <w:lang w:val="it-IT"/>
              </w:rPr>
            </w:pPr>
            <w:r w:rsidRPr="00ED3151">
              <w:rPr>
                <w:lang w:val="it-IT"/>
              </w:rPr>
              <w:t>Gaetano Pedulla', Jussi Saramo, Pasquale Tridico</w:t>
            </w:r>
          </w:p>
        </w:tc>
      </w:tr>
    </w:tbl>
    <w:p w14:paraId="63443AFB" w14:textId="77777777" w:rsidR="00FB045D" w:rsidRPr="00075176" w:rsidRDefault="00FB045D" w:rsidP="00FB045D">
      <w:pPr>
        <w:pStyle w:val="Normal12a"/>
        <w:rPr>
          <w:lang w:val="it-IT"/>
        </w:rPr>
      </w:pPr>
    </w:p>
    <w:p w14:paraId="4B97A08D" w14:textId="050635B4" w:rsidR="00FB045D" w:rsidRPr="00262097" w:rsidRDefault="00FB045D" w:rsidP="00FB045D">
      <w:r>
        <w:t>Légende des signes utilisés:</w:t>
      </w:r>
    </w:p>
    <w:p w14:paraId="12F7143F" w14:textId="2F9FCAB4" w:rsidR="00FB045D" w:rsidRPr="00262097" w:rsidRDefault="00FB045D" w:rsidP="00FB045D">
      <w:pPr>
        <w:pStyle w:val="RollCallTabs"/>
      </w:pPr>
      <w:r>
        <w:t>+</w:t>
      </w:r>
      <w:r>
        <w:tab/>
        <w:t>:</w:t>
      </w:r>
      <w:r>
        <w:tab/>
        <w:t>pour</w:t>
      </w:r>
    </w:p>
    <w:p w14:paraId="2BD07241" w14:textId="36E69CCD" w:rsidR="00FB045D" w:rsidRPr="00262097" w:rsidRDefault="00FB045D" w:rsidP="00FB045D">
      <w:pPr>
        <w:pStyle w:val="RollCallTabs"/>
      </w:pPr>
      <w:r>
        <w:t>-</w:t>
      </w:r>
      <w:r>
        <w:tab/>
        <w:t>:</w:t>
      </w:r>
      <w:r>
        <w:tab/>
        <w:t>contre</w:t>
      </w:r>
    </w:p>
    <w:p w14:paraId="76BBF862" w14:textId="77777777" w:rsidR="00FB045D" w:rsidRPr="00262097" w:rsidRDefault="00FB045D" w:rsidP="00FB045D">
      <w:pPr>
        <w:pStyle w:val="RollCallTabs"/>
      </w:pPr>
      <w:r>
        <w:t>0</w:t>
      </w:r>
      <w:r>
        <w:tab/>
        <w:t>:</w:t>
      </w:r>
      <w:r>
        <w:tab/>
        <w:t>abstention</w:t>
      </w:r>
    </w:p>
    <w:bookmarkEnd w:id="13"/>
    <w:p w14:paraId="2434C077" w14:textId="77777777" w:rsidR="00FB045D" w:rsidRPr="00262097" w:rsidRDefault="00FB045D" w:rsidP="00FB045D"/>
    <w:p w14:paraId="32289501" w14:textId="77777777" w:rsidR="00FB045D" w:rsidRPr="00FB045D" w:rsidRDefault="00FB045D" w:rsidP="00FB045D"/>
    <w:sectPr w:rsidR="00FB045D" w:rsidRPr="00FB045D" w:rsidSect="00FB045D">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8B3D" w14:textId="77777777" w:rsidR="002C4481" w:rsidRPr="00BD4007" w:rsidRDefault="002C4481">
      <w:r w:rsidRPr="00BD4007">
        <w:separator/>
      </w:r>
    </w:p>
  </w:endnote>
  <w:endnote w:type="continuationSeparator" w:id="0">
    <w:p w14:paraId="1D4B8A65" w14:textId="77777777" w:rsidR="002C4481" w:rsidRPr="00BD4007" w:rsidRDefault="002C4481">
      <w:r w:rsidRPr="00BD40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425F" w14:textId="77777777" w:rsidR="004F51EE" w:rsidRPr="00BD4007" w:rsidRDefault="004F51EE" w:rsidP="004F51EE">
    <w:pPr>
      <w:pStyle w:val="EPFooter"/>
    </w:pPr>
    <w:r w:rsidRPr="00BD4007">
      <w:t>PE</w:t>
    </w:r>
    <w:r w:rsidRPr="00BD4007">
      <w:rPr>
        <w:rStyle w:val="HideTWBExt"/>
      </w:rPr>
      <w:t>&lt;NoPE&gt;</w:t>
    </w:r>
    <w:r w:rsidRPr="00BD4007">
      <w:t>784.159</w:t>
    </w:r>
    <w:r w:rsidRPr="00BD4007">
      <w:rPr>
        <w:rStyle w:val="HideTWBExt"/>
      </w:rPr>
      <w:t>&lt;/NoPE&gt;&lt;Version&gt;</w:t>
    </w:r>
    <w:r w:rsidRPr="00BD4007">
      <w:t>v02-00</w:t>
    </w:r>
    <w:r w:rsidRPr="00BD4007">
      <w:rPr>
        <w:rStyle w:val="HideTWBExt"/>
      </w:rPr>
      <w:t>&lt;/Version&gt;</w:t>
    </w:r>
    <w:r w:rsidRPr="00BD4007">
      <w:tab/>
    </w:r>
    <w:r w:rsidRPr="00BD4007">
      <w:fldChar w:fldCharType="begin"/>
    </w:r>
    <w:r w:rsidRPr="00BD4007">
      <w:instrText xml:space="preserve"> PAGE  \* MERGEFORMAT </w:instrText>
    </w:r>
    <w:r w:rsidRPr="00BD4007">
      <w:fldChar w:fldCharType="separate"/>
    </w:r>
    <w:r w:rsidRPr="00BD4007">
      <w:rPr>
        <w:noProof/>
      </w:rPr>
      <w:t>22</w:t>
    </w:r>
    <w:r w:rsidRPr="00BD4007">
      <w:fldChar w:fldCharType="end"/>
    </w:r>
    <w:r w:rsidRPr="00BD4007">
      <w:t>/</w:t>
    </w:r>
    <w:fldSimple w:instr=" NUMPAGES  \* MERGEFORMAT ">
      <w:r w:rsidRPr="00BD4007">
        <w:rPr>
          <w:noProof/>
        </w:rPr>
        <w:t>22</w:t>
      </w:r>
    </w:fldSimple>
    <w:r w:rsidRPr="00BD4007">
      <w:tab/>
    </w:r>
    <w:r w:rsidRPr="00BD4007">
      <w:rPr>
        <w:rStyle w:val="HideTWBExt"/>
      </w:rPr>
      <w:t>&lt;PathFdR&gt;</w:t>
    </w:r>
    <w:r w:rsidRPr="00BD4007">
      <w:t>RR\1341803FR.docx</w:t>
    </w:r>
    <w:r w:rsidRPr="00BD4007">
      <w:rPr>
        <w:rStyle w:val="HideTWBExt"/>
      </w:rPr>
      <w:t>&lt;/PathFdR&gt;</w:t>
    </w:r>
  </w:p>
  <w:p w14:paraId="7DDFFFB3" w14:textId="21E2B6E9" w:rsidR="004F51EE" w:rsidRPr="00BD4007" w:rsidRDefault="004F51EE" w:rsidP="004F51EE">
    <w:pPr>
      <w:pStyle w:val="EPFooter2"/>
    </w:pPr>
    <w:r w:rsidRPr="00BD400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7086" w14:textId="77777777" w:rsidR="004F51EE" w:rsidRPr="00BD4007" w:rsidRDefault="004F51EE" w:rsidP="004F51EE">
    <w:pPr>
      <w:pStyle w:val="EPFooter"/>
    </w:pPr>
    <w:r w:rsidRPr="00BD4007">
      <w:rPr>
        <w:rStyle w:val="HideTWBExt"/>
      </w:rPr>
      <w:t>&lt;PathFdR&gt;</w:t>
    </w:r>
    <w:r w:rsidRPr="00BD4007">
      <w:t>RR\1341803FR.docx</w:t>
    </w:r>
    <w:r w:rsidRPr="00BD4007">
      <w:rPr>
        <w:rStyle w:val="HideTWBExt"/>
      </w:rPr>
      <w:t>&lt;/PathFdR&gt;</w:t>
    </w:r>
    <w:r w:rsidRPr="00BD4007">
      <w:tab/>
    </w:r>
    <w:r w:rsidRPr="00BD4007">
      <w:fldChar w:fldCharType="begin"/>
    </w:r>
    <w:r w:rsidRPr="00BD4007">
      <w:instrText xml:space="preserve"> PAGE  \* MERGEFORMAT </w:instrText>
    </w:r>
    <w:r w:rsidRPr="00BD4007">
      <w:fldChar w:fldCharType="separate"/>
    </w:r>
    <w:r w:rsidRPr="00BD4007">
      <w:rPr>
        <w:noProof/>
      </w:rPr>
      <w:t>21</w:t>
    </w:r>
    <w:r w:rsidRPr="00BD4007">
      <w:fldChar w:fldCharType="end"/>
    </w:r>
    <w:r w:rsidRPr="00BD4007">
      <w:t>/</w:t>
    </w:r>
    <w:fldSimple w:instr=" NUMPAGES  \* MERGEFORMAT ">
      <w:r w:rsidRPr="00BD4007">
        <w:rPr>
          <w:noProof/>
        </w:rPr>
        <w:t>21</w:t>
      </w:r>
    </w:fldSimple>
    <w:r w:rsidRPr="00BD4007">
      <w:tab/>
      <w:t>PE</w:t>
    </w:r>
    <w:r w:rsidRPr="00BD4007">
      <w:rPr>
        <w:rStyle w:val="HideTWBExt"/>
      </w:rPr>
      <w:t>&lt;NoPE&gt;</w:t>
    </w:r>
    <w:r w:rsidRPr="00BD4007">
      <w:t>784.159</w:t>
    </w:r>
    <w:r w:rsidRPr="00BD4007">
      <w:rPr>
        <w:rStyle w:val="HideTWBExt"/>
      </w:rPr>
      <w:t>&lt;/NoPE&gt;&lt;Version&gt;</w:t>
    </w:r>
    <w:r w:rsidRPr="00BD4007">
      <w:t>v02-00</w:t>
    </w:r>
    <w:r w:rsidRPr="00BD4007">
      <w:rPr>
        <w:rStyle w:val="HideTWBExt"/>
      </w:rPr>
      <w:t>&lt;/Version&gt;</w:t>
    </w:r>
  </w:p>
  <w:p w14:paraId="54D6C037" w14:textId="59CF20AA" w:rsidR="004F51EE" w:rsidRPr="00BD4007" w:rsidRDefault="004F51EE" w:rsidP="004F51EE">
    <w:pPr>
      <w:pStyle w:val="EPFooter2"/>
    </w:pPr>
    <w:r w:rsidRPr="00BD4007">
      <w:tab/>
    </w:r>
    <w:r w:rsidRPr="00BD400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BEA8" w14:textId="77777777" w:rsidR="004F51EE" w:rsidRPr="00BD4007" w:rsidRDefault="004F51EE" w:rsidP="004F51EE">
    <w:pPr>
      <w:pStyle w:val="EPFooter"/>
    </w:pPr>
    <w:r w:rsidRPr="00BD4007">
      <w:rPr>
        <w:rStyle w:val="HideTWBExt"/>
      </w:rPr>
      <w:t>&lt;PathFdR&gt;</w:t>
    </w:r>
    <w:r w:rsidRPr="00BD4007">
      <w:t>RR\1341803FR.docx</w:t>
    </w:r>
    <w:r w:rsidRPr="00BD4007">
      <w:rPr>
        <w:rStyle w:val="HideTWBExt"/>
      </w:rPr>
      <w:t>&lt;/PathFdR&gt;</w:t>
    </w:r>
    <w:r w:rsidRPr="00BD4007">
      <w:tab/>
    </w:r>
    <w:r w:rsidRPr="00BD4007">
      <w:tab/>
      <w:t>PE</w:t>
    </w:r>
    <w:r w:rsidRPr="00BD4007">
      <w:rPr>
        <w:rStyle w:val="HideTWBExt"/>
      </w:rPr>
      <w:t>&lt;NoPE&gt;</w:t>
    </w:r>
    <w:r w:rsidRPr="00BD4007">
      <w:t>784.159</w:t>
    </w:r>
    <w:r w:rsidRPr="00BD4007">
      <w:rPr>
        <w:rStyle w:val="HideTWBExt"/>
      </w:rPr>
      <w:t>&lt;/NoPE&gt;&lt;Version&gt;</w:t>
    </w:r>
    <w:r w:rsidRPr="00BD4007">
      <w:t>v02-00</w:t>
    </w:r>
    <w:r w:rsidRPr="00BD4007">
      <w:rPr>
        <w:rStyle w:val="HideTWBExt"/>
      </w:rPr>
      <w:t>&lt;/Version&gt;</w:t>
    </w:r>
  </w:p>
  <w:p w14:paraId="0AACFB6D" w14:textId="23B8656A" w:rsidR="004F51EE" w:rsidRPr="00BD4007" w:rsidRDefault="004F51EE" w:rsidP="004F51EE">
    <w:pPr>
      <w:pStyle w:val="EPFooter2"/>
    </w:pPr>
    <w:r w:rsidRPr="00BD4007">
      <w:t>FR</w:t>
    </w:r>
    <w:r w:rsidRPr="00BD4007">
      <w:tab/>
    </w:r>
    <w:r w:rsidRPr="00BD4007">
      <w:rPr>
        <w:b w:val="0"/>
        <w:i/>
        <w:color w:val="C0C0C0"/>
        <w:sz w:val="22"/>
      </w:rPr>
      <w:t>Unie dans la diversité</w:t>
    </w:r>
    <w:r w:rsidRPr="00BD4007">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E528" w14:textId="7CADD8D8" w:rsidR="005733DF" w:rsidRPr="00BD4007" w:rsidRDefault="005733DF" w:rsidP="00DC4E61">
    <w:pPr>
      <w:pStyle w:val="EPFooter"/>
    </w:pPr>
    <w:r w:rsidRPr="00BD4007">
      <w:rPr>
        <w:rStyle w:val="HideTWBExt"/>
      </w:rPr>
      <w:t>&lt;PathFdR&gt;</w:t>
    </w:r>
    <w:r w:rsidR="00BD4007" w:rsidRPr="00BD4007">
      <w:rPr>
        <w:color w:val="auto"/>
      </w:rPr>
      <w:t>RR\1341803FR.docx</w:t>
    </w:r>
    <w:r w:rsidRPr="00BD4007">
      <w:rPr>
        <w:rStyle w:val="HideTWBExt"/>
      </w:rPr>
      <w:t>&lt;/PathFdR&gt;</w:t>
    </w:r>
    <w:r w:rsidRPr="00BD4007">
      <w:tab/>
    </w:r>
    <w:r w:rsidRPr="00BD4007">
      <w:tab/>
      <w:t>PE</w:t>
    </w:r>
    <w:r w:rsidRPr="00BD4007">
      <w:rPr>
        <w:rStyle w:val="HideTWBExt"/>
      </w:rPr>
      <w:t>&lt;NoPE&gt;</w:t>
    </w:r>
    <w:r w:rsidR="004F51EE" w:rsidRPr="00BD4007">
      <w:rPr>
        <w:color w:val="auto"/>
      </w:rPr>
      <w:t>784.159</w:t>
    </w:r>
    <w:r w:rsidRPr="00BD4007">
      <w:rPr>
        <w:rStyle w:val="HideTWBExt"/>
      </w:rPr>
      <w:t>&lt;/NoPE&gt;&lt;Version&gt;</w:t>
    </w:r>
    <w:r w:rsidR="002C4481" w:rsidRPr="00BD4007">
      <w:t>v</w:t>
    </w:r>
    <w:r w:rsidR="004F51EE" w:rsidRPr="00BD4007">
      <w:rPr>
        <w:color w:val="auto"/>
      </w:rPr>
      <w:t>02-00</w:t>
    </w:r>
    <w:r w:rsidRPr="00BD4007">
      <w:rPr>
        <w:rStyle w:val="HideTWBExt"/>
      </w:rPr>
      <w:t>&lt;/Version&gt;</w:t>
    </w:r>
  </w:p>
  <w:p w14:paraId="3E9704BA" w14:textId="29CAF46A" w:rsidR="005733DF" w:rsidRPr="00BD4007" w:rsidRDefault="005733DF" w:rsidP="00332734">
    <w:pPr>
      <w:pStyle w:val="EPFooter2"/>
      <w:tabs>
        <w:tab w:val="clear" w:pos="4535"/>
        <w:tab w:val="center" w:pos="4536"/>
      </w:tabs>
    </w:pPr>
    <w:r w:rsidRPr="00BD4007">
      <w:fldChar w:fldCharType="begin"/>
    </w:r>
    <w:r w:rsidRPr="00BD4007">
      <w:instrText xml:space="preserve"> DOCPROPERTY "&lt;Extension&gt;" </w:instrText>
    </w:r>
    <w:r w:rsidRPr="00BD4007">
      <w:fldChar w:fldCharType="separate"/>
    </w:r>
    <w:r w:rsidR="00ED3151">
      <w:t>FR</w:t>
    </w:r>
    <w:r w:rsidRPr="00BD4007">
      <w:fldChar w:fldCharType="end"/>
    </w:r>
    <w:r w:rsidRPr="00BD4007">
      <w:tab/>
    </w:r>
    <w:r w:rsidR="004F51EE" w:rsidRPr="00BD4007">
      <w:rPr>
        <w:b w:val="0"/>
        <w:i/>
        <w:color w:val="C0C0C0"/>
        <w:sz w:val="22"/>
        <w:szCs w:val="22"/>
      </w:rPr>
      <w:t>Unie dans la diversité</w:t>
    </w:r>
    <w:r w:rsidRPr="00BD4007">
      <w:tab/>
    </w:r>
    <w:r w:rsidRPr="00BD4007">
      <w:fldChar w:fldCharType="begin"/>
    </w:r>
    <w:r w:rsidRPr="00BD4007">
      <w:instrText xml:space="preserve"> DOCPROPERTY "&lt;Extension&gt;" </w:instrText>
    </w:r>
    <w:r w:rsidRPr="00BD4007">
      <w:fldChar w:fldCharType="separate"/>
    </w:r>
    <w:r w:rsidR="00ED3151">
      <w:t>FR</w:t>
    </w:r>
    <w:r w:rsidRPr="00BD400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0F3D" w14:textId="77777777" w:rsidR="002C4481" w:rsidRPr="00BD4007" w:rsidRDefault="002C4481">
      <w:r w:rsidRPr="00BD4007">
        <w:separator/>
      </w:r>
    </w:p>
  </w:footnote>
  <w:footnote w:type="continuationSeparator" w:id="0">
    <w:p w14:paraId="7F48B51D" w14:textId="77777777" w:rsidR="002C4481" w:rsidRPr="00BD4007" w:rsidRDefault="002C4481">
      <w:r w:rsidRPr="00BD4007">
        <w:continuationSeparator/>
      </w:r>
    </w:p>
  </w:footnote>
  <w:footnote w:id="1">
    <w:p w14:paraId="6EDBAA96" w14:textId="58B56E53" w:rsidR="004F51EE" w:rsidRPr="00ED3151" w:rsidRDefault="004F51EE" w:rsidP="004F51EE">
      <w:pPr>
        <w:pStyle w:val="FootnoteText"/>
        <w:rPr>
          <w:lang w:val="fi-FI"/>
        </w:rPr>
      </w:pPr>
      <w:r>
        <w:rPr>
          <w:rStyle w:val="FootnoteReference"/>
        </w:rPr>
        <w:footnoteRef/>
      </w:r>
      <w:r w:rsidRPr="00ED3151">
        <w:rPr>
          <w:lang w:val="fi-FI"/>
        </w:rPr>
        <w:t xml:space="preserve"> JO C, C/2025/6772, 23.12.2025. ELI: </w:t>
      </w:r>
      <w:hyperlink r:id="rId1" w:history="1">
        <w:r w:rsidRPr="00ED3151">
          <w:rPr>
            <w:rStyle w:val="Hyperlink"/>
            <w:lang w:val="fi-FI"/>
          </w:rPr>
          <w:t>hhttps://eur-lex.europa.eu/legal-content/FR/TXT/PDF/?uri=CELEX:52025AB0037</w:t>
        </w:r>
      </w:hyperlink>
      <w:r w:rsidRPr="00ED3151">
        <w:rPr>
          <w:lang w:val="fi-FI"/>
        </w:rPr>
        <w:t xml:space="preserve">. </w:t>
      </w:r>
    </w:p>
  </w:footnote>
  <w:footnote w:id="2">
    <w:p w14:paraId="6F4435E2" w14:textId="21DF6D46" w:rsidR="00132227" w:rsidRPr="00BD4007" w:rsidRDefault="00132227" w:rsidP="00132227">
      <w:pPr>
        <w:pStyle w:val="FootnoteText"/>
      </w:pPr>
      <w:r>
        <w:rPr>
          <w:rStyle w:val="FootnoteReference"/>
        </w:rPr>
        <w:t>*</w:t>
      </w:r>
      <w:r>
        <w:t xml:space="preserve"> Amendements: le texte nouveau ou modifié est signalé par des italiques gras; les suppressions sont signalées par le symbole ▌.</w:t>
      </w:r>
    </w:p>
  </w:footnote>
  <w:footnote w:id="3">
    <w:p w14:paraId="64004990" w14:textId="77777777" w:rsidR="004F51EE" w:rsidRPr="00BD4007" w:rsidRDefault="004F51EE" w:rsidP="004F51EE">
      <w:pPr>
        <w:pStyle w:val="FootnoteText"/>
      </w:pPr>
      <w:r>
        <w:rPr>
          <w:rStyle w:val="FootnoteReference"/>
        </w:rPr>
        <w:footnoteRef/>
      </w:r>
      <w:r>
        <w:tab/>
        <w:t>JO C , , p. .</w:t>
      </w:r>
    </w:p>
  </w:footnote>
  <w:footnote w:id="4">
    <w:p w14:paraId="7A12FB17" w14:textId="77777777" w:rsidR="004F51EE" w:rsidRPr="00BD4007" w:rsidRDefault="004F51EE" w:rsidP="004F51EE">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p>
  </w:footnote>
  <w:footnote w:id="5">
    <w:p w14:paraId="4537A322" w14:textId="77777777" w:rsidR="004F51EE" w:rsidRPr="00BD4007" w:rsidRDefault="004F51EE" w:rsidP="004F51EE">
      <w:pPr>
        <w:pStyle w:val="FootnoteText"/>
      </w:pPr>
      <w:r>
        <w:rPr>
          <w:rStyle w:val="FootnoteReference"/>
        </w:rPr>
        <w:footnoteRef/>
      </w:r>
      <w:r>
        <w:tab/>
        <w:t>Règlement (UE) 2024/1264 du Conseil du 29 avril 2024 modifiant le règlement (CE) nº 1467/97 visant à accélérer et à clarifier la mise en œuvre de la procédure concernant les déficits excessifs (JO L, 2024/1264, 30.4.2024, ELI: http://data.europa.eu/eli/reg/2024/1264/oj).</w:t>
      </w:r>
    </w:p>
  </w:footnote>
  <w:footnote w:id="6">
    <w:p w14:paraId="027A19E9" w14:textId="77777777" w:rsidR="004F51EE" w:rsidRPr="00BD4007" w:rsidRDefault="004F51EE" w:rsidP="004F51EE">
      <w:pPr>
        <w:pStyle w:val="FootnoteText"/>
      </w:pPr>
      <w:r>
        <w:rPr>
          <w:rStyle w:val="FootnoteReference"/>
        </w:rPr>
        <w:footnoteRef/>
      </w:r>
      <w:r>
        <w:tab/>
        <w:t>Directive (UE) 2024/1265 du Conseil du 29 avril 2024 modifiant la directive 2011/85/UE sur les exigences applicables aux cadres budgétaires des États membres (JO L, 2024/1265, 30.4.2024, ELI: http://data.europa.eu/eli/dir/2024/1265/oj).</w:t>
      </w:r>
    </w:p>
  </w:footnote>
  <w:footnote w:id="7">
    <w:p w14:paraId="2140A8DB" w14:textId="77777777" w:rsidR="004F51EE" w:rsidRPr="00BD4007" w:rsidRDefault="004F51EE" w:rsidP="004F51EE">
      <w:pPr>
        <w:pStyle w:val="FootnoteText"/>
      </w:pPr>
      <w:r>
        <w:rPr>
          <w:rStyle w:val="FootnoteReference"/>
        </w:rPr>
        <w:footnoteRef/>
      </w:r>
      <w:r>
        <w:tab/>
        <w:t>Communication de la Commission au Parlement européen, au Conseil, au Comité économique et social européen et au Comité des régions du 11 février 2025, «Une Europe plus simple et plus rapide: Communication sur la mise en œuvre et la simplification», COM(2025) 47 final.</w:t>
      </w:r>
    </w:p>
  </w:footnote>
  <w:footnote w:id="8">
    <w:p w14:paraId="489AAFA7" w14:textId="609F67E7" w:rsidR="004F51EE" w:rsidRPr="00BD4007" w:rsidRDefault="004F51EE" w:rsidP="004F51EE">
      <w:pPr>
        <w:pStyle w:val="FootnoteText"/>
      </w:pPr>
      <w:r>
        <w:rPr>
          <w:rStyle w:val="FootnoteReference"/>
        </w:rPr>
        <w:footnoteRef/>
      </w:r>
      <w:r>
        <w:tab/>
        <w:t xml:space="preserve">Règlement (UE) nº 1173/2011 du Parlement européen et du Conseil du 16 novembre 2011 sur la mise en œuvre efficace de la surveillance budgétaire dans la zone euro (JO L 306 du 23.11.2011, p. 1, ELI: </w:t>
      </w:r>
      <w:hyperlink r:id="rId2" w:history="1">
        <w:r>
          <w:rPr>
            <w:rStyle w:val="Hyperlink"/>
          </w:rPr>
          <w:t>http://data.europa.eu/eli/reg/2011/1173/oj</w:t>
        </w:r>
      </w:hyperlink>
      <w:r>
        <w:t xml:space="preserve">). </w:t>
      </w:r>
    </w:p>
  </w:footnote>
  <w:footnote w:id="9">
    <w:p w14:paraId="71517F31" w14:textId="6CDA776C" w:rsidR="004F51EE" w:rsidRPr="00BD4007" w:rsidRDefault="004F51EE" w:rsidP="004F51EE">
      <w:pPr>
        <w:pStyle w:val="FootnoteText"/>
      </w:pPr>
      <w:r>
        <w:rPr>
          <w:rStyle w:val="FootnoteReference"/>
        </w:rPr>
        <w:footnoteRef/>
      </w:r>
      <w:r>
        <w:tab/>
        <w:t xml:space="preserve">Règlement (UE) nº 473/2013 du Parlement européen et du Conseil du 21 mai 2013 établissant des dispositions communes pour le suivi et l’évaluation des projets de plans budgétaires et pour la correction des déficits excessifs dans les États membres de la zone euro (JO L 140 du 27.5.2013, p. 11, ELI: </w:t>
      </w:r>
      <w:hyperlink r:id="rId3" w:history="1">
        <w:r>
          <w:rPr>
            <w:rStyle w:val="Hyperlink"/>
          </w:rPr>
          <w:t>http://data.europa.eu/eli/reg/2013/473/oj</w:t>
        </w:r>
      </w:hyperlink>
      <w:r>
        <w:t>).</w:t>
      </w:r>
    </w:p>
  </w:footnote>
  <w:footnote w:id="10">
    <w:p w14:paraId="5E897FB9" w14:textId="50A48402" w:rsidR="004F51EE" w:rsidRPr="00BD4007" w:rsidRDefault="004F51EE" w:rsidP="004F51EE">
      <w:pPr>
        <w:pStyle w:val="FootnoteText"/>
      </w:pPr>
      <w:r>
        <w:rPr>
          <w:rStyle w:val="FootnoteReference"/>
        </w:rPr>
        <w:footnoteRef/>
      </w:r>
      <w:r>
        <w:tab/>
        <w:t xml:space="preserve">Règlement (CE) nº 1467/97 du Conseil du 7 juillet 1997 visant à accélérer et à clarifier la mise en œuvre de la procédure concernant les déficits excessifs (JO L 209 du 2.8.1997, p. 6, ELI: </w:t>
      </w:r>
      <w:hyperlink r:id="rId4" w:history="1">
        <w:r>
          <w:rPr>
            <w:rStyle w:val="Hyperlink"/>
          </w:rPr>
          <w:t>http://data.europa.eu/eli/reg/1997/1467/oj</w:t>
        </w:r>
      </w:hyperlink>
      <w:r>
        <w:t>).</w:t>
      </w:r>
    </w:p>
  </w:footnote>
  <w:footnote w:id="11">
    <w:p w14:paraId="5BF5BF09" w14:textId="25695BA2" w:rsidR="004F51EE" w:rsidRPr="00BD4007" w:rsidRDefault="004F51EE" w:rsidP="004F51EE">
      <w:pPr>
        <w:pStyle w:val="FootnoteText"/>
        <w:rPr>
          <w:b/>
          <w:bCs/>
          <w:i/>
          <w:iCs/>
        </w:rPr>
      </w:pPr>
      <w:r>
        <w:rPr>
          <w:rStyle w:val="FootnoteReference"/>
          <w:b/>
          <w:bCs/>
          <w:i/>
          <w:iCs/>
        </w:rPr>
        <w:footnoteRef/>
      </w:r>
      <w:r>
        <w:tab/>
      </w:r>
      <w:r>
        <w:rPr>
          <w:b/>
          <w:i/>
        </w:rPr>
        <w:t>Règlement (UE) 2021/1119 du Parlement européen et du Conseil du 30 juin 2021 établissant le cadre requis pour parvenir à la neutralité climatique et modifiant les règlements (CE) nº 401/2009 et (UE) 2018/1999 («loi européenne sur le climat») (JO L 243 du 9.7.2021, p. 1, ELI: </w:t>
      </w:r>
      <w:hyperlink r:id="rId5" w:tooltip="Donne accès à ce document par l’intermédiaire des identifiants URI et ELI." w:history="1">
        <w:r>
          <w:rPr>
            <w:rStyle w:val="Hyperlink"/>
            <w:b/>
            <w:i/>
          </w:rPr>
          <w:t>http://data.europa.eu/eli/reg/2021/1119/oj</w:t>
        </w:r>
      </w:hyperlink>
      <w:r>
        <w:rPr>
          <w:b/>
          <w:i/>
        </w:rPr>
        <w:t>).</w:t>
      </w:r>
    </w:p>
  </w:footnote>
  <w:footnote w:id="12">
    <w:p w14:paraId="7DAEAC82" w14:textId="05C19CB2" w:rsidR="004F51EE" w:rsidRPr="00BD4007" w:rsidRDefault="004F51EE" w:rsidP="004F51EE">
      <w:pPr>
        <w:pStyle w:val="FootnoteText"/>
      </w:pPr>
      <w:r>
        <w:rPr>
          <w:rStyle w:val="FootnoteReference"/>
        </w:rPr>
        <w:footnoteRef/>
      </w:r>
      <w:r>
        <w:tab/>
        <w:t xml:space="preserve">Règlement (UE) nº 1176/2011 du Parlement européen et du Conseil du 16 novembre 2011 sur la prévention et la correction des déséquilibres macroéconomiques (JO L 306 du 23.11.2011, p. 25, ELI: </w:t>
      </w:r>
      <w:hyperlink r:id="rId6" w:history="1">
        <w:r>
          <w:rPr>
            <w:rStyle w:val="Hyperlink"/>
          </w:rPr>
          <w:t>http://data.europa.eu/eli/reg/2011/1176/oj</w:t>
        </w:r>
      </w:hyperlink>
      <w:r>
        <w:t>).</w:t>
      </w:r>
    </w:p>
  </w:footnote>
  <w:footnote w:id="13">
    <w:p w14:paraId="311CFB2D" w14:textId="281D8648" w:rsidR="004F51EE" w:rsidRPr="00BD4007" w:rsidRDefault="004F51EE" w:rsidP="004F51EE">
      <w:pPr>
        <w:pStyle w:val="FootnoteText"/>
      </w:pPr>
      <w:r>
        <w:rPr>
          <w:rStyle w:val="FootnoteReference"/>
        </w:rPr>
        <w:footnoteRef/>
      </w:r>
      <w:r>
        <w:tab/>
        <w:t xml:space="preserve">Directive 2011/85/UE du Conseil du 8 novembre 2011 sur les exigences applicables aux cadres budgétaires des États membres (JO L 306 du 23.11.2011, p. 41, ELI: </w:t>
      </w:r>
      <w:hyperlink r:id="rId7" w:history="1">
        <w:r>
          <w:rPr>
            <w:rStyle w:val="Hyperlink"/>
          </w:rPr>
          <w:t>http://data.europa.eu/eli/dir/2011/85/oj</w:t>
        </w:r>
      </w:hyperlink>
      <w:r>
        <w:t>).</w:t>
      </w:r>
    </w:p>
  </w:footnote>
  <w:footnote w:id="14">
    <w:p w14:paraId="3FDCC23E" w14:textId="358E298F" w:rsidR="004F51EE" w:rsidRPr="00ED3151" w:rsidRDefault="004F51EE" w:rsidP="004F51EE">
      <w:pPr>
        <w:pStyle w:val="FootnoteText"/>
        <w:rPr>
          <w:lang w:val="fi-FI"/>
        </w:rPr>
      </w:pPr>
      <w:r>
        <w:rPr>
          <w:rStyle w:val="FootnoteReference"/>
        </w:rPr>
        <w:footnoteRef/>
      </w:r>
      <w:r w:rsidRPr="00ED3151">
        <w:rPr>
          <w:lang w:val="fi-FI"/>
        </w:rPr>
        <w:tab/>
        <w:t xml:space="preserve">ELI: </w:t>
      </w:r>
      <w:hyperlink r:id="rId8" w:history="1">
        <w:r w:rsidRPr="00ED3151">
          <w:rPr>
            <w:rStyle w:val="Hyperlink"/>
            <w:lang w:val="fi-FI"/>
          </w:rPr>
          <w:t>http://data.europa.eu/eli/agree_eums/2012/302</w:t>
        </w:r>
      </w:hyperlink>
    </w:p>
  </w:footnote>
  <w:footnote w:id="15">
    <w:p w14:paraId="131496A6" w14:textId="21857BAA" w:rsidR="004F51EE" w:rsidRPr="00BD4007" w:rsidRDefault="004F51EE" w:rsidP="004F51EE">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9"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04D1" w14:textId="77777777" w:rsidR="00FB045D" w:rsidRDefault="00FB0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1D33" w14:textId="77777777" w:rsidR="00FB045D" w:rsidRDefault="00FB0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4D79D" w14:textId="77777777" w:rsidR="00FB045D" w:rsidRDefault="00FB0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68973733">
    <w:abstractNumId w:val="9"/>
  </w:num>
  <w:num w:numId="2" w16cid:durableId="1888249914">
    <w:abstractNumId w:val="9"/>
  </w:num>
  <w:num w:numId="3" w16cid:durableId="2036155431">
    <w:abstractNumId w:val="7"/>
  </w:num>
  <w:num w:numId="4" w16cid:durableId="1464541184">
    <w:abstractNumId w:val="7"/>
  </w:num>
  <w:num w:numId="5" w16cid:durableId="2034266613">
    <w:abstractNumId w:val="6"/>
  </w:num>
  <w:num w:numId="6" w16cid:durableId="909996959">
    <w:abstractNumId w:val="6"/>
  </w:num>
  <w:num w:numId="7" w16cid:durableId="1809056038">
    <w:abstractNumId w:val="5"/>
  </w:num>
  <w:num w:numId="8" w16cid:durableId="1060208151">
    <w:abstractNumId w:val="5"/>
  </w:num>
  <w:num w:numId="9" w16cid:durableId="1688940514">
    <w:abstractNumId w:val="4"/>
  </w:num>
  <w:num w:numId="10" w16cid:durableId="1130827341">
    <w:abstractNumId w:val="4"/>
  </w:num>
  <w:num w:numId="11" w16cid:durableId="1101871859">
    <w:abstractNumId w:val="8"/>
  </w:num>
  <w:num w:numId="12" w16cid:durableId="1105033901">
    <w:abstractNumId w:val="8"/>
  </w:num>
  <w:num w:numId="13" w16cid:durableId="358706530">
    <w:abstractNumId w:val="3"/>
  </w:num>
  <w:num w:numId="14" w16cid:durableId="1763842948">
    <w:abstractNumId w:val="3"/>
  </w:num>
  <w:num w:numId="15" w16cid:durableId="1300645786">
    <w:abstractNumId w:val="2"/>
  </w:num>
  <w:num w:numId="16" w16cid:durableId="751971202">
    <w:abstractNumId w:val="2"/>
  </w:num>
  <w:num w:numId="17" w16cid:durableId="1002708049">
    <w:abstractNumId w:val="1"/>
  </w:num>
  <w:num w:numId="18" w16cid:durableId="1920090833">
    <w:abstractNumId w:val="1"/>
  </w:num>
  <w:num w:numId="19" w16cid:durableId="1813865256">
    <w:abstractNumId w:val="0"/>
  </w:num>
  <w:num w:numId="20" w16cid:durableId="11760354">
    <w:abstractNumId w:val="0"/>
  </w:num>
  <w:num w:numId="21" w16cid:durableId="1133016303">
    <w:abstractNumId w:val="9"/>
  </w:num>
  <w:num w:numId="22" w16cid:durableId="449131790">
    <w:abstractNumId w:val="7"/>
  </w:num>
  <w:num w:numId="23" w16cid:durableId="1263564841">
    <w:abstractNumId w:val="6"/>
  </w:num>
  <w:num w:numId="24" w16cid:durableId="120927983">
    <w:abstractNumId w:val="5"/>
  </w:num>
  <w:num w:numId="25" w16cid:durableId="392197150">
    <w:abstractNumId w:val="4"/>
  </w:num>
  <w:num w:numId="26" w16cid:durableId="900601003">
    <w:abstractNumId w:val="8"/>
  </w:num>
  <w:num w:numId="27" w16cid:durableId="226191342">
    <w:abstractNumId w:val="3"/>
  </w:num>
  <w:num w:numId="28" w16cid:durableId="310447865">
    <w:abstractNumId w:val="2"/>
  </w:num>
  <w:num w:numId="29" w16cid:durableId="1043864845">
    <w:abstractNumId w:val="1"/>
  </w:num>
  <w:num w:numId="30" w16cid:durableId="614948020">
    <w:abstractNumId w:val="0"/>
  </w:num>
  <w:num w:numId="31" w16cid:durableId="126359383">
    <w:abstractNumId w:val="9"/>
  </w:num>
  <w:num w:numId="32" w16cid:durableId="645743466">
    <w:abstractNumId w:val="7"/>
  </w:num>
  <w:num w:numId="33" w16cid:durableId="559440168">
    <w:abstractNumId w:val="6"/>
  </w:num>
  <w:num w:numId="34" w16cid:durableId="714156591">
    <w:abstractNumId w:val="5"/>
  </w:num>
  <w:num w:numId="35" w16cid:durableId="271017843">
    <w:abstractNumId w:val="4"/>
  </w:num>
  <w:num w:numId="36" w16cid:durableId="2094934359">
    <w:abstractNumId w:val="8"/>
  </w:num>
  <w:num w:numId="37" w16cid:durableId="1926108789">
    <w:abstractNumId w:val="3"/>
  </w:num>
  <w:num w:numId="38" w16cid:durableId="1744911892">
    <w:abstractNumId w:val="2"/>
  </w:num>
  <w:num w:numId="39" w16cid:durableId="446656010">
    <w:abstractNumId w:val="1"/>
  </w:num>
  <w:num w:numId="40" w16cid:durableId="428429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ECON"/>
    <w:docVar w:name="DOCDT" w:val="17/04/2026"/>
    <w:docVar w:name="LastEditedSection" w:val=" 1"/>
    <w:docVar w:name="strDocTypeID" w:val="PR_COD_1consamCom"/>
    <w:docVar w:name="strSubDir" w:val="1341"/>
    <w:docVar w:name="TXTAUTHOR" w:val=" Markus Ferber, Carla Tavares "/>
    <w:docVar w:name="TXTLANGUE" w:val="FR"/>
    <w:docVar w:name="TXTLANGUEMIN" w:val="fr"/>
    <w:docVar w:name="TXTNRC" w:val="0227/2025"/>
    <w:docVar w:name="TXTNRCOD" w:val="2025/0311"/>
    <w:docVar w:name="TXTNRCOM" w:val="(2025)0591"/>
    <w:docVar w:name="TXTNRPE" w:val="784.159"/>
    <w:docVar w:name="TXTPEorAP" w:val="PE"/>
    <w:docVar w:name="TXTROUTE" w:val="RR\1341803FR.docx"/>
    <w:docVar w:name="TXTVERSION" w:val="02-00"/>
  </w:docVars>
  <w:rsids>
    <w:rsidRoot w:val="002C4481"/>
    <w:rsid w:val="00023E5A"/>
    <w:rsid w:val="000631D4"/>
    <w:rsid w:val="000B1460"/>
    <w:rsid w:val="000D08D7"/>
    <w:rsid w:val="00116C66"/>
    <w:rsid w:val="00132227"/>
    <w:rsid w:val="00153148"/>
    <w:rsid w:val="00171841"/>
    <w:rsid w:val="001907B9"/>
    <w:rsid w:val="001A06D8"/>
    <w:rsid w:val="001C7270"/>
    <w:rsid w:val="001F7D47"/>
    <w:rsid w:val="00215E16"/>
    <w:rsid w:val="002224E6"/>
    <w:rsid w:val="00275F57"/>
    <w:rsid w:val="00284AA9"/>
    <w:rsid w:val="00287F75"/>
    <w:rsid w:val="00292097"/>
    <w:rsid w:val="00297ED9"/>
    <w:rsid w:val="002B272A"/>
    <w:rsid w:val="002B3AE7"/>
    <w:rsid w:val="002C16AB"/>
    <w:rsid w:val="002C4481"/>
    <w:rsid w:val="00322342"/>
    <w:rsid w:val="0032442B"/>
    <w:rsid w:val="00332734"/>
    <w:rsid w:val="003845A6"/>
    <w:rsid w:val="003B0D2F"/>
    <w:rsid w:val="00402B8D"/>
    <w:rsid w:val="004152BD"/>
    <w:rsid w:val="00484FEF"/>
    <w:rsid w:val="004C34F4"/>
    <w:rsid w:val="004F1D9B"/>
    <w:rsid w:val="004F51EE"/>
    <w:rsid w:val="0050599C"/>
    <w:rsid w:val="005278AC"/>
    <w:rsid w:val="00543B7B"/>
    <w:rsid w:val="005508B4"/>
    <w:rsid w:val="005733DF"/>
    <w:rsid w:val="006058F8"/>
    <w:rsid w:val="006138E1"/>
    <w:rsid w:val="006177EB"/>
    <w:rsid w:val="00643FD8"/>
    <w:rsid w:val="006506C7"/>
    <w:rsid w:val="00697F85"/>
    <w:rsid w:val="006A385A"/>
    <w:rsid w:val="006B3712"/>
    <w:rsid w:val="006E6E2B"/>
    <w:rsid w:val="00704B3C"/>
    <w:rsid w:val="007232F7"/>
    <w:rsid w:val="00740D24"/>
    <w:rsid w:val="0074235C"/>
    <w:rsid w:val="00775B91"/>
    <w:rsid w:val="00781E66"/>
    <w:rsid w:val="007A775E"/>
    <w:rsid w:val="007B1333"/>
    <w:rsid w:val="007D611D"/>
    <w:rsid w:val="008233C3"/>
    <w:rsid w:val="00842A4F"/>
    <w:rsid w:val="00893315"/>
    <w:rsid w:val="008A4D98"/>
    <w:rsid w:val="008C399E"/>
    <w:rsid w:val="008E22DF"/>
    <w:rsid w:val="009144E8"/>
    <w:rsid w:val="009C6397"/>
    <w:rsid w:val="009D3F02"/>
    <w:rsid w:val="00A33B53"/>
    <w:rsid w:val="00A44CC5"/>
    <w:rsid w:val="00A55EFE"/>
    <w:rsid w:val="00A6214C"/>
    <w:rsid w:val="00A85BE8"/>
    <w:rsid w:val="00AB33F2"/>
    <w:rsid w:val="00AD26AD"/>
    <w:rsid w:val="00B03ED6"/>
    <w:rsid w:val="00B36B3A"/>
    <w:rsid w:val="00B4162C"/>
    <w:rsid w:val="00B51F69"/>
    <w:rsid w:val="00B56BC9"/>
    <w:rsid w:val="00B77677"/>
    <w:rsid w:val="00BA47CC"/>
    <w:rsid w:val="00BD28D4"/>
    <w:rsid w:val="00BD4007"/>
    <w:rsid w:val="00BE4EC7"/>
    <w:rsid w:val="00BF33BC"/>
    <w:rsid w:val="00BF78BF"/>
    <w:rsid w:val="00C0751A"/>
    <w:rsid w:val="00C11EAA"/>
    <w:rsid w:val="00C13A18"/>
    <w:rsid w:val="00C67923"/>
    <w:rsid w:val="00C70911"/>
    <w:rsid w:val="00CA0FE6"/>
    <w:rsid w:val="00CD41DC"/>
    <w:rsid w:val="00D31FCB"/>
    <w:rsid w:val="00D976F8"/>
    <w:rsid w:val="00DB7255"/>
    <w:rsid w:val="00DC2961"/>
    <w:rsid w:val="00DC3DED"/>
    <w:rsid w:val="00DC4E61"/>
    <w:rsid w:val="00DD5DB1"/>
    <w:rsid w:val="00E153E5"/>
    <w:rsid w:val="00E21071"/>
    <w:rsid w:val="00E23258"/>
    <w:rsid w:val="00E54998"/>
    <w:rsid w:val="00E67169"/>
    <w:rsid w:val="00EA22BE"/>
    <w:rsid w:val="00EB6119"/>
    <w:rsid w:val="00ED0821"/>
    <w:rsid w:val="00ED3151"/>
    <w:rsid w:val="00ED6403"/>
    <w:rsid w:val="00F02F34"/>
    <w:rsid w:val="00F11079"/>
    <w:rsid w:val="00F4718D"/>
    <w:rsid w:val="00F504BB"/>
    <w:rsid w:val="00F505FD"/>
    <w:rsid w:val="00F7748F"/>
    <w:rsid w:val="00F83934"/>
    <w:rsid w:val="00F92DB3"/>
    <w:rsid w:val="00F94481"/>
    <w:rsid w:val="00FB045D"/>
    <w:rsid w:val="00FB26D2"/>
    <w:rsid w:val="00FE2F8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2CBDC"/>
  <w15:chartTrackingRefBased/>
  <w15:docId w15:val="{95CF5155-9CBB-44B3-A295-56BEB36B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92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C0751A"/>
    <w:pPr>
      <w:widowControl/>
    </w:pPr>
    <w:rPr>
      <w:sz w:val="20"/>
    </w:rPr>
  </w:style>
  <w:style w:type="character" w:styleId="FootnoteReference">
    <w:name w:val="footnote reference"/>
    <w:uiPriority w:val="99"/>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semiHidden/>
    <w:rsid w:val="005278AC"/>
  </w:style>
  <w:style w:type="character" w:customStyle="1" w:styleId="HeaderChar">
    <w:name w:val="Header Char"/>
    <w:basedOn w:val="DefaultParagraphFont"/>
    <w:link w:val="Header"/>
    <w:semiHidden/>
    <w:rsid w:val="00740D24"/>
    <w:rPr>
      <w:sz w:val="24"/>
    </w:rPr>
  </w:style>
  <w:style w:type="paragraph" w:customStyle="1" w:styleId="Lgendesigne">
    <w:name w:val="Légende signe"/>
    <w:basedOn w:val="Normal"/>
    <w:rsid w:val="004F51EE"/>
    <w:pPr>
      <w:tabs>
        <w:tab w:val="right" w:pos="454"/>
        <w:tab w:val="left" w:pos="737"/>
      </w:tabs>
      <w:ind w:left="737" w:hanging="737"/>
    </w:pPr>
    <w:rPr>
      <w:snapToGrid w:val="0"/>
      <w:sz w:val="18"/>
      <w:lang w:eastAsia="en-US"/>
    </w:rPr>
  </w:style>
  <w:style w:type="paragraph" w:customStyle="1" w:styleId="Lgendetitre">
    <w:name w:val="Légende titre"/>
    <w:basedOn w:val="Normal"/>
    <w:rsid w:val="004F51EE"/>
    <w:pPr>
      <w:spacing w:before="240" w:after="240"/>
    </w:pPr>
    <w:rPr>
      <w:b/>
      <w:i/>
      <w:snapToGrid w:val="0"/>
      <w:lang w:eastAsia="en-US"/>
    </w:rPr>
  </w:style>
  <w:style w:type="paragraph" w:customStyle="1" w:styleId="Lgendestandard">
    <w:name w:val="Légende standard"/>
    <w:basedOn w:val="Normal"/>
    <w:rsid w:val="004F51EE"/>
    <w:rPr>
      <w:sz w:val="18"/>
    </w:rPr>
  </w:style>
  <w:style w:type="character" w:styleId="Hyperlink">
    <w:name w:val="Hyperlink"/>
    <w:basedOn w:val="DefaultParagraphFont"/>
    <w:uiPriority w:val="99"/>
    <w:unhideWhenUsed/>
    <w:rsid w:val="004F51EE"/>
    <w:rPr>
      <w:color w:val="0563C1" w:themeColor="hyperlink"/>
      <w:u w:val="single"/>
    </w:rPr>
  </w:style>
  <w:style w:type="character" w:customStyle="1" w:styleId="FootnoteTextChar">
    <w:name w:val="Footnote Text Char"/>
    <w:basedOn w:val="DefaultParagraphFont"/>
    <w:link w:val="FootnoteText"/>
    <w:uiPriority w:val="99"/>
    <w:rsid w:val="004F51EE"/>
    <w:rPr>
      <w:lang w:val="fr-FR"/>
    </w:rPr>
  </w:style>
  <w:style w:type="paragraph" w:customStyle="1" w:styleId="Rfrenceinterinstitutionnelle">
    <w:name w:val="Référence interinstitutionnelle"/>
    <w:basedOn w:val="Normal"/>
    <w:next w:val="Normal"/>
    <w:rsid w:val="004F51EE"/>
    <w:pPr>
      <w:widowControl/>
      <w:ind w:left="5103"/>
    </w:pPr>
    <w:rPr>
      <w:rFonts w:eastAsia="Calibri"/>
      <w:szCs w:val="22"/>
      <w:lang w:eastAsia="en-US"/>
    </w:rPr>
  </w:style>
  <w:style w:type="paragraph" w:styleId="Footer">
    <w:name w:val="footer"/>
    <w:basedOn w:val="Normal"/>
    <w:link w:val="FooterChar"/>
    <w:semiHidden/>
    <w:rsid w:val="004F51EE"/>
    <w:pPr>
      <w:tabs>
        <w:tab w:val="center" w:pos="4513"/>
        <w:tab w:val="right" w:pos="9026"/>
      </w:tabs>
    </w:pPr>
  </w:style>
  <w:style w:type="character" w:customStyle="1" w:styleId="FooterChar">
    <w:name w:val="Footer Char"/>
    <w:basedOn w:val="DefaultParagraphFont"/>
    <w:link w:val="Footer"/>
    <w:semiHidden/>
    <w:rsid w:val="004F51EE"/>
    <w:rPr>
      <w:sz w:val="24"/>
      <w:lang w:val="fr-FR"/>
    </w:rPr>
  </w:style>
  <w:style w:type="paragraph" w:customStyle="1" w:styleId="Normal12a">
    <w:name w:val="Normal12a"/>
    <w:basedOn w:val="Normal"/>
    <w:rsid w:val="00FB045D"/>
    <w:pPr>
      <w:spacing w:after="240"/>
    </w:pPr>
  </w:style>
  <w:style w:type="paragraph" w:customStyle="1" w:styleId="RollCallVotes">
    <w:name w:val="RollCallVotes"/>
    <w:basedOn w:val="Normal"/>
    <w:rsid w:val="00FB045D"/>
    <w:pPr>
      <w:spacing w:before="120" w:after="120"/>
      <w:jc w:val="center"/>
    </w:pPr>
    <w:rPr>
      <w:b/>
      <w:bCs/>
      <w:snapToGrid w:val="0"/>
      <w:sz w:val="16"/>
      <w:lang w:eastAsia="en-US"/>
    </w:rPr>
  </w:style>
  <w:style w:type="paragraph" w:customStyle="1" w:styleId="RollCallTabs">
    <w:name w:val="RollCallTabs"/>
    <w:basedOn w:val="Normal"/>
    <w:qFormat/>
    <w:rsid w:val="00FB045D"/>
    <w:pPr>
      <w:tabs>
        <w:tab w:val="center" w:pos="284"/>
        <w:tab w:val="left" w:pos="426"/>
      </w:tabs>
    </w:pPr>
    <w:rPr>
      <w:snapToGrid w:val="0"/>
      <w:lang w:eastAsia="en-US"/>
    </w:rPr>
  </w:style>
  <w:style w:type="paragraph" w:customStyle="1" w:styleId="RollCallSymbols14pt">
    <w:name w:val="RollCallSymbols14pt"/>
    <w:basedOn w:val="Normal"/>
    <w:rsid w:val="00FB045D"/>
    <w:pPr>
      <w:spacing w:before="120" w:after="120"/>
      <w:jc w:val="center"/>
    </w:pPr>
    <w:rPr>
      <w:rFonts w:ascii="Arial" w:hAnsi="Arial"/>
      <w:b/>
      <w:bCs/>
      <w:snapToGrid w:val="0"/>
      <w:sz w:val="28"/>
      <w:lang w:eastAsia="en-US"/>
    </w:rPr>
  </w:style>
  <w:style w:type="paragraph" w:customStyle="1" w:styleId="RollCallTable">
    <w:name w:val="RollCallTable"/>
    <w:basedOn w:val="Normal"/>
    <w:rsid w:val="00FB045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13/472/oj" TargetMode="External"/><Relationship Id="rId2" Type="http://schemas.openxmlformats.org/officeDocument/2006/relationships/numbering" Target="numbering.xml"/><Relationship Id="rId16" Type="http://schemas.openxmlformats.org/officeDocument/2006/relationships/hyperlink" Target="http://data.europa.eu/eli/reg/2013/549/o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1263/oj"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eums/2012/302" TargetMode="External"/><Relationship Id="rId3" Type="http://schemas.openxmlformats.org/officeDocument/2006/relationships/hyperlink" Target="http://data.europa.eu/eli/reg/2013/473/oj" TargetMode="External"/><Relationship Id="rId7" Type="http://schemas.openxmlformats.org/officeDocument/2006/relationships/hyperlink" Target="http://data.europa.eu/eli/dir/2011/85/oj" TargetMode="External"/><Relationship Id="rId2" Type="http://schemas.openxmlformats.org/officeDocument/2006/relationships/hyperlink" Target="http://data.europa.eu/eli/reg/2011/1173/oj" TargetMode="External"/><Relationship Id="rId1" Type="http://schemas.openxmlformats.org/officeDocument/2006/relationships/hyperlink" Target="https://eur-lex.europa.eu/legal-content/FR/TXT/PDF/?uri=CELEX:52025AB0037" TargetMode="External"/><Relationship Id="rId6" Type="http://schemas.openxmlformats.org/officeDocument/2006/relationships/hyperlink" Target="http://data.europa.eu/eli/reg/2011/1176/oj" TargetMode="External"/><Relationship Id="rId5" Type="http://schemas.openxmlformats.org/officeDocument/2006/relationships/hyperlink" Target="http://data.europa.eu/eli/reg/2021/1119/oj" TargetMode="External"/><Relationship Id="rId4" Type="http://schemas.openxmlformats.org/officeDocument/2006/relationships/hyperlink" Target="http://data.europa.eu/eli/reg/1997/1467/oj" TargetMode="External"/><Relationship Id="rId9"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CC28-4BA3-46BA-A704-491117A24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8088</Words>
  <Characters>44243</Characters>
  <Application>Microsoft Office Word</Application>
  <DocSecurity>0</DocSecurity>
  <Lines>884</Lines>
  <Paragraphs>390</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51941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subject/>
  <dc:creator>CWIRKO Andrzej</dc:creator>
  <cp:keywords/>
  <dc:description/>
  <cp:lastModifiedBy>PETITCOLAS Anne</cp:lastModifiedBy>
  <cp:revision>2</cp:revision>
  <cp:lastPrinted>2004-11-04T10:10:00Z</cp:lastPrinted>
  <dcterms:created xsi:type="dcterms:W3CDTF">2026-05-07T15:11:00Z</dcterms:created>
  <dcterms:modified xsi:type="dcterms:W3CDTF">2026-05-07T15:11:00Z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1341803</vt:lpwstr>
  </property>
  <property fmtid="{D5CDD505-2E9C-101B-9397-08002B2CF9AE}" pid="6" name="&lt;Type&gt;">
    <vt:lpwstr>RR</vt:lpwstr>
  </property>
  <property fmtid="{D5CDD505-2E9C-101B-9397-08002B2CF9AE}" pid="7" name="&lt;ModelCod&gt;">
    <vt:lpwstr>\\eiciLUXpr1\pdocep$\DocEP\DOCS\General\PR\PR_Leg\COD\COD_1st\PR_COD_1consamCom.dotx(24/09/2024 09:42:01)</vt:lpwstr>
  </property>
  <property fmtid="{D5CDD505-2E9C-101B-9397-08002B2CF9AE}" pid="8" name="&lt;ModelTra&gt;">
    <vt:lpwstr>\\eiciLUXpr1\pdocep$\DocEP\TRANSFIL\FR\PR_COD_1consamCom.FR(14/03/2025 13:04:02)</vt:lpwstr>
  </property>
  <property fmtid="{D5CDD505-2E9C-101B-9397-08002B2CF9AE}" pid="9" name="&lt;Model&gt;">
    <vt:lpwstr>PR_COD_1consamCom</vt:lpwstr>
  </property>
  <property fmtid="{D5CDD505-2E9C-101B-9397-08002B2CF9AE}" pid="10" name="FooterPath">
    <vt:lpwstr>RR\1341803FR.docx</vt:lpwstr>
  </property>
  <property fmtid="{D5CDD505-2E9C-101B-9397-08002B2CF9AE}" pid="11" name="PE number">
    <vt:lpwstr>784.159</vt:lpwstr>
  </property>
  <property fmtid="{D5CDD505-2E9C-101B-9397-08002B2CF9AE}" pid="12" name="RegistreCheck">
    <vt:lpwstr>OK</vt:lpwstr>
  </property>
  <property fmtid="{D5CDD505-2E9C-101B-9397-08002B2CF9AE}" pid="13" name="Bookout">
    <vt:lpwstr>OK - 2026/05/07 17:10</vt:lpwstr>
  </property>
  <property fmtid="{D5CDD505-2E9C-101B-9397-08002B2CF9AE}" pid="14" name="SDLStudio">
    <vt:lpwstr/>
  </property>
</Properties>
</file>