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1D157E" w14:paraId="3667DC6D" w14:textId="77777777" w:rsidTr="00C85D0F">
        <w:trPr>
          <w:trHeight w:hRule="exact" w:val="1418"/>
        </w:trPr>
        <w:tc>
          <w:tcPr>
            <w:tcW w:w="6804" w:type="dxa"/>
            <w:shd w:val="clear" w:color="auto" w:fill="auto"/>
            <w:vAlign w:val="center"/>
          </w:tcPr>
          <w:p w14:paraId="499E32C8" w14:textId="77777777" w:rsidR="00CF16EE" w:rsidRPr="001D157E" w:rsidRDefault="00320E21" w:rsidP="00C85D0F">
            <w:pPr>
              <w:pStyle w:val="EPName"/>
            </w:pPr>
            <w:r w:rsidRPr="001D157E">
              <w:t>Euroopa Parlament</w:t>
            </w:r>
          </w:p>
          <w:p w14:paraId="550EF0F5" w14:textId="5935EBD1" w:rsidR="00CF16EE" w:rsidRPr="001D157E" w:rsidRDefault="005C211E" w:rsidP="00C85D0F">
            <w:pPr>
              <w:pStyle w:val="EPTerm"/>
            </w:pPr>
            <w:r w:rsidRPr="001D157E">
              <w:t>2024-2029</w:t>
            </w:r>
          </w:p>
        </w:tc>
        <w:tc>
          <w:tcPr>
            <w:tcW w:w="2268" w:type="dxa"/>
            <w:shd w:val="clear" w:color="auto" w:fill="auto"/>
          </w:tcPr>
          <w:p w14:paraId="393EB9BA" w14:textId="77777777" w:rsidR="00CF16EE" w:rsidRPr="001D157E" w:rsidRDefault="00CF16EE" w:rsidP="00C85D0F">
            <w:pPr>
              <w:pStyle w:val="EPLogo"/>
            </w:pPr>
            <w:r w:rsidRPr="001D157E">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8022DB" w14:textId="77777777" w:rsidR="00215FF9" w:rsidRPr="001D157E" w:rsidRDefault="00215FF9" w:rsidP="00215FF9">
      <w:pPr>
        <w:pStyle w:val="LineTop"/>
      </w:pPr>
    </w:p>
    <w:p w14:paraId="53C5FC8E" w14:textId="7448D2F4" w:rsidR="00215FF9" w:rsidRPr="001D157E" w:rsidRDefault="008A2C2B" w:rsidP="00215FF9">
      <w:pPr>
        <w:pStyle w:val="EPBody"/>
      </w:pPr>
      <w:r w:rsidRPr="001D157E">
        <w:t>Istungidokument</w:t>
      </w:r>
    </w:p>
    <w:p w14:paraId="6D76BAFC" w14:textId="77777777" w:rsidR="00215FF9" w:rsidRPr="001D157E" w:rsidRDefault="00215FF9" w:rsidP="00215FF9">
      <w:pPr>
        <w:pStyle w:val="LineBottom"/>
      </w:pPr>
    </w:p>
    <w:p w14:paraId="12CA5B61" w14:textId="603AD008" w:rsidR="005922F7" w:rsidRPr="001D157E" w:rsidRDefault="008A2C2B" w:rsidP="008A2C2B">
      <w:pPr>
        <w:pStyle w:val="CoverReference"/>
      </w:pPr>
      <w:r w:rsidRPr="001D157E">
        <w:rPr>
          <w:rStyle w:val="HideTWBExt"/>
        </w:rPr>
        <w:t>&lt;NoDocSe&gt;</w:t>
      </w:r>
      <w:r w:rsidRPr="001D157E">
        <w:t>A10-0127/2026</w:t>
      </w:r>
      <w:r w:rsidRPr="001D157E">
        <w:rPr>
          <w:rStyle w:val="HideTWBExt"/>
        </w:rPr>
        <w:t>&lt;/NoDocSe&gt;</w:t>
      </w:r>
    </w:p>
    <w:p w14:paraId="78204F3C" w14:textId="2840580C" w:rsidR="005922F7" w:rsidRPr="001D157E" w:rsidRDefault="005922F7" w:rsidP="005922F7">
      <w:pPr>
        <w:pStyle w:val="CoverDate"/>
      </w:pPr>
      <w:r w:rsidRPr="001D157E">
        <w:rPr>
          <w:rStyle w:val="HideTWBExt"/>
        </w:rPr>
        <w:t>&lt;Date&gt;</w:t>
      </w:r>
      <w:r w:rsidRPr="001D157E">
        <w:rPr>
          <w:rStyle w:val="HideTWBInt"/>
        </w:rPr>
        <w:t>{06/05/2026}</w:t>
      </w:r>
      <w:r w:rsidRPr="001D157E">
        <w:t>6.5.2026</w:t>
      </w:r>
      <w:r w:rsidRPr="001D157E">
        <w:rPr>
          <w:rStyle w:val="HideTWBExt"/>
        </w:rPr>
        <w:t>&lt;/Date&gt;</w:t>
      </w:r>
    </w:p>
    <w:p w14:paraId="0A8C9714" w14:textId="2D69DC23" w:rsidR="00142D49" w:rsidRPr="001D157E" w:rsidRDefault="00142D49">
      <w:pPr>
        <w:pStyle w:val="CoverDocType24a"/>
      </w:pPr>
      <w:r w:rsidRPr="001D157E">
        <w:rPr>
          <w:rStyle w:val="HideTWBExt"/>
          <w:b w:val="0"/>
        </w:rPr>
        <w:t>&lt;TitreType&gt;</w:t>
      </w:r>
      <w:r w:rsidRPr="001D157E">
        <w:t>RAPORT</w:t>
      </w:r>
      <w:r w:rsidRPr="001D157E">
        <w:rPr>
          <w:rStyle w:val="HideTWBExt"/>
          <w:b w:val="0"/>
        </w:rPr>
        <w:t>&lt;/TitreType&gt;</w:t>
      </w:r>
    </w:p>
    <w:p w14:paraId="4E8C8B7E" w14:textId="50DC94B9" w:rsidR="00142D49" w:rsidRPr="001D157E" w:rsidRDefault="00142D49">
      <w:pPr>
        <w:pStyle w:val="CoverNormal"/>
      </w:pPr>
      <w:r w:rsidRPr="001D157E">
        <w:rPr>
          <w:rStyle w:val="HideTWBExt"/>
        </w:rPr>
        <w:t>&lt;Titre&gt;</w:t>
      </w:r>
      <w:r w:rsidRPr="001D157E">
        <w:t>Angelika Niebleri puutumatuse äravõtmise taotluse kohta</w:t>
      </w:r>
      <w:r w:rsidRPr="001D157E">
        <w:rPr>
          <w:rStyle w:val="HideTWBExt"/>
        </w:rPr>
        <w:t>&lt;/Titre&gt;</w:t>
      </w:r>
    </w:p>
    <w:p w14:paraId="00D04794" w14:textId="39426B47" w:rsidR="00142D49" w:rsidRPr="001D157E" w:rsidRDefault="00142D49">
      <w:pPr>
        <w:pStyle w:val="CoverNormal24a"/>
      </w:pPr>
      <w:r w:rsidRPr="001D157E">
        <w:rPr>
          <w:rStyle w:val="HideTWBExt"/>
        </w:rPr>
        <w:t>&lt;DocRef&gt;</w:t>
      </w:r>
      <w:r w:rsidRPr="001D157E">
        <w:t>(2025/2175(IMM))</w:t>
      </w:r>
      <w:r w:rsidRPr="001D157E">
        <w:rPr>
          <w:rStyle w:val="HideTWBExt"/>
        </w:rPr>
        <w:t>&lt;/DocRef&gt;</w:t>
      </w:r>
    </w:p>
    <w:p w14:paraId="5156B455" w14:textId="77777777" w:rsidR="00142D49" w:rsidRPr="001D157E" w:rsidRDefault="00142D49">
      <w:pPr>
        <w:pStyle w:val="CoverNormal24a"/>
      </w:pPr>
      <w:r w:rsidRPr="001D157E">
        <w:rPr>
          <w:rStyle w:val="HideTWBExt"/>
        </w:rPr>
        <w:t>&lt;Commission&gt;</w:t>
      </w:r>
      <w:r w:rsidRPr="001D157E">
        <w:rPr>
          <w:rStyle w:val="HideTWBInt"/>
        </w:rPr>
        <w:t>{JURI}</w:t>
      </w:r>
      <w:r w:rsidRPr="001D157E">
        <w:t>Õiguskomisjon</w:t>
      </w:r>
      <w:r w:rsidRPr="001D157E">
        <w:rPr>
          <w:rStyle w:val="HideTWBExt"/>
        </w:rPr>
        <w:t>&lt;/Commission&gt;</w:t>
      </w:r>
    </w:p>
    <w:p w14:paraId="06510A3C" w14:textId="41666FC6" w:rsidR="00142D49" w:rsidRPr="001D157E" w:rsidRDefault="00320E21">
      <w:pPr>
        <w:pStyle w:val="CoverNormal24a"/>
      </w:pPr>
      <w:r w:rsidRPr="001D157E">
        <w:t xml:space="preserve">Raportöör: </w:t>
      </w:r>
      <w:r w:rsidRPr="001D157E">
        <w:rPr>
          <w:rStyle w:val="HideTWBExt"/>
        </w:rPr>
        <w:t>&lt;Depute&gt;</w:t>
      </w:r>
      <w:r w:rsidRPr="001D157E">
        <w:t>Marcin Sypniewski</w:t>
      </w:r>
      <w:r w:rsidRPr="001D157E">
        <w:rPr>
          <w:rStyle w:val="HideTWBExt"/>
        </w:rPr>
        <w:t>&lt;/Depute&gt;</w:t>
      </w:r>
    </w:p>
    <w:p w14:paraId="6872AAEC" w14:textId="1BD0882C" w:rsidR="00142D49" w:rsidRPr="001D157E" w:rsidRDefault="00142D49" w:rsidP="00DF74F0">
      <w:pPr>
        <w:widowControl/>
        <w:tabs>
          <w:tab w:val="center" w:pos="4677"/>
        </w:tabs>
      </w:pPr>
      <w:r w:rsidRPr="001D157E">
        <w:br w:type="page"/>
      </w:r>
      <w:r w:rsidRPr="001D157E">
        <w:lastRenderedPageBreak/>
        <w:t>PR_IMM_Waiver</w:t>
      </w:r>
    </w:p>
    <w:p w14:paraId="12140484" w14:textId="77777777" w:rsidR="00142D49" w:rsidRPr="001D157E" w:rsidRDefault="00320E21">
      <w:pPr>
        <w:pStyle w:val="TOCHeading"/>
      </w:pPr>
      <w:r w:rsidRPr="001D157E">
        <w:t>SISUKORD</w:t>
      </w:r>
    </w:p>
    <w:p w14:paraId="24FDFB32" w14:textId="77777777" w:rsidR="00142D49" w:rsidRPr="001D157E" w:rsidRDefault="00320E21">
      <w:pPr>
        <w:pStyle w:val="TOCPage"/>
      </w:pPr>
      <w:r w:rsidRPr="001D157E">
        <w:t>lk</w:t>
      </w:r>
    </w:p>
    <w:p w14:paraId="2AA1F163" w14:textId="7E8A2D6C" w:rsidR="005C606B" w:rsidRPr="005C606B" w:rsidRDefault="00142D49">
      <w:pPr>
        <w:pStyle w:val="TOC1"/>
        <w:tabs>
          <w:tab w:val="right" w:leader="dot" w:pos="9060"/>
        </w:tabs>
        <w:rPr>
          <w:rFonts w:asciiTheme="minorHAnsi" w:eastAsiaTheme="minorEastAsia" w:hAnsiTheme="minorHAnsi" w:cstheme="minorBidi"/>
          <w:noProof/>
          <w:kern w:val="2"/>
          <w:szCs w:val="24"/>
          <w:lang w:val="fi-FI"/>
          <w14:ligatures w14:val="standardContextual"/>
        </w:rPr>
      </w:pPr>
      <w:r w:rsidRPr="001D157E">
        <w:fldChar w:fldCharType="begin"/>
      </w:r>
      <w:r w:rsidRPr="001D157E">
        <w:instrText xml:space="preserve"> TOC \t "PageHeading</w:instrText>
      </w:r>
      <w:r w:rsidR="00510190">
        <w:instrText>;</w:instrText>
      </w:r>
      <w:r w:rsidRPr="001D157E">
        <w:instrText xml:space="preserve">1" </w:instrText>
      </w:r>
      <w:r w:rsidRPr="001D157E">
        <w:fldChar w:fldCharType="separate"/>
      </w:r>
      <w:r w:rsidR="005C606B">
        <w:rPr>
          <w:noProof/>
        </w:rPr>
        <w:t>ETTEPANEK VÕTTA VASTU EUROOPA PARLAMENDI OTSUS</w:t>
      </w:r>
      <w:r w:rsidR="005C606B">
        <w:rPr>
          <w:noProof/>
        </w:rPr>
        <w:tab/>
      </w:r>
      <w:r w:rsidR="005C606B">
        <w:rPr>
          <w:noProof/>
        </w:rPr>
        <w:fldChar w:fldCharType="begin"/>
      </w:r>
      <w:r w:rsidR="005C606B">
        <w:rPr>
          <w:noProof/>
        </w:rPr>
        <w:instrText xml:space="preserve"> PAGEREF _Toc229120874 \h </w:instrText>
      </w:r>
      <w:r w:rsidR="005C606B">
        <w:rPr>
          <w:noProof/>
        </w:rPr>
      </w:r>
      <w:r w:rsidR="005C606B">
        <w:rPr>
          <w:noProof/>
        </w:rPr>
        <w:fldChar w:fldCharType="separate"/>
      </w:r>
      <w:r w:rsidR="005C606B">
        <w:rPr>
          <w:noProof/>
        </w:rPr>
        <w:t>3</w:t>
      </w:r>
      <w:r w:rsidR="005C606B">
        <w:rPr>
          <w:noProof/>
        </w:rPr>
        <w:fldChar w:fldCharType="end"/>
      </w:r>
    </w:p>
    <w:p w14:paraId="21B63A2F" w14:textId="3ABE3E8E" w:rsidR="005C606B" w:rsidRPr="005C606B" w:rsidRDefault="005C606B">
      <w:pPr>
        <w:pStyle w:val="TOC1"/>
        <w:tabs>
          <w:tab w:val="right" w:leader="dot" w:pos="9060"/>
        </w:tabs>
        <w:rPr>
          <w:rFonts w:asciiTheme="minorHAnsi" w:eastAsiaTheme="minorEastAsia" w:hAnsiTheme="minorHAnsi" w:cstheme="minorBidi"/>
          <w:noProof/>
          <w:kern w:val="2"/>
          <w:szCs w:val="24"/>
          <w:lang w:val="fi-FI"/>
          <w14:ligatures w14:val="standardContextual"/>
        </w:rPr>
      </w:pPr>
      <w:r>
        <w:rPr>
          <w:noProof/>
        </w:rPr>
        <w:t>TEAVE VASTUVÕTMISE KOHTA VASTUTAVAS KOMISJONIS</w:t>
      </w:r>
      <w:r>
        <w:rPr>
          <w:noProof/>
        </w:rPr>
        <w:tab/>
      </w:r>
      <w:r>
        <w:rPr>
          <w:noProof/>
        </w:rPr>
        <w:fldChar w:fldCharType="begin"/>
      </w:r>
      <w:r>
        <w:rPr>
          <w:noProof/>
        </w:rPr>
        <w:instrText xml:space="preserve"> PAGEREF _Toc229120875 \h </w:instrText>
      </w:r>
      <w:r>
        <w:rPr>
          <w:noProof/>
        </w:rPr>
      </w:r>
      <w:r>
        <w:rPr>
          <w:noProof/>
        </w:rPr>
        <w:fldChar w:fldCharType="separate"/>
      </w:r>
      <w:r>
        <w:rPr>
          <w:noProof/>
        </w:rPr>
        <w:t>6</w:t>
      </w:r>
      <w:r>
        <w:rPr>
          <w:noProof/>
        </w:rPr>
        <w:fldChar w:fldCharType="end"/>
      </w:r>
    </w:p>
    <w:p w14:paraId="453AB113" w14:textId="66E2E108" w:rsidR="0006105E" w:rsidRPr="001D157E" w:rsidRDefault="00142D49" w:rsidP="00273EFB">
      <w:r w:rsidRPr="001D157E">
        <w:fldChar w:fldCharType="end"/>
      </w:r>
    </w:p>
    <w:p w14:paraId="77A80894" w14:textId="77777777" w:rsidR="00142D49" w:rsidRPr="001D157E" w:rsidRDefault="00142D49">
      <w:pPr>
        <w:pStyle w:val="PageHeading"/>
      </w:pPr>
      <w:r w:rsidRPr="001D157E">
        <w:br w:type="page"/>
      </w:r>
      <w:bookmarkStart w:id="0" w:name="_Toc229120874"/>
      <w:r w:rsidRPr="001D157E">
        <w:lastRenderedPageBreak/>
        <w:t>ETTEPANEK VÕTTA VASTU EUROOPA PARLAMENDI OTSUS</w:t>
      </w:r>
      <w:bookmarkEnd w:id="0"/>
    </w:p>
    <w:p w14:paraId="43BB8F67" w14:textId="11DAE596" w:rsidR="00443C28" w:rsidRPr="001D157E" w:rsidRDefault="00443C28" w:rsidP="00443C28">
      <w:pPr>
        <w:pStyle w:val="NormalBold"/>
      </w:pPr>
      <w:r w:rsidRPr="001D157E">
        <w:t>Angelika Niebleri puutumatuse äravõtmise taotluse kohta</w:t>
      </w:r>
    </w:p>
    <w:p w14:paraId="0D794447" w14:textId="15A65920" w:rsidR="00443C28" w:rsidRPr="001D157E" w:rsidRDefault="000D06AD" w:rsidP="00443C28">
      <w:pPr>
        <w:pStyle w:val="NormalBold"/>
      </w:pPr>
      <w:r w:rsidRPr="001D157E">
        <w:t>(2025/2175(IMM))</w:t>
      </w:r>
    </w:p>
    <w:p w14:paraId="003D13D1" w14:textId="77777777" w:rsidR="00443C28" w:rsidRPr="001D157E" w:rsidRDefault="00443C28" w:rsidP="00443C28">
      <w:pPr>
        <w:pStyle w:val="EPComma"/>
      </w:pPr>
      <w:r w:rsidRPr="001D157E">
        <w:rPr>
          <w:i/>
        </w:rPr>
        <w:t>Euroopa Parlament</w:t>
      </w:r>
      <w:r w:rsidRPr="001D157E">
        <w:t>,</w:t>
      </w:r>
    </w:p>
    <w:p w14:paraId="219E5A2B" w14:textId="77777777" w:rsidR="0000723C" w:rsidRPr="001D157E" w:rsidRDefault="00443C28" w:rsidP="0000723C">
      <w:pPr>
        <w:pStyle w:val="NormalHanging12a"/>
      </w:pPr>
      <w:r w:rsidRPr="001D157E">
        <w:t>–</w:t>
      </w:r>
      <w:r w:rsidRPr="001D157E">
        <w:tab/>
        <w:t>võttes arvesse Angelika Niebleri puutumatuse äravõtmise taotlust, mille esitas Euroopa peaprokurör 21. juuli 2025. aasta kirjaga ja mida ta kinnitas 1. septembri 2025. aasta kirjaga seoses eeluurimismenetlusega, mida Angelika Niebleri suhtes alustada soovitakse; võttes arvesse, et taotlus tehti teatavaks Euroopa Parlamendi täiskogu istungil 10. septembril 2025. aastal,</w:t>
      </w:r>
    </w:p>
    <w:p w14:paraId="52F5E914" w14:textId="77777777" w:rsidR="0000723C" w:rsidRPr="001D157E" w:rsidRDefault="0000723C" w:rsidP="0000723C">
      <w:pPr>
        <w:pStyle w:val="NormalHanging12a"/>
      </w:pPr>
      <w:r w:rsidRPr="001D157E">
        <w:t>–</w:t>
      </w:r>
      <w:r w:rsidRPr="001D157E">
        <w:tab/>
        <w:t>olles 15. aprillil 2026 vastavalt kodukorra artikli 9 lõikele 6 kuulanud ära Angelika Niebleri selgitused,</w:t>
      </w:r>
    </w:p>
    <w:p w14:paraId="3EFB8CB7" w14:textId="77777777" w:rsidR="0000723C" w:rsidRPr="001D157E" w:rsidRDefault="0000723C" w:rsidP="0000723C">
      <w:pPr>
        <w:pStyle w:val="NormalHanging12a"/>
      </w:pPr>
      <w:r w:rsidRPr="001D157E">
        <w:t>–</w:t>
      </w:r>
      <w:r w:rsidRPr="001D157E">
        <w:tab/>
        <w:t>võttes arvesse protokolli nr 7 (Euroopa Liidu privileegide ja immuniteetide kohta) artikleid 8 ja 9 ning otsestel ja üldistel valimistel Euroopa Parlamendi liikmete valimist käsitleva 20. septembri 1976. aasta akti artikli 6 lõiget 2,</w:t>
      </w:r>
    </w:p>
    <w:p w14:paraId="53522A43" w14:textId="77777777" w:rsidR="0000723C" w:rsidRPr="001D157E" w:rsidRDefault="0000723C" w:rsidP="0000723C">
      <w:pPr>
        <w:pStyle w:val="NormalHanging12a"/>
        <w:rPr>
          <w:b/>
        </w:rPr>
      </w:pPr>
      <w:r w:rsidRPr="001D157E">
        <w:t>–</w:t>
      </w:r>
      <w:r w:rsidRPr="001D157E">
        <w:tab/>
        <w:t>võttes arvesse nõukogu 12. oktoobri 2017. aasta määrust (EL) 2017/1939, millega rakendatakse tõhustatud koostööd Euroopa Prokuratuuri asutamisel</w:t>
      </w:r>
      <w:r w:rsidRPr="001D157E">
        <w:rPr>
          <w:vertAlign w:val="superscript"/>
        </w:rPr>
        <w:footnoteReference w:id="1"/>
      </w:r>
      <w:r w:rsidRPr="001D157E">
        <w:t>, eriti selle artikli 29 lõiget 2,</w:t>
      </w:r>
    </w:p>
    <w:p w14:paraId="122C27C1" w14:textId="77777777" w:rsidR="0000723C" w:rsidRPr="001D157E" w:rsidRDefault="0000723C" w:rsidP="0000723C">
      <w:pPr>
        <w:pStyle w:val="NormalHanging12a"/>
      </w:pPr>
      <w:r w:rsidRPr="001D157E">
        <w:t>–</w:t>
      </w:r>
      <w:r w:rsidRPr="001D157E">
        <w:tab/>
        <w:t>võttes arvesse Euroopa Liidu Kohtu 21. oktoobri 2008. aasta, 19. märtsi 2010. aasta, 6. septembri 2011. aasta, 17. jaanuari 2013. aasta ja 19. detsembri 2019. aasta otsuseid</w:t>
      </w:r>
      <w:r w:rsidRPr="001D157E">
        <w:rPr>
          <w:vertAlign w:val="superscript"/>
        </w:rPr>
        <w:footnoteReference w:id="2"/>
      </w:r>
      <w:r w:rsidRPr="001D157E">
        <w:t>,</w:t>
      </w:r>
    </w:p>
    <w:p w14:paraId="42FDE1AB" w14:textId="77777777" w:rsidR="0000723C" w:rsidRPr="001D157E" w:rsidRDefault="0000723C" w:rsidP="0000723C">
      <w:pPr>
        <w:pStyle w:val="NormalHanging12a"/>
      </w:pPr>
      <w:r w:rsidRPr="001D157E">
        <w:t>–</w:t>
      </w:r>
      <w:r w:rsidRPr="001D157E">
        <w:tab/>
        <w:t>võttes arvesse Saksamaa Liitvabariigi põhiseaduse artiklit 46,</w:t>
      </w:r>
    </w:p>
    <w:p w14:paraId="20C72CB2" w14:textId="77777777" w:rsidR="0000723C" w:rsidRPr="001D157E" w:rsidRDefault="0000723C" w:rsidP="0000723C">
      <w:pPr>
        <w:pStyle w:val="NormalHanging12a"/>
      </w:pPr>
      <w:r w:rsidRPr="001D157E">
        <w:t>–</w:t>
      </w:r>
      <w:r w:rsidRPr="001D157E">
        <w:tab/>
        <w:t>võttes arvesse kodukorra artikli 5 lõiget 2, artikli 6 lõiget 1 ja artiklit 9,</w:t>
      </w:r>
    </w:p>
    <w:p w14:paraId="140A7EC2" w14:textId="2FD750E7" w:rsidR="0000723C" w:rsidRPr="001D157E" w:rsidRDefault="0000723C" w:rsidP="0000723C">
      <w:pPr>
        <w:pStyle w:val="NormalHanging12a"/>
      </w:pPr>
      <w:r w:rsidRPr="001D157E">
        <w:t>–</w:t>
      </w:r>
      <w:r w:rsidRPr="001D157E">
        <w:tab/>
        <w:t>võttes arvesse õiguskomisjoni raportit (A10-0127/2026),</w:t>
      </w:r>
    </w:p>
    <w:p w14:paraId="71ADA700" w14:textId="77777777" w:rsidR="0000723C" w:rsidRPr="001D157E" w:rsidRDefault="0000723C" w:rsidP="0000723C">
      <w:pPr>
        <w:pStyle w:val="NormalHanging12a"/>
      </w:pPr>
      <w:r w:rsidRPr="001D157E">
        <w:t>A.</w:t>
      </w:r>
      <w:r w:rsidRPr="001D157E">
        <w:tab/>
        <w:t>arvestades, et 21. juuli 2025. aasta kirjaga esitas Euroopa peaprokurör taotluse (mida ta kinnitas 1. septembri 2025. aasta kirjaga) võtta ära Saksamaalt valitud Euroopa Parlamendi liikme Angelika Niebleri puutumatus seoses ajavahemikul 2017–2025 väidetavalt toime pandud süütegudega;</w:t>
      </w:r>
    </w:p>
    <w:p w14:paraId="2DEC92A1" w14:textId="77777777" w:rsidR="0000723C" w:rsidRPr="001D157E" w:rsidRDefault="0000723C" w:rsidP="0000723C">
      <w:pPr>
        <w:pStyle w:val="NormalHanging12a"/>
      </w:pPr>
      <w:r w:rsidRPr="001D157E">
        <w:t>B.</w:t>
      </w:r>
      <w:r w:rsidRPr="001D157E">
        <w:tab/>
        <w:t xml:space="preserve">arvestades, et Angelika Niebleri heaks 2021. aasta augustist kuni 2023. aasta septembrini töötanud eraisiku esitatud teabe põhjal on asjaomane parlamendiliige taotluse kohaselt väidetavalt alates 2017. aastast (st alates parlamendi 8. ametiajast kuni 10. ametiajani) taotlenud alusetult reisikulude hüvitamist seoses reisidega Strasbourgi ja Brüsselisse, kasutas registreeritud ja kohalikke assistentete väidetavalt ajutiselt isiklikel </w:t>
      </w:r>
      <w:r w:rsidRPr="001D157E">
        <w:lastRenderedPageBreak/>
        <w:t>eesmärkidel või eesmärkidel, mis ei ole seotud Euroopa Parlamendi liikme rolliga ja/või parlamendiliikme kohustuste täitmisega, ning võttis väidetavalt tööle kohaliku assistendi, kes väidetavalt töötas ainult samasse fraktsiooni kuulunud endise Euroopa Parlamendi liikme heaks, kuid kelle töötasu maksis Angelika Niebleri eest Euroopa Parlament; arvestades, et taotluse kohaselt on esitatud teabe põhjal tekkinud esialgne kahtlus, et Angelika Niebler on assisteerimiskuludega seoses rikkunud Euroopa Parlamendi liikmete põhimääruse rakendusmeetmeid käsitleva juhatuse 11. septembri 2023. aasta otsuse</w:t>
      </w:r>
      <w:r w:rsidRPr="001D157E">
        <w:rPr>
          <w:vertAlign w:val="superscript"/>
        </w:rPr>
        <w:footnoteReference w:id="3"/>
      </w:r>
      <w:r w:rsidRPr="001D157E">
        <w:t xml:space="preserve"> artikli 29 lõiget 2; arvestades, et väidetavalt toime pandud teod võivad Saksa karistusseadustiku § 263 lõigete 1 ja 3 kohaselt olla käsitatavad kelmusena;</w:t>
      </w:r>
    </w:p>
    <w:p w14:paraId="67C1E60E" w14:textId="77777777" w:rsidR="0000723C" w:rsidRPr="001D157E" w:rsidRDefault="0000723C" w:rsidP="0000723C">
      <w:pPr>
        <w:pStyle w:val="NormalHanging12a"/>
      </w:pPr>
      <w:r w:rsidRPr="001D157E">
        <w:t>C.</w:t>
      </w:r>
      <w:r w:rsidRPr="001D157E">
        <w:tab/>
        <w:t xml:space="preserve">arvestades, et Angelika Niebler valiti Euroopa Parlamenti 2014. aasta mais toimunud Euroopa Parlamendi valimistel ning seejärel 2019. aasta mais ja 2024. aasta juunis toimunud Euroopa Parlamendi valimistel ja ta oli väidetavate süütegude toimepanemise ajal Euroopa Parlamendi liige; </w:t>
      </w:r>
    </w:p>
    <w:p w14:paraId="14A39070" w14:textId="77777777" w:rsidR="0000723C" w:rsidRPr="001D157E" w:rsidRDefault="0000723C" w:rsidP="0000723C">
      <w:pPr>
        <w:pStyle w:val="NormalHanging12a"/>
      </w:pPr>
      <w:r w:rsidRPr="001D157E">
        <w:t>D.</w:t>
      </w:r>
      <w:r w:rsidRPr="001D157E">
        <w:tab/>
        <w:t>arvestades, et väidetavad süüteod ja sellele järgnenud taotlus võtta ära Angelika Niebleri puutumatus ei ole seega seotud Angelika Niebleri kui parlamendiliikme kohustuste täitmisel avaldatud arvamuste ega antud häältega protokolli nr 7 (Euroopa Liidu privileegide ja immuniteetide kohta) artikli 8 tähenduses;</w:t>
      </w:r>
    </w:p>
    <w:p w14:paraId="61E8DAFF" w14:textId="77777777" w:rsidR="0000723C" w:rsidRPr="001D157E" w:rsidRDefault="0000723C" w:rsidP="0000723C">
      <w:pPr>
        <w:pStyle w:val="NormalHanging12a"/>
      </w:pPr>
      <w:r w:rsidRPr="001D157E">
        <w:t>E.</w:t>
      </w:r>
      <w:r w:rsidRPr="001D157E">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14:paraId="3D265F53" w14:textId="77777777" w:rsidR="0000723C" w:rsidRPr="001D157E" w:rsidRDefault="0000723C" w:rsidP="0000723C">
      <w:pPr>
        <w:pStyle w:val="NormalHanging12a"/>
      </w:pPr>
      <w:r w:rsidRPr="001D157E">
        <w:t>F.</w:t>
      </w:r>
      <w:r w:rsidRPr="001D157E">
        <w:tab/>
        <w:t>arvestades, et Saksamaa Liitvabariigi põhiseaduse artikli 46 lõigetes 2, 3 ja 4 on sätestatud järgmine:</w:t>
      </w:r>
    </w:p>
    <w:p w14:paraId="0423C235" w14:textId="77777777" w:rsidR="0000723C" w:rsidRPr="001D157E" w:rsidRDefault="0000723C" w:rsidP="0000723C">
      <w:pPr>
        <w:pStyle w:val="NormalHanging12a"/>
      </w:pPr>
      <w:r w:rsidRPr="001D157E">
        <w:t>2)</w:t>
      </w:r>
      <w:r w:rsidRPr="001D157E">
        <w:tab/>
        <w:t>Liidupäeva liiget võib karistatava süüteo eest vastutusele võtta või vahistada ainult Liidupäeva nõusolekul, välja arvatud juhul, kui ta tabatakse teo toimepanemiselt või teo toimepanemisele järgneva päeva jooksul.</w:t>
      </w:r>
    </w:p>
    <w:p w14:paraId="6ADE1091" w14:textId="77777777" w:rsidR="0000723C" w:rsidRPr="001D157E" w:rsidRDefault="0000723C" w:rsidP="0000723C">
      <w:pPr>
        <w:pStyle w:val="NormalHanging12a"/>
      </w:pPr>
      <w:r w:rsidRPr="001D157E">
        <w:t>3)</w:t>
      </w:r>
      <w:r w:rsidRPr="001D157E">
        <w:tab/>
        <w:t>Liidupäeva nõusolek on vajalik ka igasuguse muu Liidupäeva liikme vabaduse piiramise puhul või Liidupäeva liikme suhtes artikli 18 alusel menetluse alustamiseks.</w:t>
      </w:r>
    </w:p>
    <w:p w14:paraId="642E760C" w14:textId="77777777" w:rsidR="0000723C" w:rsidRPr="001D157E" w:rsidRDefault="0000723C" w:rsidP="0000723C">
      <w:pPr>
        <w:pStyle w:val="NormalHanging12a"/>
      </w:pPr>
      <w:r w:rsidRPr="001D157E">
        <w:t>4)</w:t>
      </w:r>
      <w:r w:rsidRPr="001D157E">
        <w:tab/>
        <w:t>Kõik Liidupäeva liikme suhtes alustatud kriminaalmenetlused ja kõik artikli 18 alusel alustatud menetlused, kinnipidamised ning muus vormis isiku vabaduse piiramine tuleb Liidupäeva nõudmisel lõpetada;</w:t>
      </w:r>
    </w:p>
    <w:p w14:paraId="24C8B992" w14:textId="19ABCCC6" w:rsidR="00A66C37" w:rsidRPr="001D157E" w:rsidRDefault="0000723C" w:rsidP="00A66C37">
      <w:pPr>
        <w:pStyle w:val="NormalHanging12a"/>
      </w:pPr>
      <w:r w:rsidRPr="001D157E">
        <w:t>G.</w:t>
      </w:r>
      <w:r w:rsidRPr="001D157E">
        <w:tab/>
        <w:t>arvestades, et protokollis nr 7 (Euroopa Liidu privileegide ja immuniteetide kohta) sätesatud puutumatuse eesmärk on kaitsta parlamenti ja selle liikmeid kohtumenetluse eest, kus käsitletakse parlamendiliikme kohustuste täitmise käigus toimunud ja nendega lahutamatult seotud tegevust;</w:t>
      </w:r>
    </w:p>
    <w:p w14:paraId="33571559" w14:textId="77281EC9" w:rsidR="00A66C37" w:rsidRPr="001D157E" w:rsidRDefault="0000723C" w:rsidP="00A66C37">
      <w:pPr>
        <w:pStyle w:val="NormalHanging12a"/>
      </w:pPr>
      <w:r w:rsidRPr="001D157E">
        <w:t>H.</w:t>
      </w:r>
      <w:r w:rsidRPr="001D157E">
        <w:tab/>
        <w:t xml:space="preserve">arvestades, et kodukorra artikli 5 lõike 2 kohaselt ei ole parlamendiliikme puutumatus parlamendiliikme isiklik eesõigus, vaid parlamendi kui terviku ja selle liikmete </w:t>
      </w:r>
      <w:r w:rsidRPr="001D157E">
        <w:lastRenderedPageBreak/>
        <w:t>sõltumatuse tagatis;</w:t>
      </w:r>
    </w:p>
    <w:p w14:paraId="04700B85" w14:textId="39834CCE" w:rsidR="0000723C" w:rsidRPr="001D157E" w:rsidRDefault="0000723C" w:rsidP="0000723C">
      <w:pPr>
        <w:pStyle w:val="NormalHanging12a"/>
      </w:pPr>
      <w:bookmarkStart w:id="1" w:name="_Hlk227752086"/>
      <w:r w:rsidRPr="001D157E">
        <w:t>I.</w:t>
      </w:r>
      <w:bookmarkStart w:id="2" w:name="_Hlk227752575"/>
      <w:r w:rsidRPr="001D157E">
        <w:tab/>
        <w:t>arvestades, et järeldused tuleb teha kõnealuses asjas esitatud teabe ja selgituste põhjal; arvestades, et puutumatuse äravõtmise taotluse aluseks oleva kuriteokaebuse asjaolud ja motiivid on ebaselged ning kuriteokaebus on esitatud anonüümselt, mistõttu ei ole võimalik kuriteokaebust sisuliselt hinnata ega saa välistada võimalust, et kuriteokaebuse esitas eraisik, kellel on otsene poliitiline motiiv asjaomast parlamendiliiget kahjustada; arvestades lisaks, et seda kahltust süvendab kuriteokaebuse esitamise ajastus ja valikulisus, eriti arvestades parlamendiliikme silmapaistvat poliitilist rolli; arvestades, et taotluses esinevad vastuolud, sealhulgas ei ole taotlus täpne selles osas, kui suurte summadega kõnealusel juhul tegemist on, samuti tekitavad väidetava rikkumise konkreetsed asjaolud kahtluse, et menetluse eesmärk võis olla Angelika Niebleri maine kahjustamine;</w:t>
      </w:r>
    </w:p>
    <w:p w14:paraId="37F1F2AF" w14:textId="0498467B" w:rsidR="0000723C" w:rsidRPr="001D157E" w:rsidRDefault="0000723C" w:rsidP="0000723C">
      <w:pPr>
        <w:pStyle w:val="NormalHanging12a"/>
      </w:pPr>
      <w:r w:rsidRPr="001D157E">
        <w:t>J.</w:t>
      </w:r>
      <w:r w:rsidRPr="001D157E">
        <w:tab/>
        <w:t xml:space="preserve">arvestades, et selle konkreetse juhtumi puhul võib seega eeldada, et tegemist on </w:t>
      </w:r>
      <w:r w:rsidRPr="001D157E">
        <w:rPr>
          <w:i/>
          <w:iCs/>
        </w:rPr>
        <w:t>fumus persecutionis</w:t>
      </w:r>
      <w:r w:rsidRPr="001D157E">
        <w:t>’ega</w:t>
      </w:r>
      <w:bookmarkEnd w:id="2"/>
      <w:bookmarkEnd w:id="1"/>
      <w:r w:rsidRPr="001D157E">
        <w:t>, s.t on konkreetsed tõendid</w:t>
      </w:r>
      <w:r w:rsidRPr="001D157E">
        <w:rPr>
          <w:vertAlign w:val="superscript"/>
        </w:rPr>
        <w:footnoteReference w:id="4"/>
      </w:r>
      <w:r w:rsidRPr="001D157E">
        <w:t xml:space="preserve">, mis viitavad sellele, et kohtumenetluse eesmärk on tekitada kahju </w:t>
      </w:r>
      <w:bookmarkStart w:id="3" w:name="_Hlk223449412"/>
      <w:r w:rsidRPr="001D157E">
        <w:t>Angelika Niebleri</w:t>
      </w:r>
      <w:bookmarkEnd w:id="3"/>
      <w:r w:rsidRPr="001D157E">
        <w:t xml:space="preserve"> poliitilisele tegevusele, sealhulgas tema tegevusele Euroopa Parlamendi liikmena;</w:t>
      </w:r>
    </w:p>
    <w:p w14:paraId="57F8002F" w14:textId="77777777" w:rsidR="0000723C" w:rsidRPr="001D157E" w:rsidRDefault="0000723C" w:rsidP="0000723C">
      <w:pPr>
        <w:pStyle w:val="NormalHanging12a"/>
      </w:pPr>
      <w:r w:rsidRPr="001D157E">
        <w:t>K.</w:t>
      </w:r>
      <w:r w:rsidRPr="001D157E">
        <w:tab/>
        <w:t>arvestades, et esiteks ei saa parlamenti võrdsustada kohtuga ja teiseks ei tohi parlamendiliiget pidada puutumatuse äravõtmise menetluse raames süüdistatavaks</w:t>
      </w:r>
      <w:r w:rsidRPr="001D157E">
        <w:rPr>
          <w:vertAlign w:val="superscript"/>
        </w:rPr>
        <w:footnoteReference w:id="5"/>
      </w:r>
      <w:r w:rsidRPr="001D157E">
        <w:t>;</w:t>
      </w:r>
    </w:p>
    <w:p w14:paraId="602BF865" w14:textId="77777777" w:rsidR="0000723C" w:rsidRPr="001D157E" w:rsidRDefault="0000723C" w:rsidP="0000723C">
      <w:pPr>
        <w:pStyle w:val="NormalHanging12a"/>
      </w:pPr>
      <w:r w:rsidRPr="001D157E">
        <w:t>1.</w:t>
      </w:r>
      <w:r w:rsidRPr="001D157E">
        <w:tab/>
        <w:t>otsustab Angelika Niebleri puutumatust mitte ära võtta;</w:t>
      </w:r>
    </w:p>
    <w:p w14:paraId="11E5150F" w14:textId="77777777" w:rsidR="0000723C" w:rsidRPr="001D157E" w:rsidRDefault="0000723C" w:rsidP="008E680B">
      <w:pPr>
        <w:pStyle w:val="NormalHanging12a"/>
      </w:pPr>
      <w:r w:rsidRPr="001D157E">
        <w:t>2.</w:t>
      </w:r>
      <w:r w:rsidRPr="001D157E">
        <w:tab/>
        <w:t>teeb presidendile ülesandeks edastada käesolev otsus ja vastutava parlamendikomisjoni raport viivitamatult Euroopa Prokuratuurile ja Angelika Nieblerile.</w:t>
      </w:r>
    </w:p>
    <w:p w14:paraId="75824DE6" w14:textId="77777777" w:rsidR="00C752D7" w:rsidRPr="001D157E" w:rsidRDefault="00C752D7" w:rsidP="008E680B">
      <w:pPr>
        <w:sectPr w:rsidR="00C752D7" w:rsidRPr="001D157E" w:rsidSect="001D15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14:paraId="3ED8ED35" w14:textId="40B3086C" w:rsidR="008E680B" w:rsidRPr="001D157E" w:rsidRDefault="008E680B" w:rsidP="008E680B">
      <w:pPr>
        <w:pStyle w:val="PageHeading"/>
      </w:pPr>
      <w:bookmarkStart w:id="4" w:name="ProcPageRR"/>
      <w:bookmarkStart w:id="5" w:name="_Toc229120875"/>
      <w:r w:rsidRPr="001D157E">
        <w:lastRenderedPageBreak/>
        <w:t>TEAVE VASTUVÕTMISE KOHTA</w:t>
      </w:r>
      <w:r w:rsidRPr="001D157E">
        <w:br/>
        <w:t>VASTUTAVAS KOMISJONIS</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E680B" w:rsidRPr="001D157E" w14:paraId="7D69CAD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310E465" w14:textId="77777777" w:rsidR="008E680B" w:rsidRPr="001D157E" w:rsidRDefault="008E680B">
            <w:pPr>
              <w:autoSpaceDE w:val="0"/>
              <w:autoSpaceDN w:val="0"/>
              <w:adjustRightInd w:val="0"/>
              <w:rPr>
                <w:b/>
                <w:bCs/>
                <w:color w:val="000000"/>
                <w:sz w:val="20"/>
              </w:rPr>
            </w:pPr>
            <w:r w:rsidRPr="001D157E">
              <w:rPr>
                <w:b/>
                <w:color w:val="000000"/>
                <w:sz w:val="20"/>
              </w:rPr>
              <w:t>Vastuvõtmise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A16BDDF" w14:textId="77777777" w:rsidR="008E680B" w:rsidRPr="001D157E" w:rsidRDefault="008E680B">
            <w:pPr>
              <w:autoSpaceDE w:val="0"/>
              <w:autoSpaceDN w:val="0"/>
              <w:adjustRightInd w:val="0"/>
              <w:rPr>
                <w:color w:val="000000"/>
                <w:sz w:val="20"/>
              </w:rPr>
            </w:pPr>
            <w:r w:rsidRPr="001D157E">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7F0348" w14:textId="77777777" w:rsidR="008E680B" w:rsidRPr="001D157E"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4ADB0E1" w14:textId="77777777" w:rsidR="008E680B" w:rsidRPr="001D157E" w:rsidRDefault="008E680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678BC4" w14:textId="77777777" w:rsidR="008E680B" w:rsidRPr="001D157E" w:rsidRDefault="008E680B">
            <w:pPr>
              <w:autoSpaceDE w:val="0"/>
              <w:autoSpaceDN w:val="0"/>
              <w:adjustRightInd w:val="0"/>
              <w:rPr>
                <w:rFonts w:ascii="sans-serif" w:hAnsi="sans-serif" w:cs="sans-serif"/>
                <w:color w:val="000000"/>
              </w:rPr>
            </w:pPr>
          </w:p>
        </w:tc>
      </w:tr>
      <w:tr w:rsidR="008E680B" w:rsidRPr="001D157E" w14:paraId="002F4BC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97CF5B" w14:textId="77777777" w:rsidR="008E680B" w:rsidRPr="001D157E" w:rsidRDefault="008E680B">
            <w:pPr>
              <w:autoSpaceDE w:val="0"/>
              <w:autoSpaceDN w:val="0"/>
              <w:adjustRightInd w:val="0"/>
              <w:rPr>
                <w:b/>
                <w:bCs/>
                <w:color w:val="000000"/>
                <w:sz w:val="20"/>
              </w:rPr>
            </w:pPr>
            <w:r w:rsidRPr="001D157E">
              <w:rPr>
                <w:b/>
                <w:color w:val="000000"/>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0FABEE3" w14:textId="77777777" w:rsidR="008E680B" w:rsidRPr="001D157E" w:rsidRDefault="008E680B">
            <w:pPr>
              <w:autoSpaceDE w:val="0"/>
              <w:autoSpaceDN w:val="0"/>
              <w:adjustRightInd w:val="0"/>
              <w:rPr>
                <w:color w:val="000000"/>
                <w:sz w:val="20"/>
              </w:rPr>
            </w:pPr>
            <w:r w:rsidRPr="001D157E">
              <w:rPr>
                <w:color w:val="000000"/>
                <w:sz w:val="20"/>
              </w:rPr>
              <w:t>+:</w:t>
            </w:r>
          </w:p>
          <w:p w14:paraId="2E79C25D" w14:textId="77777777" w:rsidR="008E680B" w:rsidRPr="001D157E" w:rsidRDefault="008E680B">
            <w:pPr>
              <w:autoSpaceDE w:val="0"/>
              <w:autoSpaceDN w:val="0"/>
              <w:adjustRightInd w:val="0"/>
              <w:rPr>
                <w:color w:val="000000"/>
                <w:sz w:val="20"/>
              </w:rPr>
            </w:pPr>
            <w:r w:rsidRPr="001D157E">
              <w:rPr>
                <w:color w:val="000000"/>
                <w:sz w:val="20"/>
              </w:rPr>
              <w:t>–:</w:t>
            </w:r>
          </w:p>
          <w:p w14:paraId="10223099" w14:textId="77777777" w:rsidR="008E680B" w:rsidRPr="001D157E" w:rsidRDefault="008E680B">
            <w:pPr>
              <w:autoSpaceDE w:val="0"/>
              <w:autoSpaceDN w:val="0"/>
              <w:adjustRightInd w:val="0"/>
              <w:rPr>
                <w:color w:val="000000"/>
                <w:sz w:val="20"/>
              </w:rPr>
            </w:pPr>
            <w:r w:rsidRPr="001D157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AAF0F27" w14:textId="77777777" w:rsidR="008E680B" w:rsidRPr="001D157E" w:rsidRDefault="008E680B">
            <w:pPr>
              <w:autoSpaceDE w:val="0"/>
              <w:autoSpaceDN w:val="0"/>
              <w:adjustRightInd w:val="0"/>
              <w:rPr>
                <w:color w:val="000000"/>
                <w:sz w:val="20"/>
              </w:rPr>
            </w:pPr>
            <w:r w:rsidRPr="001D157E">
              <w:rPr>
                <w:color w:val="000000"/>
                <w:sz w:val="20"/>
              </w:rPr>
              <w:t>16</w:t>
            </w:r>
          </w:p>
          <w:p w14:paraId="78E4F16A" w14:textId="77777777" w:rsidR="008E680B" w:rsidRPr="001D157E" w:rsidRDefault="008E680B">
            <w:pPr>
              <w:autoSpaceDE w:val="0"/>
              <w:autoSpaceDN w:val="0"/>
              <w:adjustRightInd w:val="0"/>
              <w:rPr>
                <w:color w:val="000000"/>
                <w:sz w:val="20"/>
              </w:rPr>
            </w:pPr>
            <w:r w:rsidRPr="001D157E">
              <w:rPr>
                <w:color w:val="000000"/>
                <w:sz w:val="20"/>
              </w:rPr>
              <w:t>3</w:t>
            </w:r>
          </w:p>
          <w:p w14:paraId="020E7872" w14:textId="77777777" w:rsidR="008E680B" w:rsidRPr="001D157E" w:rsidRDefault="008E680B">
            <w:pPr>
              <w:autoSpaceDE w:val="0"/>
              <w:autoSpaceDN w:val="0"/>
              <w:adjustRightInd w:val="0"/>
              <w:rPr>
                <w:color w:val="000000"/>
                <w:sz w:val="20"/>
              </w:rPr>
            </w:pPr>
            <w:r w:rsidRPr="001D157E">
              <w:rPr>
                <w:color w:val="000000"/>
                <w:sz w:val="20"/>
              </w:rPr>
              <w:t>3</w:t>
            </w:r>
          </w:p>
        </w:tc>
      </w:tr>
    </w:tbl>
    <w:p w14:paraId="317A40F9" w14:textId="77777777" w:rsidR="008E680B" w:rsidRPr="001D157E" w:rsidRDefault="008E680B"/>
    <w:bookmarkEnd w:id="4"/>
    <w:p w14:paraId="1FF38F71" w14:textId="2E92617F" w:rsidR="00C752D7" w:rsidRPr="001D157E" w:rsidRDefault="00C752D7" w:rsidP="008E680B"/>
    <w:sectPr w:rsidR="00C752D7" w:rsidRPr="001D157E" w:rsidSect="008E680B">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1D157E" w:rsidRDefault="00320E21">
      <w:r w:rsidRPr="001D157E">
        <w:separator/>
      </w:r>
    </w:p>
  </w:endnote>
  <w:endnote w:type="continuationSeparator" w:id="0">
    <w:p w14:paraId="0B3BEB70" w14:textId="77777777" w:rsidR="00320E21" w:rsidRPr="001D157E" w:rsidRDefault="00320E21">
      <w:r w:rsidRPr="001D1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5EFBD" w14:textId="77777777" w:rsidR="001D157E" w:rsidRPr="001D157E" w:rsidRDefault="001D157E" w:rsidP="001D157E">
    <w:pPr>
      <w:pStyle w:val="EPFooter"/>
    </w:pPr>
    <w:r w:rsidRPr="001D157E">
      <w:t>PE</w:t>
    </w:r>
    <w:r w:rsidRPr="001D157E">
      <w:rPr>
        <w:rStyle w:val="HideTWBExt"/>
      </w:rPr>
      <w:t>&lt;NoPE&gt;</w:t>
    </w:r>
    <w:r w:rsidRPr="001D157E">
      <w:t>784.494</w:t>
    </w:r>
    <w:r w:rsidRPr="001D157E">
      <w:rPr>
        <w:rStyle w:val="HideTWBExt"/>
      </w:rPr>
      <w:t>&lt;/NoPE&gt;&lt;Version&gt;</w:t>
    </w:r>
    <w:r w:rsidRPr="001D157E">
      <w:t>v03-00</w:t>
    </w:r>
    <w:r w:rsidRPr="001D157E">
      <w:rPr>
        <w:rStyle w:val="HideTWBExt"/>
      </w:rPr>
      <w:t>&lt;/Version&gt;</w:t>
    </w:r>
    <w:r w:rsidRPr="001D157E">
      <w:tab/>
    </w:r>
    <w:r w:rsidRPr="001D157E">
      <w:fldChar w:fldCharType="begin"/>
    </w:r>
    <w:r w:rsidRPr="001D157E">
      <w:instrText xml:space="preserve"> PAGE  \* MERGEFORMAT </w:instrText>
    </w:r>
    <w:r w:rsidRPr="001D157E">
      <w:fldChar w:fldCharType="separate"/>
    </w:r>
    <w:r w:rsidRPr="001D157E">
      <w:rPr>
        <w:noProof/>
      </w:rPr>
      <w:t>2</w:t>
    </w:r>
    <w:r w:rsidRPr="001D157E">
      <w:fldChar w:fldCharType="end"/>
    </w:r>
    <w:r w:rsidRPr="001D157E">
      <w:t>/</w:t>
    </w:r>
    <w:fldSimple w:instr=" NUMPAGES  \* MERGEFORMAT ">
      <w:r w:rsidRPr="001D157E">
        <w:rPr>
          <w:noProof/>
        </w:rPr>
        <w:t>6</w:t>
      </w:r>
    </w:fldSimple>
    <w:r w:rsidRPr="001D157E">
      <w:tab/>
    </w:r>
    <w:r w:rsidRPr="001D157E">
      <w:rPr>
        <w:rStyle w:val="HideTWBExt"/>
      </w:rPr>
      <w:t>&lt;PathFdR&gt;</w:t>
    </w:r>
    <w:r w:rsidRPr="001D157E">
      <w:t>RR\1343291ET.docx</w:t>
    </w:r>
    <w:r w:rsidRPr="001D157E">
      <w:rPr>
        <w:rStyle w:val="HideTWBExt"/>
      </w:rPr>
      <w:t>&lt;/PathFdR&gt;</w:t>
    </w:r>
  </w:p>
  <w:p w14:paraId="2A2DE527" w14:textId="37F589B1" w:rsidR="0023430B" w:rsidRPr="001D157E" w:rsidRDefault="001D157E" w:rsidP="001D157E">
    <w:pPr>
      <w:pStyle w:val="EPFooter2"/>
    </w:pPr>
    <w:r w:rsidRPr="001D157E">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13D16" w14:textId="77777777" w:rsidR="001D157E" w:rsidRPr="001D157E" w:rsidRDefault="001D157E" w:rsidP="001D157E">
    <w:pPr>
      <w:pStyle w:val="EPFooter"/>
    </w:pPr>
    <w:r w:rsidRPr="001D157E">
      <w:rPr>
        <w:rStyle w:val="HideTWBExt"/>
      </w:rPr>
      <w:t>&lt;PathFdR&gt;</w:t>
    </w:r>
    <w:r w:rsidRPr="001D157E">
      <w:t>RR\1343291ET.docx</w:t>
    </w:r>
    <w:r w:rsidRPr="001D157E">
      <w:rPr>
        <w:rStyle w:val="HideTWBExt"/>
      </w:rPr>
      <w:t>&lt;/PathFdR&gt;</w:t>
    </w:r>
    <w:r w:rsidRPr="001D157E">
      <w:tab/>
    </w:r>
    <w:r w:rsidRPr="001D157E">
      <w:fldChar w:fldCharType="begin"/>
    </w:r>
    <w:r w:rsidRPr="001D157E">
      <w:instrText xml:space="preserve"> PAGE  \* MERGEFORMAT </w:instrText>
    </w:r>
    <w:r w:rsidRPr="001D157E">
      <w:fldChar w:fldCharType="separate"/>
    </w:r>
    <w:r w:rsidRPr="001D157E">
      <w:rPr>
        <w:noProof/>
      </w:rPr>
      <w:t>5</w:t>
    </w:r>
    <w:r w:rsidRPr="001D157E">
      <w:fldChar w:fldCharType="end"/>
    </w:r>
    <w:r w:rsidRPr="001D157E">
      <w:t>/</w:t>
    </w:r>
    <w:fldSimple w:instr=" NUMPAGES  \* MERGEFORMAT ">
      <w:r w:rsidRPr="001D157E">
        <w:rPr>
          <w:noProof/>
        </w:rPr>
        <w:t>6</w:t>
      </w:r>
    </w:fldSimple>
    <w:r w:rsidRPr="001D157E">
      <w:tab/>
      <w:t>PE</w:t>
    </w:r>
    <w:r w:rsidRPr="001D157E">
      <w:rPr>
        <w:rStyle w:val="HideTWBExt"/>
      </w:rPr>
      <w:t>&lt;NoPE&gt;</w:t>
    </w:r>
    <w:r w:rsidRPr="001D157E">
      <w:t>784.494</w:t>
    </w:r>
    <w:r w:rsidRPr="001D157E">
      <w:rPr>
        <w:rStyle w:val="HideTWBExt"/>
      </w:rPr>
      <w:t>&lt;/NoPE&gt;&lt;Version&gt;</w:t>
    </w:r>
    <w:r w:rsidRPr="001D157E">
      <w:t>v03-00</w:t>
    </w:r>
    <w:r w:rsidRPr="001D157E">
      <w:rPr>
        <w:rStyle w:val="HideTWBExt"/>
      </w:rPr>
      <w:t>&lt;/Version&gt;</w:t>
    </w:r>
  </w:p>
  <w:p w14:paraId="4EEAA9E0" w14:textId="5DA29E9C" w:rsidR="0023430B" w:rsidRPr="001D157E" w:rsidRDefault="001D157E" w:rsidP="001D157E">
    <w:pPr>
      <w:pStyle w:val="EPFooter2"/>
    </w:pPr>
    <w:r w:rsidRPr="001D157E">
      <w:tab/>
    </w:r>
    <w:r w:rsidRPr="001D157E">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4487" w14:textId="77777777" w:rsidR="001D157E" w:rsidRPr="001D157E" w:rsidRDefault="001D157E" w:rsidP="001D157E">
    <w:pPr>
      <w:pStyle w:val="EPFooter"/>
    </w:pPr>
    <w:r w:rsidRPr="001D157E">
      <w:rPr>
        <w:rStyle w:val="HideTWBExt"/>
      </w:rPr>
      <w:t>&lt;PathFdR&gt;</w:t>
    </w:r>
    <w:r w:rsidRPr="001D157E">
      <w:t>RR\1343291ET.docx</w:t>
    </w:r>
    <w:r w:rsidRPr="001D157E">
      <w:rPr>
        <w:rStyle w:val="HideTWBExt"/>
      </w:rPr>
      <w:t>&lt;/PathFdR&gt;</w:t>
    </w:r>
    <w:r w:rsidRPr="001D157E">
      <w:tab/>
    </w:r>
    <w:r w:rsidRPr="001D157E">
      <w:tab/>
      <w:t>PE</w:t>
    </w:r>
    <w:r w:rsidRPr="001D157E">
      <w:rPr>
        <w:rStyle w:val="HideTWBExt"/>
      </w:rPr>
      <w:t>&lt;NoPE&gt;</w:t>
    </w:r>
    <w:r w:rsidRPr="001D157E">
      <w:t>784.494</w:t>
    </w:r>
    <w:r w:rsidRPr="001D157E">
      <w:rPr>
        <w:rStyle w:val="HideTWBExt"/>
      </w:rPr>
      <w:t>&lt;/NoPE&gt;&lt;Version&gt;</w:t>
    </w:r>
    <w:r w:rsidRPr="001D157E">
      <w:t>v03-00</w:t>
    </w:r>
    <w:r w:rsidRPr="001D157E">
      <w:rPr>
        <w:rStyle w:val="HideTWBExt"/>
      </w:rPr>
      <w:t>&lt;/Version&gt;</w:t>
    </w:r>
  </w:p>
  <w:p w14:paraId="34911635" w14:textId="790DDA74" w:rsidR="0023430B" w:rsidRPr="001D157E" w:rsidRDefault="001D157E" w:rsidP="001D157E">
    <w:pPr>
      <w:pStyle w:val="EPFooter2"/>
    </w:pPr>
    <w:r w:rsidRPr="001D157E">
      <w:t>ET</w:t>
    </w:r>
    <w:r w:rsidRPr="001D157E">
      <w:tab/>
    </w:r>
    <w:r w:rsidRPr="001D157E">
      <w:rPr>
        <w:b w:val="0"/>
        <w:i/>
        <w:color w:val="C0C0C0"/>
        <w:sz w:val="22"/>
      </w:rPr>
      <w:t>Ühinenud mitmekesisuses</w:t>
    </w:r>
    <w:r w:rsidRPr="001D157E">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1D157E" w:rsidRDefault="00320E21">
      <w:r w:rsidRPr="001D157E">
        <w:separator/>
      </w:r>
    </w:p>
  </w:footnote>
  <w:footnote w:type="continuationSeparator" w:id="0">
    <w:p w14:paraId="13B4604B" w14:textId="77777777" w:rsidR="00320E21" w:rsidRPr="001D157E" w:rsidRDefault="00320E21">
      <w:r w:rsidRPr="001D157E">
        <w:continuationSeparator/>
      </w:r>
    </w:p>
  </w:footnote>
  <w:footnote w:id="1">
    <w:p w14:paraId="003EF8E5" w14:textId="77777777" w:rsidR="0000723C" w:rsidRPr="001D157E" w:rsidRDefault="0000723C" w:rsidP="00A66C37">
      <w:pPr>
        <w:pStyle w:val="FootnoteText"/>
      </w:pPr>
      <w:r w:rsidRPr="001D157E">
        <w:rPr>
          <w:rStyle w:val="FootnoteReference"/>
        </w:rPr>
        <w:footnoteRef/>
      </w:r>
      <w:r w:rsidRPr="001D157E">
        <w:rPr>
          <w:rStyle w:val="FootnoteReference"/>
        </w:rPr>
        <w:t xml:space="preserve"> </w:t>
      </w:r>
      <w:r w:rsidRPr="001D157E">
        <w:t>ELT L 283, 31.10.2017, lk 1.</w:t>
      </w:r>
    </w:p>
  </w:footnote>
  <w:footnote w:id="2">
    <w:p w14:paraId="0ADF13AE" w14:textId="77777777" w:rsidR="0000723C" w:rsidRPr="001D157E" w:rsidRDefault="0000723C" w:rsidP="00A66C37">
      <w:pPr>
        <w:pStyle w:val="FootnoteText"/>
      </w:pPr>
      <w:r w:rsidRPr="001D157E">
        <w:rPr>
          <w:rStyle w:val="FootnoteReference"/>
        </w:rPr>
        <w:footnoteRef/>
      </w:r>
      <w:r w:rsidRPr="001D157E">
        <w:rPr>
          <w:rStyle w:val="FootnoteReference"/>
        </w:rPr>
        <w:t xml:space="preserve"> </w:t>
      </w:r>
      <w:r w:rsidRPr="001D157E">
        <w:t xml:space="preserve">Kohtuotsus, Euroopa Kohus, 21. oktoober 2008, Marra </w:t>
      </w:r>
      <w:r w:rsidRPr="001D157E">
        <w:rPr>
          <w:i/>
        </w:rPr>
        <w:t>vs</w:t>
      </w:r>
      <w:r w:rsidRPr="001D157E">
        <w:t xml:space="preserve">. De Gregorio ja Clemente, C-200/07 ja C-201/07, ECLI:EU:C:2008:579; kohtuotsus, Üldkohus, 19. märts 2010, Gollnisch </w:t>
      </w:r>
      <w:r w:rsidRPr="001D157E">
        <w:rPr>
          <w:i/>
        </w:rPr>
        <w:t>vs</w:t>
      </w:r>
      <w:r w:rsidRPr="001D157E">
        <w:t xml:space="preserve">. parlament, T-42/06, ECLI:EU:T:2010:102; kohtuotsus, Euroopa Kohus, 6. september 2011, Patriciello, C-163/10, ECLI: EU:C:2011:543; kohtuotsus, Üldkohus, 17. jaanuar 2013, Gollnisch </w:t>
      </w:r>
      <w:r w:rsidRPr="001D157E">
        <w:rPr>
          <w:i/>
          <w:iCs/>
        </w:rPr>
        <w:t>vs</w:t>
      </w:r>
      <w:r w:rsidRPr="001D157E">
        <w:t>. parlament, T-346/11 ja T-347/11, ECLI:EU:T:2013:23; kohtuotsus, Euroopa Kohus, 19. detsember 2019, Junqueras Vies, C-502/19, ECLI:EU:C:2019:1115.</w:t>
      </w:r>
    </w:p>
  </w:footnote>
  <w:footnote w:id="3">
    <w:p w14:paraId="2B02AD51" w14:textId="36379D09" w:rsidR="0000723C" w:rsidRPr="001D157E" w:rsidRDefault="0000723C" w:rsidP="00A66C37">
      <w:pPr>
        <w:pStyle w:val="FootnoteText"/>
      </w:pPr>
      <w:r w:rsidRPr="001D157E">
        <w:rPr>
          <w:rStyle w:val="FootnoteReference"/>
        </w:rPr>
        <w:footnoteRef/>
      </w:r>
      <w:r w:rsidRPr="001D157E">
        <w:rPr>
          <w:rStyle w:val="FootnoteReference"/>
        </w:rPr>
        <w:t xml:space="preserve"> </w:t>
      </w:r>
      <w:r w:rsidRPr="001D157E">
        <w:t xml:space="preserve">Juhatuse 11. septembri 2023. aasta otsus Euroopa Parlamendi liikmete põhimääruse rakendusmeetmete kohta ja millega tunnistatakse kehtetuks juhatuse 19. mai ja 9. juuli 2008. aasta otsus (ELT C/2024/2814, 26.4.2024, ELI: </w:t>
      </w:r>
      <w:hyperlink r:id="rId1" w:tgtFrame="_blank" w:tooltip="Annab juurdepääsu sellele dokumendile tema ELI URI kaudu." w:history="1">
        <w:r w:rsidRPr="001D157E">
          <w:rPr>
            <w:rStyle w:val="Hyperlink"/>
            <w:color w:val="0563C1"/>
          </w:rPr>
          <w:t>http://data.europa.eu/eli/C/2024/2814/oj</w:t>
        </w:r>
      </w:hyperlink>
      <w:r w:rsidRPr="001D157E">
        <w:t xml:space="preserve">). </w:t>
      </w:r>
    </w:p>
  </w:footnote>
  <w:footnote w:id="4">
    <w:p w14:paraId="438588C7" w14:textId="77777777" w:rsidR="0000723C" w:rsidRPr="001D157E" w:rsidRDefault="0000723C" w:rsidP="00A66C37">
      <w:pPr>
        <w:pStyle w:val="FootnoteText"/>
      </w:pPr>
      <w:r w:rsidRPr="001D157E">
        <w:rPr>
          <w:rStyle w:val="FootnoteReference"/>
        </w:rPr>
        <w:footnoteRef/>
      </w:r>
      <w:r w:rsidRPr="001D157E">
        <w:rPr>
          <w:rStyle w:val="FootnoteReference"/>
        </w:rPr>
        <w:t xml:space="preserve"> </w:t>
      </w:r>
      <w:r w:rsidRPr="001D157E">
        <w:t xml:space="preserve">Kohtuotsus, Euroopa Kohus, 17. september 2020, Troszczynski </w:t>
      </w:r>
      <w:r w:rsidRPr="001D157E">
        <w:rPr>
          <w:i/>
        </w:rPr>
        <w:t>vs</w:t>
      </w:r>
      <w:r w:rsidRPr="001D157E">
        <w:t>. Euroopa Parlament, C-12/19 P, ECLI:EU:C:2020:725, punkt 26.</w:t>
      </w:r>
    </w:p>
  </w:footnote>
  <w:footnote w:id="5">
    <w:p w14:paraId="74DD20B8" w14:textId="77777777" w:rsidR="0000723C" w:rsidRPr="001D157E" w:rsidRDefault="0000723C" w:rsidP="00A66C37">
      <w:pPr>
        <w:pStyle w:val="FootnoteText"/>
      </w:pPr>
      <w:r w:rsidRPr="001D157E">
        <w:rPr>
          <w:rStyle w:val="FootnoteReference"/>
        </w:rPr>
        <w:footnoteRef/>
      </w:r>
      <w:r w:rsidRPr="001D157E">
        <w:rPr>
          <w:rStyle w:val="FootnoteReference"/>
        </w:rPr>
        <w:t xml:space="preserve"> </w:t>
      </w:r>
      <w:r w:rsidRPr="001D157E">
        <w:t xml:space="preserve">Kohtuotsus, Üldkohus, 30. aprill 2019, Briois </w:t>
      </w:r>
      <w:r w:rsidRPr="001D157E">
        <w:rPr>
          <w:i/>
        </w:rPr>
        <w:t>vs</w:t>
      </w:r>
      <w:r w:rsidRPr="001D157E">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34A7F" w14:textId="77777777" w:rsidR="005C606B" w:rsidRDefault="005C60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5153" w14:textId="77777777" w:rsidR="005C606B" w:rsidRDefault="005C6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737DE" w14:textId="77777777" w:rsidR="005C606B" w:rsidRDefault="005C60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06/05/2026"/>
    <w:docVar w:name="EPPOMNU" w:val=" 1"/>
    <w:docVar w:name="HEARDMNU" w:val=" 1"/>
    <w:docVar w:name="JUDGMNU@" w:val=" 1"/>
    <w:docVar w:name="LastEditedSection" w:val=" 1"/>
    <w:docVar w:name="PLENARYDT" w:val="18/02/2026"/>
    <w:docVar w:name="REQUESTDT" w:val="18/02/2026"/>
    <w:docVar w:name="strDocTypeID" w:val="PR_IMM_Waiver"/>
    <w:docVar w:name="strSubDir" w:val="784"/>
    <w:docVar w:name="TXTAUTHOR" w:val="Marcin Sypniewski"/>
    <w:docVar w:name="TXTLANGUE" w:val="ET"/>
    <w:docVar w:name="TXTLANGUEMIN" w:val="et"/>
    <w:docVar w:name="TXTNAME" w:val="Angelika Niebler"/>
    <w:docVar w:name="TXTNRIMM" w:val="2025/2175"/>
    <w:docVar w:name="TXTNRPE" w:val="784.494"/>
    <w:docVar w:name="TXTPEorAP" w:val="PE"/>
    <w:docVar w:name="TXTROUTE" w:val="RR\1343291ET.docx"/>
    <w:docVar w:name="TXTVERSION" w:val="03-00"/>
    <w:docVar w:name="WAIVEMNU" w:val=" 2"/>
  </w:docVars>
  <w:rsids>
    <w:rsidRoot w:val="00320E21"/>
    <w:rsid w:val="0000723C"/>
    <w:rsid w:val="00042033"/>
    <w:rsid w:val="00044B9B"/>
    <w:rsid w:val="00060E63"/>
    <w:rsid w:val="0006105E"/>
    <w:rsid w:val="00061869"/>
    <w:rsid w:val="000A3E92"/>
    <w:rsid w:val="000C0CAA"/>
    <w:rsid w:val="000D06AD"/>
    <w:rsid w:val="000E36C4"/>
    <w:rsid w:val="001107E4"/>
    <w:rsid w:val="001323C3"/>
    <w:rsid w:val="00135AEF"/>
    <w:rsid w:val="00142D49"/>
    <w:rsid w:val="00162F2C"/>
    <w:rsid w:val="001641EA"/>
    <w:rsid w:val="001B4759"/>
    <w:rsid w:val="001C7F31"/>
    <w:rsid w:val="001D157E"/>
    <w:rsid w:val="001F52C3"/>
    <w:rsid w:val="00205304"/>
    <w:rsid w:val="00215FF9"/>
    <w:rsid w:val="0023430B"/>
    <w:rsid w:val="002442B3"/>
    <w:rsid w:val="00273EFB"/>
    <w:rsid w:val="00285706"/>
    <w:rsid w:val="002915E6"/>
    <w:rsid w:val="002E1584"/>
    <w:rsid w:val="002E57B5"/>
    <w:rsid w:val="00320E21"/>
    <w:rsid w:val="00326E87"/>
    <w:rsid w:val="00334D47"/>
    <w:rsid w:val="00351F7C"/>
    <w:rsid w:val="0035402F"/>
    <w:rsid w:val="0035595E"/>
    <w:rsid w:val="00373361"/>
    <w:rsid w:val="0037673A"/>
    <w:rsid w:val="00392A3D"/>
    <w:rsid w:val="003B1888"/>
    <w:rsid w:val="003D30B4"/>
    <w:rsid w:val="003E24B5"/>
    <w:rsid w:val="003E58C6"/>
    <w:rsid w:val="004433B2"/>
    <w:rsid w:val="00443C28"/>
    <w:rsid w:val="0044752A"/>
    <w:rsid w:val="00452B9B"/>
    <w:rsid w:val="00455E7B"/>
    <w:rsid w:val="0045635E"/>
    <w:rsid w:val="00493F90"/>
    <w:rsid w:val="004D0C62"/>
    <w:rsid w:val="004E7774"/>
    <w:rsid w:val="00510190"/>
    <w:rsid w:val="00521A45"/>
    <w:rsid w:val="00544537"/>
    <w:rsid w:val="005915B5"/>
    <w:rsid w:val="005922F7"/>
    <w:rsid w:val="005A5EB1"/>
    <w:rsid w:val="005B5955"/>
    <w:rsid w:val="005C211E"/>
    <w:rsid w:val="005C606B"/>
    <w:rsid w:val="00633DF2"/>
    <w:rsid w:val="00637475"/>
    <w:rsid w:val="00681E33"/>
    <w:rsid w:val="006C038C"/>
    <w:rsid w:val="007058FF"/>
    <w:rsid w:val="0074241C"/>
    <w:rsid w:val="00745469"/>
    <w:rsid w:val="00753DFC"/>
    <w:rsid w:val="00757FD3"/>
    <w:rsid w:val="007613CD"/>
    <w:rsid w:val="0076428C"/>
    <w:rsid w:val="007660B3"/>
    <w:rsid w:val="00771E7F"/>
    <w:rsid w:val="0078039D"/>
    <w:rsid w:val="00785C52"/>
    <w:rsid w:val="00785E19"/>
    <w:rsid w:val="00797CAE"/>
    <w:rsid w:val="007A7BF5"/>
    <w:rsid w:val="007C040A"/>
    <w:rsid w:val="007C5520"/>
    <w:rsid w:val="007D41C7"/>
    <w:rsid w:val="007D49EE"/>
    <w:rsid w:val="007E434A"/>
    <w:rsid w:val="007F4D6A"/>
    <w:rsid w:val="00801003"/>
    <w:rsid w:val="008364EC"/>
    <w:rsid w:val="008376BE"/>
    <w:rsid w:val="00851E2C"/>
    <w:rsid w:val="00867D72"/>
    <w:rsid w:val="00871707"/>
    <w:rsid w:val="00871E49"/>
    <w:rsid w:val="00872381"/>
    <w:rsid w:val="00890B70"/>
    <w:rsid w:val="008A2C2B"/>
    <w:rsid w:val="008D1236"/>
    <w:rsid w:val="008D1C36"/>
    <w:rsid w:val="008D3888"/>
    <w:rsid w:val="008D4AFE"/>
    <w:rsid w:val="008E680B"/>
    <w:rsid w:val="008E6FB9"/>
    <w:rsid w:val="008F39C8"/>
    <w:rsid w:val="0091636F"/>
    <w:rsid w:val="009442F2"/>
    <w:rsid w:val="009915DD"/>
    <w:rsid w:val="009A22F3"/>
    <w:rsid w:val="009A4162"/>
    <w:rsid w:val="009B47E5"/>
    <w:rsid w:val="009E7AD9"/>
    <w:rsid w:val="009F5083"/>
    <w:rsid w:val="00A152F9"/>
    <w:rsid w:val="00A17553"/>
    <w:rsid w:val="00A26926"/>
    <w:rsid w:val="00A26CA4"/>
    <w:rsid w:val="00A33B09"/>
    <w:rsid w:val="00A33F5A"/>
    <w:rsid w:val="00A475BD"/>
    <w:rsid w:val="00A5652C"/>
    <w:rsid w:val="00A66C37"/>
    <w:rsid w:val="00A87FB0"/>
    <w:rsid w:val="00AB4868"/>
    <w:rsid w:val="00B54ED2"/>
    <w:rsid w:val="00B81D30"/>
    <w:rsid w:val="00B83348"/>
    <w:rsid w:val="00BA4C87"/>
    <w:rsid w:val="00C03881"/>
    <w:rsid w:val="00C31534"/>
    <w:rsid w:val="00C42BD9"/>
    <w:rsid w:val="00C43D3B"/>
    <w:rsid w:val="00C752D7"/>
    <w:rsid w:val="00CA3CB6"/>
    <w:rsid w:val="00CC662F"/>
    <w:rsid w:val="00CE5349"/>
    <w:rsid w:val="00CF16EE"/>
    <w:rsid w:val="00D00CC5"/>
    <w:rsid w:val="00D1021A"/>
    <w:rsid w:val="00D355AA"/>
    <w:rsid w:val="00D35C03"/>
    <w:rsid w:val="00D77A3E"/>
    <w:rsid w:val="00D964CE"/>
    <w:rsid w:val="00DA14FB"/>
    <w:rsid w:val="00DA1893"/>
    <w:rsid w:val="00DA67D6"/>
    <w:rsid w:val="00DB1E47"/>
    <w:rsid w:val="00DC6FE9"/>
    <w:rsid w:val="00DD480D"/>
    <w:rsid w:val="00DF3C39"/>
    <w:rsid w:val="00DF74F0"/>
    <w:rsid w:val="00E114BC"/>
    <w:rsid w:val="00E34D86"/>
    <w:rsid w:val="00E40235"/>
    <w:rsid w:val="00E9555B"/>
    <w:rsid w:val="00EA59C2"/>
    <w:rsid w:val="00EB33CA"/>
    <w:rsid w:val="00EC27D7"/>
    <w:rsid w:val="00EC401F"/>
    <w:rsid w:val="00ED0AC8"/>
    <w:rsid w:val="00ED7364"/>
    <w:rsid w:val="00EE1CD1"/>
    <w:rsid w:val="00EE79E0"/>
    <w:rsid w:val="00F03A29"/>
    <w:rsid w:val="00F452C6"/>
    <w:rsid w:val="00F66BA4"/>
    <w:rsid w:val="00F676B3"/>
    <w:rsid w:val="00F81B74"/>
    <w:rsid w:val="00F846BC"/>
    <w:rsid w:val="00F857A1"/>
    <w:rsid w:val="00F918B5"/>
    <w:rsid w:val="00F97FEC"/>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8A2C2B"/>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466246498">
      <w:bodyDiv w:val="1"/>
      <w:marLeft w:val="0"/>
      <w:marRight w:val="0"/>
      <w:marTop w:val="0"/>
      <w:marBottom w:val="0"/>
      <w:divBdr>
        <w:top w:val="none" w:sz="0" w:space="0" w:color="auto"/>
        <w:left w:val="none" w:sz="0" w:space="0" w:color="auto"/>
        <w:bottom w:val="none" w:sz="0" w:space="0" w:color="auto"/>
        <w:right w:val="none" w:sz="0" w:space="0" w:color="auto"/>
      </w:divBdr>
    </w:div>
    <w:div w:id="497697288">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917</Words>
  <Characters>6309</Characters>
  <Application>Microsoft Office Word</Application>
  <DocSecurity>0</DocSecurity>
  <Lines>134</Lines>
  <Paragraphs>62</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LEVERTAND Reet</cp:lastModifiedBy>
  <cp:revision>2</cp:revision>
  <cp:lastPrinted>2026-05-06T12:11:00Z</cp:lastPrinted>
  <dcterms:created xsi:type="dcterms:W3CDTF">2026-05-08T06:21:00Z</dcterms:created>
  <dcterms:modified xsi:type="dcterms:W3CDTF">2026-05-08T06:21:00Z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1343291</vt:lpwstr>
  </property>
  <property fmtid="{D5CDD505-2E9C-101B-9397-08002B2CF9AE}" pid="6" name="&lt;Type&gt;">
    <vt:lpwstr>RR</vt:lpwstr>
  </property>
  <property fmtid="{D5CDD505-2E9C-101B-9397-08002B2CF9AE}" pid="7" name="&lt;ModelCod&gt;">
    <vt:lpwstr>\\eiciBRUpr1\pdocep$\DocEP\DOCS\General\PR\PR_NonLeg\IMM\PR_IMM_Waiver.dotx(26/05/2023 16:52:03)</vt:lpwstr>
  </property>
  <property fmtid="{D5CDD505-2E9C-101B-9397-08002B2CF9AE}" pid="8" name="&lt;ModelTra&gt;">
    <vt:lpwstr>\\eiciBRUpr1\pdocep$\DocEP\TRANSFIL\EN\PR_IMM_Waiver.EN(05/08/2025 15:25:00)</vt:lpwstr>
  </property>
  <property fmtid="{D5CDD505-2E9C-101B-9397-08002B2CF9AE}" pid="9" name="&lt;Model&gt;">
    <vt:lpwstr>PR_IMM_Waiver</vt:lpwstr>
  </property>
  <property fmtid="{D5CDD505-2E9C-101B-9397-08002B2CF9AE}" pid="10" name="FooterPath">
    <vt:lpwstr>RR\1343291ET.docx</vt:lpwstr>
  </property>
  <property fmtid="{D5CDD505-2E9C-101B-9397-08002B2CF9AE}" pid="11" name="PE number">
    <vt:lpwstr>784.494</vt:lpwstr>
  </property>
  <property fmtid="{D5CDD505-2E9C-101B-9397-08002B2CF9AE}" pid="12" name="RegistreCheck">
    <vt:lpwstr>OK</vt:lpwstr>
  </property>
  <property fmtid="{D5CDD505-2E9C-101B-9397-08002B2CF9AE}" pid="13" name="SendToEpades">
    <vt:lpwstr/>
  </property>
  <property fmtid="{D5CDD505-2E9C-101B-9397-08002B2CF9AE}" pid="14" name="Bookout">
    <vt:lpwstr>OK - 2026/05/08 08:18</vt:lpwstr>
  </property>
  <property fmtid="{D5CDD505-2E9C-101B-9397-08002B2CF9AE}" pid="15" name="OriLang">
    <vt:lpwstr>EN</vt:lpwstr>
  </property>
  <property fmtid="{D5CDD505-2E9C-101B-9397-08002B2CF9AE}" pid="16" name="SDLStudio">
    <vt:lpwstr/>
  </property>
</Properties>
</file>