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CD7169" w14:paraId="3667DC6D" w14:textId="77777777" w:rsidTr="00C85D0F">
        <w:trPr>
          <w:trHeight w:hRule="exact" w:val="1418"/>
        </w:trPr>
        <w:tc>
          <w:tcPr>
            <w:tcW w:w="6804" w:type="dxa"/>
            <w:shd w:val="clear" w:color="auto" w:fill="auto"/>
            <w:vAlign w:val="center"/>
          </w:tcPr>
          <w:p w14:paraId="499E32C8" w14:textId="77777777" w:rsidR="00CF16EE" w:rsidRPr="00CD7169" w:rsidRDefault="00320E21" w:rsidP="00C85D0F">
            <w:pPr>
              <w:pStyle w:val="EPName"/>
            </w:pPr>
            <w:r w:rsidRPr="00CD7169">
              <w:t>Euroopan parlamentti</w:t>
            </w:r>
          </w:p>
          <w:p w14:paraId="550EF0F5" w14:textId="5935EBD1" w:rsidR="00CF16EE" w:rsidRPr="00CD7169" w:rsidRDefault="005C211E" w:rsidP="00C85D0F">
            <w:pPr>
              <w:pStyle w:val="EPTerm"/>
            </w:pPr>
            <w:r w:rsidRPr="00CD7169">
              <w:t>2024-2029</w:t>
            </w:r>
          </w:p>
        </w:tc>
        <w:tc>
          <w:tcPr>
            <w:tcW w:w="2268" w:type="dxa"/>
            <w:shd w:val="clear" w:color="auto" w:fill="auto"/>
          </w:tcPr>
          <w:p w14:paraId="393EB9BA" w14:textId="77777777" w:rsidR="00CF16EE" w:rsidRPr="00CD7169" w:rsidRDefault="00CF16EE" w:rsidP="00C85D0F">
            <w:pPr>
              <w:pStyle w:val="EPLogo"/>
            </w:pPr>
            <w:r w:rsidRPr="00CD7169">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022DB" w14:textId="77777777" w:rsidR="00215FF9" w:rsidRPr="00CD7169" w:rsidRDefault="00215FF9" w:rsidP="00215FF9">
      <w:pPr>
        <w:pStyle w:val="LineTop"/>
      </w:pPr>
    </w:p>
    <w:p w14:paraId="53C5FC8E" w14:textId="7448D2F4" w:rsidR="00215FF9" w:rsidRPr="00CD7169" w:rsidRDefault="008A2C2B" w:rsidP="00215FF9">
      <w:pPr>
        <w:pStyle w:val="EPBody"/>
      </w:pPr>
      <w:r w:rsidRPr="00CD7169">
        <w:t>Istuntoasiakirja</w:t>
      </w:r>
    </w:p>
    <w:p w14:paraId="6D76BAFC" w14:textId="77777777" w:rsidR="00215FF9" w:rsidRPr="00CD7169" w:rsidRDefault="00215FF9" w:rsidP="00215FF9">
      <w:pPr>
        <w:pStyle w:val="LineBottom"/>
      </w:pPr>
    </w:p>
    <w:p w14:paraId="12CA5B61" w14:textId="603AD008" w:rsidR="005922F7" w:rsidRPr="00CD7169" w:rsidRDefault="008A2C2B" w:rsidP="008A2C2B">
      <w:pPr>
        <w:pStyle w:val="CoverReference"/>
      </w:pPr>
      <w:r w:rsidRPr="00CD7169">
        <w:rPr>
          <w:rStyle w:val="HideTWBExt"/>
        </w:rPr>
        <w:t>&lt;NoDocSe&gt;</w:t>
      </w:r>
      <w:r w:rsidRPr="00CD7169">
        <w:t>A10-0127/2026</w:t>
      </w:r>
      <w:r w:rsidRPr="00CD7169">
        <w:rPr>
          <w:rStyle w:val="HideTWBExt"/>
        </w:rPr>
        <w:t>&lt;/NoDocSe&gt;</w:t>
      </w:r>
    </w:p>
    <w:p w14:paraId="78204F3C" w14:textId="2840580C" w:rsidR="005922F7" w:rsidRPr="00CD7169" w:rsidRDefault="005922F7" w:rsidP="005922F7">
      <w:pPr>
        <w:pStyle w:val="CoverDate"/>
      </w:pPr>
      <w:r w:rsidRPr="00CD7169">
        <w:rPr>
          <w:rStyle w:val="HideTWBExt"/>
        </w:rPr>
        <w:t>&lt;Date&gt;</w:t>
      </w:r>
      <w:r w:rsidRPr="00CD7169">
        <w:rPr>
          <w:rStyle w:val="HideTWBInt"/>
        </w:rPr>
        <w:t>{06/05/2026}</w:t>
      </w:r>
      <w:r w:rsidRPr="00CD7169">
        <w:t>6.5.2026</w:t>
      </w:r>
      <w:r w:rsidRPr="00CD7169">
        <w:rPr>
          <w:rStyle w:val="HideTWBExt"/>
        </w:rPr>
        <w:t>&lt;/Date&gt;</w:t>
      </w:r>
    </w:p>
    <w:p w14:paraId="0A8C9714" w14:textId="2D69DC23" w:rsidR="00142D49" w:rsidRPr="00CD7169" w:rsidRDefault="00142D49">
      <w:pPr>
        <w:pStyle w:val="CoverDocType24a"/>
      </w:pPr>
      <w:r w:rsidRPr="00CD7169">
        <w:rPr>
          <w:rStyle w:val="HideTWBExt"/>
          <w:b w:val="0"/>
        </w:rPr>
        <w:t>&lt;TitreType&gt;</w:t>
      </w:r>
      <w:r w:rsidRPr="00CD7169">
        <w:t>MIETINTÖ</w:t>
      </w:r>
      <w:r w:rsidRPr="00CD7169">
        <w:rPr>
          <w:rStyle w:val="HideTWBExt"/>
          <w:b w:val="0"/>
        </w:rPr>
        <w:t>&lt;/TitreType&gt;</w:t>
      </w:r>
    </w:p>
    <w:p w14:paraId="4E8C8B7E" w14:textId="50DC94B9" w:rsidR="00142D49" w:rsidRPr="00CD7169" w:rsidRDefault="00142D49">
      <w:pPr>
        <w:pStyle w:val="CoverNormal"/>
      </w:pPr>
      <w:r w:rsidRPr="00CD7169">
        <w:rPr>
          <w:rStyle w:val="HideTWBExt"/>
        </w:rPr>
        <w:t>&lt;Titre&gt;</w:t>
      </w:r>
      <w:r w:rsidRPr="00CD7169">
        <w:t>Angelika Nieblerin koskemattomuuden pidättämistä koskevasta pyynnöstä</w:t>
      </w:r>
      <w:r w:rsidRPr="00CD7169">
        <w:rPr>
          <w:rStyle w:val="HideTWBExt"/>
        </w:rPr>
        <w:t>&lt;/Titre&gt;</w:t>
      </w:r>
    </w:p>
    <w:p w14:paraId="00D04794" w14:textId="39426B47" w:rsidR="00142D49" w:rsidRPr="00CD7169" w:rsidRDefault="00142D49">
      <w:pPr>
        <w:pStyle w:val="CoverNormal24a"/>
      </w:pPr>
      <w:r w:rsidRPr="00CD7169">
        <w:rPr>
          <w:rStyle w:val="HideTWBExt"/>
        </w:rPr>
        <w:t>&lt;DocRef&gt;</w:t>
      </w:r>
      <w:r w:rsidRPr="00CD7169">
        <w:t>(2025/2175(IMM))</w:t>
      </w:r>
      <w:r w:rsidRPr="00CD7169">
        <w:rPr>
          <w:rStyle w:val="HideTWBExt"/>
        </w:rPr>
        <w:t>&lt;/DocRef&gt;</w:t>
      </w:r>
    </w:p>
    <w:p w14:paraId="5156B455" w14:textId="77777777" w:rsidR="00142D49" w:rsidRPr="00CD7169" w:rsidRDefault="00142D49">
      <w:pPr>
        <w:pStyle w:val="CoverNormal24a"/>
      </w:pPr>
      <w:r w:rsidRPr="00CD7169">
        <w:rPr>
          <w:rStyle w:val="HideTWBExt"/>
        </w:rPr>
        <w:t>&lt;Commission&gt;</w:t>
      </w:r>
      <w:r w:rsidRPr="00CD7169">
        <w:rPr>
          <w:rStyle w:val="HideTWBInt"/>
        </w:rPr>
        <w:t>{JURI}</w:t>
      </w:r>
      <w:r w:rsidRPr="00CD7169">
        <w:t>Oikeudellisten asioiden valiokunta</w:t>
      </w:r>
      <w:r w:rsidRPr="00CD7169">
        <w:rPr>
          <w:rStyle w:val="HideTWBExt"/>
        </w:rPr>
        <w:t>&lt;/Commission&gt;</w:t>
      </w:r>
    </w:p>
    <w:p w14:paraId="06510A3C" w14:textId="41666FC6" w:rsidR="00142D49" w:rsidRPr="00CD7169" w:rsidRDefault="00320E21">
      <w:pPr>
        <w:pStyle w:val="CoverNormal24a"/>
      </w:pPr>
      <w:r w:rsidRPr="00CD7169">
        <w:t xml:space="preserve">Esittelijä: </w:t>
      </w:r>
      <w:r w:rsidRPr="00CD7169">
        <w:rPr>
          <w:rStyle w:val="HideTWBExt"/>
        </w:rPr>
        <w:t>&lt;Depute&gt;</w:t>
      </w:r>
      <w:r w:rsidRPr="00CD7169">
        <w:t>Marcin Sypniewski</w:t>
      </w:r>
      <w:r w:rsidRPr="00CD7169">
        <w:rPr>
          <w:rStyle w:val="HideTWBExt"/>
        </w:rPr>
        <w:t>&lt;/Depute&gt;</w:t>
      </w:r>
    </w:p>
    <w:p w14:paraId="6872AAEC" w14:textId="1BD0882C" w:rsidR="00142D49" w:rsidRPr="00CD7169" w:rsidRDefault="00142D49" w:rsidP="00DF74F0">
      <w:pPr>
        <w:widowControl/>
        <w:tabs>
          <w:tab w:val="center" w:pos="4677"/>
        </w:tabs>
      </w:pPr>
      <w:r w:rsidRPr="00CD7169">
        <w:br w:type="page"/>
      </w:r>
      <w:r w:rsidRPr="00CD7169">
        <w:lastRenderedPageBreak/>
        <w:t>PR_IMM_Waiver</w:t>
      </w:r>
    </w:p>
    <w:p w14:paraId="12140484" w14:textId="77777777" w:rsidR="00142D49" w:rsidRPr="00CD7169" w:rsidRDefault="00320E21">
      <w:pPr>
        <w:pStyle w:val="TOCHeading"/>
      </w:pPr>
      <w:r w:rsidRPr="00CD7169">
        <w:t>SISÄLTÖ</w:t>
      </w:r>
    </w:p>
    <w:p w14:paraId="24FDFB32" w14:textId="77777777" w:rsidR="00142D49" w:rsidRPr="00CD7169" w:rsidRDefault="00320E21">
      <w:pPr>
        <w:pStyle w:val="TOCPage"/>
      </w:pPr>
      <w:r w:rsidRPr="00CD7169">
        <w:t>Sivu</w:t>
      </w:r>
    </w:p>
    <w:p w14:paraId="376DF3B6" w14:textId="28B6B274" w:rsidR="00CD7169"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D7169">
        <w:fldChar w:fldCharType="begin"/>
      </w:r>
      <w:r w:rsidRPr="00CD7169">
        <w:instrText xml:space="preserve"> TOC \t "PageHeading</w:instrText>
      </w:r>
      <w:r w:rsidR="00ED0AC8" w:rsidRPr="00CD7169">
        <w:instrText>;</w:instrText>
      </w:r>
      <w:r w:rsidRPr="00CD7169">
        <w:instrText xml:space="preserve">1" </w:instrText>
      </w:r>
      <w:r w:rsidRPr="00CD7169">
        <w:fldChar w:fldCharType="separate"/>
      </w:r>
      <w:r w:rsidR="00CD7169">
        <w:rPr>
          <w:noProof/>
        </w:rPr>
        <w:t>EUROOPAN PARLAMENTIN PÄÄTÖSEHDOTUS</w:t>
      </w:r>
      <w:r w:rsidR="00CD7169">
        <w:rPr>
          <w:noProof/>
        </w:rPr>
        <w:tab/>
      </w:r>
      <w:r w:rsidR="00CD7169">
        <w:rPr>
          <w:noProof/>
        </w:rPr>
        <w:fldChar w:fldCharType="begin"/>
      </w:r>
      <w:r w:rsidR="00CD7169">
        <w:rPr>
          <w:noProof/>
        </w:rPr>
        <w:instrText xml:space="preserve"> PAGEREF _Toc229495030 \h </w:instrText>
      </w:r>
      <w:r w:rsidR="00CD7169">
        <w:rPr>
          <w:noProof/>
        </w:rPr>
      </w:r>
      <w:r w:rsidR="00CD7169">
        <w:rPr>
          <w:noProof/>
        </w:rPr>
        <w:fldChar w:fldCharType="separate"/>
      </w:r>
      <w:r w:rsidR="00CD7169">
        <w:rPr>
          <w:noProof/>
        </w:rPr>
        <w:t>3</w:t>
      </w:r>
      <w:r w:rsidR="00CD7169">
        <w:rPr>
          <w:noProof/>
        </w:rPr>
        <w:fldChar w:fldCharType="end"/>
      </w:r>
    </w:p>
    <w:p w14:paraId="102B6636" w14:textId="14F1AC38" w:rsidR="00CD7169" w:rsidRDefault="00CD716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TIEDOT HYVÄKSYMISESTÄ ASIASTA VASTAAVASSA VALIOKUNNASSA</w:t>
      </w:r>
      <w:r>
        <w:rPr>
          <w:noProof/>
        </w:rPr>
        <w:tab/>
      </w:r>
      <w:r>
        <w:rPr>
          <w:noProof/>
        </w:rPr>
        <w:fldChar w:fldCharType="begin"/>
      </w:r>
      <w:r>
        <w:rPr>
          <w:noProof/>
        </w:rPr>
        <w:instrText xml:space="preserve"> PAGEREF _Toc229495031 \h </w:instrText>
      </w:r>
      <w:r>
        <w:rPr>
          <w:noProof/>
        </w:rPr>
      </w:r>
      <w:r>
        <w:rPr>
          <w:noProof/>
        </w:rPr>
        <w:fldChar w:fldCharType="separate"/>
      </w:r>
      <w:r>
        <w:rPr>
          <w:noProof/>
        </w:rPr>
        <w:t>6</w:t>
      </w:r>
      <w:r>
        <w:rPr>
          <w:noProof/>
        </w:rPr>
        <w:fldChar w:fldCharType="end"/>
      </w:r>
    </w:p>
    <w:p w14:paraId="453AB113" w14:textId="6BFCD7F7" w:rsidR="0006105E" w:rsidRPr="00CD7169" w:rsidRDefault="00142D49" w:rsidP="00273EFB">
      <w:r w:rsidRPr="00CD7169">
        <w:fldChar w:fldCharType="end"/>
      </w:r>
    </w:p>
    <w:p w14:paraId="77A80894" w14:textId="77777777" w:rsidR="00142D49" w:rsidRPr="00CD7169" w:rsidRDefault="00142D49">
      <w:pPr>
        <w:pStyle w:val="PageHeading"/>
      </w:pPr>
      <w:r w:rsidRPr="00CD7169">
        <w:br w:type="page"/>
      </w:r>
      <w:bookmarkStart w:id="0" w:name="_Toc229495030"/>
      <w:r w:rsidRPr="00CD7169">
        <w:lastRenderedPageBreak/>
        <w:t>EUROOPAN PARLAMENTIN PÄÄTÖSEHDOTUS</w:t>
      </w:r>
      <w:bookmarkEnd w:id="0"/>
    </w:p>
    <w:p w14:paraId="43BB8F67" w14:textId="11DAE596" w:rsidR="00443C28" w:rsidRPr="00CD7169" w:rsidRDefault="00443C28" w:rsidP="00443C28">
      <w:pPr>
        <w:pStyle w:val="NormalBold"/>
      </w:pPr>
      <w:r w:rsidRPr="00CD7169">
        <w:t>Angelika Nieblerin koskemattomuuden pidättämistä koskevasta pyynnöstä</w:t>
      </w:r>
    </w:p>
    <w:p w14:paraId="0D794447" w14:textId="15A65920" w:rsidR="00443C28" w:rsidRPr="00CD7169" w:rsidRDefault="000D06AD" w:rsidP="00443C28">
      <w:pPr>
        <w:pStyle w:val="NormalBold"/>
      </w:pPr>
      <w:r w:rsidRPr="00CD7169">
        <w:t>(2025/2175(IMM))</w:t>
      </w:r>
    </w:p>
    <w:p w14:paraId="003D13D1" w14:textId="77777777" w:rsidR="00443C28" w:rsidRPr="00CD7169" w:rsidRDefault="00443C28" w:rsidP="00443C28">
      <w:pPr>
        <w:pStyle w:val="EPComma"/>
      </w:pPr>
      <w:r w:rsidRPr="00CD7169">
        <w:rPr>
          <w:i/>
          <w:iCs/>
        </w:rPr>
        <w:t>Euroopan parlamentti</w:t>
      </w:r>
      <w:r w:rsidRPr="00CD7169">
        <w:t>, joka</w:t>
      </w:r>
    </w:p>
    <w:p w14:paraId="219E5A2B" w14:textId="77777777" w:rsidR="0000723C" w:rsidRPr="00CD7169" w:rsidRDefault="00443C28" w:rsidP="0000723C">
      <w:pPr>
        <w:pStyle w:val="NormalHanging12a"/>
      </w:pPr>
      <w:r w:rsidRPr="00CD7169">
        <w:t>–</w:t>
      </w:r>
      <w:r w:rsidRPr="00CD7169">
        <w:tab/>
        <w:t>ottaa huomioon Euroopan pääsyyttäjän 21. heinäkuuta 2025 päivätyllä kirjeellä esittämän ja 1. syyskuuta 2025 päivätyllä kirjeellä vahvistetun Angelika Nieblerin koskemattomuuden pidättämistä koskevan pyynnön, joka liittyy Angelika Niebleriä koskevaan alustavaan tutkintaan ja josta ilmoitettiin parlamentissa 10. syyskuuta 2025,</w:t>
      </w:r>
    </w:p>
    <w:p w14:paraId="52F5E914" w14:textId="77777777" w:rsidR="0000723C" w:rsidRPr="00CD7169" w:rsidRDefault="0000723C" w:rsidP="0000723C">
      <w:pPr>
        <w:pStyle w:val="NormalHanging12a"/>
      </w:pPr>
      <w:r w:rsidRPr="00CD7169">
        <w:t>–</w:t>
      </w:r>
      <w:r w:rsidRPr="00CD7169">
        <w:tab/>
        <w:t>on kuullut Angelika Niebleriä 15. huhtikuuta 2026 työjärjestyksen 9 artiklan 6 kohdan mukaisesti,</w:t>
      </w:r>
    </w:p>
    <w:p w14:paraId="3EFB8CB7" w14:textId="77777777" w:rsidR="0000723C" w:rsidRPr="00CD7169" w:rsidRDefault="0000723C" w:rsidP="0000723C">
      <w:pPr>
        <w:pStyle w:val="NormalHanging12a"/>
      </w:pPr>
      <w:r w:rsidRPr="00CD7169">
        <w:t>–</w:t>
      </w:r>
      <w:r w:rsidRPr="00CD7169">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53522A43" w14:textId="77777777" w:rsidR="0000723C" w:rsidRPr="00CD7169" w:rsidRDefault="0000723C" w:rsidP="0000723C">
      <w:pPr>
        <w:pStyle w:val="NormalHanging12a"/>
        <w:rPr>
          <w:b/>
        </w:rPr>
      </w:pPr>
      <w:r w:rsidRPr="00CD7169">
        <w:t>–</w:t>
      </w:r>
      <w:r w:rsidRPr="00CD7169">
        <w:tab/>
        <w:t>ottaa huomioon tiiviimmän yhteistyön toteuttamisesta Euroopan syyttäjänviraston (EPPO) perustamisessa 12. lokakuuta 2017 annetun neuvoston asetuksen (EU) 2017/1939</w:t>
      </w:r>
      <w:r w:rsidRPr="00CD7169">
        <w:rPr>
          <w:vertAlign w:val="superscript"/>
        </w:rPr>
        <w:footnoteReference w:id="1"/>
      </w:r>
      <w:r w:rsidRPr="00CD7169">
        <w:t xml:space="preserve"> ja erityisesti sen 29 artiklan 2 kohdan,</w:t>
      </w:r>
    </w:p>
    <w:p w14:paraId="122C27C1" w14:textId="77777777" w:rsidR="0000723C" w:rsidRPr="00CD7169" w:rsidRDefault="0000723C" w:rsidP="0000723C">
      <w:pPr>
        <w:pStyle w:val="NormalHanging12a"/>
      </w:pPr>
      <w:r w:rsidRPr="00CD7169">
        <w:t>–</w:t>
      </w:r>
      <w:r w:rsidRPr="00CD7169">
        <w:tab/>
        <w:t>ottaa huomioon Euroopan unionin tuomioistuimen 21. lokakuuta 2008, 19. maaliskuuta 2010, 6. syyskuuta 2011, 17. tammikuuta 2013 ja 19. joulukuuta 2019 antamat tuomiot</w:t>
      </w:r>
      <w:r w:rsidRPr="00CD7169">
        <w:rPr>
          <w:vertAlign w:val="superscript"/>
        </w:rPr>
        <w:footnoteReference w:id="2"/>
      </w:r>
      <w:r w:rsidRPr="00CD7169">
        <w:t>,</w:t>
      </w:r>
    </w:p>
    <w:p w14:paraId="42FDE1AB" w14:textId="77777777" w:rsidR="0000723C" w:rsidRPr="00CD7169" w:rsidRDefault="0000723C" w:rsidP="0000723C">
      <w:pPr>
        <w:pStyle w:val="NormalHanging12a"/>
      </w:pPr>
      <w:r w:rsidRPr="00CD7169">
        <w:t>–</w:t>
      </w:r>
      <w:r w:rsidRPr="00CD7169">
        <w:tab/>
        <w:t>ottaa huomioon Saksan liittotasavallan perustuslain 46 pykälän,</w:t>
      </w:r>
    </w:p>
    <w:p w14:paraId="20C72CB2" w14:textId="77777777" w:rsidR="0000723C" w:rsidRPr="00CD7169" w:rsidRDefault="0000723C" w:rsidP="0000723C">
      <w:pPr>
        <w:pStyle w:val="NormalHanging12a"/>
      </w:pPr>
      <w:r w:rsidRPr="00CD7169">
        <w:t>–</w:t>
      </w:r>
      <w:r w:rsidRPr="00CD7169">
        <w:tab/>
        <w:t>ottaa huomioon työjärjestyksen 5 artiklan 2 kohdan, 6 artiklan 1 kohdan ja 9 artiklan,</w:t>
      </w:r>
    </w:p>
    <w:p w14:paraId="140A7EC2" w14:textId="2FD750E7" w:rsidR="0000723C" w:rsidRPr="00CD7169" w:rsidRDefault="0000723C" w:rsidP="0000723C">
      <w:pPr>
        <w:pStyle w:val="NormalHanging12a"/>
      </w:pPr>
      <w:r w:rsidRPr="00CD7169">
        <w:t>–</w:t>
      </w:r>
      <w:r w:rsidRPr="00CD7169">
        <w:tab/>
        <w:t>ottaa huomioon oikeudellisten asioiden valiokunnan mietinnön (A10-0127/2026),</w:t>
      </w:r>
    </w:p>
    <w:p w14:paraId="71ADA700" w14:textId="77777777" w:rsidR="0000723C" w:rsidRPr="00CD7169" w:rsidRDefault="0000723C" w:rsidP="0000723C">
      <w:pPr>
        <w:pStyle w:val="NormalHanging12a"/>
      </w:pPr>
      <w:r w:rsidRPr="00CD7169">
        <w:t>A.</w:t>
      </w:r>
      <w:r w:rsidRPr="00CD7169">
        <w:tab/>
        <w:t>ottaa huomioon, että Euroopan pääsyyttäjä esitti 21. heinäkuuta 2025 päivätyllä kirjeellä ja vahvisti 1. syyskuuta 2025 päivätyllä kirjeellä Saksasta valitun Euroopan parlamentin jäsenen Angelika Nieblerin koskemattomuuden pidättämistä koskevan pyynnön, joka liittyy vuosina 2017–2025 väitteiden mukaan tapahtuneisiin rikoksiin;</w:t>
      </w:r>
    </w:p>
    <w:p w14:paraId="2DEC92A1" w14:textId="77777777" w:rsidR="0000723C" w:rsidRPr="00CD7169" w:rsidRDefault="0000723C" w:rsidP="0000723C">
      <w:pPr>
        <w:pStyle w:val="NormalHanging12a"/>
      </w:pPr>
      <w:r w:rsidRPr="00CD7169">
        <w:t>B.</w:t>
      </w:r>
      <w:r w:rsidRPr="00CD7169">
        <w:tab/>
        <w:t xml:space="preserve">ottaa huomioon, että pyynnön, joka perustuu asianomaisen jäsenen palveluksessa elokuusta 2021 syyskuuhun 2023 työskennelleen yksityishenkilön toimittamiin tietoihin, mukaan väitetään, että vuodesta 2017 alkaen eli 8.–10. vaalikaudella Angelika Niebler haki perusteettomasti korvausta matkakuluista Strasbourgiin ja Brysseliin, käytti valtuutettuja avustajia ja paikallisia avustajia tilapäisesti yksityisiin tarkoituksiin tai tarkoituksiin, jotka eivät liittyneet Euroopan parlamentin jäsenen asemaan ja/tai </w:t>
      </w:r>
      <w:r w:rsidRPr="00CD7169">
        <w:lastRenderedPageBreak/>
        <w:t>tehtävien hoitamiseen, ja että hän palkkasi paikallisen avustajan, joka työskenteli yksinomaan samaan puolueeseen kuuluvalle entiselle Euroopan parlamentin jäsenelle, mutta jonka palkan Euroopan parlamentti maksoi Angelika Nieblerin puolesta; ottaa huomioon, että pyynnössä annettujen tietojen mukaan on olemassa alustava epäily, että hän käytti avustajakuluja tavalla, joka on Euroopan parlamentin jäsenten asemaa koskevien sääntöjen soveltamisohjeista 11. syyskuuta 2023 tehdyn puhemiehistön päätöksen</w:t>
      </w:r>
      <w:r w:rsidRPr="00CD7169">
        <w:rPr>
          <w:vertAlign w:val="superscript"/>
        </w:rPr>
        <w:footnoteReference w:id="3"/>
      </w:r>
      <w:r w:rsidRPr="00CD7169">
        <w:t xml:space="preserve"> 29 artiklan 2 kohdan vastainen; ottaa huomioon, että näin ollen väitetyt teot saattavat olla Saksan rikoslain 263 pykälän 1 ja 3 momentissa tarkoitettuja petosrikoksia;</w:t>
      </w:r>
    </w:p>
    <w:p w14:paraId="67C1E60E" w14:textId="77777777" w:rsidR="0000723C" w:rsidRPr="00CD7169" w:rsidRDefault="0000723C" w:rsidP="0000723C">
      <w:pPr>
        <w:pStyle w:val="NormalHanging12a"/>
      </w:pPr>
      <w:r w:rsidRPr="00CD7169">
        <w:t>C.</w:t>
      </w:r>
      <w:r w:rsidRPr="00CD7169">
        <w:tab/>
        <w:t xml:space="preserve">ottaa huomioon, että Angelika Niebler valittiin Euroopan parlamenttiin toukokuussa 2014 ja sen jälkeen toukokuussa 2019 ja kesäkuussa 2024 pidetyissä Euroopan parlamentin vaaleissa, mikä tarkoittaa, että hän oli Euroopan parlamentin jäsen väitettyjen rikosten tekohetkellä; </w:t>
      </w:r>
    </w:p>
    <w:p w14:paraId="14A39070" w14:textId="77777777" w:rsidR="0000723C" w:rsidRPr="00CD7169" w:rsidRDefault="0000723C" w:rsidP="0000723C">
      <w:pPr>
        <w:pStyle w:val="NormalHanging12a"/>
      </w:pPr>
      <w:r w:rsidRPr="00CD7169">
        <w:t>D.</w:t>
      </w:r>
      <w:r w:rsidRPr="00CD7169">
        <w:tab/>
        <w:t>ottaa huomioon, että väitetyissä rikoksissa ei ole kyse Euroopan unionin erioikeuksista ja vapauksista tehdyssä pöytäkirjassa N:o 7 olevassa 8 artiklassa tarkoitetusta, Angelika Nieblerin tehtäviään hoitaessaan ilmaisemasta mielipiteestä tai äänestyskäyttäytymisestä eikä niiden perusteella esitetty Angelika Nieblerin koskemattomuuden pidättämistä koskeva pyyntö siten liity tällaiseen mielipiteeseen tai äänestykseen;</w:t>
      </w:r>
    </w:p>
    <w:p w14:paraId="61E8DAFF" w14:textId="77777777" w:rsidR="0000723C" w:rsidRPr="00CD7169" w:rsidRDefault="0000723C" w:rsidP="0000723C">
      <w:pPr>
        <w:pStyle w:val="NormalHanging12a"/>
      </w:pPr>
      <w:r w:rsidRPr="00CD7169">
        <w:t>E.</w:t>
      </w:r>
      <w:r w:rsidRPr="00CD7169">
        <w:tab/>
        <w:t>ottaa huomioon, että Euroopan unionin erioikeuksista ja vapauksista tehdyssä pöytäkirjassa N:o 7 olevan 9 artiklan ensimmäisen kohdan a alakohdassa määrätään, että Euroopan parlamentin jäsenillä on sen istuntojen ajan oman valtionsa alueella sen jäsenvaltion kansanedustajille myönnetty koskemattomuus;</w:t>
      </w:r>
    </w:p>
    <w:p w14:paraId="3D265F53" w14:textId="77777777" w:rsidR="0000723C" w:rsidRPr="00CD7169" w:rsidRDefault="0000723C" w:rsidP="0000723C">
      <w:pPr>
        <w:pStyle w:val="NormalHanging12a"/>
      </w:pPr>
      <w:r w:rsidRPr="00CD7169">
        <w:t>F.</w:t>
      </w:r>
      <w:r w:rsidRPr="00CD7169">
        <w:tab/>
        <w:t>ottaa huomioon, että Saksan liittotasavallan perustuslain 46 pykälän 2, 3 ja 4 momentissa säädetään seuraavaa:</w:t>
      </w:r>
    </w:p>
    <w:p w14:paraId="0423C235" w14:textId="77777777" w:rsidR="0000723C" w:rsidRPr="00CD7169" w:rsidRDefault="0000723C" w:rsidP="0000723C">
      <w:pPr>
        <w:pStyle w:val="NormalHanging12a"/>
      </w:pPr>
      <w:r w:rsidRPr="00CD7169">
        <w:t>”2)</w:t>
      </w:r>
      <w:r w:rsidRPr="00CD7169">
        <w:tab/>
        <w:t>Jäsentä ei voida vaatia vastaamaan tai pidättää rangaistavasta rikkomuksesta ilman liittopäivien suostumusta, ellei häntä tavata itse teosta tai seuraavan päivän kuluessa.</w:t>
      </w:r>
    </w:p>
    <w:p w14:paraId="6ADE1091" w14:textId="77777777" w:rsidR="0000723C" w:rsidRPr="00CD7169" w:rsidRDefault="0000723C" w:rsidP="0000723C">
      <w:pPr>
        <w:pStyle w:val="NormalHanging12a"/>
      </w:pPr>
      <w:r w:rsidRPr="00CD7169">
        <w:t>3)</w:t>
      </w:r>
      <w:r w:rsidRPr="00CD7169">
        <w:tab/>
        <w:t>Liittopäivien suostumus vaaditaan myös aina, jos jäsenen henkilökohtaista vapautta rajoitetaan tai jos häntä vastaan käynnistetään 18 pykälän mukainen menettely.</w:t>
      </w:r>
    </w:p>
    <w:p w14:paraId="642E760C" w14:textId="77777777" w:rsidR="0000723C" w:rsidRPr="00CD7169" w:rsidRDefault="0000723C" w:rsidP="0000723C">
      <w:pPr>
        <w:pStyle w:val="NormalHanging12a"/>
      </w:pPr>
      <w:r w:rsidRPr="00CD7169">
        <w:t>4)</w:t>
      </w:r>
      <w:r w:rsidRPr="00CD7169">
        <w:tab/>
        <w:t>Jäsentä vastaan käynnistetyt rikosoikeudelliset menettelyt tai 18 pykälän mukaiset menettelyt tai pidätys taikka muu jäsenen henkilökohtaisen vapauden rajoittaminen on keskeytettävä liittopäivien vaatimuksesta.”;</w:t>
      </w:r>
    </w:p>
    <w:p w14:paraId="24C8B992" w14:textId="19ABCCC6" w:rsidR="00A66C37" w:rsidRPr="00CD7169" w:rsidRDefault="0000723C" w:rsidP="00A66C37">
      <w:pPr>
        <w:pStyle w:val="NormalHanging12a"/>
      </w:pPr>
      <w:r w:rsidRPr="00CD7169">
        <w:t>G.</w:t>
      </w:r>
      <w:r w:rsidRPr="00CD7169">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33571559" w14:textId="77281EC9" w:rsidR="00A66C37" w:rsidRPr="00CD7169" w:rsidRDefault="0000723C" w:rsidP="00A66C37">
      <w:pPr>
        <w:pStyle w:val="NormalHanging12a"/>
      </w:pPr>
      <w:r w:rsidRPr="00CD7169">
        <w:t>H.</w:t>
      </w:r>
      <w:r w:rsidRPr="00CD7169">
        <w:tab/>
        <w:t xml:space="preserve">ottaa huomioon, että työjärjestyksen 5 artiklan 2 kohdan mukaan parlamentaarinen </w:t>
      </w:r>
      <w:r w:rsidRPr="00CD7169">
        <w:lastRenderedPageBreak/>
        <w:t>koskemattomuus ei ole jäsenen henkilökohtainen erioikeus vaan tae koko parlamentin ja sen jäsenten riippumattomuudesta;</w:t>
      </w:r>
    </w:p>
    <w:p w14:paraId="04700B85" w14:textId="39834CCE" w:rsidR="0000723C" w:rsidRPr="00CD7169" w:rsidRDefault="0000723C" w:rsidP="0000723C">
      <w:pPr>
        <w:pStyle w:val="NormalHanging12a"/>
      </w:pPr>
      <w:bookmarkStart w:id="1" w:name="_Hlk227752086"/>
      <w:r w:rsidRPr="00CD7169">
        <w:t>I.</w:t>
      </w:r>
      <w:bookmarkStart w:id="2" w:name="_Hlk227752575"/>
      <w:r w:rsidRPr="00CD7169">
        <w:tab/>
        <w:t>toteaa, että kaikki päätelmät on tehtävä kyseisessä tapauksessa annettujen tietojen ja selvitysten perusteella; ottaa huomioon, että koskemattomuuden pidättämistä koskevaan pyyntöön johtaneen valituksen taustalla oleviin seikkoihin ja syihin liittyy vakavia epävarmuustekijöitä, mukaan lukien se, että valitus on tehty anonyymisti, mikä estää valituksen merkityksellisen arvioinnin ja sen poissulkemisen, että valituksen on saattanut tehdä yksityishenkilö, jolla on suora poliittinen motiivi asianomaisen jäsenen vahingoittamiseksi; ottaa lisäksi huomioon, että valituksen ajoitus ja valikoivuus vahvistavat näitä huolenaiheita, erityisesti kun otetaan huomioon jäsenen merkittävä poliittinen rooli; ottaa huomioon, että pyynnön epäjohdonmukaisuudet, mukaan lukien silmiinpistävä epätäsmällisyys kyseessä olevien rahamäärien ja väitetyn väärinkäytöksen erityisolosuhteiden osalta, herättävät huolta siitä, että menettelyn tarkoituksena on saattanut olla Angelika Nieblerin maineen vahingoittaminen;</w:t>
      </w:r>
    </w:p>
    <w:p w14:paraId="37F1F2AF" w14:textId="0498467B" w:rsidR="0000723C" w:rsidRPr="00CD7169" w:rsidRDefault="0000723C" w:rsidP="0000723C">
      <w:pPr>
        <w:pStyle w:val="NormalHanging12a"/>
      </w:pPr>
      <w:r w:rsidRPr="00CD7169">
        <w:t>J.</w:t>
      </w:r>
      <w:r w:rsidRPr="00CD7169">
        <w:tab/>
        <w:t>katsoo, että näin ollen voidaan olettaa kyseessä olevan fumus persecutionis -tapaus,</w:t>
      </w:r>
      <w:bookmarkEnd w:id="2"/>
      <w:bookmarkEnd w:id="1"/>
      <w:r w:rsidRPr="00CD7169">
        <w:t xml:space="preserve"> toisin sanoen olemassa on konkreettisia todisteita</w:t>
      </w:r>
      <w:r w:rsidRPr="00CD7169">
        <w:rPr>
          <w:vertAlign w:val="superscript"/>
        </w:rPr>
        <w:footnoteReference w:id="4"/>
      </w:r>
      <w:r w:rsidRPr="00CD7169">
        <w:t xml:space="preserve"> siitä, että kyseinen kanne on pantu vireille </w:t>
      </w:r>
      <w:bookmarkStart w:id="3" w:name="_Hlk223449412"/>
      <w:r w:rsidRPr="00CD7169">
        <w:t>Angelika Nieblerin</w:t>
      </w:r>
      <w:bookmarkEnd w:id="3"/>
      <w:r w:rsidRPr="00CD7169">
        <w:t xml:space="preserve"> poliittisen toiminnan eli erityisesti hänen Euroopan parlamentin jäsenenä harjoittamansa toiminnan horjuttamiseksi;</w:t>
      </w:r>
    </w:p>
    <w:p w14:paraId="57F8002F" w14:textId="77777777" w:rsidR="0000723C" w:rsidRPr="00CD7169" w:rsidRDefault="0000723C" w:rsidP="0000723C">
      <w:pPr>
        <w:pStyle w:val="NormalHanging12a"/>
      </w:pPr>
      <w:r w:rsidRPr="00CD7169">
        <w:t>K.</w:t>
      </w:r>
      <w:r w:rsidRPr="00CD7169">
        <w:tab/>
        <w:t>ottaa huomioon, että parlamenttia ei voida rinnastaa tuomioistuimeen eikä parlamentin jäsentä voida pitää koskemattomuuden pidättämistä koskevassa menettelyssä ”syytettynä”</w:t>
      </w:r>
      <w:r w:rsidRPr="00CD7169">
        <w:rPr>
          <w:vertAlign w:val="superscript"/>
        </w:rPr>
        <w:footnoteReference w:id="5"/>
      </w:r>
      <w:r w:rsidRPr="00CD7169">
        <w:t>;</w:t>
      </w:r>
    </w:p>
    <w:p w14:paraId="602BF865" w14:textId="77777777" w:rsidR="0000723C" w:rsidRPr="00CD7169" w:rsidRDefault="0000723C" w:rsidP="0000723C">
      <w:pPr>
        <w:pStyle w:val="NormalHanging12a"/>
      </w:pPr>
      <w:r w:rsidRPr="00CD7169">
        <w:t>1.</w:t>
      </w:r>
      <w:r w:rsidRPr="00CD7169">
        <w:tab/>
        <w:t>päättää säilyttää Angelika Nieblerin koskemattomuuden;</w:t>
      </w:r>
    </w:p>
    <w:p w14:paraId="11E5150F" w14:textId="77777777" w:rsidR="0000723C" w:rsidRPr="00CD7169" w:rsidRDefault="0000723C" w:rsidP="008E680B">
      <w:pPr>
        <w:pStyle w:val="NormalHanging12a"/>
      </w:pPr>
      <w:r w:rsidRPr="00CD7169">
        <w:t>2.</w:t>
      </w:r>
      <w:r w:rsidRPr="00CD7169">
        <w:tab/>
        <w:t>kehottaa puhemiestä välittämään tämän päätöksen sekä asiasta vastaavan valiokunnan mietinnön viipymättä Euroopan syyttäjänvirastolle ja Angelika Nieblerille.</w:t>
      </w:r>
    </w:p>
    <w:p w14:paraId="75824DE6" w14:textId="77777777" w:rsidR="00C752D7" w:rsidRPr="00CD7169" w:rsidRDefault="00C752D7" w:rsidP="008E680B">
      <w:pPr>
        <w:sectPr w:rsidR="00C752D7" w:rsidRPr="00CD7169" w:rsidSect="00C165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3ED8ED35" w14:textId="40B3086C" w:rsidR="008E680B" w:rsidRPr="00CD7169" w:rsidRDefault="008E680B" w:rsidP="008E680B">
      <w:pPr>
        <w:pStyle w:val="PageHeading"/>
      </w:pPr>
      <w:bookmarkStart w:id="4" w:name="ProcPageRR"/>
      <w:bookmarkStart w:id="5" w:name="_Toc229495031"/>
      <w:r w:rsidRPr="00CD7169">
        <w:lastRenderedPageBreak/>
        <w:t>TIEDOT HYVÄKSYMISESTÄ</w:t>
      </w:r>
      <w:r w:rsidRPr="00CD7169">
        <w:br/>
        <w:t>ASIASTA VASTAAVASSA VALIOKUNNASSA</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680B" w:rsidRPr="00CD7169" w14:paraId="7D69CAD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0E465" w14:textId="77777777" w:rsidR="008E680B" w:rsidRPr="00CD7169" w:rsidRDefault="008E680B">
            <w:pPr>
              <w:autoSpaceDE w:val="0"/>
              <w:autoSpaceDN w:val="0"/>
              <w:adjustRightInd w:val="0"/>
              <w:rPr>
                <w:b/>
                <w:bCs/>
                <w:color w:val="000000"/>
                <w:sz w:val="20"/>
              </w:rPr>
            </w:pPr>
            <w:r w:rsidRPr="00CD7169">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16BDDF" w14:textId="77777777" w:rsidR="008E680B" w:rsidRPr="00CD7169" w:rsidRDefault="008E680B">
            <w:pPr>
              <w:autoSpaceDE w:val="0"/>
              <w:autoSpaceDN w:val="0"/>
              <w:adjustRightInd w:val="0"/>
              <w:rPr>
                <w:color w:val="000000"/>
                <w:sz w:val="20"/>
              </w:rPr>
            </w:pPr>
            <w:r w:rsidRPr="00CD7169">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7F0348" w14:textId="77777777" w:rsidR="008E680B" w:rsidRPr="00CD7169"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ADB0E1" w14:textId="77777777" w:rsidR="008E680B" w:rsidRPr="00CD7169"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678BC4" w14:textId="77777777" w:rsidR="008E680B" w:rsidRPr="00CD7169" w:rsidRDefault="008E680B">
            <w:pPr>
              <w:autoSpaceDE w:val="0"/>
              <w:autoSpaceDN w:val="0"/>
              <w:adjustRightInd w:val="0"/>
              <w:rPr>
                <w:rFonts w:ascii="sans-serif" w:hAnsi="sans-serif" w:cs="sans-serif"/>
                <w:color w:val="000000"/>
              </w:rPr>
            </w:pPr>
          </w:p>
        </w:tc>
      </w:tr>
      <w:tr w:rsidR="008E680B" w:rsidRPr="00CD7169" w14:paraId="002F4BC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97CF5B" w14:textId="77777777" w:rsidR="008E680B" w:rsidRPr="00CD7169" w:rsidRDefault="008E680B">
            <w:pPr>
              <w:autoSpaceDE w:val="0"/>
              <w:autoSpaceDN w:val="0"/>
              <w:adjustRightInd w:val="0"/>
              <w:rPr>
                <w:b/>
                <w:bCs/>
                <w:color w:val="000000"/>
                <w:sz w:val="20"/>
              </w:rPr>
            </w:pPr>
            <w:r w:rsidRPr="00CD7169">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FABEE3" w14:textId="77777777" w:rsidR="008E680B" w:rsidRPr="00CD7169" w:rsidRDefault="008E680B">
            <w:pPr>
              <w:autoSpaceDE w:val="0"/>
              <w:autoSpaceDN w:val="0"/>
              <w:adjustRightInd w:val="0"/>
              <w:rPr>
                <w:color w:val="000000"/>
                <w:sz w:val="20"/>
              </w:rPr>
            </w:pPr>
            <w:r w:rsidRPr="00CD7169">
              <w:rPr>
                <w:color w:val="000000"/>
                <w:sz w:val="20"/>
              </w:rPr>
              <w:t>+:</w:t>
            </w:r>
          </w:p>
          <w:p w14:paraId="2E79C25D" w14:textId="77777777" w:rsidR="008E680B" w:rsidRPr="00CD7169" w:rsidRDefault="008E680B">
            <w:pPr>
              <w:autoSpaceDE w:val="0"/>
              <w:autoSpaceDN w:val="0"/>
              <w:adjustRightInd w:val="0"/>
              <w:rPr>
                <w:color w:val="000000"/>
                <w:sz w:val="20"/>
              </w:rPr>
            </w:pPr>
            <w:r w:rsidRPr="00CD7169">
              <w:rPr>
                <w:color w:val="000000"/>
                <w:sz w:val="20"/>
              </w:rPr>
              <w:t>–:</w:t>
            </w:r>
          </w:p>
          <w:p w14:paraId="10223099" w14:textId="77777777" w:rsidR="008E680B" w:rsidRPr="00CD7169" w:rsidRDefault="008E680B">
            <w:pPr>
              <w:autoSpaceDE w:val="0"/>
              <w:autoSpaceDN w:val="0"/>
              <w:adjustRightInd w:val="0"/>
              <w:rPr>
                <w:color w:val="000000"/>
                <w:sz w:val="20"/>
              </w:rPr>
            </w:pPr>
            <w:r w:rsidRPr="00CD716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AF0F27" w14:textId="77777777" w:rsidR="008E680B" w:rsidRPr="00CD7169" w:rsidRDefault="008E680B">
            <w:pPr>
              <w:autoSpaceDE w:val="0"/>
              <w:autoSpaceDN w:val="0"/>
              <w:adjustRightInd w:val="0"/>
              <w:rPr>
                <w:color w:val="000000"/>
                <w:sz w:val="20"/>
              </w:rPr>
            </w:pPr>
            <w:r w:rsidRPr="00CD7169">
              <w:rPr>
                <w:color w:val="000000"/>
                <w:sz w:val="20"/>
              </w:rPr>
              <w:t>16</w:t>
            </w:r>
          </w:p>
          <w:p w14:paraId="78E4F16A" w14:textId="77777777" w:rsidR="008E680B" w:rsidRPr="00CD7169" w:rsidRDefault="008E680B">
            <w:pPr>
              <w:autoSpaceDE w:val="0"/>
              <w:autoSpaceDN w:val="0"/>
              <w:adjustRightInd w:val="0"/>
              <w:rPr>
                <w:color w:val="000000"/>
                <w:sz w:val="20"/>
              </w:rPr>
            </w:pPr>
            <w:r w:rsidRPr="00CD7169">
              <w:rPr>
                <w:color w:val="000000"/>
                <w:sz w:val="20"/>
              </w:rPr>
              <w:t>3</w:t>
            </w:r>
          </w:p>
          <w:p w14:paraId="020E7872" w14:textId="77777777" w:rsidR="008E680B" w:rsidRPr="00CD7169" w:rsidRDefault="008E680B">
            <w:pPr>
              <w:autoSpaceDE w:val="0"/>
              <w:autoSpaceDN w:val="0"/>
              <w:adjustRightInd w:val="0"/>
              <w:rPr>
                <w:color w:val="000000"/>
                <w:sz w:val="20"/>
              </w:rPr>
            </w:pPr>
            <w:r w:rsidRPr="00CD7169">
              <w:rPr>
                <w:color w:val="000000"/>
                <w:sz w:val="20"/>
              </w:rPr>
              <w:t>3</w:t>
            </w:r>
          </w:p>
        </w:tc>
      </w:tr>
    </w:tbl>
    <w:p w14:paraId="317A40F9" w14:textId="77777777" w:rsidR="008E680B" w:rsidRPr="00CD7169" w:rsidRDefault="008E680B"/>
    <w:bookmarkEnd w:id="4"/>
    <w:p w14:paraId="1FF38F71" w14:textId="2E92617F" w:rsidR="00C752D7" w:rsidRPr="00CD7169" w:rsidRDefault="00C752D7" w:rsidP="008E680B"/>
    <w:sectPr w:rsidR="00C752D7" w:rsidRPr="00CD7169"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C16524" w:rsidRDefault="00320E21">
      <w:r w:rsidRPr="00C16524">
        <w:separator/>
      </w:r>
    </w:p>
  </w:endnote>
  <w:endnote w:type="continuationSeparator" w:id="0">
    <w:p w14:paraId="0B3BEB70" w14:textId="77777777" w:rsidR="00320E21" w:rsidRPr="00C16524" w:rsidRDefault="00320E21">
      <w:r w:rsidRPr="00C165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4189F" w14:textId="77777777" w:rsidR="00C16524" w:rsidRPr="00C16524" w:rsidRDefault="00C16524" w:rsidP="00C16524">
    <w:pPr>
      <w:pStyle w:val="EPFooter"/>
    </w:pPr>
    <w:r w:rsidRPr="00C16524">
      <w:t>PE</w:t>
    </w:r>
    <w:r w:rsidRPr="00C16524">
      <w:rPr>
        <w:rStyle w:val="HideTWBExt"/>
      </w:rPr>
      <w:t>&lt;NoPE&gt;</w:t>
    </w:r>
    <w:r w:rsidRPr="00C16524">
      <w:t>784.494</w:t>
    </w:r>
    <w:r w:rsidRPr="00C16524">
      <w:rPr>
        <w:rStyle w:val="HideTWBExt"/>
      </w:rPr>
      <w:t>&lt;/NoPE&gt;&lt;Version&gt;</w:t>
    </w:r>
    <w:r w:rsidRPr="00C16524">
      <w:t>v03-00</w:t>
    </w:r>
    <w:r w:rsidRPr="00C16524">
      <w:rPr>
        <w:rStyle w:val="HideTWBExt"/>
      </w:rPr>
      <w:t>&lt;/Version&gt;</w:t>
    </w:r>
    <w:r w:rsidRPr="00C16524">
      <w:tab/>
    </w:r>
    <w:r w:rsidRPr="00C16524">
      <w:fldChar w:fldCharType="begin"/>
    </w:r>
    <w:r w:rsidRPr="00C16524">
      <w:instrText xml:space="preserve"> PAGE  \* MERGEFORMAT </w:instrText>
    </w:r>
    <w:r w:rsidRPr="00C16524">
      <w:fldChar w:fldCharType="separate"/>
    </w:r>
    <w:r w:rsidRPr="00C16524">
      <w:rPr>
        <w:noProof/>
      </w:rPr>
      <w:t>2</w:t>
    </w:r>
    <w:r w:rsidRPr="00C16524">
      <w:fldChar w:fldCharType="end"/>
    </w:r>
    <w:r w:rsidRPr="00C16524">
      <w:t>/</w:t>
    </w:r>
    <w:fldSimple w:instr=" NUMPAGES  \* MERGEFORMAT ">
      <w:r w:rsidRPr="00C16524">
        <w:rPr>
          <w:noProof/>
        </w:rPr>
        <w:t>6</w:t>
      </w:r>
    </w:fldSimple>
    <w:r w:rsidRPr="00C16524">
      <w:tab/>
    </w:r>
    <w:r w:rsidRPr="00C16524">
      <w:rPr>
        <w:rStyle w:val="HideTWBExt"/>
      </w:rPr>
      <w:t>&lt;PathFdR&gt;</w:t>
    </w:r>
    <w:r w:rsidRPr="00C16524">
      <w:t>RR\1343291FI.docx</w:t>
    </w:r>
    <w:r w:rsidRPr="00C16524">
      <w:rPr>
        <w:rStyle w:val="HideTWBExt"/>
      </w:rPr>
      <w:t>&lt;/PathFdR&gt;</w:t>
    </w:r>
  </w:p>
  <w:p w14:paraId="2A2DE527" w14:textId="04647CBB" w:rsidR="0023430B" w:rsidRPr="00C16524" w:rsidRDefault="00C16524" w:rsidP="00C16524">
    <w:pPr>
      <w:pStyle w:val="EPFooter2"/>
    </w:pPr>
    <w:r w:rsidRPr="00C16524">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EEB1" w14:textId="77777777" w:rsidR="00C16524" w:rsidRPr="00C16524" w:rsidRDefault="00C16524" w:rsidP="00C16524">
    <w:pPr>
      <w:pStyle w:val="EPFooter"/>
    </w:pPr>
    <w:r w:rsidRPr="00C16524">
      <w:rPr>
        <w:rStyle w:val="HideTWBExt"/>
      </w:rPr>
      <w:t>&lt;PathFdR&gt;</w:t>
    </w:r>
    <w:r w:rsidRPr="00C16524">
      <w:t>RR\1343291FI.docx</w:t>
    </w:r>
    <w:r w:rsidRPr="00C16524">
      <w:rPr>
        <w:rStyle w:val="HideTWBExt"/>
      </w:rPr>
      <w:t>&lt;/PathFdR&gt;</w:t>
    </w:r>
    <w:r w:rsidRPr="00C16524">
      <w:tab/>
    </w:r>
    <w:r w:rsidRPr="00C16524">
      <w:fldChar w:fldCharType="begin"/>
    </w:r>
    <w:r w:rsidRPr="00C16524">
      <w:instrText xml:space="preserve"> PAGE  \* MERGEFORMAT </w:instrText>
    </w:r>
    <w:r w:rsidRPr="00C16524">
      <w:fldChar w:fldCharType="separate"/>
    </w:r>
    <w:r w:rsidRPr="00C16524">
      <w:rPr>
        <w:noProof/>
      </w:rPr>
      <w:t>5</w:t>
    </w:r>
    <w:r w:rsidRPr="00C16524">
      <w:fldChar w:fldCharType="end"/>
    </w:r>
    <w:r w:rsidRPr="00C16524">
      <w:t>/</w:t>
    </w:r>
    <w:fldSimple w:instr=" NUMPAGES  \* MERGEFORMAT ">
      <w:r w:rsidRPr="00C16524">
        <w:rPr>
          <w:noProof/>
        </w:rPr>
        <w:t>6</w:t>
      </w:r>
    </w:fldSimple>
    <w:r w:rsidRPr="00C16524">
      <w:tab/>
      <w:t>PE</w:t>
    </w:r>
    <w:r w:rsidRPr="00C16524">
      <w:rPr>
        <w:rStyle w:val="HideTWBExt"/>
      </w:rPr>
      <w:t>&lt;NoPE&gt;</w:t>
    </w:r>
    <w:r w:rsidRPr="00C16524">
      <w:t>784.494</w:t>
    </w:r>
    <w:r w:rsidRPr="00C16524">
      <w:rPr>
        <w:rStyle w:val="HideTWBExt"/>
      </w:rPr>
      <w:t>&lt;/NoPE&gt;&lt;Version&gt;</w:t>
    </w:r>
    <w:r w:rsidRPr="00C16524">
      <w:t>v03-00</w:t>
    </w:r>
    <w:r w:rsidRPr="00C16524">
      <w:rPr>
        <w:rStyle w:val="HideTWBExt"/>
      </w:rPr>
      <w:t>&lt;/Version&gt;</w:t>
    </w:r>
  </w:p>
  <w:p w14:paraId="4EEAA9E0" w14:textId="42A26535" w:rsidR="0023430B" w:rsidRPr="00C16524" w:rsidRDefault="00C16524" w:rsidP="00C16524">
    <w:pPr>
      <w:pStyle w:val="EPFooter2"/>
    </w:pPr>
    <w:r w:rsidRPr="00C16524">
      <w:tab/>
    </w:r>
    <w:r w:rsidRPr="00C16524">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D347" w14:textId="77777777" w:rsidR="00C16524" w:rsidRPr="00C16524" w:rsidRDefault="00C16524" w:rsidP="00C16524">
    <w:pPr>
      <w:pStyle w:val="EPFooter"/>
    </w:pPr>
    <w:r w:rsidRPr="00C16524">
      <w:rPr>
        <w:rStyle w:val="HideTWBExt"/>
      </w:rPr>
      <w:t>&lt;PathFdR&gt;</w:t>
    </w:r>
    <w:r w:rsidRPr="00C16524">
      <w:t>RR\1343291FI.docx</w:t>
    </w:r>
    <w:r w:rsidRPr="00C16524">
      <w:rPr>
        <w:rStyle w:val="HideTWBExt"/>
      </w:rPr>
      <w:t>&lt;/PathFdR&gt;</w:t>
    </w:r>
    <w:r w:rsidRPr="00C16524">
      <w:tab/>
    </w:r>
    <w:r w:rsidRPr="00C16524">
      <w:tab/>
      <w:t>PE</w:t>
    </w:r>
    <w:r w:rsidRPr="00C16524">
      <w:rPr>
        <w:rStyle w:val="HideTWBExt"/>
      </w:rPr>
      <w:t>&lt;NoPE&gt;</w:t>
    </w:r>
    <w:r w:rsidRPr="00C16524">
      <w:t>784.494</w:t>
    </w:r>
    <w:r w:rsidRPr="00C16524">
      <w:rPr>
        <w:rStyle w:val="HideTWBExt"/>
      </w:rPr>
      <w:t>&lt;/NoPE&gt;&lt;Version&gt;</w:t>
    </w:r>
    <w:r w:rsidRPr="00C16524">
      <w:t>v03-00</w:t>
    </w:r>
    <w:r w:rsidRPr="00C16524">
      <w:rPr>
        <w:rStyle w:val="HideTWBExt"/>
      </w:rPr>
      <w:t>&lt;/Version&gt;</w:t>
    </w:r>
  </w:p>
  <w:p w14:paraId="34911635" w14:textId="67A6E459" w:rsidR="0023430B" w:rsidRPr="00C16524" w:rsidRDefault="00C16524" w:rsidP="00C16524">
    <w:pPr>
      <w:pStyle w:val="EPFooter2"/>
    </w:pPr>
    <w:r w:rsidRPr="00C16524">
      <w:t>FI</w:t>
    </w:r>
    <w:r w:rsidRPr="00C16524">
      <w:tab/>
    </w:r>
    <w:r w:rsidRPr="00C16524">
      <w:rPr>
        <w:b w:val="0"/>
        <w:i/>
        <w:color w:val="C0C0C0"/>
        <w:sz w:val="22"/>
      </w:rPr>
      <w:t>Moninaisuudessaan yhtenäinen</w:t>
    </w:r>
    <w:r w:rsidRPr="00C16524">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C16524" w:rsidRDefault="00320E21">
      <w:r w:rsidRPr="00C16524">
        <w:separator/>
      </w:r>
    </w:p>
  </w:footnote>
  <w:footnote w:type="continuationSeparator" w:id="0">
    <w:p w14:paraId="13B4604B" w14:textId="77777777" w:rsidR="00320E21" w:rsidRPr="00C16524" w:rsidRDefault="00320E21">
      <w:r w:rsidRPr="00C16524">
        <w:continuationSeparator/>
      </w:r>
    </w:p>
  </w:footnote>
  <w:footnote w:id="1">
    <w:p w14:paraId="003EF8E5" w14:textId="77777777" w:rsidR="0000723C" w:rsidRPr="00C16524" w:rsidRDefault="0000723C" w:rsidP="00A66C37">
      <w:pPr>
        <w:pStyle w:val="FootnoteText"/>
      </w:pPr>
      <w:r w:rsidRPr="00C16524">
        <w:rPr>
          <w:rStyle w:val="FootnoteReference"/>
        </w:rPr>
        <w:footnoteRef/>
      </w:r>
      <w:r w:rsidRPr="00C16524">
        <w:rPr>
          <w:rStyle w:val="FootnoteReference"/>
        </w:rPr>
        <w:t xml:space="preserve"> </w:t>
      </w:r>
      <w:r w:rsidRPr="00C16524">
        <w:t>EUVL L 283, 31.10.2017, s. 1.</w:t>
      </w:r>
    </w:p>
  </w:footnote>
  <w:footnote w:id="2">
    <w:p w14:paraId="0ADF13AE" w14:textId="77777777" w:rsidR="0000723C" w:rsidRPr="00C16524" w:rsidRDefault="0000723C" w:rsidP="00A66C37">
      <w:pPr>
        <w:pStyle w:val="FootnoteText"/>
      </w:pPr>
      <w:r w:rsidRPr="00C16524">
        <w:rPr>
          <w:rStyle w:val="FootnoteReference"/>
        </w:rPr>
        <w:footnoteRef/>
      </w:r>
      <w:r w:rsidRPr="00C16524">
        <w:rPr>
          <w:rStyle w:val="FootnoteReference"/>
        </w:rPr>
        <w:t xml:space="preserve"> </w:t>
      </w:r>
      <w:r w:rsidRPr="00C16524">
        <w:t>Yhteisöjen tuomioistuimen tuomio 21.10.2008, Marra v. De Gregorio ja Clemente, C-200/07 ja C-201/07, ECLI:EU:C:2008:579, unionin yleisen tuomioistuimen tuomio 19.3.2010, Gollnisch v. parlamentti, T-42/06, ECLI:EU:T:2010:102, unionin tuomioistuimen tuomio 6.9.2011, Patriciello, C-163/10, ECLI:EU:C:2011:543, unionin yleisen tuomioistuimen tuomio 17.1.2013, Gollnisch v. parlamentti, T-346/11 ja T-347/11, ECLI:EU:T:2013:23 sekä unionin tuomioistuimen tuomio 19.12.2019, Junqueras Vies, C-502/19, ECLI:EU:C:2019:1115.</w:t>
      </w:r>
    </w:p>
  </w:footnote>
  <w:footnote w:id="3">
    <w:p w14:paraId="2B02AD51" w14:textId="40FBED66" w:rsidR="0000723C" w:rsidRPr="00C16524" w:rsidRDefault="0000723C" w:rsidP="00A66C37">
      <w:pPr>
        <w:pStyle w:val="FootnoteText"/>
      </w:pPr>
      <w:r w:rsidRPr="00C16524">
        <w:rPr>
          <w:rStyle w:val="FootnoteReference"/>
        </w:rPr>
        <w:footnoteRef/>
      </w:r>
      <w:r w:rsidRPr="00C16524">
        <w:rPr>
          <w:rStyle w:val="FootnoteReference"/>
        </w:rPr>
        <w:t xml:space="preserve"> </w:t>
      </w:r>
      <w:r w:rsidRPr="00C16524">
        <w:t xml:space="preserve">Puhemiehistön päätös, tehty 11. syyskuuta 2023, Euroopan parlamentin jäsenten asemaa koskevien sääntöjen soveltamisohjeista ja 19. toukokuuta ja 9. heinäkuuta 2008 tehdyn puhemiehistön päätöksen kumoamisesta (EUVL C/2024/2814, 26.4.2024, ELI: </w:t>
      </w:r>
      <w:hyperlink r:id="rId1" w:tgtFrame="_blank" w:tooltip="Avaa asiakirjan ELI URI -osoitteen kautta." w:history="1">
        <w:r w:rsidRPr="00C16524">
          <w:rPr>
            <w:rStyle w:val="Hyperlink"/>
            <w:color w:val="0563C1"/>
          </w:rPr>
          <w:t>http://data.europa.eu/eli/C/2024/2814/oj</w:t>
        </w:r>
      </w:hyperlink>
      <w:r w:rsidRPr="00C16524">
        <w:t xml:space="preserve">). </w:t>
      </w:r>
    </w:p>
  </w:footnote>
  <w:footnote w:id="4">
    <w:p w14:paraId="438588C7" w14:textId="2B228059" w:rsidR="0000723C" w:rsidRPr="00C16524" w:rsidRDefault="0000723C" w:rsidP="00A66C37">
      <w:pPr>
        <w:pStyle w:val="FootnoteText"/>
      </w:pPr>
      <w:r w:rsidRPr="00C16524">
        <w:rPr>
          <w:rStyle w:val="FootnoteReference"/>
        </w:rPr>
        <w:footnoteRef/>
      </w:r>
      <w:r w:rsidRPr="00C16524">
        <w:rPr>
          <w:rStyle w:val="FootnoteReference"/>
        </w:rPr>
        <w:t xml:space="preserve"> </w:t>
      </w:r>
      <w:r w:rsidRPr="00C16524">
        <w:t>Unionin tuomioistuimen tuomio 17.9.2020, Troszczynski v. parlamentti, C-12/19 P, ECLI:EU:C:2020:725, 26</w:t>
      </w:r>
      <w:r w:rsidR="00CD7169">
        <w:t> </w:t>
      </w:r>
      <w:r w:rsidRPr="00C16524">
        <w:t>kohta.</w:t>
      </w:r>
    </w:p>
  </w:footnote>
  <w:footnote w:id="5">
    <w:p w14:paraId="74DD20B8" w14:textId="77777777" w:rsidR="0000723C" w:rsidRPr="00C16524" w:rsidRDefault="0000723C" w:rsidP="00A66C37">
      <w:pPr>
        <w:pStyle w:val="FootnoteText"/>
      </w:pPr>
      <w:r w:rsidRPr="00C16524">
        <w:rPr>
          <w:rStyle w:val="FootnoteReference"/>
        </w:rPr>
        <w:footnoteRef/>
      </w:r>
      <w:r w:rsidRPr="00C16524">
        <w:rPr>
          <w:rStyle w:val="FootnoteReference"/>
        </w:rPr>
        <w:t xml:space="preserve"> </w:t>
      </w:r>
      <w:r w:rsidRPr="00C16524">
        <w:t>Unionin yleisen tuomioistuimen tuomio 30.4.2019, Briois v. parlamentti,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08D2" w14:textId="77777777" w:rsidR="00CD7169" w:rsidRDefault="00CD7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1C20" w14:textId="77777777" w:rsidR="00CD7169" w:rsidRDefault="00CD71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47C2F" w14:textId="77777777" w:rsidR="00CD7169" w:rsidRDefault="00CD71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323C3"/>
    <w:rsid w:val="00135AEF"/>
    <w:rsid w:val="00142D49"/>
    <w:rsid w:val="0015788B"/>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B4868"/>
    <w:rsid w:val="00B54ED2"/>
    <w:rsid w:val="00B81D30"/>
    <w:rsid w:val="00B83348"/>
    <w:rsid w:val="00BA4C87"/>
    <w:rsid w:val="00C03881"/>
    <w:rsid w:val="00C16524"/>
    <w:rsid w:val="00C31534"/>
    <w:rsid w:val="00C42BD9"/>
    <w:rsid w:val="00C43D3B"/>
    <w:rsid w:val="00C752D7"/>
    <w:rsid w:val="00CA3CB6"/>
    <w:rsid w:val="00CC662F"/>
    <w:rsid w:val="00CD7169"/>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466246498">
      <w:bodyDiv w:val="1"/>
      <w:marLeft w:val="0"/>
      <w:marRight w:val="0"/>
      <w:marTop w:val="0"/>
      <w:marBottom w:val="0"/>
      <w:divBdr>
        <w:top w:val="none" w:sz="0" w:space="0" w:color="auto"/>
        <w:left w:val="none" w:sz="0" w:space="0" w:color="auto"/>
        <w:bottom w:val="none" w:sz="0" w:space="0" w:color="auto"/>
        <w:right w:val="none" w:sz="0" w:space="0" w:color="auto"/>
      </w:divBdr>
    </w:div>
    <w:div w:id="497697288">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882</Words>
  <Characters>6772</Characters>
  <Application>Microsoft Office Word</Application>
  <DocSecurity>0</DocSecurity>
  <Lines>135</Lines>
  <Paragraphs>61</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PIRTTIJARVI Tiina</cp:lastModifiedBy>
  <cp:revision>2</cp:revision>
  <cp:lastPrinted>2026-05-06T12:11:00Z</cp:lastPrinted>
  <dcterms:created xsi:type="dcterms:W3CDTF">2026-05-12T14:19:00Z</dcterms:created>
  <dcterms:modified xsi:type="dcterms:W3CDTF">2026-05-12T14:19:00Z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\\eiciBRUpr1\pdocep$\DocEP\DOCS\General\PR\PR_NonLeg\IMM\PR_IMM_Waiver.dotx(26/05/2023 16:52:03)</vt:lpwstr>
  </property>
  <property fmtid="{D5CDD505-2E9C-101B-9397-08002B2CF9AE}" pid="8" name="&lt;ModelTra&gt;">
    <vt:lpwstr>\\eiciBRUpr1\pdocep$\DocEP\TRANSFIL\EN\PR_IMM_Waiver.EN(05/08/2025 15:25:00)</vt:lpwstr>
  </property>
  <property fmtid="{D5CDD505-2E9C-101B-9397-08002B2CF9AE}" pid="9" name="&lt;Model&gt;">
    <vt:lpwstr>PR_IMM_Waiver</vt:lpwstr>
  </property>
  <property fmtid="{D5CDD505-2E9C-101B-9397-08002B2CF9AE}" pid="10" name="FooterPath">
    <vt:lpwstr>RR\1343291FI.docx</vt:lpwstr>
  </property>
  <property fmtid="{D5CDD505-2E9C-101B-9397-08002B2CF9AE}" pid="11" name="PE number">
    <vt:lpwstr>784.494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- 2026/05/12 16:16</vt:lpwstr>
  </property>
  <property fmtid="{D5CDD505-2E9C-101B-9397-08002B2CF9AE}" pid="15" name="OriLang">
    <vt:lpwstr>EN</vt:lpwstr>
  </property>
  <property fmtid="{D5CDD505-2E9C-101B-9397-08002B2CF9AE}" pid="16" name="SDLStudio">
    <vt:lpwstr/>
  </property>
</Properties>
</file>