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4922" w14:paraId="54593F10" w14:textId="77777777" w:rsidTr="00C85D0F">
        <w:trPr>
          <w:trHeight w:hRule="exact" w:val="1418"/>
        </w:trPr>
        <w:tc>
          <w:tcPr>
            <w:tcW w:w="6804" w:type="dxa"/>
            <w:shd w:val="clear" w:color="auto" w:fill="auto"/>
            <w:vAlign w:val="center"/>
          </w:tcPr>
          <w:p w14:paraId="6A607A42" w14:textId="77777777" w:rsidR="00CF16EE" w:rsidRPr="00DC230F" w:rsidRDefault="00AD4716" w:rsidP="00C85D0F">
            <w:pPr>
              <w:pStyle w:val="EPName"/>
            </w:pPr>
            <w:r>
              <w:t>Európai Parlament</w:t>
            </w:r>
          </w:p>
          <w:p w14:paraId="123F2B2B" w14:textId="77777777" w:rsidR="00CF16EE" w:rsidRPr="00DC230F" w:rsidRDefault="00AD4716" w:rsidP="00C85D0F">
            <w:pPr>
              <w:pStyle w:val="EPTerm"/>
            </w:pPr>
            <w:r>
              <w:t>2024-2029</w:t>
            </w:r>
          </w:p>
        </w:tc>
        <w:tc>
          <w:tcPr>
            <w:tcW w:w="2268" w:type="dxa"/>
            <w:shd w:val="clear" w:color="auto" w:fill="auto"/>
          </w:tcPr>
          <w:p w14:paraId="1C67C765" w14:textId="77777777" w:rsidR="00CF16EE" w:rsidRPr="00DC230F" w:rsidRDefault="00AD4716" w:rsidP="00C85D0F">
            <w:pPr>
              <w:pStyle w:val="EPLogo"/>
            </w:pPr>
            <w:r w:rsidRPr="00DC230F">
              <w:rPr>
                <w:noProof/>
              </w:rPr>
              <w:drawing>
                <wp:inline distT="0" distB="0" distL="0" distR="0" wp14:anchorId="75F22A57" wp14:editId="664F47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D52CB0" w14:textId="77777777" w:rsidR="00215FF9" w:rsidRPr="00DC230F" w:rsidRDefault="00215FF9" w:rsidP="00215FF9">
      <w:pPr>
        <w:pStyle w:val="LineTop"/>
      </w:pPr>
    </w:p>
    <w:p w14:paraId="53206102" w14:textId="77777777" w:rsidR="00215FF9" w:rsidRPr="00DC230F" w:rsidRDefault="00AD4716" w:rsidP="00215FF9">
      <w:pPr>
        <w:pStyle w:val="EPBody"/>
      </w:pPr>
      <w:r>
        <w:t>Plenárisülés-dokumentum</w:t>
      </w:r>
    </w:p>
    <w:p w14:paraId="1C367A59" w14:textId="77777777" w:rsidR="00215FF9" w:rsidRPr="00DC230F" w:rsidRDefault="00215FF9" w:rsidP="00215FF9">
      <w:pPr>
        <w:pStyle w:val="LineBottom"/>
      </w:pPr>
    </w:p>
    <w:p w14:paraId="71005C08" w14:textId="77777777" w:rsidR="005922F7" w:rsidRPr="00DC230F" w:rsidRDefault="00AD4716" w:rsidP="001C57F7">
      <w:pPr>
        <w:pStyle w:val="CoverReference"/>
      </w:pPr>
      <w:r>
        <w:rPr>
          <w:rStyle w:val="HideTWBExt"/>
        </w:rPr>
        <w:t>&lt;NoDocSe&gt;</w:t>
      </w:r>
      <w:r>
        <w:t>A10</w:t>
      </w:r>
      <w:r>
        <w:noBreakHyphen/>
        <w:t>0127/2026</w:t>
      </w:r>
      <w:r>
        <w:rPr>
          <w:rStyle w:val="HideTWBExt"/>
        </w:rPr>
        <w:t>&lt;/NoDocSe&gt;</w:t>
      </w:r>
    </w:p>
    <w:p w14:paraId="35D7857C" w14:textId="77777777" w:rsidR="005922F7" w:rsidRPr="00DC230F" w:rsidRDefault="00AD4716" w:rsidP="005922F7">
      <w:pPr>
        <w:pStyle w:val="CoverDate"/>
      </w:pPr>
      <w:r>
        <w:rPr>
          <w:rStyle w:val="HideTWBExt"/>
        </w:rPr>
        <w:t>&lt;Date&gt;</w:t>
      </w:r>
      <w:r>
        <w:rPr>
          <w:rStyle w:val="HideTWBInt"/>
          <w:color w:val="auto"/>
        </w:rPr>
        <w:t>{06/05/2026}</w:t>
      </w:r>
      <w:r>
        <w:t>6.5.2026</w:t>
      </w:r>
      <w:r>
        <w:rPr>
          <w:rStyle w:val="HideTWBExt"/>
        </w:rPr>
        <w:t>&lt;/Date&gt;</w:t>
      </w:r>
    </w:p>
    <w:p w14:paraId="2828B326" w14:textId="77777777" w:rsidR="00142D49" w:rsidRPr="00DC230F" w:rsidRDefault="00AD4716">
      <w:pPr>
        <w:pStyle w:val="CoverDocType24a"/>
      </w:pPr>
      <w:r>
        <w:rPr>
          <w:rStyle w:val="HideTWBExt"/>
          <w:b w:val="0"/>
        </w:rPr>
        <w:t>&lt;TitreType&gt;</w:t>
      </w:r>
      <w:r>
        <w:t>JELENTÉS</w:t>
      </w:r>
      <w:r>
        <w:rPr>
          <w:rStyle w:val="HideTWBExt"/>
          <w:b w:val="0"/>
        </w:rPr>
        <w:t>&lt;/TitreType&gt;</w:t>
      </w:r>
    </w:p>
    <w:p w14:paraId="3C6D8F1F" w14:textId="77777777" w:rsidR="00142D49" w:rsidRPr="00DC230F" w:rsidRDefault="00AD4716">
      <w:pPr>
        <w:pStyle w:val="CoverNormal"/>
      </w:pPr>
      <w:r>
        <w:rPr>
          <w:rStyle w:val="HideTWBExt"/>
        </w:rPr>
        <w:t>&lt;Titre&gt;</w:t>
      </w:r>
      <w:r>
        <w:t>az Angelika Niebler mentelmi jogának felfüggesztésére irányuló kérelemről</w:t>
      </w:r>
      <w:r>
        <w:rPr>
          <w:rStyle w:val="HideTWBExt"/>
        </w:rPr>
        <w:t>&lt;/Titre&gt;</w:t>
      </w:r>
    </w:p>
    <w:p w14:paraId="52187BB1" w14:textId="77777777" w:rsidR="00142D49" w:rsidRPr="00DC230F" w:rsidRDefault="00AD4716">
      <w:pPr>
        <w:pStyle w:val="CoverNormal24a"/>
      </w:pPr>
      <w:r>
        <w:rPr>
          <w:rStyle w:val="HideTWBExt"/>
        </w:rPr>
        <w:t>&lt;DocRef&gt;</w:t>
      </w:r>
      <w:r>
        <w:t>(2025/2175(IMM))</w:t>
      </w:r>
      <w:r>
        <w:rPr>
          <w:rStyle w:val="HideTWBExt"/>
        </w:rPr>
        <w:t>&lt;/DocRef&gt;</w:t>
      </w:r>
    </w:p>
    <w:p w14:paraId="104E1091" w14:textId="77777777" w:rsidR="00142D49" w:rsidRPr="00DC230F" w:rsidRDefault="00AD4716">
      <w:pPr>
        <w:pStyle w:val="CoverNormal24a"/>
      </w:pPr>
      <w:r>
        <w:rPr>
          <w:rStyle w:val="HideTWBExt"/>
        </w:rPr>
        <w:t>&lt;Commission&gt;</w:t>
      </w:r>
      <w:r>
        <w:rPr>
          <w:rStyle w:val="HideTWBInt"/>
          <w:color w:val="auto"/>
        </w:rPr>
        <w:t>{JURI}</w:t>
      </w:r>
      <w:r>
        <w:t>Jogi Bizottság</w:t>
      </w:r>
      <w:r>
        <w:rPr>
          <w:rStyle w:val="HideTWBExt"/>
        </w:rPr>
        <w:t>&lt;/Commission&gt;</w:t>
      </w:r>
    </w:p>
    <w:p w14:paraId="1DDE474C" w14:textId="77777777" w:rsidR="00142D49" w:rsidRPr="00DC230F" w:rsidRDefault="00AD4716">
      <w:pPr>
        <w:pStyle w:val="CoverNormal24a"/>
      </w:pPr>
      <w:r>
        <w:t xml:space="preserve">Előadó: </w:t>
      </w:r>
      <w:r>
        <w:rPr>
          <w:rStyle w:val="HideTWBExt"/>
        </w:rPr>
        <w:t>&lt;Depute&gt;</w:t>
      </w:r>
      <w:r>
        <w:t>Marcin Sypniewski</w:t>
      </w:r>
      <w:r>
        <w:rPr>
          <w:rStyle w:val="HideTWBExt"/>
        </w:rPr>
        <w:t>&lt;/Depute&gt;</w:t>
      </w:r>
    </w:p>
    <w:p w14:paraId="7361E00F" w14:textId="77777777" w:rsidR="00142D49" w:rsidRPr="00DC230F" w:rsidRDefault="00AD4716" w:rsidP="00DF74F0">
      <w:pPr>
        <w:widowControl/>
        <w:tabs>
          <w:tab w:val="center" w:pos="4677"/>
        </w:tabs>
      </w:pPr>
      <w:r>
        <w:br w:type="page"/>
      </w:r>
      <w:r>
        <w:lastRenderedPageBreak/>
        <w:t>PR_IMM_Waiver</w:t>
      </w:r>
    </w:p>
    <w:p w14:paraId="0CDD9B29" w14:textId="77777777" w:rsidR="00142D49" w:rsidRPr="00DC230F" w:rsidRDefault="00AD4716">
      <w:pPr>
        <w:pStyle w:val="TOCHeading"/>
      </w:pPr>
      <w:r>
        <w:t>TARTALOM</w:t>
      </w:r>
    </w:p>
    <w:p w14:paraId="2C96232D" w14:textId="77777777" w:rsidR="00142D49" w:rsidRPr="00DC230F" w:rsidRDefault="00AD4716">
      <w:pPr>
        <w:pStyle w:val="TOCPage"/>
      </w:pPr>
      <w:r>
        <w:t>Oldal</w:t>
      </w:r>
    </w:p>
    <w:p w14:paraId="4370B1C7" w14:textId="7186901F" w:rsidR="00AD4716" w:rsidRDefault="00AD471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C230F">
        <w:fldChar w:fldCharType="begin"/>
      </w:r>
      <w:r w:rsidRPr="00DC230F">
        <w:instrText xml:space="preserve"> TOC \t "PageHeading</w:instrText>
      </w:r>
      <w:r>
        <w:instrText>;</w:instrText>
      </w:r>
      <w:r w:rsidRPr="00DC230F">
        <w:instrText xml:space="preserve">1" </w:instrText>
      </w:r>
      <w:r w:rsidRPr="00DC230F">
        <w:fldChar w:fldCharType="separate"/>
      </w:r>
      <w:r>
        <w:rPr>
          <w:noProof/>
        </w:rPr>
        <w:t>AZ EURÓPAI PARLAMENT HATÁROZATÁRA IRÁNYULÓ JAVASLAT</w:t>
      </w:r>
      <w:r>
        <w:rPr>
          <w:noProof/>
        </w:rPr>
        <w:tab/>
      </w:r>
      <w:r>
        <w:rPr>
          <w:noProof/>
        </w:rPr>
        <w:fldChar w:fldCharType="begin"/>
      </w:r>
      <w:r>
        <w:rPr>
          <w:noProof/>
        </w:rPr>
        <w:instrText xml:space="preserve"> PAGEREF _Toc229490912 \h </w:instrText>
      </w:r>
      <w:r>
        <w:rPr>
          <w:noProof/>
        </w:rPr>
      </w:r>
      <w:r>
        <w:rPr>
          <w:noProof/>
        </w:rPr>
        <w:fldChar w:fldCharType="separate"/>
      </w:r>
      <w:r>
        <w:rPr>
          <w:noProof/>
        </w:rPr>
        <w:t>3</w:t>
      </w:r>
      <w:r>
        <w:rPr>
          <w:noProof/>
        </w:rPr>
        <w:fldChar w:fldCharType="end"/>
      </w:r>
    </w:p>
    <w:p w14:paraId="5560F5D6" w14:textId="7A10C725" w:rsidR="00AD4716" w:rsidRDefault="00AD471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INFORMÁCIÓ AZ ILLETÉKES BIZOTTSÁG ÁLTALI ELFOGADÁSRÓL</w:t>
      </w:r>
      <w:r>
        <w:rPr>
          <w:noProof/>
        </w:rPr>
        <w:tab/>
      </w:r>
      <w:r>
        <w:rPr>
          <w:noProof/>
        </w:rPr>
        <w:fldChar w:fldCharType="begin"/>
      </w:r>
      <w:r>
        <w:rPr>
          <w:noProof/>
        </w:rPr>
        <w:instrText xml:space="preserve"> PAGEREF _Toc229490913 \h </w:instrText>
      </w:r>
      <w:r>
        <w:rPr>
          <w:noProof/>
        </w:rPr>
      </w:r>
      <w:r>
        <w:rPr>
          <w:noProof/>
        </w:rPr>
        <w:fldChar w:fldCharType="separate"/>
      </w:r>
      <w:r>
        <w:rPr>
          <w:noProof/>
        </w:rPr>
        <w:t>6</w:t>
      </w:r>
      <w:r>
        <w:rPr>
          <w:noProof/>
        </w:rPr>
        <w:fldChar w:fldCharType="end"/>
      </w:r>
    </w:p>
    <w:p w14:paraId="3279AD1A" w14:textId="03C3E4B8" w:rsidR="0006105E" w:rsidRPr="00DC230F" w:rsidRDefault="00AD4716" w:rsidP="00273EFB">
      <w:r w:rsidRPr="00DC230F">
        <w:fldChar w:fldCharType="end"/>
      </w:r>
    </w:p>
    <w:p w14:paraId="00F28F99" w14:textId="77777777" w:rsidR="003B67B5" w:rsidRPr="007660B3" w:rsidRDefault="00AD4716" w:rsidP="003B67B5">
      <w:pPr>
        <w:pStyle w:val="PageHeading"/>
      </w:pPr>
      <w:r>
        <w:br w:type="page"/>
      </w:r>
      <w:bookmarkStart w:id="0" w:name="_Toc228972798"/>
      <w:bookmarkStart w:id="1" w:name="_Toc229490912"/>
      <w:r>
        <w:t>AZ EURÓPAI PARLAMENT HATÁROZATÁRA IRÁNYULÓ JAVASLAT</w:t>
      </w:r>
      <w:bookmarkEnd w:id="0"/>
      <w:bookmarkEnd w:id="1"/>
    </w:p>
    <w:p w14:paraId="747B8931" w14:textId="77777777" w:rsidR="003B67B5" w:rsidRPr="007660B3" w:rsidRDefault="00AD4716" w:rsidP="003B67B5">
      <w:pPr>
        <w:pStyle w:val="NormalBold"/>
      </w:pPr>
      <w:r>
        <w:t>az Angelika Niebler mentelmi jogának felfüggesztésére irányuló kérelemről</w:t>
      </w:r>
    </w:p>
    <w:p w14:paraId="424B07E0" w14:textId="77777777" w:rsidR="003B67B5" w:rsidRPr="007660B3" w:rsidRDefault="00AD4716" w:rsidP="003B67B5">
      <w:pPr>
        <w:pStyle w:val="NormalBold"/>
      </w:pPr>
      <w:r>
        <w:t>(2025/2175(IMM))</w:t>
      </w:r>
    </w:p>
    <w:p w14:paraId="5379F11E" w14:textId="77777777" w:rsidR="003B67B5" w:rsidRPr="007660B3" w:rsidRDefault="00AD4716" w:rsidP="003B67B5">
      <w:pPr>
        <w:pStyle w:val="EPComma"/>
      </w:pPr>
      <w:r>
        <w:rPr>
          <w:i/>
        </w:rPr>
        <w:t>Az Európai Parlament</w:t>
      </w:r>
      <w:r>
        <w:t>,</w:t>
      </w:r>
    </w:p>
    <w:p w14:paraId="0823F673" w14:textId="77777777" w:rsidR="003B67B5" w:rsidRPr="007660B3" w:rsidRDefault="00AD4716" w:rsidP="003B67B5">
      <w:pPr>
        <w:pStyle w:val="NormalHanging12a"/>
      </w:pPr>
      <w:r>
        <w:t>–</w:t>
      </w:r>
      <w:r>
        <w:tab/>
        <w:t>tekintettel az európai főügyész által az Angelika Niebler ellen indítandó előzetes nyomozással összefüggésben 2025. július 21-i levelében eljuttatott és 2025. szeptember 1-jei levelében megerősített, és 2025. szeptember 10-én a plenáris ülésen bejelentett, az Angelika Niebler mentelmi jogának felfüggesztésére irányuló kérelemre,</w:t>
      </w:r>
    </w:p>
    <w:p w14:paraId="66B2587E" w14:textId="77777777" w:rsidR="003B67B5" w:rsidRPr="007660B3" w:rsidRDefault="00AD4716" w:rsidP="003B67B5">
      <w:pPr>
        <w:pStyle w:val="NormalHanging12a"/>
      </w:pPr>
      <w:r>
        <w:t>–</w:t>
      </w:r>
      <w:r>
        <w:tab/>
        <w:t>miután eljárási szabályzata 9. cikke (6) bekezdésének megfelelően 2026. április 15-én meghallgatta Angelika Nieblert,</w:t>
      </w:r>
    </w:p>
    <w:p w14:paraId="62F9B4E2" w14:textId="77777777" w:rsidR="003B67B5" w:rsidRPr="007660B3" w:rsidRDefault="00AD4716" w:rsidP="003B67B5">
      <w:pPr>
        <w:pStyle w:val="NormalHanging12a"/>
      </w:pPr>
      <w:r>
        <w:t>–</w:t>
      </w:r>
      <w:r>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209D3D83" w14:textId="77777777" w:rsidR="003B67B5" w:rsidRPr="007660B3" w:rsidRDefault="00AD4716" w:rsidP="003B67B5">
      <w:pPr>
        <w:pStyle w:val="NormalHanging12a"/>
        <w:rPr>
          <w:b/>
        </w:rPr>
      </w:pPr>
      <w:r>
        <w:t>–</w:t>
      </w:r>
      <w:r>
        <w:tab/>
        <w:t>tekintettel az Európai Ügyészség létrehozására vonatkozó megerősített együttműködés bevezetéséről szóló, 2017. október 12-i (EU) 2017/1939 tanácsi rendeletre</w:t>
      </w:r>
      <w:r>
        <w:rPr>
          <w:vertAlign w:val="superscript"/>
        </w:rPr>
        <w:footnoteReference w:id="1"/>
      </w:r>
      <w:r>
        <w:t xml:space="preserve"> és különösen annak 29. cikke (2) bekezdésére,</w:t>
      </w:r>
    </w:p>
    <w:p w14:paraId="4B4D8449" w14:textId="77777777" w:rsidR="003B67B5" w:rsidRPr="007660B3" w:rsidRDefault="00AD4716" w:rsidP="003B67B5">
      <w:pPr>
        <w:pStyle w:val="NormalHanging12a"/>
      </w:pPr>
      <w:r>
        <w:t>–</w:t>
      </w:r>
      <w:r>
        <w:tab/>
        <w:t>tekintettel az Európai Unió Bírósága által 2008. október 21-én, 2010. március 19-én, 2011. szeptember 6-án, 2013. január 17-én és 2019. december 19-én hozott ítéletekre</w:t>
      </w:r>
      <w:r>
        <w:rPr>
          <w:vertAlign w:val="superscript"/>
        </w:rPr>
        <w:footnoteReference w:id="2"/>
      </w:r>
      <w:r>
        <w:t>,</w:t>
      </w:r>
    </w:p>
    <w:p w14:paraId="77D8B91C" w14:textId="77777777" w:rsidR="003B67B5" w:rsidRPr="007660B3" w:rsidRDefault="00AD4716" w:rsidP="003B67B5">
      <w:pPr>
        <w:pStyle w:val="NormalHanging12a"/>
      </w:pPr>
      <w:r>
        <w:t>–</w:t>
      </w:r>
      <w:r>
        <w:tab/>
        <w:t>tekintettel a Németországi Szövetségi Köztársaság Alaptörvényének 46. cikkére,</w:t>
      </w:r>
    </w:p>
    <w:p w14:paraId="50426A25" w14:textId="77777777" w:rsidR="003B67B5" w:rsidRPr="007660B3" w:rsidRDefault="00AD4716" w:rsidP="003B67B5">
      <w:pPr>
        <w:pStyle w:val="NormalHanging12a"/>
      </w:pPr>
      <w:r>
        <w:t>–</w:t>
      </w:r>
      <w:r>
        <w:tab/>
        <w:t>tekintettel eljárási szabályzata 5. cikkének (2) bekezdésére, 6. cikkének (1) bekezdésére és 9. cikkére,</w:t>
      </w:r>
    </w:p>
    <w:p w14:paraId="1EEEFAC4" w14:textId="77777777" w:rsidR="003B67B5" w:rsidRPr="007660B3" w:rsidRDefault="00AD4716" w:rsidP="003B67B5">
      <w:pPr>
        <w:pStyle w:val="NormalHanging12a"/>
      </w:pPr>
      <w:r>
        <w:t>–</w:t>
      </w:r>
      <w:r>
        <w:tab/>
        <w:t>tekintettel a Jogi Bizottság jelentésére (A10-0127/2026),</w:t>
      </w:r>
    </w:p>
    <w:p w14:paraId="5116E534" w14:textId="77777777" w:rsidR="003B67B5" w:rsidRPr="007660B3" w:rsidRDefault="00AD4716" w:rsidP="003B67B5">
      <w:pPr>
        <w:pStyle w:val="NormalHanging12a"/>
      </w:pPr>
      <w:r>
        <w:t>A.</w:t>
      </w:r>
      <w:r>
        <w:tab/>
        <w:t>mivel az európai főügyész 2017 és 2025 között elkövetett állítólagos bűncselekményekkel összefüggésben 2025. július 21-i levelében benyújtotta, 2025. szeptember 1-jei levelében pedig megerősítette az Angelika Niebler, Németországban megválasztott európai parlamenti képviselő mentelmi jogának felfüggesztésére irányuló kérelmet;</w:t>
      </w:r>
    </w:p>
    <w:p w14:paraId="7663D7F9" w14:textId="77777777" w:rsidR="003B67B5" w:rsidRPr="007660B3" w:rsidRDefault="00AD4716" w:rsidP="003B67B5">
      <w:pPr>
        <w:pStyle w:val="NormalHanging12a"/>
      </w:pPr>
      <w:r>
        <w:t>B.</w:t>
      </w:r>
      <w:r>
        <w:tab/>
        <w:t>mivel a kérelem szerint, amely egy olyan magánfél által szolgáltatott információkon alapul, aki 2021 augusztusa és 2023 szeptembere között dolgozott az érintett képviselőnek, Angelika Niebler – a 2017-től kezdődő időszakban, azaz a 8–10. parlamenti ciklusban – állítólag helytelenül igényelte a Strasbourgba és Brüsszelbe irányuló utazások költségeinek visszatérítését, állítólag ideiglenesen magáncélra vagy az európai parlamenti képviselői szerepéhez és/vagy parlamenti feladatainak ellátásához nem kapcsolódó</w:t>
      </w:r>
      <w:r>
        <w:t xml:space="preserve"> célokra akkreditált parlamenti asszisztenseket és helyi asszisztenseket alkalmazott, továbbá állítólag alkalmazott egy helyi asszisztenst, aki állítólag kizárólag ugyanazon párt egy volt európai parlamenti képviselőjének dolgozott, ugyanakkor akinek fizetését az Európai Parlament Angelika Niebler számára fizette; mivel a kérelemben megadott információk szerint fennáll a kezdeti gyanúja annak, hogy a parlamenti asszisztensi költségeket az európai parlamenti képviselők statútumának alkalmazási szabályairól s</w:t>
      </w:r>
      <w:r>
        <w:t>zóló, 2023. szeptember 11-i elnökségi határozat</w:t>
      </w:r>
      <w:r>
        <w:rPr>
          <w:vertAlign w:val="superscript"/>
        </w:rPr>
        <w:footnoteReference w:id="3"/>
      </w:r>
      <w:r>
        <w:t xml:space="preserve"> 29. cikkének (2) bekezdésével ellentétesen használta fel; mivel tehát ezek az állítólagos cselekedetek a német büntető törvénykönyv 263. §-ának (1) és (3) bekezdése szerinti csalás bűncselekményének minősülhetnek;</w:t>
      </w:r>
    </w:p>
    <w:p w14:paraId="6F6174B9" w14:textId="77777777" w:rsidR="003B67B5" w:rsidRPr="007660B3" w:rsidRDefault="00AD4716" w:rsidP="003B67B5">
      <w:pPr>
        <w:pStyle w:val="NormalHanging12a"/>
      </w:pPr>
      <w:r>
        <w:t>C.</w:t>
      </w:r>
      <w:r>
        <w:tab/>
        <w:t xml:space="preserve">mivel Angelika Nieblert a 2014. májusi, majd pedig a 2019. májusi és a 2024. júniusi európai választásokon választották az Európai Parlament képviselőjévé, tehát az állítólagos bűncselekmények idején az Európai Parlament képviselője volt; </w:t>
      </w:r>
    </w:p>
    <w:p w14:paraId="08C7D46C" w14:textId="77777777" w:rsidR="003B67B5" w:rsidRPr="007660B3" w:rsidRDefault="00AD4716" w:rsidP="003B67B5">
      <w:pPr>
        <w:pStyle w:val="NormalHanging12a"/>
      </w:pPr>
      <w:r>
        <w:t>D.</w:t>
      </w:r>
      <w:r>
        <w:tab/>
        <w:t xml:space="preserve">mivel az állítólagos bűncselekmények nem minősülnek az Angelika Niebler által az Európai Unió kiváltságairól és </w:t>
      </w:r>
      <w:r>
        <w:t>mentességeiről szóló 7. jegyzőkönyv 8. cikkének értelmében vett feladatai ellátása során kifejtett véleménynek vagy leadott szavazatnak, és az Angelika Niebler mentelmi jogának felfüggesztésére irányuló kérelem sem kapcsolódik ilyenhez;</w:t>
      </w:r>
    </w:p>
    <w:p w14:paraId="752CE668" w14:textId="77777777" w:rsidR="003B67B5" w:rsidRPr="007660B3" w:rsidRDefault="00AD4716" w:rsidP="003B67B5">
      <w:pPr>
        <w:pStyle w:val="NormalHanging12a"/>
      </w:pPr>
      <w:r>
        <w:t>E.</w:t>
      </w:r>
      <w:r>
        <w:tab/>
        <w:t>mivel az Európai Unió kiváltságairól és mentességeiről szóló 7. jegyzőkönyv 9. cikke első bekezdésének a) pontja szerint az Európai Parlament ülésszakainak ideje alatt az Európai Parlament tagjai saját államuk területén a saját tagállamuk parlamentjének tagjaira vonatkozó mentességet élvezik;</w:t>
      </w:r>
    </w:p>
    <w:p w14:paraId="5690264E" w14:textId="77777777" w:rsidR="003B67B5" w:rsidRPr="007660B3" w:rsidRDefault="00AD4716" w:rsidP="003B67B5">
      <w:pPr>
        <w:pStyle w:val="NormalHanging12a"/>
      </w:pPr>
      <w:r>
        <w:t>F.</w:t>
      </w:r>
      <w:r>
        <w:tab/>
        <w:t>mivel a Németországi Szövetségi Köztársaság Alaptörvénye 46. cikkének (2), (3) és (4) bekezdése a következőképpen rendelkezik:</w:t>
      </w:r>
    </w:p>
    <w:p w14:paraId="731A685B" w14:textId="77777777" w:rsidR="003B67B5" w:rsidRPr="007660B3" w:rsidRDefault="00AD4716" w:rsidP="003B67B5">
      <w:pPr>
        <w:pStyle w:val="NormalHanging12a"/>
      </w:pPr>
      <w:r>
        <w:t>„(2)</w:t>
      </w:r>
      <w:r>
        <w:tab/>
        <w:t>Büntetendő cselekmény elkövetése miatt képviselő csak a Bundestag engedélyével vonható felelősségre vagy tartóztatható le, kivéve a jogellenes cselekmény elkövetésekor vagy a rá következő napon történő letartóztatás esetét.</w:t>
      </w:r>
    </w:p>
    <w:p w14:paraId="57226C16" w14:textId="77777777" w:rsidR="003B67B5" w:rsidRPr="007660B3" w:rsidRDefault="00AD4716" w:rsidP="003B67B5">
      <w:pPr>
        <w:pStyle w:val="NormalHanging12a"/>
      </w:pPr>
      <w:r>
        <w:t>(3)</w:t>
      </w:r>
      <w:r>
        <w:tab/>
        <w:t>Szintén a Bundestag engedélye szükséges a képviselő személyes szabadságának bármely egyéb korlátozása esetén vagy a képviselő elleni, 18. cikk szerinti bírósági eljárás megindításához.</w:t>
      </w:r>
    </w:p>
    <w:p w14:paraId="5E9959BD" w14:textId="77777777" w:rsidR="003B67B5" w:rsidRPr="007660B3" w:rsidRDefault="00AD4716" w:rsidP="003B67B5">
      <w:pPr>
        <w:pStyle w:val="NormalHanging12a"/>
      </w:pPr>
      <w:r>
        <w:t>(4)</w:t>
      </w:r>
      <w:r>
        <w:tab/>
        <w:t>A Bundestag kérésére fel kell függeszteni minden, a képviselő ellen indított büntetőeljárást vagy a 18. cikk szerinti bármely eljárást, a képviselő őrizetben tartását vagy személyes szabadságának egyéb korlátozását.”;</w:t>
      </w:r>
    </w:p>
    <w:p w14:paraId="3C148805" w14:textId="77777777" w:rsidR="003B67B5" w:rsidRPr="007660B3" w:rsidRDefault="00AD4716" w:rsidP="003B67B5">
      <w:pPr>
        <w:pStyle w:val="NormalHanging12a"/>
      </w:pPr>
      <w:r>
        <w:t>G.</w:t>
      </w:r>
      <w:r>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7AB2F1EB" w14:textId="77777777" w:rsidR="003B67B5" w:rsidRPr="007660B3" w:rsidRDefault="00AD4716" w:rsidP="003B67B5">
      <w:pPr>
        <w:pStyle w:val="NormalHanging12a"/>
      </w:pPr>
      <w:r>
        <w:t>H.</w:t>
      </w:r>
      <w:r>
        <w:tab/>
        <w:t>mivel az Európai Parlament eljárási szabályzata 5. cikkének (2) bekezdésével összhangban a parlamenti mentelmi jog nem a képviselők személyes kiváltsága, hanem a teljes Parlament és az egyes képviselők függetlenségének biztosítéka;</w:t>
      </w:r>
    </w:p>
    <w:p w14:paraId="3DF7B6DD" w14:textId="77777777" w:rsidR="003B67B5" w:rsidRPr="007660B3" w:rsidRDefault="00AD4716" w:rsidP="003B67B5">
      <w:pPr>
        <w:pStyle w:val="NormalHanging12a"/>
      </w:pPr>
      <w:bookmarkStart w:id="2" w:name="_Hlk227752086"/>
      <w:r>
        <w:t>I.</w:t>
      </w:r>
      <w:bookmarkStart w:id="3" w:name="_Hlk227752575"/>
      <w:r>
        <w:tab/>
        <w:t>mivel minden következtetést a szóban forgó esetben nyújtott információk és magyarázatok alapján kell levonni; mivel komoly bizonytalanságok állnak fenn a mentelmi jog felfüggesztésére irányuló kérelem alapjául szolgáló panasz elemeit és indokait illetően, beleértve a panasz névtelenségét is, ami kizárja a panasz érdemi értékelését, és lehetetlenné teszi annak a lehetőségnek a kizárását, hogy a magánszemély a panaszt közvetlen politikai indíttatásból, az érintett képviselő kompromittálása céljából kezdemény</w:t>
      </w:r>
      <w:r>
        <w:t>ezte; mivel továbbá a panasz időzítése és szelektív jellege megerősíti ezeket az aggályokat, különösen a képviselő kiemelkedő politikai szerepének fényében; mivel a kérelemben szereplő következetlenségek, többek között a szóban forgó pontos pénzösszegekkel kapcsolatos szembetűnő pontatlanságok, valamint az állítólagos kötelességszegés sajátos körülményei aggályokat vetnek fel, és arra utalnak, hogy az eljárás mögött meghúzódó szándék Angelika Niebler hírnevének csorbítása lehetett;</w:t>
      </w:r>
    </w:p>
    <w:p w14:paraId="632F04BD" w14:textId="77777777" w:rsidR="003B67B5" w:rsidRPr="007660B3" w:rsidRDefault="00AD4716" w:rsidP="003B67B5">
      <w:pPr>
        <w:pStyle w:val="NormalHanging12a"/>
      </w:pPr>
      <w:r>
        <w:t>J.</w:t>
      </w:r>
      <w:r>
        <w:tab/>
        <w:t xml:space="preserve">mivel ezért a jelek szerint olyan ügyről van szó, amelyben feltételezhető, hogy fumus persecutionis </w:t>
      </w:r>
      <w:bookmarkEnd w:id="2"/>
      <w:bookmarkEnd w:id="3"/>
      <w:r>
        <w:t>áll fenn, vagyis „konkrét bizonyítékok”</w:t>
      </w:r>
      <w:r>
        <w:rPr>
          <w:vertAlign w:val="superscript"/>
        </w:rPr>
        <w:footnoteReference w:id="4"/>
      </w:r>
      <w:r>
        <w:t xml:space="preserve"> utalnak arra, hogy a szóban forgó bírósági eljárást azzal a szándékkal indították, hogy aláássák </w:t>
      </w:r>
      <w:bookmarkStart w:id="4" w:name="_Hlk223449412"/>
      <w:r>
        <w:t>Angelika Niebler</w:t>
      </w:r>
      <w:bookmarkEnd w:id="4"/>
      <w:r>
        <w:t xml:space="preserve"> politikai tevékenységét, különösen az Európai Parlament képviselőjeként folytatott tevékenységét;</w:t>
      </w:r>
    </w:p>
    <w:p w14:paraId="1DD5B94E" w14:textId="77777777" w:rsidR="003B67B5" w:rsidRPr="007660B3" w:rsidRDefault="00AD4716" w:rsidP="003B67B5">
      <w:pPr>
        <w:pStyle w:val="NormalHanging12a"/>
      </w:pPr>
      <w:r>
        <w:t>K.</w:t>
      </w:r>
      <w:r>
        <w:tab/>
        <w:t>mivel egyrészről a Parlament nem töltheti be bíróság szerepét, másrészről pedig a mentelmi jog felfüggesztésére irányuló eljárásban az érintett képviselő nem tekinthető vádlottnak</w:t>
      </w:r>
      <w:r>
        <w:rPr>
          <w:vertAlign w:val="superscript"/>
        </w:rPr>
        <w:footnoteReference w:id="5"/>
      </w:r>
      <w:r>
        <w:t>;</w:t>
      </w:r>
    </w:p>
    <w:p w14:paraId="2B32955E" w14:textId="77777777" w:rsidR="003B67B5" w:rsidRPr="007660B3" w:rsidRDefault="00AD4716" w:rsidP="003B67B5">
      <w:pPr>
        <w:pStyle w:val="NormalHanging12a"/>
      </w:pPr>
      <w:r>
        <w:t>1.</w:t>
      </w:r>
      <w:r>
        <w:tab/>
        <w:t>úgy határoz, hogy nem függeszti fel Angelika Niebler mentelmi jogát;</w:t>
      </w:r>
    </w:p>
    <w:p w14:paraId="4E98FB2F" w14:textId="77777777" w:rsidR="00443C28" w:rsidRPr="00DC230F" w:rsidRDefault="00AD4716" w:rsidP="003B67B5">
      <w:pPr>
        <w:pStyle w:val="NormalHanging12a"/>
      </w:pPr>
      <w:r>
        <w:t>2.</w:t>
      </w:r>
      <w:r>
        <w:tab/>
        <w:t>utasítja elnökét, hogy haladéktalanul továbbítsa ezt a határozatot és az illetékes bizottság jelentését az Európai Ügyészségnek és Angelika Nieblernek.</w:t>
      </w:r>
    </w:p>
    <w:p w14:paraId="5DE91137" w14:textId="77777777" w:rsidR="0035402F" w:rsidRPr="001C57F7" w:rsidRDefault="0035402F" w:rsidP="001C57F7">
      <w:pPr>
        <w:pStyle w:val="NormalHanging12a"/>
      </w:pPr>
    </w:p>
    <w:p w14:paraId="51464E56" w14:textId="77777777" w:rsidR="001C57F7" w:rsidRPr="001C57F7" w:rsidRDefault="001C57F7" w:rsidP="001C57F7">
      <w:pPr>
        <w:sectPr w:rsidR="001C57F7" w:rsidRPr="001C57F7" w:rsidSect="00DC23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11380D8A" w14:textId="77777777" w:rsidR="001C57F7" w:rsidRDefault="00AD4716" w:rsidP="001C57F7">
      <w:pPr>
        <w:pStyle w:val="PageHeading"/>
      </w:pPr>
      <w:bookmarkStart w:id="5" w:name="ProcPageRR"/>
      <w:bookmarkStart w:id="6" w:name="_Toc229490913"/>
      <w:r>
        <w:t>INFORMÁCIÓ AZ ILLETÉKES</w:t>
      </w:r>
      <w:r>
        <w:br/>
        <w:t>BIZOTTSÁG ÁLTALI ELFOGADÁSRÓL</w:t>
      </w:r>
      <w:bookmarkEnd w:id="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F4922" w14:paraId="7BB769D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6C27DF" w14:textId="77777777" w:rsidR="001C57F7" w:rsidRDefault="00AD4716">
            <w:pPr>
              <w:autoSpaceDE w:val="0"/>
              <w:autoSpaceDN w:val="0"/>
              <w:adjustRightInd w:val="0"/>
              <w:rPr>
                <w:b/>
                <w:bCs/>
                <w:color w:val="000000"/>
                <w:sz w:val="20"/>
              </w:rPr>
            </w:pPr>
            <w:r>
              <w:rPr>
                <w:b/>
                <w:color w:val="000000"/>
                <w:sz w:val="20"/>
              </w:rPr>
              <w:t>Az elfogadás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6426D75" w14:textId="77777777" w:rsidR="001C57F7" w:rsidRDefault="00AD4716">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6DD402" w14:textId="77777777" w:rsidR="001C57F7" w:rsidRDefault="001C57F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6B148A" w14:textId="77777777" w:rsidR="001C57F7" w:rsidRDefault="001C57F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FFB45E" w14:textId="77777777" w:rsidR="001C57F7" w:rsidRDefault="001C57F7">
            <w:pPr>
              <w:autoSpaceDE w:val="0"/>
              <w:autoSpaceDN w:val="0"/>
              <w:adjustRightInd w:val="0"/>
              <w:rPr>
                <w:rFonts w:ascii="sans-serif" w:hAnsi="sans-serif" w:cs="sans-serif"/>
                <w:color w:val="000000"/>
              </w:rPr>
            </w:pPr>
          </w:p>
        </w:tc>
      </w:tr>
      <w:tr w:rsidR="00CF4922" w14:paraId="014B8BB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653CD2" w14:textId="77777777" w:rsidR="001C57F7" w:rsidRDefault="00AD4716">
            <w:pPr>
              <w:autoSpaceDE w:val="0"/>
              <w:autoSpaceDN w:val="0"/>
              <w:adjustRightInd w:val="0"/>
              <w:rPr>
                <w:b/>
                <w:bCs/>
                <w:color w:val="000000"/>
                <w:sz w:val="20"/>
              </w:rPr>
            </w:pPr>
            <w:r>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DB0FBE" w14:textId="77777777" w:rsidR="001C57F7" w:rsidRDefault="00AD4716">
            <w:pPr>
              <w:autoSpaceDE w:val="0"/>
              <w:autoSpaceDN w:val="0"/>
              <w:adjustRightInd w:val="0"/>
              <w:rPr>
                <w:color w:val="000000"/>
                <w:sz w:val="20"/>
              </w:rPr>
            </w:pPr>
            <w:r>
              <w:rPr>
                <w:color w:val="000000"/>
                <w:sz w:val="20"/>
              </w:rPr>
              <w:t>+:</w:t>
            </w:r>
          </w:p>
          <w:p w14:paraId="52F7C27D" w14:textId="77777777" w:rsidR="001C57F7" w:rsidRDefault="00AD4716">
            <w:pPr>
              <w:autoSpaceDE w:val="0"/>
              <w:autoSpaceDN w:val="0"/>
              <w:adjustRightInd w:val="0"/>
              <w:rPr>
                <w:color w:val="000000"/>
                <w:sz w:val="20"/>
              </w:rPr>
            </w:pPr>
            <w:r>
              <w:rPr>
                <w:color w:val="000000"/>
                <w:sz w:val="20"/>
              </w:rPr>
              <w:t>–:</w:t>
            </w:r>
          </w:p>
          <w:p w14:paraId="05ED26C8" w14:textId="77777777" w:rsidR="001C57F7" w:rsidRDefault="00AD471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F57350" w14:textId="77777777" w:rsidR="001C57F7" w:rsidRDefault="00AD4716">
            <w:pPr>
              <w:autoSpaceDE w:val="0"/>
              <w:autoSpaceDN w:val="0"/>
              <w:adjustRightInd w:val="0"/>
              <w:rPr>
                <w:color w:val="000000"/>
                <w:sz w:val="20"/>
              </w:rPr>
            </w:pPr>
            <w:r>
              <w:rPr>
                <w:color w:val="000000"/>
                <w:sz w:val="20"/>
              </w:rPr>
              <w:t>16</w:t>
            </w:r>
          </w:p>
          <w:p w14:paraId="6455A7CA" w14:textId="77777777" w:rsidR="001C57F7" w:rsidRDefault="00AD4716">
            <w:pPr>
              <w:autoSpaceDE w:val="0"/>
              <w:autoSpaceDN w:val="0"/>
              <w:adjustRightInd w:val="0"/>
              <w:rPr>
                <w:color w:val="000000"/>
                <w:sz w:val="20"/>
              </w:rPr>
            </w:pPr>
            <w:r>
              <w:rPr>
                <w:color w:val="000000"/>
                <w:sz w:val="20"/>
              </w:rPr>
              <w:t>3</w:t>
            </w:r>
          </w:p>
          <w:p w14:paraId="4512E798" w14:textId="77777777" w:rsidR="001C57F7" w:rsidRDefault="00AD4716">
            <w:pPr>
              <w:autoSpaceDE w:val="0"/>
              <w:autoSpaceDN w:val="0"/>
              <w:adjustRightInd w:val="0"/>
              <w:rPr>
                <w:color w:val="000000"/>
                <w:sz w:val="20"/>
              </w:rPr>
            </w:pPr>
            <w:r>
              <w:rPr>
                <w:color w:val="000000"/>
                <w:sz w:val="20"/>
              </w:rPr>
              <w:t>3</w:t>
            </w:r>
          </w:p>
        </w:tc>
      </w:tr>
    </w:tbl>
    <w:p w14:paraId="4A3A8DC4" w14:textId="77777777" w:rsidR="001C57F7" w:rsidRDefault="001C57F7"/>
    <w:bookmarkEnd w:id="5"/>
    <w:p w14:paraId="435D8633" w14:textId="77777777" w:rsidR="001C57F7" w:rsidRPr="001C57F7" w:rsidRDefault="001C57F7" w:rsidP="001C57F7"/>
    <w:sectPr w:rsidR="001C57F7" w:rsidRPr="001C57F7" w:rsidSect="001C57F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CF6F" w14:textId="77777777" w:rsidR="00AD4716" w:rsidRDefault="00AD4716">
      <w:r>
        <w:separator/>
      </w:r>
    </w:p>
  </w:endnote>
  <w:endnote w:type="continuationSeparator" w:id="0">
    <w:p w14:paraId="5383E6D2" w14:textId="77777777" w:rsidR="00AD4716" w:rsidRDefault="00AD4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D255" w14:textId="77777777" w:rsidR="001C57F7" w:rsidRDefault="00AD4716" w:rsidP="001C57F7">
    <w:pPr>
      <w:pStyle w:val="EPFooter"/>
    </w:pPr>
    <w:r>
      <w:t>PE</w:t>
    </w:r>
    <w:r w:rsidRPr="001C57F7">
      <w:rPr>
        <w:rStyle w:val="HideTWBExt"/>
      </w:rPr>
      <w:t>&lt;NoPE&gt;</w:t>
    </w:r>
    <w:r>
      <w:t>784.494</w:t>
    </w:r>
    <w:r w:rsidRPr="001C57F7">
      <w:rPr>
        <w:rStyle w:val="HideTWBExt"/>
      </w:rPr>
      <w:t>&lt;/NoPE&gt;&lt;Version&gt;</w:t>
    </w:r>
    <w:r>
      <w:t>v03-00</w:t>
    </w:r>
    <w:r w:rsidRPr="001C57F7">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2</w:t>
    </w:r>
    <w:r>
      <w:rPr>
        <w:noProof/>
      </w:rPr>
      <w:fldChar w:fldCharType="end"/>
    </w:r>
    <w:r>
      <w:tab/>
    </w:r>
    <w:r w:rsidRPr="001C57F7">
      <w:rPr>
        <w:rStyle w:val="HideTWBExt"/>
      </w:rPr>
      <w:t>&lt;PathFdR&gt;</w:t>
    </w:r>
    <w:r>
      <w:t>RR\1343291HU.docx</w:t>
    </w:r>
    <w:r w:rsidRPr="001C57F7">
      <w:rPr>
        <w:rStyle w:val="HideTWBExt"/>
      </w:rPr>
      <w:t>&lt;/PathFdR&gt;</w:t>
    </w:r>
  </w:p>
  <w:p w14:paraId="442DE583" w14:textId="77777777" w:rsidR="0023430B" w:rsidRPr="00DC230F" w:rsidRDefault="00AD4716" w:rsidP="001C57F7">
    <w:pPr>
      <w:pStyle w:val="EPFooter2"/>
    </w:pPr>
    <w:r>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4E59" w14:textId="77777777" w:rsidR="001C57F7" w:rsidRDefault="00AD4716" w:rsidP="001C57F7">
    <w:pPr>
      <w:pStyle w:val="EPFooter"/>
    </w:pPr>
    <w:r w:rsidRPr="001C57F7">
      <w:rPr>
        <w:rStyle w:val="HideTWBExt"/>
      </w:rPr>
      <w:t>&lt;PathFdR&gt;</w:t>
    </w:r>
    <w:r>
      <w:t>RR\1343291HU.docx</w:t>
    </w:r>
    <w:r w:rsidRPr="001C57F7">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2</w:t>
    </w:r>
    <w:r>
      <w:rPr>
        <w:noProof/>
      </w:rPr>
      <w:fldChar w:fldCharType="end"/>
    </w:r>
    <w:r>
      <w:tab/>
      <w:t>PE</w:t>
    </w:r>
    <w:r w:rsidRPr="001C57F7">
      <w:rPr>
        <w:rStyle w:val="HideTWBExt"/>
      </w:rPr>
      <w:t>&lt;NoPE&gt;</w:t>
    </w:r>
    <w:r>
      <w:t>784.494</w:t>
    </w:r>
    <w:r w:rsidRPr="001C57F7">
      <w:rPr>
        <w:rStyle w:val="HideTWBExt"/>
      </w:rPr>
      <w:t>&lt;/NoPE&gt;&lt;Version&gt;</w:t>
    </w:r>
    <w:r>
      <w:t>v03-00</w:t>
    </w:r>
    <w:r w:rsidRPr="001C57F7">
      <w:rPr>
        <w:rStyle w:val="HideTWBExt"/>
      </w:rPr>
      <w:t>&lt;/Version&gt;</w:t>
    </w:r>
  </w:p>
  <w:p w14:paraId="2D5E6C2C" w14:textId="77777777" w:rsidR="0023430B" w:rsidRPr="00DC230F" w:rsidRDefault="00AD4716" w:rsidP="001C57F7">
    <w:pPr>
      <w:pStyle w:val="EPFooter2"/>
    </w:pPr>
    <w:r>
      <w:tab/>
    </w:r>
    <w:r>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9F94" w14:textId="77777777" w:rsidR="001C57F7" w:rsidRDefault="00AD4716" w:rsidP="001C57F7">
    <w:pPr>
      <w:pStyle w:val="EPFooter"/>
    </w:pPr>
    <w:r w:rsidRPr="001C57F7">
      <w:rPr>
        <w:rStyle w:val="HideTWBExt"/>
      </w:rPr>
      <w:t>&lt;PathFdR&gt;</w:t>
    </w:r>
    <w:r>
      <w:t>RR\1343291HU.docx</w:t>
    </w:r>
    <w:r w:rsidRPr="001C57F7">
      <w:rPr>
        <w:rStyle w:val="HideTWBExt"/>
      </w:rPr>
      <w:t>&lt;/PathFdR&gt;</w:t>
    </w:r>
    <w:r>
      <w:tab/>
    </w:r>
    <w:r>
      <w:tab/>
      <w:t>PE</w:t>
    </w:r>
    <w:r w:rsidRPr="001C57F7">
      <w:rPr>
        <w:rStyle w:val="HideTWBExt"/>
      </w:rPr>
      <w:t>&lt;NoPE&gt;</w:t>
    </w:r>
    <w:r>
      <w:t>784.494</w:t>
    </w:r>
    <w:r w:rsidRPr="001C57F7">
      <w:rPr>
        <w:rStyle w:val="HideTWBExt"/>
      </w:rPr>
      <w:t>&lt;/NoPE&gt;&lt;Version&gt;</w:t>
    </w:r>
    <w:r>
      <w:t>v03-00</w:t>
    </w:r>
    <w:r w:rsidRPr="001C57F7">
      <w:rPr>
        <w:rStyle w:val="HideTWBExt"/>
      </w:rPr>
      <w:t>&lt;/Version&gt;</w:t>
    </w:r>
  </w:p>
  <w:p w14:paraId="03B1CB35" w14:textId="77777777" w:rsidR="0023430B" w:rsidRPr="00DC230F" w:rsidRDefault="00AD4716" w:rsidP="001C57F7">
    <w:pPr>
      <w:pStyle w:val="EPFooter2"/>
    </w:pPr>
    <w:r>
      <w:t>HU</w:t>
    </w:r>
    <w:r>
      <w:tab/>
    </w:r>
    <w:r w:rsidRPr="001C57F7">
      <w:rPr>
        <w:b w:val="0"/>
        <w:i/>
        <w:color w:val="C0C0C0"/>
        <w:sz w:val="22"/>
      </w:rPr>
      <w:t>Egyesülve a sokféleségben</w:t>
    </w:r>
    <w:r>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0C5F" w14:textId="77777777" w:rsidR="00320E21" w:rsidRPr="00DC230F" w:rsidRDefault="00AD4716">
      <w:r w:rsidRPr="00DC230F">
        <w:separator/>
      </w:r>
    </w:p>
  </w:footnote>
  <w:footnote w:type="continuationSeparator" w:id="0">
    <w:p w14:paraId="74CF307E" w14:textId="77777777" w:rsidR="00320E21" w:rsidRPr="00DC230F" w:rsidRDefault="00AD4716">
      <w:r w:rsidRPr="00DC230F">
        <w:continuationSeparator/>
      </w:r>
    </w:p>
  </w:footnote>
  <w:footnote w:id="1">
    <w:p w14:paraId="2B12CA40" w14:textId="77777777" w:rsidR="003B67B5" w:rsidRPr="007660B3" w:rsidRDefault="00AD4716" w:rsidP="003B67B5">
      <w:pPr>
        <w:pStyle w:val="FootnoteText"/>
      </w:pPr>
      <w:r>
        <w:rPr>
          <w:rStyle w:val="FootnoteReference"/>
        </w:rPr>
        <w:footnoteRef/>
      </w:r>
      <w:r>
        <w:rPr>
          <w:rStyle w:val="FootnoteReference"/>
        </w:rPr>
        <w:t xml:space="preserve"> </w:t>
      </w:r>
      <w:r>
        <w:t>HL L 283., 2017.10.31., 1. o.</w:t>
      </w:r>
    </w:p>
  </w:footnote>
  <w:footnote w:id="2">
    <w:p w14:paraId="0AE5CF32" w14:textId="77777777" w:rsidR="003B67B5" w:rsidRPr="007660B3" w:rsidRDefault="00AD4716" w:rsidP="003B67B5">
      <w:pPr>
        <w:pStyle w:val="FootnoteText"/>
      </w:pPr>
      <w:r>
        <w:rPr>
          <w:rStyle w:val="FootnoteReference"/>
        </w:rPr>
        <w:footnoteRef/>
      </w:r>
      <w:r>
        <w:rPr>
          <w:rStyle w:val="FootnoteReference"/>
        </w:rPr>
        <w:t xml:space="preserve"> </w:t>
      </w:r>
      <w:r>
        <w:t xml:space="preserve">A Bíróság 2008. október 21-i ítélete, Marra </w:t>
      </w:r>
      <w:r>
        <w:t>kontra De Gregorio és Clemente, C-200/07 és C-201/07, ECLI:EU:C:2008:579; a Törvényszék 2010. március 19-i ítélete, Gollnisch kontra Európai Parlament, T-42/06, ECLI:EU:T:2010:102; a Bíróság 2011. szeptember 6-i ítélete, Patriciello, C-163/10, ECLI: EU:C:2011:543; a Törvényszék 2013. január 17-i ítélete, Gollnisch kontra Parlament, T-346/11 és T-347/11, ECLI:EU:T:2013:23; a Bíróság 2019. december 19-i ítélete, Junqueras Vies, C-502/19, ECLI:EU:C:2019:1115.</w:t>
      </w:r>
    </w:p>
  </w:footnote>
  <w:footnote w:id="3">
    <w:p w14:paraId="2D4A71C1" w14:textId="77777777" w:rsidR="003B67B5" w:rsidRPr="007660B3" w:rsidRDefault="00AD4716" w:rsidP="003B67B5">
      <w:pPr>
        <w:pStyle w:val="FootnoteText"/>
      </w:pPr>
      <w:r>
        <w:rPr>
          <w:rStyle w:val="FootnoteReference"/>
        </w:rPr>
        <w:footnoteRef/>
      </w:r>
      <w:r>
        <w:rPr>
          <w:rStyle w:val="FootnoteReference"/>
        </w:rPr>
        <w:t xml:space="preserve"> </w:t>
      </w:r>
      <w:r>
        <w:t xml:space="preserve">Az Elnökség 2023. szeptember 11-i határozata az európai parlamenti képviselők statútumának alkalmazási szabályairól és az Elnökség 2008. május 19-i és július 9-i határozatának hatályon kívül helyezéséről, HL C, C/2024/2814, 2024.4.26., ELI: </w:t>
      </w:r>
      <w:hyperlink r:id="rId1" w:tgtFrame="_blank" w:tooltip="Hozzáférést nyújt ehhez a dokumentumhoz annak ELI URI-jén keresztül." w:history="1">
        <w:r w:rsidR="003B67B5">
          <w:rPr>
            <w:rStyle w:val="Hyperlink"/>
            <w:color w:val="0563C1"/>
          </w:rPr>
          <w:t>http://data.europa.eu/eli/C/2024/2814/oj</w:t>
        </w:r>
      </w:hyperlink>
      <w:r>
        <w:t xml:space="preserve">). </w:t>
      </w:r>
    </w:p>
  </w:footnote>
  <w:footnote w:id="4">
    <w:p w14:paraId="1BFAC29F" w14:textId="77777777" w:rsidR="003B67B5" w:rsidRPr="007660B3" w:rsidRDefault="00AD4716" w:rsidP="003B67B5">
      <w:pPr>
        <w:pStyle w:val="FootnoteText"/>
      </w:pPr>
      <w:r>
        <w:rPr>
          <w:rStyle w:val="FootnoteReference"/>
        </w:rPr>
        <w:footnoteRef/>
      </w:r>
      <w:r>
        <w:rPr>
          <w:rStyle w:val="FootnoteReference"/>
        </w:rPr>
        <w:t xml:space="preserve"> </w:t>
      </w:r>
      <w:r>
        <w:t>A Bíróság 2020. szeptember 17-i ítélete, Troszczynski kontra Parlament, C-12/19 P. sz., ECLI:EU:C:2019:725, 26. pont.</w:t>
      </w:r>
    </w:p>
  </w:footnote>
  <w:footnote w:id="5">
    <w:p w14:paraId="7E090881" w14:textId="77777777" w:rsidR="003B67B5" w:rsidRPr="007660B3" w:rsidRDefault="00AD4716" w:rsidP="003B67B5">
      <w:pPr>
        <w:pStyle w:val="FootnoteText"/>
      </w:pPr>
      <w:r>
        <w:rPr>
          <w:rStyle w:val="FootnoteReference"/>
        </w:rPr>
        <w:footnoteRef/>
      </w:r>
      <w:r>
        <w:rPr>
          <w:rStyle w:val="FootnoteReference"/>
        </w:rPr>
        <w:t xml:space="preserve"> </w:t>
      </w:r>
      <w:r>
        <w:t>A Törvényszék 2019. április 30-i ítélete, Briois kontra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0389" w14:textId="77777777" w:rsidR="00CB462E" w:rsidRDefault="00CB4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B473" w14:textId="77777777" w:rsidR="00CB462E" w:rsidRDefault="00CB4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D95C" w14:textId="77777777" w:rsidR="00CB462E" w:rsidRDefault="00CB4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7ADA8502">
      <w:start w:val="1"/>
      <w:numFmt w:val="decimal"/>
      <w:lvlText w:val="%1)"/>
      <w:lvlJc w:val="left"/>
      <w:pPr>
        <w:ind w:left="1580" w:hanging="360"/>
      </w:pPr>
    </w:lvl>
    <w:lvl w:ilvl="1" w:tplc="3FF28CA0">
      <w:start w:val="1"/>
      <w:numFmt w:val="decimal"/>
      <w:lvlText w:val="%2)"/>
      <w:lvlJc w:val="left"/>
      <w:pPr>
        <w:ind w:left="1580" w:hanging="360"/>
      </w:pPr>
    </w:lvl>
    <w:lvl w:ilvl="2" w:tplc="6B8E8CDA">
      <w:start w:val="1"/>
      <w:numFmt w:val="decimal"/>
      <w:lvlText w:val="%3)"/>
      <w:lvlJc w:val="left"/>
      <w:pPr>
        <w:ind w:left="1580" w:hanging="360"/>
      </w:pPr>
    </w:lvl>
    <w:lvl w:ilvl="3" w:tplc="2B582B84">
      <w:start w:val="1"/>
      <w:numFmt w:val="decimal"/>
      <w:lvlText w:val="%4)"/>
      <w:lvlJc w:val="left"/>
      <w:pPr>
        <w:ind w:left="1580" w:hanging="360"/>
      </w:pPr>
    </w:lvl>
    <w:lvl w:ilvl="4" w:tplc="CD389C1A">
      <w:start w:val="1"/>
      <w:numFmt w:val="decimal"/>
      <w:lvlText w:val="%5)"/>
      <w:lvlJc w:val="left"/>
      <w:pPr>
        <w:ind w:left="1580" w:hanging="360"/>
      </w:pPr>
    </w:lvl>
    <w:lvl w:ilvl="5" w:tplc="03320790">
      <w:start w:val="1"/>
      <w:numFmt w:val="decimal"/>
      <w:lvlText w:val="%6)"/>
      <w:lvlJc w:val="left"/>
      <w:pPr>
        <w:ind w:left="1580" w:hanging="360"/>
      </w:pPr>
    </w:lvl>
    <w:lvl w:ilvl="6" w:tplc="57E2E4EE">
      <w:start w:val="1"/>
      <w:numFmt w:val="decimal"/>
      <w:lvlText w:val="%7)"/>
      <w:lvlJc w:val="left"/>
      <w:pPr>
        <w:ind w:left="1580" w:hanging="360"/>
      </w:pPr>
    </w:lvl>
    <w:lvl w:ilvl="7" w:tplc="2A4AB95C">
      <w:start w:val="1"/>
      <w:numFmt w:val="decimal"/>
      <w:lvlText w:val="%8)"/>
      <w:lvlJc w:val="left"/>
      <w:pPr>
        <w:ind w:left="1580" w:hanging="360"/>
      </w:pPr>
    </w:lvl>
    <w:lvl w:ilvl="8" w:tplc="B6DCC93C">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8/02/2026"/>
    <w:docVar w:name="EPPOMNU" w:val=" 1"/>
    <w:docVar w:name="HEARDMNU" w:val=" 1"/>
    <w:docVar w:name="JUDGMNU@" w:val=" 1"/>
    <w:docVar w:name="LastEditedSection" w:val=" 1"/>
    <w:docVar w:name="PLENARYDT" w:val="18/02/2026"/>
    <w:docVar w:name="REQUESTDT" w:val="18/02/2026"/>
    <w:docVar w:name="strDocTypeID" w:val="PR_IMM_Waiver"/>
    <w:docVar w:name="strSubDir" w:val="1343"/>
    <w:docVar w:name="TXTAUTHOR" w:val="Marcin Sypniewski"/>
    <w:docVar w:name="TXTLANGUE" w:val="HU"/>
    <w:docVar w:name="TXTLANGUEMIN" w:val="hu"/>
    <w:docVar w:name="TXTNAME" w:val="Angelika Niebler"/>
    <w:docVar w:name="TXTNRIMM" w:val="2025/2175"/>
    <w:docVar w:name="TXTNRPE" w:val="784.494"/>
    <w:docVar w:name="TXTPEorAP" w:val="PE"/>
    <w:docVar w:name="TXTROUTE" w:val="RR\1343291HU.docx"/>
    <w:docVar w:name="TXTVERSION" w:val="03-00"/>
    <w:docVar w:name="WAIVEMNU" w:val=" 2"/>
  </w:docVars>
  <w:rsids>
    <w:rsidRoot w:val="00320E21"/>
    <w:rsid w:val="00044B9B"/>
    <w:rsid w:val="00060E63"/>
    <w:rsid w:val="0006105E"/>
    <w:rsid w:val="00063B17"/>
    <w:rsid w:val="000A3E92"/>
    <w:rsid w:val="000C0CAA"/>
    <w:rsid w:val="000D06AD"/>
    <w:rsid w:val="000E36C4"/>
    <w:rsid w:val="001107E4"/>
    <w:rsid w:val="001323C3"/>
    <w:rsid w:val="00135AEF"/>
    <w:rsid w:val="00142D49"/>
    <w:rsid w:val="00162F2C"/>
    <w:rsid w:val="001C57F7"/>
    <w:rsid w:val="00205304"/>
    <w:rsid w:val="00215FF9"/>
    <w:rsid w:val="0023430B"/>
    <w:rsid w:val="002442B3"/>
    <w:rsid w:val="00273EFB"/>
    <w:rsid w:val="00285706"/>
    <w:rsid w:val="002915E6"/>
    <w:rsid w:val="002E1584"/>
    <w:rsid w:val="00320E21"/>
    <w:rsid w:val="00326E87"/>
    <w:rsid w:val="00334D47"/>
    <w:rsid w:val="00351F7C"/>
    <w:rsid w:val="0035402F"/>
    <w:rsid w:val="0035595E"/>
    <w:rsid w:val="00373361"/>
    <w:rsid w:val="0037673A"/>
    <w:rsid w:val="00392A3D"/>
    <w:rsid w:val="003A2647"/>
    <w:rsid w:val="003B1888"/>
    <w:rsid w:val="003B67B5"/>
    <w:rsid w:val="003D30B4"/>
    <w:rsid w:val="003E24B5"/>
    <w:rsid w:val="003E58C6"/>
    <w:rsid w:val="004433B2"/>
    <w:rsid w:val="00443C28"/>
    <w:rsid w:val="0044752A"/>
    <w:rsid w:val="00452B9B"/>
    <w:rsid w:val="00455E7B"/>
    <w:rsid w:val="0045635E"/>
    <w:rsid w:val="00493F90"/>
    <w:rsid w:val="004E7774"/>
    <w:rsid w:val="00521A45"/>
    <w:rsid w:val="00544537"/>
    <w:rsid w:val="005915B5"/>
    <w:rsid w:val="005922F7"/>
    <w:rsid w:val="005B5955"/>
    <w:rsid w:val="005C211E"/>
    <w:rsid w:val="00633DF2"/>
    <w:rsid w:val="00681E33"/>
    <w:rsid w:val="006A5842"/>
    <w:rsid w:val="006C038C"/>
    <w:rsid w:val="007058FF"/>
    <w:rsid w:val="0074241C"/>
    <w:rsid w:val="00753DFC"/>
    <w:rsid w:val="00757FD3"/>
    <w:rsid w:val="007613CD"/>
    <w:rsid w:val="0076428C"/>
    <w:rsid w:val="007660B3"/>
    <w:rsid w:val="00771E7F"/>
    <w:rsid w:val="0078039D"/>
    <w:rsid w:val="00785C52"/>
    <w:rsid w:val="00785E19"/>
    <w:rsid w:val="00797CAE"/>
    <w:rsid w:val="007A7BF5"/>
    <w:rsid w:val="007C040A"/>
    <w:rsid w:val="007D49EE"/>
    <w:rsid w:val="007E434A"/>
    <w:rsid w:val="007F4D6A"/>
    <w:rsid w:val="00801003"/>
    <w:rsid w:val="008364EC"/>
    <w:rsid w:val="008376BE"/>
    <w:rsid w:val="00851E2C"/>
    <w:rsid w:val="00867D72"/>
    <w:rsid w:val="00872381"/>
    <w:rsid w:val="008D1236"/>
    <w:rsid w:val="008D1C36"/>
    <w:rsid w:val="008D4AFE"/>
    <w:rsid w:val="008E6FB9"/>
    <w:rsid w:val="008F39C8"/>
    <w:rsid w:val="0091636F"/>
    <w:rsid w:val="009442F2"/>
    <w:rsid w:val="009915DD"/>
    <w:rsid w:val="009A4162"/>
    <w:rsid w:val="009B47E5"/>
    <w:rsid w:val="009E7AD9"/>
    <w:rsid w:val="009F5083"/>
    <w:rsid w:val="00A152F9"/>
    <w:rsid w:val="00A26CA4"/>
    <w:rsid w:val="00A33B09"/>
    <w:rsid w:val="00A33F5A"/>
    <w:rsid w:val="00A475BD"/>
    <w:rsid w:val="00A5652C"/>
    <w:rsid w:val="00A87FB0"/>
    <w:rsid w:val="00AB4868"/>
    <w:rsid w:val="00AD4716"/>
    <w:rsid w:val="00B54ED2"/>
    <w:rsid w:val="00B81D30"/>
    <w:rsid w:val="00B83348"/>
    <w:rsid w:val="00C03881"/>
    <w:rsid w:val="00C24C4A"/>
    <w:rsid w:val="00C31534"/>
    <w:rsid w:val="00C42BD9"/>
    <w:rsid w:val="00C85D0F"/>
    <w:rsid w:val="00CA3CB6"/>
    <w:rsid w:val="00CB462E"/>
    <w:rsid w:val="00CC662F"/>
    <w:rsid w:val="00CE5349"/>
    <w:rsid w:val="00CF16EE"/>
    <w:rsid w:val="00CF4922"/>
    <w:rsid w:val="00D1021A"/>
    <w:rsid w:val="00D35C03"/>
    <w:rsid w:val="00DA67D6"/>
    <w:rsid w:val="00DB1E47"/>
    <w:rsid w:val="00DC230F"/>
    <w:rsid w:val="00DC6FE9"/>
    <w:rsid w:val="00DD480D"/>
    <w:rsid w:val="00DF3C39"/>
    <w:rsid w:val="00DF74F0"/>
    <w:rsid w:val="00E114BC"/>
    <w:rsid w:val="00E34D86"/>
    <w:rsid w:val="00E40235"/>
    <w:rsid w:val="00E9555B"/>
    <w:rsid w:val="00EA59C2"/>
    <w:rsid w:val="00EC27D7"/>
    <w:rsid w:val="00EC401F"/>
    <w:rsid w:val="00ED7364"/>
    <w:rsid w:val="00F03A29"/>
    <w:rsid w:val="00F452C6"/>
    <w:rsid w:val="00F676B3"/>
    <w:rsid w:val="00F71E4A"/>
    <w:rsid w:val="00F81B74"/>
    <w:rsid w:val="00F857A1"/>
    <w:rsid w:val="00F918B5"/>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5E12F"/>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1C57F7"/>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6891</Characters>
  <Application>Microsoft Office Word</Application>
  <DocSecurity>0</DocSecurity>
  <Lines>140</Lines>
  <Paragraphs>62</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dc:description>UG</dc:description>
  <cp:lastModifiedBy>PÁNCZÉL István</cp:lastModifiedBy>
  <cp:revision>2</cp:revision>
  <cp:lastPrinted>2026-04-23T10:58:00Z</cp:lastPrinted>
  <dcterms:created xsi:type="dcterms:W3CDTF">2026-05-12T13:08:00Z</dcterms:created>
  <dcterms:modified xsi:type="dcterms:W3CDTF">2026-05-12T13:08:00Z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- 2026/05/12 15:08</vt:lpwstr>
  </property>
  <property fmtid="{D5CDD505-2E9C-101B-9397-08002B2CF9AE}" pid="9" name="Created with">
    <vt:lpwstr>10.2.1 Build [20260110]</vt:lpwstr>
  </property>
  <property fmtid="{D5CDD505-2E9C-101B-9397-08002B2CF9AE}" pid="10" name="FooterPath">
    <vt:lpwstr>RR\1343291HU.docx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- 2026/04/22 17:31</vt:lpwstr>
  </property>
</Properties>
</file>