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391BFD" w14:paraId="3667DC6D" w14:textId="77777777" w:rsidTr="00C85D0F">
        <w:trPr>
          <w:trHeight w:hRule="exact" w:val="1418"/>
        </w:trPr>
        <w:tc>
          <w:tcPr>
            <w:tcW w:w="6804" w:type="dxa"/>
            <w:shd w:val="clear" w:color="auto" w:fill="auto"/>
            <w:vAlign w:val="center"/>
          </w:tcPr>
          <w:p w14:paraId="499E32C8" w14:textId="77777777" w:rsidR="00CF16EE" w:rsidRPr="00391BFD" w:rsidRDefault="00320E21" w:rsidP="00C85D0F">
            <w:pPr>
              <w:pStyle w:val="EPName"/>
            </w:pPr>
            <w:r w:rsidRPr="00391BFD">
              <w:t>Europos Parlamentas</w:t>
            </w:r>
          </w:p>
          <w:p w14:paraId="550EF0F5" w14:textId="5935EBD1" w:rsidR="00CF16EE" w:rsidRPr="00391BFD" w:rsidRDefault="005C211E" w:rsidP="00C85D0F">
            <w:pPr>
              <w:pStyle w:val="EPTerm"/>
            </w:pPr>
            <w:r w:rsidRPr="00391BFD">
              <w:t>2024-2029</w:t>
            </w:r>
          </w:p>
        </w:tc>
        <w:tc>
          <w:tcPr>
            <w:tcW w:w="2268" w:type="dxa"/>
            <w:shd w:val="clear" w:color="auto" w:fill="auto"/>
          </w:tcPr>
          <w:p w14:paraId="393EB9BA" w14:textId="77777777" w:rsidR="00CF16EE" w:rsidRPr="00391BFD" w:rsidRDefault="00CF16EE" w:rsidP="00C85D0F">
            <w:pPr>
              <w:pStyle w:val="EPLogo"/>
            </w:pPr>
            <w:r w:rsidRPr="00391BFD">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391BFD" w:rsidRDefault="00215FF9" w:rsidP="00215FF9">
      <w:pPr>
        <w:pStyle w:val="LineTop"/>
      </w:pPr>
    </w:p>
    <w:p w14:paraId="53C5FC8E" w14:textId="7448D2F4" w:rsidR="00215FF9" w:rsidRPr="00391BFD" w:rsidRDefault="008A2C2B" w:rsidP="00215FF9">
      <w:pPr>
        <w:pStyle w:val="EPBody"/>
      </w:pPr>
      <w:r w:rsidRPr="00391BFD">
        <w:t>Plenarinio posėdžio dokumentas</w:t>
      </w:r>
    </w:p>
    <w:p w14:paraId="6D76BAFC" w14:textId="77777777" w:rsidR="00215FF9" w:rsidRPr="00391BFD" w:rsidRDefault="00215FF9" w:rsidP="00215FF9">
      <w:pPr>
        <w:pStyle w:val="LineBottom"/>
      </w:pPr>
    </w:p>
    <w:p w14:paraId="12CA5B61" w14:textId="603AD008" w:rsidR="005922F7" w:rsidRPr="00391BFD" w:rsidRDefault="008A2C2B" w:rsidP="008A2C2B">
      <w:pPr>
        <w:pStyle w:val="CoverReference"/>
      </w:pPr>
      <w:r w:rsidRPr="00391BFD">
        <w:rPr>
          <w:rStyle w:val="HideTWBExt"/>
        </w:rPr>
        <w:t>&lt;NoDocSe&gt;</w:t>
      </w:r>
      <w:r w:rsidRPr="00391BFD">
        <w:t>A10-0127/2026</w:t>
      </w:r>
      <w:r w:rsidRPr="00391BFD">
        <w:rPr>
          <w:rStyle w:val="HideTWBExt"/>
        </w:rPr>
        <w:t>&lt;/NoDocSe&gt;</w:t>
      </w:r>
    </w:p>
    <w:p w14:paraId="78204F3C" w14:textId="2840580C" w:rsidR="005922F7" w:rsidRPr="00391BFD" w:rsidRDefault="005922F7" w:rsidP="005922F7">
      <w:pPr>
        <w:pStyle w:val="CoverDate"/>
      </w:pPr>
      <w:r w:rsidRPr="00391BFD">
        <w:rPr>
          <w:rStyle w:val="HideTWBExt"/>
        </w:rPr>
        <w:t>&lt;Date&gt;</w:t>
      </w:r>
      <w:r w:rsidRPr="00391BFD">
        <w:rPr>
          <w:rStyle w:val="HideTWBInt"/>
        </w:rPr>
        <w:t>{06/05/2026}</w:t>
      </w:r>
      <w:r w:rsidRPr="00391BFD">
        <w:t>6.5.2026</w:t>
      </w:r>
      <w:r w:rsidRPr="00391BFD">
        <w:rPr>
          <w:rStyle w:val="HideTWBExt"/>
        </w:rPr>
        <w:t>&lt;/Date&gt;</w:t>
      </w:r>
    </w:p>
    <w:p w14:paraId="0A8C9714" w14:textId="2D69DC23" w:rsidR="00142D49" w:rsidRPr="00391BFD" w:rsidRDefault="00142D49">
      <w:pPr>
        <w:pStyle w:val="CoverDocType24a"/>
      </w:pPr>
      <w:r w:rsidRPr="00391BFD">
        <w:rPr>
          <w:rStyle w:val="HideTWBExt"/>
          <w:b w:val="0"/>
        </w:rPr>
        <w:t>&lt;TitreType&gt;</w:t>
      </w:r>
      <w:r w:rsidRPr="00391BFD">
        <w:t>PRANEŠIMAS</w:t>
      </w:r>
      <w:r w:rsidRPr="00391BFD">
        <w:rPr>
          <w:rStyle w:val="HideTWBExt"/>
          <w:b w:val="0"/>
        </w:rPr>
        <w:t>&lt;/TitreType&gt;</w:t>
      </w:r>
    </w:p>
    <w:p w14:paraId="4E8C8B7E" w14:textId="50DC94B9" w:rsidR="00142D49" w:rsidRPr="00391BFD" w:rsidRDefault="00142D49">
      <w:pPr>
        <w:pStyle w:val="CoverNormal"/>
      </w:pPr>
      <w:r w:rsidRPr="00391BFD">
        <w:rPr>
          <w:rStyle w:val="HideTWBExt"/>
        </w:rPr>
        <w:t>&lt;Titre&gt;</w:t>
      </w:r>
      <w:r w:rsidRPr="00391BFD">
        <w:t>dėl prašymo atšaukti Angelikos Niebler (Angelika Niebler) imunitetą</w:t>
      </w:r>
      <w:r w:rsidRPr="00391BFD">
        <w:rPr>
          <w:rStyle w:val="HideTWBExt"/>
        </w:rPr>
        <w:t>&lt;/Titre&gt;</w:t>
      </w:r>
    </w:p>
    <w:p w14:paraId="00D04794" w14:textId="39426B47" w:rsidR="00142D49" w:rsidRPr="00391BFD" w:rsidRDefault="00142D49">
      <w:pPr>
        <w:pStyle w:val="CoverNormal24a"/>
      </w:pPr>
      <w:r w:rsidRPr="00391BFD">
        <w:rPr>
          <w:rStyle w:val="HideTWBExt"/>
        </w:rPr>
        <w:t>&lt;DocRef&gt;</w:t>
      </w:r>
      <w:r w:rsidRPr="00391BFD">
        <w:t>(2025/2175(IMM))</w:t>
      </w:r>
      <w:r w:rsidRPr="00391BFD">
        <w:rPr>
          <w:rStyle w:val="HideTWBExt"/>
        </w:rPr>
        <w:t>&lt;/DocRef&gt;</w:t>
      </w:r>
    </w:p>
    <w:p w14:paraId="5156B455" w14:textId="77777777" w:rsidR="00142D49" w:rsidRPr="00391BFD" w:rsidRDefault="00142D49">
      <w:pPr>
        <w:pStyle w:val="CoverNormal24a"/>
      </w:pPr>
      <w:r w:rsidRPr="00391BFD">
        <w:rPr>
          <w:rStyle w:val="HideTWBExt"/>
        </w:rPr>
        <w:t>&lt;Commission&gt;</w:t>
      </w:r>
      <w:r w:rsidRPr="00391BFD">
        <w:rPr>
          <w:rStyle w:val="HideTWBInt"/>
        </w:rPr>
        <w:t>{JURI}</w:t>
      </w:r>
      <w:r w:rsidRPr="00391BFD">
        <w:t>Teisės reikalų komitetas</w:t>
      </w:r>
      <w:r w:rsidRPr="00391BFD">
        <w:rPr>
          <w:rStyle w:val="HideTWBExt"/>
        </w:rPr>
        <w:t>&lt;/Commission&gt;</w:t>
      </w:r>
    </w:p>
    <w:p w14:paraId="06510A3C" w14:textId="41666FC6" w:rsidR="00142D49" w:rsidRPr="00391BFD" w:rsidRDefault="00320E21">
      <w:pPr>
        <w:pStyle w:val="CoverNormal24a"/>
      </w:pPr>
      <w:r w:rsidRPr="00391BFD">
        <w:t xml:space="preserve">Pranešėjas: </w:t>
      </w:r>
      <w:r w:rsidRPr="00391BFD">
        <w:rPr>
          <w:rStyle w:val="HideTWBExt"/>
        </w:rPr>
        <w:t>&lt;Depute&gt;</w:t>
      </w:r>
      <w:r w:rsidRPr="00391BFD">
        <w:t>Marcin Sypniewski</w:t>
      </w:r>
      <w:r w:rsidRPr="00391BFD">
        <w:rPr>
          <w:rStyle w:val="HideTWBExt"/>
        </w:rPr>
        <w:t>&lt;/Depute&gt;</w:t>
      </w:r>
    </w:p>
    <w:p w14:paraId="6872AAEC" w14:textId="1BD0882C" w:rsidR="00142D49" w:rsidRPr="00391BFD" w:rsidRDefault="00142D49" w:rsidP="00DF74F0">
      <w:pPr>
        <w:widowControl/>
        <w:tabs>
          <w:tab w:val="center" w:pos="4677"/>
        </w:tabs>
      </w:pPr>
      <w:r w:rsidRPr="00391BFD">
        <w:br w:type="page"/>
      </w:r>
      <w:r w:rsidRPr="00391BFD">
        <w:lastRenderedPageBreak/>
        <w:t>PR_IMM_Waiver</w:t>
      </w:r>
    </w:p>
    <w:p w14:paraId="12140484" w14:textId="77777777" w:rsidR="00142D49" w:rsidRPr="00391BFD" w:rsidRDefault="00320E21">
      <w:pPr>
        <w:pStyle w:val="TOCHeading"/>
      </w:pPr>
      <w:r w:rsidRPr="00391BFD">
        <w:t>TURINYS</w:t>
      </w:r>
    </w:p>
    <w:p w14:paraId="24FDFB32" w14:textId="77777777" w:rsidR="00142D49" w:rsidRPr="00391BFD" w:rsidRDefault="00320E21">
      <w:pPr>
        <w:pStyle w:val="TOCPage"/>
      </w:pPr>
      <w:r w:rsidRPr="00391BFD">
        <w:t>Psl.</w:t>
      </w:r>
    </w:p>
    <w:p w14:paraId="04262A56" w14:textId="51057E7E" w:rsidR="0011392D"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91BFD">
        <w:fldChar w:fldCharType="begin"/>
      </w:r>
      <w:r w:rsidRPr="00391BFD">
        <w:instrText xml:space="preserve"> TOC \t "PageHeading</w:instrText>
      </w:r>
      <w:r w:rsidR="00ED0AC8" w:rsidRPr="00391BFD">
        <w:instrText>;</w:instrText>
      </w:r>
      <w:r w:rsidRPr="00391BFD">
        <w:instrText xml:space="preserve">1" </w:instrText>
      </w:r>
      <w:r w:rsidRPr="00391BFD">
        <w:fldChar w:fldCharType="separate"/>
      </w:r>
      <w:r w:rsidR="0011392D">
        <w:rPr>
          <w:noProof/>
        </w:rPr>
        <w:t>PASIŪLYMAS DĖL EUROPOS PARLAMENTO SPRENDIMO</w:t>
      </w:r>
      <w:r w:rsidR="0011392D">
        <w:rPr>
          <w:noProof/>
        </w:rPr>
        <w:tab/>
      </w:r>
      <w:r w:rsidR="0011392D">
        <w:rPr>
          <w:noProof/>
        </w:rPr>
        <w:fldChar w:fldCharType="begin"/>
      </w:r>
      <w:r w:rsidR="0011392D">
        <w:rPr>
          <w:noProof/>
        </w:rPr>
        <w:instrText xml:space="preserve"> PAGEREF _Toc229498473 \h </w:instrText>
      </w:r>
      <w:r w:rsidR="0011392D">
        <w:rPr>
          <w:noProof/>
        </w:rPr>
      </w:r>
      <w:r w:rsidR="0011392D">
        <w:rPr>
          <w:noProof/>
        </w:rPr>
        <w:fldChar w:fldCharType="separate"/>
      </w:r>
      <w:r w:rsidR="0011392D">
        <w:rPr>
          <w:noProof/>
        </w:rPr>
        <w:t>3</w:t>
      </w:r>
      <w:r w:rsidR="0011392D">
        <w:rPr>
          <w:noProof/>
        </w:rPr>
        <w:fldChar w:fldCharType="end"/>
      </w:r>
    </w:p>
    <w:p w14:paraId="4732C9BB" w14:textId="5B35D983" w:rsidR="0011392D" w:rsidRDefault="0011392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INFORMACIJA APIE PRIĖMIMĄ ATSAKINGAME KOMITETE</w:t>
      </w:r>
      <w:r>
        <w:rPr>
          <w:noProof/>
        </w:rPr>
        <w:tab/>
      </w:r>
      <w:r>
        <w:rPr>
          <w:noProof/>
        </w:rPr>
        <w:fldChar w:fldCharType="begin"/>
      </w:r>
      <w:r>
        <w:rPr>
          <w:noProof/>
        </w:rPr>
        <w:instrText xml:space="preserve"> PAGEREF _Toc229498474 \h </w:instrText>
      </w:r>
      <w:r>
        <w:rPr>
          <w:noProof/>
        </w:rPr>
      </w:r>
      <w:r>
        <w:rPr>
          <w:noProof/>
        </w:rPr>
        <w:fldChar w:fldCharType="separate"/>
      </w:r>
      <w:r>
        <w:rPr>
          <w:noProof/>
        </w:rPr>
        <w:t>6</w:t>
      </w:r>
      <w:r>
        <w:rPr>
          <w:noProof/>
        </w:rPr>
        <w:fldChar w:fldCharType="end"/>
      </w:r>
    </w:p>
    <w:p w14:paraId="453AB113" w14:textId="0271F663" w:rsidR="0006105E" w:rsidRPr="00391BFD" w:rsidRDefault="00142D49" w:rsidP="00273EFB">
      <w:r w:rsidRPr="00391BFD">
        <w:fldChar w:fldCharType="end"/>
      </w:r>
    </w:p>
    <w:p w14:paraId="77A80894" w14:textId="77777777" w:rsidR="00142D49" w:rsidRPr="00391BFD" w:rsidRDefault="00142D49">
      <w:pPr>
        <w:pStyle w:val="PageHeading"/>
      </w:pPr>
      <w:r w:rsidRPr="00391BFD">
        <w:br w:type="page"/>
      </w:r>
      <w:bookmarkStart w:id="0" w:name="_Toc229498473"/>
      <w:r w:rsidRPr="00391BFD">
        <w:lastRenderedPageBreak/>
        <w:t>PASIŪLYMAS DĖL EUROPOS PARLAMENTO SPRENDIMO</w:t>
      </w:r>
      <w:bookmarkEnd w:id="0"/>
    </w:p>
    <w:p w14:paraId="43BB8F67" w14:textId="11DAE596" w:rsidR="00443C28" w:rsidRPr="00391BFD" w:rsidRDefault="00443C28" w:rsidP="00443C28">
      <w:pPr>
        <w:pStyle w:val="NormalBold"/>
      </w:pPr>
      <w:r w:rsidRPr="00391BFD">
        <w:t>dėl prašymo atšaukti Angelikos Niebler (Angelika Niebler) imunitetą</w:t>
      </w:r>
    </w:p>
    <w:p w14:paraId="0D794447" w14:textId="15A65920" w:rsidR="00443C28" w:rsidRPr="00391BFD" w:rsidRDefault="000D06AD" w:rsidP="00443C28">
      <w:pPr>
        <w:pStyle w:val="NormalBold"/>
      </w:pPr>
      <w:r w:rsidRPr="00391BFD">
        <w:t>(2025/2175(IMM))</w:t>
      </w:r>
    </w:p>
    <w:p w14:paraId="003D13D1" w14:textId="77777777" w:rsidR="00443C28" w:rsidRPr="00391BFD" w:rsidRDefault="00443C28" w:rsidP="00443C28">
      <w:pPr>
        <w:pStyle w:val="EPComma"/>
      </w:pPr>
      <w:r w:rsidRPr="00391BFD">
        <w:rPr>
          <w:i/>
        </w:rPr>
        <w:t>Europos Parlamentas</w:t>
      </w:r>
      <w:r w:rsidRPr="00391BFD">
        <w:t>,</w:t>
      </w:r>
    </w:p>
    <w:p w14:paraId="219E5A2B" w14:textId="77777777" w:rsidR="0000723C" w:rsidRPr="00391BFD" w:rsidRDefault="00443C28" w:rsidP="0000723C">
      <w:pPr>
        <w:pStyle w:val="NormalHanging12a"/>
      </w:pPr>
      <w:r w:rsidRPr="00391BFD">
        <w:t>–</w:t>
      </w:r>
      <w:r w:rsidRPr="00391BFD">
        <w:tab/>
        <w:t>atsižvelgdamas į Europos vyriausiosios prokurorės 2025 m. liepos 21 d. laišku pateiktą ir 2025 m. rugsėjo 1 d. laišku patvirtintą prašymą atšaukti Angelikos Niebler imunitetą ryšium su jos atžvilgiu pradėtinu parengtiniu tyrimu, kuris buvo paskelbtas 2025 m. rugsėjo 10 d. plenariniame posėdyje,</w:t>
      </w:r>
    </w:p>
    <w:p w14:paraId="52F5E914" w14:textId="77777777" w:rsidR="0000723C" w:rsidRPr="00391BFD" w:rsidRDefault="0000723C" w:rsidP="0000723C">
      <w:pPr>
        <w:pStyle w:val="NormalHanging12a"/>
      </w:pPr>
      <w:r w:rsidRPr="00391BFD">
        <w:t>–</w:t>
      </w:r>
      <w:r w:rsidRPr="00391BFD">
        <w:tab/>
        <w:t>2026 m. balandžio 15 d. išklausęs Angelikos Niebler paaiškinimų, kaip nurodyta Darbo tvarkos taisyklių 9 straipsnio 6 dalyje,</w:t>
      </w:r>
    </w:p>
    <w:p w14:paraId="3EFB8CB7" w14:textId="77777777" w:rsidR="0000723C" w:rsidRPr="00391BFD" w:rsidRDefault="0000723C" w:rsidP="0000723C">
      <w:pPr>
        <w:pStyle w:val="NormalHanging12a"/>
      </w:pPr>
      <w:r w:rsidRPr="00391BFD">
        <w:t>–</w:t>
      </w:r>
      <w:r w:rsidRPr="00391BFD">
        <w:tab/>
        <w:t>atsižvelgdamas į Protokolo Nr. 7 dėl Europos Sąjungos privilegijų ir imunitetų 8 ir 9 straipsnius ir į 1976 m. rugsėjo 20 d. Akto dėl Europos Parlamento narių rinkimų remiantis tiesiogine visuotine rinkimų teise 6 straipsnio 2 dalį,</w:t>
      </w:r>
    </w:p>
    <w:p w14:paraId="53522A43" w14:textId="77777777" w:rsidR="0000723C" w:rsidRPr="00391BFD" w:rsidRDefault="0000723C" w:rsidP="0000723C">
      <w:pPr>
        <w:pStyle w:val="NormalHanging12a"/>
        <w:rPr>
          <w:b/>
        </w:rPr>
      </w:pPr>
      <w:r w:rsidRPr="00391BFD">
        <w:t>–</w:t>
      </w:r>
      <w:r w:rsidRPr="00391BFD">
        <w:tab/>
        <w:t>atsižvelgdamas į 2017 m. spalio 12 d. Tarybos reglamentą (ES) 2017/1939, kuriuo įgyvendinamas tvirtesnis bendradarbiavimas Europos prokuratūros įsteigimo srityje</w:t>
      </w:r>
      <w:r w:rsidRPr="00391BFD">
        <w:rPr>
          <w:vertAlign w:val="superscript"/>
        </w:rPr>
        <w:footnoteReference w:id="1"/>
      </w:r>
      <w:r w:rsidRPr="00391BFD">
        <w:t>, ypač į jo 29 straipsnio 2 dalį,</w:t>
      </w:r>
    </w:p>
    <w:p w14:paraId="122C27C1" w14:textId="77777777" w:rsidR="0000723C" w:rsidRPr="00391BFD" w:rsidRDefault="0000723C" w:rsidP="0000723C">
      <w:pPr>
        <w:pStyle w:val="NormalHanging12a"/>
      </w:pPr>
      <w:r w:rsidRPr="00391BFD">
        <w:t>–</w:t>
      </w:r>
      <w:r w:rsidRPr="00391BFD">
        <w:tab/>
        <w:t>atsižvelgdamas į Europos Sąjungos Teisingumo Teismo 2008 m. spalio 21 d., 2010 m. kovo 19 d., 2011 m. rugsėjo 6 d., 2013 m. sausio 17 d. ir 2019 m. gruodžio 19 d. sprendimus</w:t>
      </w:r>
      <w:r w:rsidRPr="00391BFD">
        <w:rPr>
          <w:vertAlign w:val="superscript"/>
        </w:rPr>
        <w:footnoteReference w:id="2"/>
      </w:r>
      <w:r w:rsidRPr="00391BFD">
        <w:t>,</w:t>
      </w:r>
    </w:p>
    <w:p w14:paraId="42FDE1AB" w14:textId="77777777" w:rsidR="0000723C" w:rsidRPr="00391BFD" w:rsidRDefault="0000723C" w:rsidP="0000723C">
      <w:pPr>
        <w:pStyle w:val="NormalHanging12a"/>
      </w:pPr>
      <w:r w:rsidRPr="00391BFD">
        <w:t>–</w:t>
      </w:r>
      <w:r w:rsidRPr="00391BFD">
        <w:tab/>
        <w:t>atsižvelgdamas į Vokietijos Federacinės Respublikos Pagrindinio Įstatymo 46 straipsnį,</w:t>
      </w:r>
    </w:p>
    <w:p w14:paraId="20C72CB2" w14:textId="77777777" w:rsidR="0000723C" w:rsidRPr="00391BFD" w:rsidRDefault="0000723C" w:rsidP="0000723C">
      <w:pPr>
        <w:pStyle w:val="NormalHanging12a"/>
      </w:pPr>
      <w:r w:rsidRPr="00391BFD">
        <w:t>–</w:t>
      </w:r>
      <w:r w:rsidRPr="00391BFD">
        <w:tab/>
        <w:t>atsižvelgdamas į Darbo tvarkos taisyklių 5 straipsnio 2 dalį, 6 straipsnio 1 dalį ir 9 straipsnį,</w:t>
      </w:r>
    </w:p>
    <w:p w14:paraId="140A7EC2" w14:textId="2FD750E7" w:rsidR="0000723C" w:rsidRPr="00391BFD" w:rsidRDefault="0000723C" w:rsidP="0000723C">
      <w:pPr>
        <w:pStyle w:val="NormalHanging12a"/>
      </w:pPr>
      <w:r w:rsidRPr="00391BFD">
        <w:t>–</w:t>
      </w:r>
      <w:r w:rsidRPr="00391BFD">
        <w:tab/>
        <w:t>atsižvelgdamas į Teisės reikalų komiteto pranešimą (A10-0127/2026),</w:t>
      </w:r>
    </w:p>
    <w:p w14:paraId="71ADA700" w14:textId="77777777" w:rsidR="0000723C" w:rsidRPr="00391BFD" w:rsidRDefault="0000723C" w:rsidP="0000723C">
      <w:pPr>
        <w:pStyle w:val="NormalHanging12a"/>
      </w:pPr>
      <w:r w:rsidRPr="00391BFD">
        <w:t>A.</w:t>
      </w:r>
      <w:r w:rsidRPr="00391BFD">
        <w:tab/>
        <w:t>kadangi 2025 m. liepos 21 d. laišku Europos vyriausioji prokurorė pateikė ir 2025 m. rugsėjo 1 d. laišku patvirtino prašymą atšaukti Vokietijoje išrinktos Europos Parlamento narės Angelikos Niebler imunitetą ryšium su 2017–2025 metais galimai padarytomis nusikalstamomis veikomis;</w:t>
      </w:r>
    </w:p>
    <w:p w14:paraId="2DEC92A1" w14:textId="77777777" w:rsidR="0000723C" w:rsidRPr="00391BFD" w:rsidRDefault="0000723C" w:rsidP="0000723C">
      <w:pPr>
        <w:pStyle w:val="NormalHanging12a"/>
      </w:pPr>
      <w:r w:rsidRPr="00391BFD">
        <w:t>B.</w:t>
      </w:r>
      <w:r w:rsidRPr="00391BFD">
        <w:tab/>
        <w:t xml:space="preserve">kadangi prašyme, kuris grindžiamas privataus asmens, nuo 2021 m. rugpjūčio mėn. iki 2023 m. rugsėjo mėn. dirbusio Angelikai Niebler, pateikta informacija, nurodyta, jog minėta Parlamento narė laikotarpiu nuo 2017 metų, t. y. nuo 8-osios iki 10-osios </w:t>
      </w:r>
      <w:r w:rsidRPr="00391BFD">
        <w:lastRenderedPageBreak/>
        <w:t>Parlamento kadencijos, nepagrįstai prašė kompensuoti kelionių į Strasbūrą ir Briuselį išlaidas, asmeniniais tikslais ir (arba) tikslais, nesusijusiais su jos, kaip Parlamento narės, pareigomis, galimai laikinai įdarbindavo asmenis akredituotais Parlamento nario padėjėjais ir vietiniais padėjėjais, be to, galimai įdarbino vietinį padėjėją, kuris, kaip įtariama, dirbo išimtinai buvusiam Europos Parlamento nariui iš tos pačios partijos, tačiau kurio atlyginimui skirtas lėšas Europos Parlamentas mokėjo Angelikai Niebler; kadangi, remiantis prašyme pateikta informacija, kyla pirminis įtarimas, kad pagalbos Parlamento nariui išlaidas ji naudojo pažeisdama 2023 m. rugsėjo 11 d. Biuro sprendimo dėl Europos Parlamento narių statuto įgyvendinimo taisyklių</w:t>
      </w:r>
      <w:r w:rsidRPr="00391BFD">
        <w:rPr>
          <w:vertAlign w:val="superscript"/>
        </w:rPr>
        <w:footnoteReference w:id="3"/>
      </w:r>
      <w:r w:rsidRPr="00391BFD">
        <w:t xml:space="preserve"> 29 straipsnio 2 dalį; kadangi atsižvelgiant į tai inkriminuojami veiksmai galėtų būti laikomi Vokietijos baudžiamojo kodekso 263 straipsnio 1 ir 3 dalyse numatyta nusikalstama veika – sukčiavimu;</w:t>
      </w:r>
    </w:p>
    <w:p w14:paraId="67C1E60E" w14:textId="77777777" w:rsidR="0000723C" w:rsidRPr="00391BFD" w:rsidRDefault="0000723C" w:rsidP="0000723C">
      <w:pPr>
        <w:pStyle w:val="NormalHanging12a"/>
      </w:pPr>
      <w:r w:rsidRPr="00391BFD">
        <w:t>C.</w:t>
      </w:r>
      <w:r w:rsidRPr="00391BFD">
        <w:tab/>
        <w:t xml:space="preserve">kadangi 2014 m. gegužės mėn. Europos Parlamento rinkimuose ir vėliau 2019 m. gegužės mėn. bei 2024 m. birželio mėn. Europos Parlamento rinkimuose Angelika Niebler buvo išrinkta į Europos Parlamentą, taigi nusikalstamų veikų, kuriomis ji įtariama, padarymo metu buvo Europos Parlamento narė; </w:t>
      </w:r>
    </w:p>
    <w:p w14:paraId="14A39070" w14:textId="77777777" w:rsidR="0000723C" w:rsidRPr="00391BFD" w:rsidRDefault="0000723C" w:rsidP="0000723C">
      <w:pPr>
        <w:pStyle w:val="NormalHanging12a"/>
      </w:pPr>
      <w:r w:rsidRPr="00391BFD">
        <w:t>D.</w:t>
      </w:r>
      <w:r w:rsidRPr="00391BFD">
        <w:tab/>
        <w:t>kadangi galimos nusikalstamos veikos ir dėl jų pateiktas prašymas atšaukti Angelikos Niebler imunitetą nėra susiję su jai einant pareigas pareikšta nuomone ar balsavimu, kaip numatyta Protokolo Nr. 7 dėl Europos Sąjungos privilegijų ir imunitetų 8 straipsnyje;</w:t>
      </w:r>
    </w:p>
    <w:p w14:paraId="61E8DAFF" w14:textId="77777777" w:rsidR="0000723C" w:rsidRPr="00391BFD" w:rsidRDefault="0000723C" w:rsidP="0000723C">
      <w:pPr>
        <w:pStyle w:val="NormalHanging12a"/>
      </w:pPr>
      <w:r w:rsidRPr="00391BFD">
        <w:t>E.</w:t>
      </w:r>
      <w:r w:rsidRPr="00391BFD">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3D265F53" w14:textId="77777777" w:rsidR="0000723C" w:rsidRPr="00391BFD" w:rsidRDefault="0000723C" w:rsidP="0000723C">
      <w:pPr>
        <w:pStyle w:val="NormalHanging12a"/>
      </w:pPr>
      <w:r w:rsidRPr="00391BFD">
        <w:t>F.</w:t>
      </w:r>
      <w:r w:rsidRPr="00391BFD">
        <w:tab/>
        <w:t>kadangi Vokietijos Federacinės Respublikos Pagrindinio Įstatymo 46 straipsnio 2, 3 ir 4 dalyse nustatyta:</w:t>
      </w:r>
    </w:p>
    <w:p w14:paraId="0423C235" w14:textId="77777777" w:rsidR="0000723C" w:rsidRPr="00391BFD" w:rsidRDefault="0000723C" w:rsidP="0000723C">
      <w:pPr>
        <w:pStyle w:val="NormalHanging12a"/>
      </w:pPr>
      <w:r w:rsidRPr="00391BFD">
        <w:t>„2.</w:t>
      </w:r>
      <w:r w:rsidRPr="00391BFD">
        <w:tab/>
        <w:t>Bundestago narys be Bundestago sutikimo negali būti traukiamas atsakomybėn ar suimamas dėl baudžiamosios veikos, išskyrus atvejus, kai jis sulaikomas bedarantis nusikaltimą arba kitą dieną po jo padarymo.</w:t>
      </w:r>
    </w:p>
    <w:p w14:paraId="6ADE1091" w14:textId="77777777" w:rsidR="0000723C" w:rsidRPr="00391BFD" w:rsidRDefault="0000723C" w:rsidP="0000723C">
      <w:pPr>
        <w:pStyle w:val="NormalHanging12a"/>
      </w:pPr>
      <w:r w:rsidRPr="00391BFD">
        <w:t>3.</w:t>
      </w:r>
      <w:r w:rsidRPr="00391BFD">
        <w:tab/>
        <w:t>Bundestago sutikimas taip pat būtinas norint apriboti Bundestago nario asmens laisvę arba iškelti bylą remiantis 18 straipsnio nuostatomis.</w:t>
      </w:r>
    </w:p>
    <w:p w14:paraId="642E760C" w14:textId="77777777" w:rsidR="0000723C" w:rsidRPr="00391BFD" w:rsidRDefault="0000723C" w:rsidP="0000723C">
      <w:pPr>
        <w:pStyle w:val="NormalHanging12a"/>
      </w:pPr>
      <w:r w:rsidRPr="00391BFD">
        <w:t>4.</w:t>
      </w:r>
      <w:r w:rsidRPr="00391BFD">
        <w:tab/>
        <w:t>Bundestago reikalavimu bet kokia baudžiamoji byla arba remiantis 18 straipsnio nuostatomis iškelta byla prieš Bundestago narį turi būti sustabdyta, o suėmimas ir asmens laisvės apribojimas atšaukti.“;</w:t>
      </w:r>
    </w:p>
    <w:p w14:paraId="24C8B992" w14:textId="19ABCCC6" w:rsidR="00A66C37" w:rsidRPr="00391BFD" w:rsidRDefault="0000723C" w:rsidP="00A66C37">
      <w:pPr>
        <w:pStyle w:val="NormalHanging12a"/>
      </w:pPr>
      <w:r w:rsidRPr="00391BFD">
        <w:t>G.</w:t>
      </w:r>
      <w:r w:rsidRPr="00391BFD">
        <w:tab/>
        <w:t xml:space="preserve">kadangi Protokole Nr. 7 dėl Europos Sąjungos privilegijų ir imunitetų numatyto Parlamento nario imuniteto paskirtis – apsaugoti Parlamentą ir jo narius nuo patraukimo atsakomybėn už veiksmus, kurie yra padaryti vykdant Parlamento nario įgaliojimus ir </w:t>
      </w:r>
      <w:r w:rsidRPr="00391BFD">
        <w:lastRenderedPageBreak/>
        <w:t>kurių negalima atskirti nuo tų įgaliojimų;</w:t>
      </w:r>
    </w:p>
    <w:p w14:paraId="33571559" w14:textId="77281EC9" w:rsidR="00A66C37" w:rsidRPr="00391BFD" w:rsidRDefault="0000723C" w:rsidP="00A66C37">
      <w:pPr>
        <w:pStyle w:val="NormalHanging12a"/>
      </w:pPr>
      <w:r w:rsidRPr="00391BFD">
        <w:t>H.</w:t>
      </w:r>
      <w:r w:rsidRPr="00391BFD">
        <w:tab/>
        <w:t>kadangi Parlamento darbo tvarkos taisyklių 5 straipsnio 2 dalyje numatyta, kad Parlamento nario imunitetas yra ne jo asmeninė privilegija, bet viso Parlamento ir jo narių nepriklausomumo garantija;</w:t>
      </w:r>
    </w:p>
    <w:p w14:paraId="04700B85" w14:textId="39834CCE" w:rsidR="0000723C" w:rsidRPr="00391BFD" w:rsidRDefault="0000723C" w:rsidP="0000723C">
      <w:pPr>
        <w:pStyle w:val="NormalHanging12a"/>
      </w:pPr>
      <w:bookmarkStart w:id="1" w:name="_Hlk227752086"/>
      <w:r w:rsidRPr="00391BFD">
        <w:t>I.</w:t>
      </w:r>
      <w:bookmarkStart w:id="2" w:name="_Hlk227752575"/>
      <w:r w:rsidRPr="00391BFD">
        <w:tab/>
        <w:t>kadangi bet kokios išvados turi būti daromos remiantis šioje byloje pateikta informacija ir paaiškinimais; kadangi yra rimtų neaiškumų, susijusių su skunde, dėl kurio buvo pateiktas prašymas atšaukti imunitetą, išdėstytomis aplinkybėmis ir motyvais, įskaitant jo anoniminį pobūdį, dėl kurio negalima prasmingai įvertinti skundo ir neįmanoma atmesti galimybės, kad skundą galėjo pateikti politinių motyvų turintis privatus asmuo, siekdamas sukompromituoti minėtą Parlamento narę; kadangi, be to, skundo pateikimo laikas ir atrankinis pobūdis sustiprina šias abejones, visų pirma atsižvelgiant į tai, kad Parlamento narė yra gerai žinoma politinė veikėja; kadangi prašyme esantys nenuoseklumai, įskaitant akivaizdų netikslumą dėl tikslių atitinkamų finansinių sumų, taip pat konkrečios įtariamo pažeidimo aplinkybės kelia susirūpinimą, kad procesu galėjo būti siekiama pakenkti Angelikos Niebler reputacijai;</w:t>
      </w:r>
    </w:p>
    <w:p w14:paraId="37F1F2AF" w14:textId="0498467B" w:rsidR="0000723C" w:rsidRPr="00391BFD" w:rsidRDefault="0000723C" w:rsidP="0000723C">
      <w:pPr>
        <w:pStyle w:val="NormalHanging12a"/>
      </w:pPr>
      <w:r w:rsidRPr="00391BFD">
        <w:t>J.</w:t>
      </w:r>
      <w:r w:rsidRPr="00391BFD">
        <w:tab/>
        <w:t xml:space="preserve">kadangi dėl to šiuo atveju galima daryti prielaidą, jog esama </w:t>
      </w:r>
      <w:r w:rsidRPr="00391BFD">
        <w:rPr>
          <w:i/>
        </w:rPr>
        <w:t>fumus persecutionis</w:t>
      </w:r>
      <w:bookmarkEnd w:id="2"/>
      <w:bookmarkEnd w:id="1"/>
      <w:r w:rsidRPr="00391BFD">
        <w:t>, t. y. konkrečių įrodymų</w:t>
      </w:r>
      <w:r w:rsidRPr="00391BFD">
        <w:rPr>
          <w:vertAlign w:val="superscript"/>
        </w:rPr>
        <w:footnoteReference w:id="4"/>
      </w:r>
      <w:r w:rsidRPr="00391BFD">
        <w:t xml:space="preserve">, iš kurių matyti, kad šis procesas buvo pradėtas siekiant pakenkti </w:t>
      </w:r>
      <w:bookmarkStart w:id="3" w:name="_Hlk223449412"/>
      <w:r w:rsidRPr="00391BFD">
        <w:t>Angelikos Niebler</w:t>
      </w:r>
      <w:bookmarkEnd w:id="3"/>
      <w:r w:rsidRPr="00391BFD">
        <w:t xml:space="preserve"> politinei veiklai, visų pirma jos, kaip Europos Parlamento narės, veiklai;</w:t>
      </w:r>
    </w:p>
    <w:p w14:paraId="57F8002F" w14:textId="77777777" w:rsidR="0000723C" w:rsidRPr="00391BFD" w:rsidRDefault="0000723C" w:rsidP="0000723C">
      <w:pPr>
        <w:pStyle w:val="NormalHanging12a"/>
      </w:pPr>
      <w:r w:rsidRPr="00391BFD">
        <w:t>K.</w:t>
      </w:r>
      <w:r w:rsidRPr="00391BFD">
        <w:tab/>
        <w:t>kadangi, pirma, Parlamentas negali būti prilyginamas teismui ir, antra, vykstant imuniteto atšaukimo procedūrai Parlamento narys negali būti laikomas kaltinamuoju</w:t>
      </w:r>
      <w:r w:rsidRPr="00391BFD">
        <w:rPr>
          <w:vertAlign w:val="superscript"/>
        </w:rPr>
        <w:footnoteReference w:id="5"/>
      </w:r>
      <w:r w:rsidRPr="00391BFD">
        <w:t>;</w:t>
      </w:r>
    </w:p>
    <w:p w14:paraId="602BF865" w14:textId="77777777" w:rsidR="0000723C" w:rsidRPr="00391BFD" w:rsidRDefault="0000723C" w:rsidP="0000723C">
      <w:pPr>
        <w:pStyle w:val="NormalHanging12a"/>
      </w:pPr>
      <w:r w:rsidRPr="00391BFD">
        <w:t>1.</w:t>
      </w:r>
      <w:r w:rsidRPr="00391BFD">
        <w:tab/>
        <w:t>nusprendžia neatšaukti Angelikos Niebler imuniteto;</w:t>
      </w:r>
    </w:p>
    <w:p w14:paraId="11E5150F" w14:textId="77777777" w:rsidR="0000723C" w:rsidRPr="00391BFD" w:rsidRDefault="0000723C" w:rsidP="008E680B">
      <w:pPr>
        <w:pStyle w:val="NormalHanging12a"/>
      </w:pPr>
      <w:r w:rsidRPr="00391BFD">
        <w:t>2.</w:t>
      </w:r>
      <w:r w:rsidRPr="00391BFD">
        <w:tab/>
        <w:t>paveda Pirmininkei nedelsiant perduoti šį sprendimą ir atsakingo komiteto pranešimą Europos prokuratūrai ir Angelikai Niebler.</w:t>
      </w:r>
    </w:p>
    <w:p w14:paraId="75824DE6" w14:textId="77777777" w:rsidR="00C752D7" w:rsidRPr="00391BFD" w:rsidRDefault="00C752D7" w:rsidP="008E680B">
      <w:pPr>
        <w:sectPr w:rsidR="00C752D7" w:rsidRPr="00391BFD" w:rsidSect="00391B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391BFD" w:rsidRDefault="008E680B" w:rsidP="008E680B">
      <w:pPr>
        <w:pStyle w:val="PageHeading"/>
      </w:pPr>
      <w:bookmarkStart w:id="4" w:name="ProcPageRR"/>
      <w:bookmarkStart w:id="5" w:name="_Toc229498474"/>
      <w:r w:rsidRPr="00391BFD">
        <w:lastRenderedPageBreak/>
        <w:t>INFORMACIJA APIE PRIĖMIMĄ ATSAKINGAME KOMITETE</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391BFD"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391BFD" w:rsidRDefault="008E680B">
            <w:pPr>
              <w:autoSpaceDE w:val="0"/>
              <w:autoSpaceDN w:val="0"/>
              <w:adjustRightInd w:val="0"/>
              <w:rPr>
                <w:b/>
                <w:bCs/>
                <w:color w:val="000000"/>
                <w:sz w:val="20"/>
              </w:rPr>
            </w:pPr>
            <w:r w:rsidRPr="00391BFD">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391BFD" w:rsidRDefault="008E680B">
            <w:pPr>
              <w:autoSpaceDE w:val="0"/>
              <w:autoSpaceDN w:val="0"/>
              <w:adjustRightInd w:val="0"/>
              <w:rPr>
                <w:color w:val="000000"/>
                <w:sz w:val="20"/>
              </w:rPr>
            </w:pPr>
            <w:r w:rsidRPr="00391BF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391BFD"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391BFD"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391BFD" w:rsidRDefault="008E680B">
            <w:pPr>
              <w:autoSpaceDE w:val="0"/>
              <w:autoSpaceDN w:val="0"/>
              <w:adjustRightInd w:val="0"/>
              <w:rPr>
                <w:rFonts w:ascii="sans-serif" w:hAnsi="sans-serif" w:cs="sans-serif"/>
                <w:color w:val="000000"/>
              </w:rPr>
            </w:pPr>
          </w:p>
        </w:tc>
      </w:tr>
      <w:tr w:rsidR="008E680B" w:rsidRPr="00391BFD"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391BFD" w:rsidRDefault="008E680B">
            <w:pPr>
              <w:autoSpaceDE w:val="0"/>
              <w:autoSpaceDN w:val="0"/>
              <w:adjustRightInd w:val="0"/>
              <w:rPr>
                <w:b/>
                <w:bCs/>
                <w:color w:val="000000"/>
                <w:sz w:val="20"/>
              </w:rPr>
            </w:pPr>
            <w:r w:rsidRPr="00391BFD">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391BFD" w:rsidRDefault="008E680B">
            <w:pPr>
              <w:autoSpaceDE w:val="0"/>
              <w:autoSpaceDN w:val="0"/>
              <w:adjustRightInd w:val="0"/>
              <w:rPr>
                <w:color w:val="000000"/>
                <w:sz w:val="20"/>
              </w:rPr>
            </w:pPr>
            <w:r w:rsidRPr="00391BFD">
              <w:rPr>
                <w:color w:val="000000"/>
                <w:sz w:val="20"/>
              </w:rPr>
              <w:t>+:</w:t>
            </w:r>
          </w:p>
          <w:p w14:paraId="2E79C25D" w14:textId="77777777" w:rsidR="008E680B" w:rsidRPr="00391BFD" w:rsidRDefault="008E680B">
            <w:pPr>
              <w:autoSpaceDE w:val="0"/>
              <w:autoSpaceDN w:val="0"/>
              <w:adjustRightInd w:val="0"/>
              <w:rPr>
                <w:color w:val="000000"/>
                <w:sz w:val="20"/>
              </w:rPr>
            </w:pPr>
            <w:r w:rsidRPr="00391BFD">
              <w:rPr>
                <w:color w:val="000000"/>
                <w:sz w:val="20"/>
              </w:rPr>
              <w:t>–:</w:t>
            </w:r>
          </w:p>
          <w:p w14:paraId="10223099" w14:textId="77777777" w:rsidR="008E680B" w:rsidRPr="00391BFD" w:rsidRDefault="008E680B">
            <w:pPr>
              <w:autoSpaceDE w:val="0"/>
              <w:autoSpaceDN w:val="0"/>
              <w:adjustRightInd w:val="0"/>
              <w:rPr>
                <w:color w:val="000000"/>
                <w:sz w:val="20"/>
              </w:rPr>
            </w:pPr>
            <w:r w:rsidRPr="00391BF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391BFD" w:rsidRDefault="008E680B">
            <w:pPr>
              <w:autoSpaceDE w:val="0"/>
              <w:autoSpaceDN w:val="0"/>
              <w:adjustRightInd w:val="0"/>
              <w:rPr>
                <w:color w:val="000000"/>
                <w:sz w:val="20"/>
              </w:rPr>
            </w:pPr>
            <w:r w:rsidRPr="00391BFD">
              <w:rPr>
                <w:color w:val="000000"/>
                <w:sz w:val="20"/>
              </w:rPr>
              <w:t>16</w:t>
            </w:r>
          </w:p>
          <w:p w14:paraId="78E4F16A" w14:textId="77777777" w:rsidR="008E680B" w:rsidRPr="00391BFD" w:rsidRDefault="008E680B">
            <w:pPr>
              <w:autoSpaceDE w:val="0"/>
              <w:autoSpaceDN w:val="0"/>
              <w:adjustRightInd w:val="0"/>
              <w:rPr>
                <w:color w:val="000000"/>
                <w:sz w:val="20"/>
              </w:rPr>
            </w:pPr>
            <w:r w:rsidRPr="00391BFD">
              <w:rPr>
                <w:color w:val="000000"/>
                <w:sz w:val="20"/>
              </w:rPr>
              <w:t>3</w:t>
            </w:r>
          </w:p>
          <w:p w14:paraId="020E7872" w14:textId="77777777" w:rsidR="008E680B" w:rsidRPr="00391BFD" w:rsidRDefault="008E680B">
            <w:pPr>
              <w:autoSpaceDE w:val="0"/>
              <w:autoSpaceDN w:val="0"/>
              <w:adjustRightInd w:val="0"/>
              <w:rPr>
                <w:color w:val="000000"/>
                <w:sz w:val="20"/>
              </w:rPr>
            </w:pPr>
            <w:r w:rsidRPr="00391BFD">
              <w:rPr>
                <w:color w:val="000000"/>
                <w:sz w:val="20"/>
              </w:rPr>
              <w:t>3</w:t>
            </w:r>
          </w:p>
        </w:tc>
      </w:tr>
    </w:tbl>
    <w:p w14:paraId="317A40F9" w14:textId="77777777" w:rsidR="008E680B" w:rsidRPr="00391BFD" w:rsidRDefault="008E680B"/>
    <w:bookmarkEnd w:id="4"/>
    <w:p w14:paraId="1FF38F71" w14:textId="2E92617F" w:rsidR="00C752D7" w:rsidRPr="00391BFD" w:rsidRDefault="00C752D7" w:rsidP="008E680B"/>
    <w:sectPr w:rsidR="00C752D7" w:rsidRPr="00391BFD"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391BFD" w:rsidRDefault="00320E21">
      <w:r w:rsidRPr="00391BFD">
        <w:separator/>
      </w:r>
    </w:p>
  </w:endnote>
  <w:endnote w:type="continuationSeparator" w:id="0">
    <w:p w14:paraId="0B3BEB70" w14:textId="77777777" w:rsidR="00320E21" w:rsidRPr="00391BFD" w:rsidRDefault="00320E21">
      <w:r w:rsidRPr="00391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39BF" w14:textId="77777777" w:rsidR="00391BFD" w:rsidRPr="00391BFD" w:rsidRDefault="00391BFD" w:rsidP="00391BFD">
    <w:pPr>
      <w:pStyle w:val="EPFooter"/>
    </w:pPr>
    <w:r w:rsidRPr="00391BFD">
      <w:t>PE</w:t>
    </w:r>
    <w:r w:rsidRPr="00391BFD">
      <w:rPr>
        <w:rStyle w:val="HideTWBExt"/>
      </w:rPr>
      <w:t>&lt;NoPE&gt;</w:t>
    </w:r>
    <w:r w:rsidRPr="00391BFD">
      <w:t>784.494</w:t>
    </w:r>
    <w:r w:rsidRPr="00391BFD">
      <w:rPr>
        <w:rStyle w:val="HideTWBExt"/>
      </w:rPr>
      <w:t>&lt;/NoPE&gt;&lt;Version&gt;</w:t>
    </w:r>
    <w:r w:rsidRPr="00391BFD">
      <w:t>v03-00</w:t>
    </w:r>
    <w:r w:rsidRPr="00391BFD">
      <w:rPr>
        <w:rStyle w:val="HideTWBExt"/>
      </w:rPr>
      <w:t>&lt;/Version&gt;</w:t>
    </w:r>
    <w:r w:rsidRPr="00391BFD">
      <w:tab/>
    </w:r>
    <w:r w:rsidRPr="00391BFD">
      <w:fldChar w:fldCharType="begin"/>
    </w:r>
    <w:r w:rsidRPr="00391BFD">
      <w:instrText xml:space="preserve"> PAGE  \* MERGEFORMAT </w:instrText>
    </w:r>
    <w:r w:rsidRPr="00391BFD">
      <w:fldChar w:fldCharType="separate"/>
    </w:r>
    <w:r w:rsidRPr="00391BFD">
      <w:rPr>
        <w:noProof/>
      </w:rPr>
      <w:t>6</w:t>
    </w:r>
    <w:r w:rsidRPr="00391BFD">
      <w:fldChar w:fldCharType="end"/>
    </w:r>
    <w:r w:rsidRPr="00391BFD">
      <w:t>/</w:t>
    </w:r>
    <w:fldSimple w:instr=" NUMPAGES  \* MERGEFORMAT ">
      <w:r w:rsidRPr="00391BFD">
        <w:rPr>
          <w:noProof/>
        </w:rPr>
        <w:t>6</w:t>
      </w:r>
    </w:fldSimple>
    <w:r w:rsidRPr="00391BFD">
      <w:tab/>
    </w:r>
    <w:r w:rsidRPr="00391BFD">
      <w:rPr>
        <w:rStyle w:val="HideTWBExt"/>
      </w:rPr>
      <w:t>&lt;PathFdR&gt;</w:t>
    </w:r>
    <w:r w:rsidRPr="00391BFD">
      <w:t>RR\1343291LT.docx</w:t>
    </w:r>
    <w:r w:rsidRPr="00391BFD">
      <w:rPr>
        <w:rStyle w:val="HideTWBExt"/>
      </w:rPr>
      <w:t>&lt;/PathFdR&gt;</w:t>
    </w:r>
  </w:p>
  <w:p w14:paraId="2A2DE527" w14:textId="51CAC121" w:rsidR="0023430B" w:rsidRPr="00391BFD" w:rsidRDefault="00391BFD" w:rsidP="00391BFD">
    <w:pPr>
      <w:pStyle w:val="EPFooter2"/>
    </w:pPr>
    <w:r w:rsidRPr="00391BF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40E1" w14:textId="77777777" w:rsidR="00391BFD" w:rsidRPr="00391BFD" w:rsidRDefault="00391BFD" w:rsidP="00391BFD">
    <w:pPr>
      <w:pStyle w:val="EPFooter"/>
    </w:pPr>
    <w:r w:rsidRPr="00391BFD">
      <w:rPr>
        <w:rStyle w:val="HideTWBExt"/>
      </w:rPr>
      <w:t>&lt;PathFdR&gt;</w:t>
    </w:r>
    <w:r w:rsidRPr="00391BFD">
      <w:t>RR\1343291LT.docx</w:t>
    </w:r>
    <w:r w:rsidRPr="00391BFD">
      <w:rPr>
        <w:rStyle w:val="HideTWBExt"/>
      </w:rPr>
      <w:t>&lt;/PathFdR&gt;</w:t>
    </w:r>
    <w:r w:rsidRPr="00391BFD">
      <w:tab/>
    </w:r>
    <w:r w:rsidRPr="00391BFD">
      <w:fldChar w:fldCharType="begin"/>
    </w:r>
    <w:r w:rsidRPr="00391BFD">
      <w:instrText xml:space="preserve"> PAGE  \* MERGEFORMAT </w:instrText>
    </w:r>
    <w:r w:rsidRPr="00391BFD">
      <w:fldChar w:fldCharType="separate"/>
    </w:r>
    <w:r w:rsidRPr="00391BFD">
      <w:rPr>
        <w:noProof/>
      </w:rPr>
      <w:t>5</w:t>
    </w:r>
    <w:r w:rsidRPr="00391BFD">
      <w:fldChar w:fldCharType="end"/>
    </w:r>
    <w:r w:rsidRPr="00391BFD">
      <w:t>/</w:t>
    </w:r>
    <w:fldSimple w:instr=" NUMPAGES  \* MERGEFORMAT ">
      <w:r w:rsidRPr="00391BFD">
        <w:rPr>
          <w:noProof/>
        </w:rPr>
        <w:t>6</w:t>
      </w:r>
    </w:fldSimple>
    <w:r w:rsidRPr="00391BFD">
      <w:tab/>
      <w:t>PE</w:t>
    </w:r>
    <w:r w:rsidRPr="00391BFD">
      <w:rPr>
        <w:rStyle w:val="HideTWBExt"/>
      </w:rPr>
      <w:t>&lt;NoPE&gt;</w:t>
    </w:r>
    <w:r w:rsidRPr="00391BFD">
      <w:t>784.494</w:t>
    </w:r>
    <w:r w:rsidRPr="00391BFD">
      <w:rPr>
        <w:rStyle w:val="HideTWBExt"/>
      </w:rPr>
      <w:t>&lt;/NoPE&gt;&lt;Version&gt;</w:t>
    </w:r>
    <w:r w:rsidRPr="00391BFD">
      <w:t>v03-00</w:t>
    </w:r>
    <w:r w:rsidRPr="00391BFD">
      <w:rPr>
        <w:rStyle w:val="HideTWBExt"/>
      </w:rPr>
      <w:t>&lt;/Version&gt;</w:t>
    </w:r>
  </w:p>
  <w:p w14:paraId="4EEAA9E0" w14:textId="1ED1C822" w:rsidR="0023430B" w:rsidRPr="00391BFD" w:rsidRDefault="00391BFD" w:rsidP="00391BFD">
    <w:pPr>
      <w:pStyle w:val="EPFooter2"/>
    </w:pPr>
    <w:r w:rsidRPr="00391BFD">
      <w:tab/>
    </w:r>
    <w:r w:rsidRPr="00391BF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64FC" w14:textId="77777777" w:rsidR="00391BFD" w:rsidRPr="00391BFD" w:rsidRDefault="00391BFD" w:rsidP="00391BFD">
    <w:pPr>
      <w:pStyle w:val="EPFooter"/>
    </w:pPr>
    <w:r w:rsidRPr="00391BFD">
      <w:rPr>
        <w:rStyle w:val="HideTWBExt"/>
      </w:rPr>
      <w:t>&lt;PathFdR&gt;</w:t>
    </w:r>
    <w:r w:rsidRPr="00391BFD">
      <w:t>RR\1343291LT.docx</w:t>
    </w:r>
    <w:r w:rsidRPr="00391BFD">
      <w:rPr>
        <w:rStyle w:val="HideTWBExt"/>
      </w:rPr>
      <w:t>&lt;/PathFdR&gt;</w:t>
    </w:r>
    <w:r w:rsidRPr="00391BFD">
      <w:tab/>
    </w:r>
    <w:r w:rsidRPr="00391BFD">
      <w:tab/>
      <w:t>PE</w:t>
    </w:r>
    <w:r w:rsidRPr="00391BFD">
      <w:rPr>
        <w:rStyle w:val="HideTWBExt"/>
      </w:rPr>
      <w:t>&lt;NoPE&gt;</w:t>
    </w:r>
    <w:r w:rsidRPr="00391BFD">
      <w:t>784.494</w:t>
    </w:r>
    <w:r w:rsidRPr="00391BFD">
      <w:rPr>
        <w:rStyle w:val="HideTWBExt"/>
      </w:rPr>
      <w:t>&lt;/NoPE&gt;&lt;Version&gt;</w:t>
    </w:r>
    <w:r w:rsidRPr="00391BFD">
      <w:t>v03-00</w:t>
    </w:r>
    <w:r w:rsidRPr="00391BFD">
      <w:rPr>
        <w:rStyle w:val="HideTWBExt"/>
      </w:rPr>
      <w:t>&lt;/Version&gt;</w:t>
    </w:r>
  </w:p>
  <w:p w14:paraId="34911635" w14:textId="770A83BB" w:rsidR="0023430B" w:rsidRPr="00391BFD" w:rsidRDefault="00391BFD" w:rsidP="00391BFD">
    <w:pPr>
      <w:pStyle w:val="EPFooter2"/>
    </w:pPr>
    <w:r w:rsidRPr="00391BFD">
      <w:t>LT</w:t>
    </w:r>
    <w:r w:rsidRPr="00391BFD">
      <w:tab/>
    </w:r>
    <w:r w:rsidRPr="00391BFD">
      <w:rPr>
        <w:b w:val="0"/>
        <w:i/>
        <w:color w:val="C0C0C0"/>
        <w:sz w:val="22"/>
      </w:rPr>
      <w:t>Suvienijusi įvairovę</w:t>
    </w:r>
    <w:r w:rsidRPr="00391BF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391BFD" w:rsidRDefault="00320E21">
      <w:r w:rsidRPr="00391BFD">
        <w:separator/>
      </w:r>
    </w:p>
  </w:footnote>
  <w:footnote w:type="continuationSeparator" w:id="0">
    <w:p w14:paraId="13B4604B" w14:textId="77777777" w:rsidR="00320E21" w:rsidRPr="00391BFD" w:rsidRDefault="00320E21">
      <w:r w:rsidRPr="00391BFD">
        <w:continuationSeparator/>
      </w:r>
    </w:p>
  </w:footnote>
  <w:footnote w:id="1">
    <w:p w14:paraId="003EF8E5" w14:textId="77777777" w:rsidR="0000723C" w:rsidRPr="00391BFD" w:rsidRDefault="0000723C" w:rsidP="00A66C37">
      <w:pPr>
        <w:pStyle w:val="FootnoteText"/>
      </w:pPr>
      <w:r w:rsidRPr="00391BFD">
        <w:rPr>
          <w:rStyle w:val="FootnoteReference"/>
        </w:rPr>
        <w:footnoteRef/>
      </w:r>
      <w:r w:rsidRPr="00391BFD">
        <w:rPr>
          <w:rStyle w:val="FootnoteReference"/>
        </w:rPr>
        <w:t xml:space="preserve"> </w:t>
      </w:r>
      <w:r w:rsidRPr="00391BFD">
        <w:t>OL L 283, 2017 10 31, p. 1.</w:t>
      </w:r>
    </w:p>
  </w:footnote>
  <w:footnote w:id="2">
    <w:p w14:paraId="0ADF13AE" w14:textId="77777777" w:rsidR="0000723C" w:rsidRPr="00391BFD" w:rsidRDefault="0000723C" w:rsidP="00A66C37">
      <w:pPr>
        <w:pStyle w:val="FootnoteText"/>
      </w:pPr>
      <w:r w:rsidRPr="00391BFD">
        <w:rPr>
          <w:rStyle w:val="FootnoteReference"/>
        </w:rPr>
        <w:footnoteRef/>
      </w:r>
      <w:r w:rsidRPr="00391BFD">
        <w:rPr>
          <w:rStyle w:val="FootnoteReference"/>
        </w:rPr>
        <w:t xml:space="preserve"> </w:t>
      </w:r>
      <w:r w:rsidRPr="00391BFD">
        <w:t xml:space="preserve">2008 m. spalio 21 d. Teisingumo Teismo sprendimas </w:t>
      </w:r>
      <w:r w:rsidRPr="00391BFD">
        <w:rPr>
          <w:i/>
          <w:iCs/>
        </w:rPr>
        <w:t>Marra / De Gregorio ir Clemente</w:t>
      </w:r>
      <w:r w:rsidRPr="00391BFD">
        <w:t xml:space="preserve">, C-200/07 ir C-201/07, ECLI:EU:C:2008:579; 2010 m. kovo 19 d. Bendrojo Teismo sprendimas </w:t>
      </w:r>
      <w:r w:rsidRPr="00391BFD">
        <w:rPr>
          <w:i/>
        </w:rPr>
        <w:t>Gollnisch / Parlamentas</w:t>
      </w:r>
      <w:r w:rsidRPr="00391BFD">
        <w:t xml:space="preserve">, T-42/06, ECLI:EU:T:2010:102; 2011 m. rugsėjo 6 d. Teisingumo Teismo sprendimas </w:t>
      </w:r>
      <w:r w:rsidRPr="00391BFD">
        <w:rPr>
          <w:i/>
        </w:rPr>
        <w:t>Patriciello</w:t>
      </w:r>
      <w:r w:rsidRPr="00391BFD">
        <w:t xml:space="preserve">, C-163/10, ECLI: EU:C:2011:543; 2013 m. sausio 17 d. Bendrojo Teismo sprendimas </w:t>
      </w:r>
      <w:r w:rsidRPr="00391BFD">
        <w:rPr>
          <w:i/>
        </w:rPr>
        <w:t>Gollnisch / Parlamentas</w:t>
      </w:r>
      <w:r w:rsidRPr="00391BFD">
        <w:t xml:space="preserve">, T-346/11 ir T-347/11, ECLI:EU:T:2013:23; 2019 m. gruodžio 19 d. Teisingumo Teismo sprendimas </w:t>
      </w:r>
      <w:r w:rsidRPr="00391BFD">
        <w:rPr>
          <w:i/>
          <w:iCs/>
        </w:rPr>
        <w:t>Junqueras Vies</w:t>
      </w:r>
      <w:r w:rsidRPr="00391BFD">
        <w:t>, C-502/19, ECLI:EU:C:2019:1115.</w:t>
      </w:r>
    </w:p>
  </w:footnote>
  <w:footnote w:id="3">
    <w:p w14:paraId="2B02AD51" w14:textId="465BC8C9" w:rsidR="0000723C" w:rsidRPr="00391BFD" w:rsidRDefault="0000723C" w:rsidP="00A66C37">
      <w:pPr>
        <w:pStyle w:val="FootnoteText"/>
      </w:pPr>
      <w:r w:rsidRPr="00391BFD">
        <w:rPr>
          <w:rStyle w:val="FootnoteReference"/>
        </w:rPr>
        <w:footnoteRef/>
      </w:r>
      <w:r w:rsidRPr="00391BFD">
        <w:rPr>
          <w:rStyle w:val="FootnoteReference"/>
        </w:rPr>
        <w:t xml:space="preserve"> </w:t>
      </w:r>
      <w:r w:rsidRPr="00391BFD">
        <w:t xml:space="preserve">2023 m. rugsėjo 11 d. Biuro sprendimas dėl Europos Parlamento narių statuto įgyvendinimo taisyklių, kuriuo panaikinamas 2008 m. gegužės 19 d. ir liepos 9 d. Biuro sprendimas (OL C, C/2024/2814, 2024 4 26, ELI: </w:t>
      </w:r>
      <w:hyperlink r:id="rId1" w:tgtFrame="_blank" w:tooltip="Prieiga prie šio dokumento suteikiama per ELI sistemoje jam suteiktą URI." w:history="1">
        <w:r w:rsidRPr="00391BFD">
          <w:rPr>
            <w:rStyle w:val="Hyperlink"/>
            <w:color w:val="0563C1"/>
          </w:rPr>
          <w:t>http://data.europa.eu/eli/C/2024/2814/oj</w:t>
        </w:r>
      </w:hyperlink>
      <w:r w:rsidRPr="00391BFD">
        <w:t xml:space="preserve">). </w:t>
      </w:r>
    </w:p>
  </w:footnote>
  <w:footnote w:id="4">
    <w:p w14:paraId="438588C7" w14:textId="77777777" w:rsidR="0000723C" w:rsidRPr="00391BFD" w:rsidRDefault="0000723C" w:rsidP="00A66C37">
      <w:pPr>
        <w:pStyle w:val="FootnoteText"/>
      </w:pPr>
      <w:r w:rsidRPr="00391BFD">
        <w:rPr>
          <w:rStyle w:val="FootnoteReference"/>
        </w:rPr>
        <w:footnoteRef/>
      </w:r>
      <w:r w:rsidRPr="00391BFD">
        <w:rPr>
          <w:rStyle w:val="FootnoteReference"/>
        </w:rPr>
        <w:t xml:space="preserve"> </w:t>
      </w:r>
      <w:r w:rsidRPr="00391BFD">
        <w:t xml:space="preserve">2020 m. rugsėjo 17 d. Teisingumo Teismo sprendimo </w:t>
      </w:r>
      <w:r w:rsidRPr="00391BFD">
        <w:rPr>
          <w:i/>
        </w:rPr>
        <w:t>Troszczynski / Parlamentas</w:t>
      </w:r>
      <w:r w:rsidRPr="00391BFD">
        <w:t>, C-12/19 P, ECLI:EU:C:2020:725, 26 punktas.</w:t>
      </w:r>
    </w:p>
  </w:footnote>
  <w:footnote w:id="5">
    <w:p w14:paraId="74DD20B8" w14:textId="77777777" w:rsidR="0000723C" w:rsidRPr="00391BFD" w:rsidRDefault="0000723C" w:rsidP="00A66C37">
      <w:pPr>
        <w:pStyle w:val="FootnoteText"/>
      </w:pPr>
      <w:r w:rsidRPr="00391BFD">
        <w:rPr>
          <w:rStyle w:val="FootnoteReference"/>
        </w:rPr>
        <w:footnoteRef/>
      </w:r>
      <w:r w:rsidRPr="00391BFD">
        <w:rPr>
          <w:rStyle w:val="FootnoteReference"/>
        </w:rPr>
        <w:t xml:space="preserve"> </w:t>
      </w:r>
      <w:r w:rsidRPr="00391BFD">
        <w:t xml:space="preserve">2019 m. balandžio 30 d. Bendrojo Teismo sprendimas </w:t>
      </w:r>
      <w:r w:rsidRPr="00391BFD">
        <w:rPr>
          <w:i/>
        </w:rPr>
        <w:t>Briois / Parlamentas</w:t>
      </w:r>
      <w:r w:rsidRPr="00391BFD">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EF5E" w14:textId="77777777" w:rsidR="0011392D" w:rsidRDefault="00113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261F" w14:textId="77777777" w:rsidR="0011392D" w:rsidRDefault="00113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ACF6" w14:textId="77777777" w:rsidR="0011392D" w:rsidRDefault="00113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1392D"/>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61482"/>
    <w:rsid w:val="00373361"/>
    <w:rsid w:val="0037673A"/>
    <w:rsid w:val="00391BFD"/>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A4C87"/>
    <w:rsid w:val="00C03881"/>
    <w:rsid w:val="00C31534"/>
    <w:rsid w:val="00C42BD9"/>
    <w:rsid w:val="00C43D3B"/>
    <w:rsid w:val="00C752D7"/>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964</Words>
  <Characters>6239</Characters>
  <Application>Microsoft Office Word</Application>
  <DocSecurity>0</DocSecurity>
  <Lines>132</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MANCIUNSKAS Dalius</cp:lastModifiedBy>
  <cp:revision>2</cp:revision>
  <cp:lastPrinted>2026-05-06T12:11:00Z</cp:lastPrinted>
  <dcterms:created xsi:type="dcterms:W3CDTF">2026-05-12T15:14:00Z</dcterms:created>
  <dcterms:modified xsi:type="dcterms:W3CDTF">2026-05-12T15:14:00Z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RR\1343291LT.docx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- 2026/05/12 17:14</vt:lpwstr>
  </property>
  <property fmtid="{D5CDD505-2E9C-101B-9397-08002B2CF9AE}" pid="15" name="OriLang">
    <vt:lpwstr>EN</vt:lpwstr>
  </property>
  <property fmtid="{D5CDD505-2E9C-101B-9397-08002B2CF9AE}" pid="16" name="SDLStudio">
    <vt:lpwstr/>
  </property>
</Properties>
</file>