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BB32F4" w14:paraId="2F9CD55E" w14:textId="77777777" w:rsidTr="00C85D0F">
        <w:trPr>
          <w:trHeight w:hRule="exact" w:val="1418"/>
        </w:trPr>
        <w:tc>
          <w:tcPr>
            <w:tcW w:w="6804" w:type="dxa"/>
            <w:shd w:val="clear" w:color="auto" w:fill="auto"/>
            <w:vAlign w:val="center"/>
          </w:tcPr>
          <w:p w14:paraId="7109A10E" w14:textId="5DDFA809" w:rsidR="00CF16EE" w:rsidRPr="00BB32F4" w:rsidRDefault="0017012B" w:rsidP="00C85D0F">
            <w:pPr>
              <w:pStyle w:val="EPName"/>
            </w:pPr>
            <w:r w:rsidRPr="00BB32F4">
              <w:t>Evropský parlament</w:t>
            </w:r>
          </w:p>
          <w:p w14:paraId="197498C3" w14:textId="3A308A3F" w:rsidR="00CF16EE" w:rsidRPr="00BB32F4" w:rsidRDefault="009847AD" w:rsidP="00C85D0F">
            <w:pPr>
              <w:pStyle w:val="EPTerm"/>
            </w:pPr>
            <w:r w:rsidRPr="00BB32F4">
              <w:t>2024-2029</w:t>
            </w:r>
          </w:p>
        </w:tc>
        <w:tc>
          <w:tcPr>
            <w:tcW w:w="2268" w:type="dxa"/>
            <w:shd w:val="clear" w:color="auto" w:fill="auto"/>
          </w:tcPr>
          <w:p w14:paraId="2915424A" w14:textId="77777777" w:rsidR="00CF16EE" w:rsidRPr="00BB32F4" w:rsidRDefault="00CF16EE" w:rsidP="00C85D0F">
            <w:pPr>
              <w:pStyle w:val="EPLogo"/>
            </w:pPr>
            <w:r w:rsidRPr="00BB32F4">
              <w:rPr>
                <w:noProof/>
              </w:rPr>
              <w:drawing>
                <wp:inline distT="0" distB="0" distL="0" distR="0" wp14:anchorId="35371234" wp14:editId="1CC224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B251BD" w14:textId="77777777" w:rsidR="00215FF9" w:rsidRPr="00BB32F4" w:rsidRDefault="00215FF9" w:rsidP="00215FF9">
      <w:pPr>
        <w:pStyle w:val="LineTop"/>
      </w:pPr>
    </w:p>
    <w:p w14:paraId="09F68A4B" w14:textId="0A79918F" w:rsidR="00215FF9" w:rsidRPr="00BB32F4" w:rsidRDefault="007378E9" w:rsidP="00215FF9">
      <w:pPr>
        <w:pStyle w:val="EPBody"/>
      </w:pPr>
      <w:r>
        <w:t>Dokument ze zasedání</w:t>
      </w:r>
    </w:p>
    <w:p w14:paraId="52240F6D" w14:textId="77777777" w:rsidR="00215FF9" w:rsidRPr="00BB32F4" w:rsidRDefault="00215FF9" w:rsidP="00215FF9">
      <w:pPr>
        <w:pStyle w:val="LineBottom"/>
      </w:pPr>
    </w:p>
    <w:p w14:paraId="28DF584B" w14:textId="7104EE6B" w:rsidR="005922F7" w:rsidRPr="00BB32F4" w:rsidRDefault="007378E9" w:rsidP="007378E9">
      <w:pPr>
        <w:pStyle w:val="CoverReference"/>
      </w:pPr>
      <w:r w:rsidRPr="007378E9">
        <w:rPr>
          <w:rStyle w:val="HideTWBExt"/>
        </w:rPr>
        <w:t>&lt;NoDocSe&gt;</w:t>
      </w:r>
      <w:r>
        <w:t>A10</w:t>
      </w:r>
      <w:r>
        <w:noBreakHyphen/>
        <w:t>0128/2026</w:t>
      </w:r>
      <w:r w:rsidRPr="007378E9">
        <w:rPr>
          <w:rStyle w:val="HideTWBExt"/>
        </w:rPr>
        <w:t>&lt;/NoDocSe&gt;</w:t>
      </w:r>
    </w:p>
    <w:p w14:paraId="1B4B0280" w14:textId="2F2E25AD" w:rsidR="005922F7" w:rsidRPr="00BB32F4" w:rsidRDefault="005922F7" w:rsidP="005922F7">
      <w:pPr>
        <w:pStyle w:val="CoverDate"/>
      </w:pPr>
      <w:r w:rsidRPr="00BB32F4">
        <w:rPr>
          <w:rStyle w:val="HideTWBExt"/>
        </w:rPr>
        <w:t>&lt;Date&gt;</w:t>
      </w:r>
      <w:r w:rsidR="007378E9" w:rsidRPr="007378E9">
        <w:rPr>
          <w:rStyle w:val="HideTWBInt"/>
        </w:rPr>
        <w:t>{06/05/2026}</w:t>
      </w:r>
      <w:r w:rsidR="007378E9" w:rsidRPr="007378E9">
        <w:t>6.5.2026</w:t>
      </w:r>
      <w:r w:rsidRPr="00BB32F4">
        <w:rPr>
          <w:rStyle w:val="HideTWBExt"/>
        </w:rPr>
        <w:t>&lt;/Date&gt;</w:t>
      </w:r>
    </w:p>
    <w:p w14:paraId="27ABA665" w14:textId="339B6F46" w:rsidR="00142D49" w:rsidRPr="00BB32F4" w:rsidRDefault="00142D49">
      <w:pPr>
        <w:pStyle w:val="CoverDocType24a"/>
      </w:pPr>
      <w:r w:rsidRPr="00BB32F4">
        <w:rPr>
          <w:rStyle w:val="HideTWBExt"/>
          <w:b w:val="0"/>
        </w:rPr>
        <w:t>&lt;TitreType&gt;</w:t>
      </w:r>
      <w:r w:rsidR="007378E9" w:rsidRPr="007378E9">
        <w:t>ZPRÁVA</w:t>
      </w:r>
      <w:r w:rsidRPr="00BB32F4">
        <w:rPr>
          <w:rStyle w:val="HideTWBExt"/>
          <w:b w:val="0"/>
        </w:rPr>
        <w:t>&lt;/TitreType&gt;</w:t>
      </w:r>
    </w:p>
    <w:p w14:paraId="7A73EA61" w14:textId="46F8971A" w:rsidR="009847AD" w:rsidRPr="00BB32F4" w:rsidRDefault="009847AD" w:rsidP="009847AD">
      <w:pPr>
        <w:pStyle w:val="CoverNormal"/>
      </w:pPr>
      <w:r w:rsidRPr="00BB32F4">
        <w:rPr>
          <w:rStyle w:val="HideTWBExt"/>
        </w:rPr>
        <w:t>&lt;Titre&gt;</w:t>
      </w:r>
      <w:r w:rsidR="00027102" w:rsidRPr="00BB32F4">
        <w:t>o</w:t>
      </w:r>
      <w:r w:rsidR="00027102">
        <w:t> </w:t>
      </w:r>
      <w:r w:rsidRPr="00BB32F4">
        <w:t xml:space="preserve">žádosti, aby byl </w:t>
      </w:r>
      <w:r w:rsidR="00F41D3E" w:rsidRPr="00BB32F4">
        <w:t>Nikos Pappas</w:t>
      </w:r>
      <w:r w:rsidRPr="00BB32F4">
        <w:t xml:space="preserve"> zbaven imunity</w:t>
      </w:r>
      <w:r w:rsidRPr="00BB32F4">
        <w:rPr>
          <w:rStyle w:val="HideTWBExt"/>
        </w:rPr>
        <w:t>&lt;/Titre&gt;</w:t>
      </w:r>
    </w:p>
    <w:p w14:paraId="4BF377CF" w14:textId="7E02DADA" w:rsidR="009847AD" w:rsidRPr="00BB32F4" w:rsidRDefault="009847AD" w:rsidP="009847AD">
      <w:pPr>
        <w:pStyle w:val="CoverNormal24a"/>
      </w:pPr>
      <w:r w:rsidRPr="00BB32F4">
        <w:rPr>
          <w:rStyle w:val="HideTWBExt"/>
        </w:rPr>
        <w:t>&lt;DocRef&gt;</w:t>
      </w:r>
      <w:r w:rsidRPr="00BB32F4">
        <w:t>(2025/2234(IMM))</w:t>
      </w:r>
      <w:r w:rsidRPr="00BB32F4">
        <w:rPr>
          <w:rStyle w:val="HideTWBExt"/>
        </w:rPr>
        <w:t>&lt;/DocRef&gt;</w:t>
      </w:r>
    </w:p>
    <w:p w14:paraId="564821AE" w14:textId="77777777" w:rsidR="009847AD" w:rsidRPr="00BB32F4" w:rsidRDefault="009847AD" w:rsidP="009847AD">
      <w:pPr>
        <w:pStyle w:val="CoverNormal24a"/>
      </w:pPr>
      <w:r w:rsidRPr="00BB32F4">
        <w:rPr>
          <w:rStyle w:val="HideTWBExt"/>
        </w:rPr>
        <w:t>&lt;Commission&gt;</w:t>
      </w:r>
      <w:r w:rsidRPr="00BB32F4">
        <w:rPr>
          <w:rStyle w:val="HideTWBInt"/>
        </w:rPr>
        <w:t>{JURI}</w:t>
      </w:r>
      <w:r w:rsidRPr="00BB32F4">
        <w:t>Výbor pro právní záležitosti</w:t>
      </w:r>
      <w:r w:rsidRPr="00BB32F4">
        <w:rPr>
          <w:rStyle w:val="HideTWBExt"/>
        </w:rPr>
        <w:t>&lt;/Commission&gt;</w:t>
      </w:r>
    </w:p>
    <w:p w14:paraId="2840F61D" w14:textId="06F6632F" w:rsidR="009847AD" w:rsidRPr="00BB32F4" w:rsidRDefault="009847AD" w:rsidP="009847AD">
      <w:pPr>
        <w:pStyle w:val="CoverNormal24a"/>
      </w:pPr>
      <w:r w:rsidRPr="00BB32F4">
        <w:t xml:space="preserve">Zpravodaj: </w:t>
      </w:r>
      <w:r w:rsidRPr="00BB32F4">
        <w:rPr>
          <w:rStyle w:val="HideTWBExt"/>
        </w:rPr>
        <w:t>&lt;Depute&gt;</w:t>
      </w:r>
      <w:r w:rsidRPr="00BB32F4">
        <w:t>Marcin Sypniewski</w:t>
      </w:r>
      <w:r w:rsidRPr="00BB32F4">
        <w:rPr>
          <w:rStyle w:val="HideTWBExt"/>
        </w:rPr>
        <w:t>&lt;/Depute&gt;</w:t>
      </w:r>
    </w:p>
    <w:p w14:paraId="5F2E9192" w14:textId="77777777" w:rsidR="009847AD" w:rsidRPr="00BB32F4" w:rsidRDefault="009847AD" w:rsidP="009847AD">
      <w:pPr>
        <w:pStyle w:val="CoverNormal"/>
      </w:pPr>
    </w:p>
    <w:p w14:paraId="1893827B" w14:textId="77777777" w:rsidR="009847AD" w:rsidRPr="00BB32F4" w:rsidRDefault="009847AD" w:rsidP="009847AD">
      <w:pPr>
        <w:widowControl/>
        <w:tabs>
          <w:tab w:val="center" w:pos="4677"/>
        </w:tabs>
      </w:pPr>
      <w:r w:rsidRPr="00BB32F4">
        <w:br w:type="page"/>
      </w:r>
      <w:r w:rsidRPr="00BB32F4">
        <w:lastRenderedPageBreak/>
        <w:t>PR_IMM_Waiver</w:t>
      </w:r>
    </w:p>
    <w:p w14:paraId="6E01667F" w14:textId="77777777" w:rsidR="009847AD" w:rsidRPr="00BB32F4" w:rsidRDefault="009847AD" w:rsidP="009847AD">
      <w:pPr>
        <w:pStyle w:val="TOCHeading"/>
      </w:pPr>
      <w:r w:rsidRPr="00BB32F4">
        <w:t>OBSAH</w:t>
      </w:r>
    </w:p>
    <w:p w14:paraId="46C610B8" w14:textId="77777777" w:rsidR="009847AD" w:rsidRPr="00BB32F4" w:rsidRDefault="009847AD" w:rsidP="009847AD">
      <w:pPr>
        <w:pStyle w:val="TOCPage"/>
      </w:pPr>
      <w:r w:rsidRPr="00BB32F4">
        <w:t>Strana</w:t>
      </w:r>
    </w:p>
    <w:p w14:paraId="0A541D00" w14:textId="2EAF3924" w:rsidR="00027102" w:rsidRDefault="009847AD">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B32F4">
        <w:fldChar w:fldCharType="begin"/>
      </w:r>
      <w:r w:rsidRPr="00BB32F4">
        <w:instrText xml:space="preserve"> TOC \t "PageHeading</w:instrText>
      </w:r>
      <w:r w:rsidR="00A90192">
        <w:instrText>;</w:instrText>
      </w:r>
      <w:r w:rsidRPr="00BB32F4">
        <w:instrText xml:space="preserve">1" </w:instrText>
      </w:r>
      <w:r w:rsidRPr="00BB32F4">
        <w:fldChar w:fldCharType="separate"/>
      </w:r>
      <w:r w:rsidR="00027102">
        <w:rPr>
          <w:noProof/>
        </w:rPr>
        <w:t>NÁVRH ROZHODNUTÍ EVROPSKÉHO PARLAMENTU</w:t>
      </w:r>
      <w:r w:rsidR="00027102">
        <w:rPr>
          <w:noProof/>
        </w:rPr>
        <w:tab/>
      </w:r>
      <w:r w:rsidR="00027102">
        <w:rPr>
          <w:noProof/>
        </w:rPr>
        <w:fldChar w:fldCharType="begin"/>
      </w:r>
      <w:r w:rsidR="00027102">
        <w:rPr>
          <w:noProof/>
        </w:rPr>
        <w:instrText xml:space="preserve"> PAGEREF _Toc229562144 \h </w:instrText>
      </w:r>
      <w:r w:rsidR="00027102">
        <w:rPr>
          <w:noProof/>
        </w:rPr>
      </w:r>
      <w:r w:rsidR="00027102">
        <w:rPr>
          <w:noProof/>
        </w:rPr>
        <w:fldChar w:fldCharType="separate"/>
      </w:r>
      <w:r w:rsidR="00027102">
        <w:rPr>
          <w:noProof/>
        </w:rPr>
        <w:t>3</w:t>
      </w:r>
      <w:r w:rsidR="00027102">
        <w:rPr>
          <w:noProof/>
        </w:rPr>
        <w:fldChar w:fldCharType="end"/>
      </w:r>
    </w:p>
    <w:p w14:paraId="57E93E33" w14:textId="3048E015" w:rsidR="00027102" w:rsidRDefault="0002710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INFORMACE O PŘIJETÍ PŘÍSLUŠNÝM VÝBOREM</w:t>
      </w:r>
      <w:r>
        <w:rPr>
          <w:noProof/>
        </w:rPr>
        <w:tab/>
      </w:r>
      <w:r>
        <w:rPr>
          <w:noProof/>
        </w:rPr>
        <w:fldChar w:fldCharType="begin"/>
      </w:r>
      <w:r>
        <w:rPr>
          <w:noProof/>
        </w:rPr>
        <w:instrText xml:space="preserve"> PAGEREF _Toc229562145 \h </w:instrText>
      </w:r>
      <w:r>
        <w:rPr>
          <w:noProof/>
        </w:rPr>
      </w:r>
      <w:r>
        <w:rPr>
          <w:noProof/>
        </w:rPr>
        <w:fldChar w:fldCharType="separate"/>
      </w:r>
      <w:r>
        <w:rPr>
          <w:noProof/>
        </w:rPr>
        <w:t>5</w:t>
      </w:r>
      <w:r>
        <w:rPr>
          <w:noProof/>
        </w:rPr>
        <w:fldChar w:fldCharType="end"/>
      </w:r>
    </w:p>
    <w:p w14:paraId="35224C62" w14:textId="2A040305" w:rsidR="009847AD" w:rsidRPr="00BB32F4" w:rsidRDefault="009847AD" w:rsidP="009847AD">
      <w:r w:rsidRPr="00BB32F4">
        <w:fldChar w:fldCharType="end"/>
      </w:r>
    </w:p>
    <w:p w14:paraId="7FD92417" w14:textId="2428FFF7" w:rsidR="009847AD" w:rsidRPr="00BB32F4" w:rsidRDefault="009847AD" w:rsidP="009847AD">
      <w:pPr>
        <w:pStyle w:val="PageHeading"/>
      </w:pPr>
      <w:r w:rsidRPr="00BB32F4">
        <w:br w:type="page"/>
      </w:r>
      <w:bookmarkStart w:id="0" w:name="_Toc229562144"/>
      <w:r w:rsidRPr="00BB32F4">
        <w:t>NÁVRH ROZHODNUTÍ EVROPSKÉHO PARLAMENTU</w:t>
      </w:r>
      <w:bookmarkEnd w:id="0"/>
    </w:p>
    <w:p w14:paraId="484A740D" w14:textId="1F6D4BB1" w:rsidR="009847AD" w:rsidRPr="00BB32F4" w:rsidRDefault="00027102" w:rsidP="009847AD">
      <w:pPr>
        <w:pStyle w:val="NormalBold"/>
      </w:pPr>
      <w:r w:rsidRPr="00BB32F4">
        <w:t>o</w:t>
      </w:r>
      <w:r>
        <w:t> </w:t>
      </w:r>
      <w:r w:rsidR="009847AD" w:rsidRPr="00BB32F4">
        <w:t>žádosti, aby byl Nikos Pappas zbaven imunity</w:t>
      </w:r>
    </w:p>
    <w:p w14:paraId="6B52ED90" w14:textId="5A105DFB" w:rsidR="009847AD" w:rsidRPr="00BB32F4" w:rsidRDefault="009847AD" w:rsidP="009847AD">
      <w:pPr>
        <w:pStyle w:val="NormalBold"/>
      </w:pPr>
      <w:r w:rsidRPr="00BB32F4">
        <w:t>(2025/2234(IMM))</w:t>
      </w:r>
    </w:p>
    <w:p w14:paraId="67709B28" w14:textId="77777777" w:rsidR="009847AD" w:rsidRPr="00BB32F4" w:rsidRDefault="009847AD" w:rsidP="009847AD">
      <w:pPr>
        <w:pStyle w:val="EPComma"/>
      </w:pPr>
      <w:r w:rsidRPr="00BB32F4">
        <w:rPr>
          <w:i/>
        </w:rPr>
        <w:t>Evropský parlament,</w:t>
      </w:r>
    </w:p>
    <w:p w14:paraId="65FD3275" w14:textId="4B3C8ABA" w:rsidR="009847AD" w:rsidRPr="00BB32F4" w:rsidRDefault="009847AD" w:rsidP="009847AD">
      <w:pPr>
        <w:pStyle w:val="NormalHanging12a"/>
      </w:pPr>
      <w:r w:rsidRPr="00BB32F4">
        <w:t>–</w:t>
      </w:r>
      <w:r w:rsidRPr="00BB32F4">
        <w:tab/>
      </w:r>
      <w:r w:rsidR="00027102" w:rsidRPr="00BB32F4">
        <w:t>s</w:t>
      </w:r>
      <w:r w:rsidR="00027102">
        <w:t> </w:t>
      </w:r>
      <w:r w:rsidRPr="00BB32F4">
        <w:t xml:space="preserve">ohledem na žádost, aby byl Nikos Pappas zbaven imunity, obdrženou dopisem od zástupce generálního prokurátora Nejvyššího soudu Řecka ze dne 7. října 2025, jímž se předala žádost státního zástupce při soudu prvního stupně </w:t>
      </w:r>
      <w:r w:rsidR="00027102" w:rsidRPr="00BB32F4">
        <w:t>v</w:t>
      </w:r>
      <w:r w:rsidR="00027102">
        <w:t> </w:t>
      </w:r>
      <w:r w:rsidRPr="00BB32F4">
        <w:t xml:space="preserve">Aténách v souvislosti s trestním řízením, jež má být proti němu vedeno, a která byla oznámena </w:t>
      </w:r>
      <w:r w:rsidR="00027102" w:rsidRPr="00BB32F4">
        <w:t>v</w:t>
      </w:r>
      <w:r w:rsidR="00027102">
        <w:t> </w:t>
      </w:r>
      <w:r w:rsidRPr="00BB32F4">
        <w:t>Parlamentu dne 12. listopadu 2025,</w:t>
      </w:r>
    </w:p>
    <w:p w14:paraId="3D85A60B" w14:textId="6421F99F" w:rsidR="009847AD" w:rsidRPr="00BB32F4" w:rsidRDefault="009847AD" w:rsidP="009847AD">
      <w:pPr>
        <w:pStyle w:val="NormalHanging12a"/>
      </w:pPr>
      <w:r w:rsidRPr="00BB32F4">
        <w:t>–</w:t>
      </w:r>
      <w:r w:rsidRPr="00BB32F4">
        <w:tab/>
        <w:t xml:space="preserve">poté, co Nikos Pappas dostal dne 15. dubna 2026 příležitost vyjádřit se v souladu s čl. 9 odst. 6 jednacího řádu, </w:t>
      </w:r>
    </w:p>
    <w:p w14:paraId="4B3FD148" w14:textId="2D57BFD0" w:rsidR="009847AD" w:rsidRPr="00BB32F4" w:rsidRDefault="009847AD" w:rsidP="009847AD">
      <w:pPr>
        <w:pStyle w:val="NormalHanging12a"/>
      </w:pPr>
      <w:r w:rsidRPr="00BB32F4">
        <w:t>–</w:t>
      </w:r>
      <w:r w:rsidRPr="00BB32F4">
        <w:tab/>
      </w:r>
      <w:r w:rsidR="00027102" w:rsidRPr="00BB32F4">
        <w:t>s</w:t>
      </w:r>
      <w:r w:rsidR="00027102">
        <w:t> </w:t>
      </w:r>
      <w:r w:rsidRPr="00BB32F4">
        <w:t>ohledem na články 8 a 9 Protokolu č. 7 o výsadách a imunitách Evropské unie a na čl. 6 odst. 2 aktu ze dne 20. září 1976 o volbě členů Evropského parlamentu ve všeobecných a přímých volbách,</w:t>
      </w:r>
    </w:p>
    <w:p w14:paraId="6A4C9676" w14:textId="57487F50" w:rsidR="009847AD" w:rsidRPr="00BB32F4" w:rsidRDefault="009847AD" w:rsidP="009847AD">
      <w:pPr>
        <w:pStyle w:val="NormalHanging12a"/>
      </w:pPr>
      <w:r w:rsidRPr="00BB32F4">
        <w:t>–</w:t>
      </w:r>
      <w:r w:rsidRPr="00BB32F4">
        <w:tab/>
      </w:r>
      <w:r w:rsidR="00027102" w:rsidRPr="00BB32F4">
        <w:t>s</w:t>
      </w:r>
      <w:r w:rsidR="00027102">
        <w:t> </w:t>
      </w:r>
      <w:r w:rsidRPr="00BB32F4">
        <w:t xml:space="preserve">ohledem na rozsudky Soudního dvora Evropské unie ze dne 21. října 2008, 19. března 2010, 6. září 2011, 17. ledna 2013 </w:t>
      </w:r>
      <w:r w:rsidR="00027102" w:rsidRPr="00BB32F4">
        <w:t>a</w:t>
      </w:r>
      <w:r w:rsidR="00027102">
        <w:t> </w:t>
      </w:r>
      <w:r w:rsidRPr="00BB32F4">
        <w:t>19. prosince 2019</w:t>
      </w:r>
      <w:r w:rsidRPr="00BB32F4">
        <w:rPr>
          <w:vertAlign w:val="superscript"/>
        </w:rPr>
        <w:footnoteReference w:id="1"/>
      </w:r>
      <w:r w:rsidRPr="00BB32F4">
        <w:t>,</w:t>
      </w:r>
    </w:p>
    <w:p w14:paraId="17352EDF" w14:textId="77777777" w:rsidR="009847AD" w:rsidRPr="00BB32F4" w:rsidRDefault="009847AD" w:rsidP="009847AD">
      <w:pPr>
        <w:pStyle w:val="NormalHanging12a"/>
      </w:pPr>
      <w:r w:rsidRPr="00BB32F4">
        <w:t>–</w:t>
      </w:r>
      <w:r w:rsidRPr="00BB32F4">
        <w:tab/>
        <w:t>s ohledem na čl. 5 odst. 2, čl. 6 odst. 1 a článek 9 jednacího řádu,</w:t>
      </w:r>
    </w:p>
    <w:p w14:paraId="6E53DA1B" w14:textId="7D13907D" w:rsidR="009847AD" w:rsidRPr="00BB32F4" w:rsidRDefault="009847AD" w:rsidP="009847AD">
      <w:pPr>
        <w:pStyle w:val="NormalHanging12a"/>
      </w:pPr>
      <w:r w:rsidRPr="00BB32F4">
        <w:t>–</w:t>
      </w:r>
      <w:r w:rsidRPr="00BB32F4">
        <w:tab/>
        <w:t xml:space="preserve">s ohledem na zprávu </w:t>
      </w:r>
      <w:r w:rsidR="00656B6C" w:rsidRPr="00BB32F4">
        <w:t>Výbor</w:t>
      </w:r>
      <w:r w:rsidR="00656B6C">
        <w:t>u</w:t>
      </w:r>
      <w:r w:rsidR="00656B6C" w:rsidRPr="00BB32F4">
        <w:t xml:space="preserve"> pro právní záležitosti </w:t>
      </w:r>
      <w:r w:rsidRPr="00BB32F4">
        <w:t>(</w:t>
      </w:r>
      <w:r w:rsidR="007378E9">
        <w:t>A10</w:t>
      </w:r>
      <w:r w:rsidR="007378E9">
        <w:noBreakHyphen/>
        <w:t>0128/2026</w:t>
      </w:r>
      <w:r w:rsidRPr="00BB32F4">
        <w:t>),</w:t>
      </w:r>
    </w:p>
    <w:p w14:paraId="21E32762" w14:textId="7AE3A473" w:rsidR="009847AD" w:rsidRPr="00BB32F4" w:rsidRDefault="009847AD" w:rsidP="009847AD">
      <w:pPr>
        <w:pStyle w:val="NormalHanging12a"/>
        <w:rPr>
          <w:bCs/>
          <w:iCs/>
        </w:rPr>
      </w:pPr>
      <w:r w:rsidRPr="00BB32F4">
        <w:t>A.</w:t>
      </w:r>
      <w:r w:rsidRPr="00BB32F4">
        <w:tab/>
        <w:t xml:space="preserve">vzhledem </w:t>
      </w:r>
      <w:r w:rsidR="00027102" w:rsidRPr="00BB32F4">
        <w:t>k</w:t>
      </w:r>
      <w:r w:rsidR="00027102">
        <w:t> </w:t>
      </w:r>
      <w:r w:rsidRPr="00BB32F4">
        <w:t xml:space="preserve">tomu, že zástupce generálního prokurátora Nejvyššího soudu Řecka předložil žádost státního zástupce při soudu prvního stupně </w:t>
      </w:r>
      <w:r w:rsidR="00027102" w:rsidRPr="00BB32F4">
        <w:t>v</w:t>
      </w:r>
      <w:r w:rsidR="00027102">
        <w:t> </w:t>
      </w:r>
      <w:r w:rsidRPr="00BB32F4">
        <w:t xml:space="preserve">Aténách </w:t>
      </w:r>
      <w:r w:rsidR="00027102" w:rsidRPr="00BB32F4">
        <w:t>o</w:t>
      </w:r>
      <w:r w:rsidR="00027102">
        <w:t> </w:t>
      </w:r>
      <w:r w:rsidRPr="00BB32F4">
        <w:t xml:space="preserve">zbavení imunity Nikose Pappase zvoleného </w:t>
      </w:r>
      <w:r w:rsidR="00027102" w:rsidRPr="00BB32F4">
        <w:t>v</w:t>
      </w:r>
      <w:r w:rsidR="00027102">
        <w:t> </w:t>
      </w:r>
      <w:r w:rsidRPr="00BB32F4">
        <w:t xml:space="preserve">Řecku </w:t>
      </w:r>
      <w:r w:rsidR="00027102" w:rsidRPr="00BB32F4">
        <w:t>v</w:t>
      </w:r>
      <w:r w:rsidR="00027102">
        <w:t> </w:t>
      </w:r>
      <w:r w:rsidRPr="00BB32F4">
        <w:t xml:space="preserve">souvislosti </w:t>
      </w:r>
      <w:r w:rsidR="00027102" w:rsidRPr="00BB32F4">
        <w:t>s</w:t>
      </w:r>
      <w:r w:rsidR="00027102">
        <w:t> </w:t>
      </w:r>
      <w:r w:rsidRPr="00BB32F4">
        <w:t xml:space="preserve">údajnými urážkami na internetu </w:t>
      </w:r>
      <w:r w:rsidR="00027102" w:rsidRPr="00BB32F4">
        <w:t>a</w:t>
      </w:r>
      <w:r w:rsidR="00027102">
        <w:t> </w:t>
      </w:r>
      <w:r w:rsidRPr="00BB32F4">
        <w:t xml:space="preserve">hrozbami, které představují trestné činy podle článku 94, čl. 361 odst. 1 první </w:t>
      </w:r>
      <w:r w:rsidR="00027102" w:rsidRPr="00BB32F4">
        <w:t>a</w:t>
      </w:r>
      <w:r w:rsidR="00027102">
        <w:t> </w:t>
      </w:r>
      <w:r w:rsidRPr="00BB32F4">
        <w:t xml:space="preserve">druhé věty </w:t>
      </w:r>
      <w:r w:rsidR="00027102" w:rsidRPr="00BB32F4">
        <w:t>a</w:t>
      </w:r>
      <w:r w:rsidR="00027102">
        <w:t> </w:t>
      </w:r>
      <w:r w:rsidRPr="00BB32F4">
        <w:t>čl. 333 odst. 1 první věty řeckého trestního zákoníku;</w:t>
      </w:r>
    </w:p>
    <w:p w14:paraId="226AB1E5" w14:textId="607752B8" w:rsidR="009847AD" w:rsidRPr="00BB32F4" w:rsidRDefault="009847AD" w:rsidP="009847AD">
      <w:pPr>
        <w:pStyle w:val="NormalHanging12a"/>
      </w:pPr>
      <w:r w:rsidRPr="00BB32F4">
        <w:t>B.</w:t>
      </w:r>
      <w:r w:rsidRPr="00BB32F4">
        <w:tab/>
      </w:r>
      <w:bookmarkStart w:id="1" w:name="_Hlk226714510"/>
      <w:r w:rsidRPr="00BB32F4">
        <w:t xml:space="preserve">vzhledem </w:t>
      </w:r>
      <w:r w:rsidR="00027102" w:rsidRPr="00BB32F4">
        <w:t>k</w:t>
      </w:r>
      <w:r w:rsidR="00027102">
        <w:t> </w:t>
      </w:r>
      <w:r w:rsidRPr="00BB32F4">
        <w:t xml:space="preserve">tomu, že podle žádosti se ve stížnosti uvádí, že dne 11. června 2025 Nikos Pappas údajně urážel stěžovatele </w:t>
      </w:r>
      <w:r w:rsidR="00027102" w:rsidRPr="00BB32F4">
        <w:t>a</w:t>
      </w:r>
      <w:r w:rsidR="00027102">
        <w:t> </w:t>
      </w:r>
      <w:r w:rsidRPr="00BB32F4">
        <w:t>vyhrožoval mu prostřednictvím přímých zpráv zasílaných ze svého osobního účtu na Instagramu;</w:t>
      </w:r>
      <w:bookmarkEnd w:id="1"/>
    </w:p>
    <w:p w14:paraId="7237691E" w14:textId="4DC459CC" w:rsidR="009847AD" w:rsidRPr="00BB32F4" w:rsidRDefault="009847AD" w:rsidP="009847AD">
      <w:pPr>
        <w:pStyle w:val="NormalHanging12a"/>
      </w:pPr>
      <w:r w:rsidRPr="00BB32F4">
        <w:t>C.</w:t>
      </w:r>
      <w:r w:rsidRPr="00BB32F4">
        <w:tab/>
        <w:t xml:space="preserve">vzhledem k tomu, že Nikos Pappas byl zvolen do Evropského parlamentu v evropských volbách v roce 2019 </w:t>
      </w:r>
      <w:r w:rsidR="00027102" w:rsidRPr="00BB32F4">
        <w:t>a</w:t>
      </w:r>
      <w:r w:rsidR="00027102">
        <w:t> </w:t>
      </w:r>
      <w:r w:rsidRPr="00BB32F4">
        <w:t xml:space="preserve">v době údajného trestného činu tudíž byl poslancem Evropského parlamentu; vzhledem </w:t>
      </w:r>
      <w:r w:rsidR="00027102" w:rsidRPr="00BB32F4">
        <w:t>k</w:t>
      </w:r>
      <w:r w:rsidR="00027102">
        <w:t> </w:t>
      </w:r>
      <w:r w:rsidRPr="00BB32F4">
        <w:t>tomu, že podle žádosti stížnost na něj pochází ze dne 16. července 2025;</w:t>
      </w:r>
    </w:p>
    <w:p w14:paraId="52C89650" w14:textId="77777777" w:rsidR="009847AD" w:rsidRPr="00BB32F4" w:rsidRDefault="009847AD" w:rsidP="009847AD">
      <w:pPr>
        <w:pStyle w:val="NormalHanging12a"/>
      </w:pPr>
    </w:p>
    <w:p w14:paraId="743B62FC" w14:textId="0FBBA662" w:rsidR="009847AD" w:rsidRPr="00BB32F4" w:rsidRDefault="009847AD" w:rsidP="009847AD">
      <w:pPr>
        <w:pStyle w:val="NormalHanging12a"/>
      </w:pPr>
      <w:r w:rsidRPr="00BB32F4">
        <w:t>D.</w:t>
      </w:r>
      <w:r w:rsidRPr="00BB32F4">
        <w:tab/>
        <w:t>vzhledem k tomu, že údajný trestný čin a následná žádost o to, aby byl Nikos Pappas zbaven imunity, nejsou spojeny s jeho názory či hlasováním při výkonu jeho funkce ve smyslu článku 8 Protokolu č. 7 o výsadách a imunitách Evropské unie;</w:t>
      </w:r>
    </w:p>
    <w:p w14:paraId="25515B47" w14:textId="462F87D6" w:rsidR="009847AD" w:rsidRPr="00BB32F4" w:rsidRDefault="009847AD" w:rsidP="009847AD">
      <w:pPr>
        <w:pStyle w:val="NormalHanging12a"/>
      </w:pPr>
      <w:r w:rsidRPr="00BB32F4">
        <w:t>E.</w:t>
      </w:r>
      <w:r w:rsidRPr="00BB32F4">
        <w:tab/>
        <w:t>vzhledem k tomu, že čl. 9 odst. 1 písm. a) Protokolu č. 7 o výsadách a imunitách Evropské unie stanoví, že v průběhu zasedání Evropského parlamentu jeho členové požívají na území vlastního státu imunit přiznávaných členům parlamentu vlastního státu;</w:t>
      </w:r>
    </w:p>
    <w:p w14:paraId="3D2784D7" w14:textId="68B8B013" w:rsidR="009847AD" w:rsidRPr="00BB32F4" w:rsidRDefault="009847AD" w:rsidP="009847AD">
      <w:pPr>
        <w:pStyle w:val="NormalHanging12a"/>
      </w:pPr>
      <w:r w:rsidRPr="00BB32F4">
        <w:t>F.</w:t>
      </w:r>
      <w:r w:rsidRPr="00BB32F4">
        <w:tab/>
        <w:t xml:space="preserve">vzhledem </w:t>
      </w:r>
      <w:r w:rsidR="00027102" w:rsidRPr="00BB32F4">
        <w:t>k</w:t>
      </w:r>
      <w:r w:rsidR="00027102">
        <w:t> </w:t>
      </w:r>
      <w:r w:rsidRPr="00BB32F4">
        <w:t>tomu, že podle článku 62 Ústavy Řecké republiky nesmí být žádný poslanec během svého funkčního období stíhán, zatčen, uvězněn ani podroben jiným opatřením spojeným se zbavením osobní svobody bez souhlasu parlamentu;</w:t>
      </w:r>
    </w:p>
    <w:p w14:paraId="302001F9" w14:textId="77777777" w:rsidR="009847AD" w:rsidRPr="00BB32F4" w:rsidRDefault="009847AD" w:rsidP="009847AD">
      <w:pPr>
        <w:pStyle w:val="NormalHanging12a"/>
      </w:pPr>
      <w:r w:rsidRPr="00BB32F4">
        <w:t>G.</w:t>
      </w:r>
      <w:r w:rsidRPr="00BB32F4">
        <w:tab/>
        <w:t>vzhledem k tomu, že účelem poslanecké imunity stanovené v Protokolu č. 7 o výsadách a imunitách Evropské unie je chránit Parlament a jeho poslance před soudními řízeními v souvislosti s činností, kterou vykonávají v rámci plnění svých parlamentních povinností a která nemůže být od těchto povinností oddělena;</w:t>
      </w:r>
    </w:p>
    <w:p w14:paraId="56F88D70" w14:textId="77777777" w:rsidR="009847AD" w:rsidRPr="00BB32F4" w:rsidRDefault="009847AD" w:rsidP="009847AD">
      <w:pPr>
        <w:pStyle w:val="NormalHanging12a"/>
      </w:pPr>
      <w:r w:rsidRPr="00BB32F4">
        <w:t>H.</w:t>
      </w:r>
      <w:r w:rsidRPr="00BB32F4">
        <w:tab/>
        <w:t>vzhledem k tomu, že podle čl. 5 odst. 2 jednacího řádu Evropského parlamentu není poslanecká imunita osobní výsadou poslanců, nýbrž zárukou nezávislosti Evropského parlamentu jako celku a jeho poslanců;</w:t>
      </w:r>
    </w:p>
    <w:p w14:paraId="1856F5AE" w14:textId="77777777" w:rsidR="009847AD" w:rsidRPr="00BB32F4" w:rsidRDefault="009847AD" w:rsidP="009847AD">
      <w:pPr>
        <w:pStyle w:val="NormalHanging12a"/>
      </w:pPr>
      <w:r w:rsidRPr="00BB32F4">
        <w:t>I.</w:t>
      </w:r>
      <w:r w:rsidRPr="00BB32F4">
        <w:tab/>
        <w:t>vzhledem k tomu, že Parlament v tomto případu nenalezl důkazy o existenci fumus persecutionis, tedy skutečností nasvědčujících tomu, že soudní řízení bylo zahájeno s úmyslem poškodit politickou činnost poslance jako poslance Evropského parlamentu;</w:t>
      </w:r>
    </w:p>
    <w:p w14:paraId="640217BA" w14:textId="77777777" w:rsidR="007E054F" w:rsidRPr="00BB32F4" w:rsidRDefault="007E054F" w:rsidP="007E054F">
      <w:pPr>
        <w:pStyle w:val="NormalHanging12a"/>
      </w:pPr>
      <w:r w:rsidRPr="00BB32F4">
        <w:t>J.</w:t>
      </w:r>
      <w:r w:rsidRPr="00BB32F4">
        <w:tab/>
        <w:t>vzhledem k tomu, že na jedné straně Evropský parlament nelze považovat za soud a že na straně druhé poslanec nemůže být v rámci řízení o zbavení imunity považován za „obžalovaného“</w:t>
      </w:r>
      <w:r w:rsidRPr="00BB32F4">
        <w:rPr>
          <w:vertAlign w:val="superscript"/>
        </w:rPr>
        <w:footnoteReference w:id="2"/>
      </w:r>
      <w:r w:rsidRPr="00BB32F4">
        <w:t>;</w:t>
      </w:r>
    </w:p>
    <w:p w14:paraId="67D0A84E" w14:textId="77777777" w:rsidR="001F5242" w:rsidRPr="00BB32F4" w:rsidRDefault="001F5242" w:rsidP="001F5242">
      <w:pPr>
        <w:pStyle w:val="NormalHanging12a"/>
      </w:pPr>
      <w:r w:rsidRPr="00BB32F4">
        <w:t>1.</w:t>
      </w:r>
      <w:r w:rsidRPr="00BB32F4">
        <w:tab/>
        <w:t>rozhodl, že se Nikos Pappas zbavuje imunity;</w:t>
      </w:r>
    </w:p>
    <w:p w14:paraId="6EAF5400" w14:textId="4D9D0FFA" w:rsidR="009847AD" w:rsidRPr="00BB32F4" w:rsidRDefault="001F5242" w:rsidP="001F5242">
      <w:pPr>
        <w:pStyle w:val="NormalHanging12a"/>
      </w:pPr>
      <w:r w:rsidRPr="00BB32F4">
        <w:t>2.</w:t>
      </w:r>
      <w:r w:rsidRPr="00BB32F4">
        <w:tab/>
        <w:t xml:space="preserve">pověřuje svou předsedkyni, aby ihned předala toto rozhodnutí a zprávu příslušného výboru příslušným orgánům Řecké republiky </w:t>
      </w:r>
      <w:r w:rsidR="00027102" w:rsidRPr="00BB32F4">
        <w:t>a</w:t>
      </w:r>
      <w:r w:rsidR="00027102">
        <w:t> </w:t>
      </w:r>
      <w:r w:rsidRPr="00BB32F4">
        <w:t>Nikosovi Pappasovi.</w:t>
      </w:r>
    </w:p>
    <w:p w14:paraId="1B8AC1BC" w14:textId="77777777" w:rsidR="0035402F" w:rsidRPr="007378E9" w:rsidRDefault="0035402F" w:rsidP="007378E9">
      <w:pPr>
        <w:pStyle w:val="CoverNormal"/>
      </w:pPr>
    </w:p>
    <w:p w14:paraId="0390FEF7" w14:textId="77777777" w:rsidR="007378E9" w:rsidRPr="007378E9" w:rsidRDefault="007378E9" w:rsidP="007378E9">
      <w:pPr>
        <w:sectPr w:rsidR="007378E9" w:rsidRPr="007378E9" w:rsidSect="00BB32F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769077D5" w14:textId="4528B969" w:rsidR="007378E9" w:rsidRDefault="007378E9" w:rsidP="007378E9">
      <w:pPr>
        <w:pStyle w:val="PageHeading"/>
      </w:pPr>
      <w:bookmarkStart w:id="2" w:name="ProcPageRR"/>
      <w:bookmarkStart w:id="3" w:name="_Toc229562145"/>
      <w:r>
        <w:t xml:space="preserve">INFORMACE </w:t>
      </w:r>
      <w:r w:rsidR="00027102">
        <w:t>O </w:t>
      </w:r>
      <w:r>
        <w:t>PŘIJETÍ</w:t>
      </w:r>
      <w:r>
        <w:br/>
        <w:t>PŘÍSLUŠNÝM VÝBOREM</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378E9" w14:paraId="2B5953D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F5218A6" w14:textId="77777777" w:rsidR="007378E9" w:rsidRDefault="007378E9">
            <w:pPr>
              <w:autoSpaceDE w:val="0"/>
              <w:autoSpaceDN w:val="0"/>
              <w:adjustRightInd w:val="0"/>
              <w:rPr>
                <w:b/>
                <w:bCs/>
                <w:color w:val="000000"/>
                <w:sz w:val="20"/>
              </w:rPr>
            </w:pPr>
            <w:r>
              <w:rPr>
                <w:b/>
                <w:bCs/>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B884BEF" w14:textId="77777777" w:rsidR="007378E9" w:rsidRDefault="007378E9">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D5C912" w14:textId="77777777" w:rsidR="007378E9" w:rsidRDefault="007378E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8F88AF" w14:textId="77777777" w:rsidR="007378E9" w:rsidRDefault="007378E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77B96EA" w14:textId="77777777" w:rsidR="007378E9" w:rsidRDefault="007378E9">
            <w:pPr>
              <w:autoSpaceDE w:val="0"/>
              <w:autoSpaceDN w:val="0"/>
              <w:adjustRightInd w:val="0"/>
              <w:rPr>
                <w:rFonts w:ascii="sans-serif" w:hAnsi="sans-serif" w:cs="sans-serif"/>
                <w:color w:val="000000"/>
              </w:rPr>
            </w:pPr>
          </w:p>
        </w:tc>
      </w:tr>
      <w:tr w:rsidR="007378E9" w14:paraId="3692758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F342B8" w14:textId="77777777" w:rsidR="007378E9" w:rsidRDefault="007378E9">
            <w:pPr>
              <w:autoSpaceDE w:val="0"/>
              <w:autoSpaceDN w:val="0"/>
              <w:adjustRightInd w:val="0"/>
              <w:rPr>
                <w:b/>
                <w:bCs/>
                <w:color w:val="000000"/>
                <w:sz w:val="20"/>
              </w:rPr>
            </w:pPr>
            <w:r>
              <w:rPr>
                <w:b/>
                <w:bCs/>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5342DE" w14:textId="77777777" w:rsidR="007378E9" w:rsidRDefault="007378E9">
            <w:pPr>
              <w:autoSpaceDE w:val="0"/>
              <w:autoSpaceDN w:val="0"/>
              <w:adjustRightInd w:val="0"/>
              <w:rPr>
                <w:color w:val="000000"/>
                <w:sz w:val="20"/>
              </w:rPr>
            </w:pPr>
            <w:r>
              <w:rPr>
                <w:color w:val="000000"/>
                <w:sz w:val="20"/>
              </w:rPr>
              <w:t>+:</w:t>
            </w:r>
          </w:p>
          <w:p w14:paraId="04391711" w14:textId="77777777" w:rsidR="007378E9" w:rsidRDefault="007378E9">
            <w:pPr>
              <w:autoSpaceDE w:val="0"/>
              <w:autoSpaceDN w:val="0"/>
              <w:adjustRightInd w:val="0"/>
              <w:rPr>
                <w:color w:val="000000"/>
                <w:sz w:val="20"/>
              </w:rPr>
            </w:pPr>
            <w:r>
              <w:rPr>
                <w:color w:val="000000"/>
                <w:sz w:val="20"/>
              </w:rPr>
              <w:t>–:</w:t>
            </w:r>
          </w:p>
          <w:p w14:paraId="1D36A78B" w14:textId="77777777" w:rsidR="007378E9" w:rsidRDefault="007378E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4C63418" w14:textId="77777777" w:rsidR="007378E9" w:rsidRDefault="007378E9">
            <w:pPr>
              <w:autoSpaceDE w:val="0"/>
              <w:autoSpaceDN w:val="0"/>
              <w:adjustRightInd w:val="0"/>
              <w:rPr>
                <w:color w:val="000000"/>
                <w:sz w:val="20"/>
              </w:rPr>
            </w:pPr>
            <w:r>
              <w:rPr>
                <w:color w:val="000000"/>
                <w:sz w:val="20"/>
              </w:rPr>
              <w:t>21</w:t>
            </w:r>
          </w:p>
          <w:p w14:paraId="52C96A30" w14:textId="77777777" w:rsidR="007378E9" w:rsidRDefault="007378E9">
            <w:pPr>
              <w:autoSpaceDE w:val="0"/>
              <w:autoSpaceDN w:val="0"/>
              <w:adjustRightInd w:val="0"/>
              <w:rPr>
                <w:color w:val="000000"/>
                <w:sz w:val="20"/>
              </w:rPr>
            </w:pPr>
            <w:r>
              <w:rPr>
                <w:color w:val="000000"/>
                <w:sz w:val="20"/>
              </w:rPr>
              <w:t>0</w:t>
            </w:r>
          </w:p>
          <w:p w14:paraId="13FB9BBE" w14:textId="77777777" w:rsidR="007378E9" w:rsidRDefault="007378E9">
            <w:pPr>
              <w:autoSpaceDE w:val="0"/>
              <w:autoSpaceDN w:val="0"/>
              <w:adjustRightInd w:val="0"/>
              <w:rPr>
                <w:color w:val="000000"/>
                <w:sz w:val="20"/>
              </w:rPr>
            </w:pPr>
            <w:r>
              <w:rPr>
                <w:color w:val="000000"/>
                <w:sz w:val="20"/>
              </w:rPr>
              <w:t>0</w:t>
            </w:r>
          </w:p>
        </w:tc>
      </w:tr>
    </w:tbl>
    <w:p w14:paraId="2BB2B985" w14:textId="77777777" w:rsidR="007378E9" w:rsidRDefault="007378E9"/>
    <w:bookmarkEnd w:id="2"/>
    <w:p w14:paraId="7F7F9A37" w14:textId="3B5854AE" w:rsidR="007378E9" w:rsidRPr="007378E9" w:rsidRDefault="007378E9" w:rsidP="007378E9"/>
    <w:sectPr w:rsidR="007378E9" w:rsidRPr="007378E9" w:rsidSect="007378E9">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866FF" w14:textId="77777777" w:rsidR="0017012B" w:rsidRPr="00BB32F4" w:rsidRDefault="0017012B">
      <w:r w:rsidRPr="00BB32F4">
        <w:separator/>
      </w:r>
    </w:p>
  </w:endnote>
  <w:endnote w:type="continuationSeparator" w:id="0">
    <w:p w14:paraId="505AAA02" w14:textId="77777777" w:rsidR="0017012B" w:rsidRPr="00BB32F4" w:rsidRDefault="0017012B">
      <w:r w:rsidRPr="00BB32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19AF" w14:textId="77777777" w:rsidR="007378E9" w:rsidRDefault="007378E9" w:rsidP="007378E9">
    <w:pPr>
      <w:pStyle w:val="EPFooter"/>
    </w:pPr>
    <w:r>
      <w:t>PE</w:t>
    </w:r>
    <w:r w:rsidRPr="007378E9">
      <w:rPr>
        <w:rStyle w:val="HideTWBExt"/>
      </w:rPr>
      <w:t>&lt;NoPE&gt;</w:t>
    </w:r>
    <w:r>
      <w:t>786.974</w:t>
    </w:r>
    <w:r w:rsidRPr="007378E9">
      <w:rPr>
        <w:rStyle w:val="HideTWBExt"/>
      </w:rPr>
      <w:t>&lt;/NoPE&gt;&lt;Version&gt;</w:t>
    </w:r>
    <w:r>
      <w:t>v03-00</w:t>
    </w:r>
    <w:r w:rsidRPr="007378E9">
      <w:rPr>
        <w:rStyle w:val="HideTWBExt"/>
      </w:rPr>
      <w:t>&lt;/Version&gt;</w:t>
    </w:r>
    <w:r>
      <w:tab/>
    </w:r>
    <w:r>
      <w:fldChar w:fldCharType="begin"/>
    </w:r>
    <w:r>
      <w:instrText xml:space="preserve"> PAGE  \* MERGEFORMAT </w:instrText>
    </w:r>
    <w:r>
      <w:fldChar w:fldCharType="separate"/>
    </w:r>
    <w:r>
      <w:rPr>
        <w:noProof/>
      </w:rPr>
      <w:t>1</w:t>
    </w:r>
    <w:r>
      <w:fldChar w:fldCharType="end"/>
    </w:r>
    <w:r>
      <w:t>/</w:t>
    </w:r>
    <w:r w:rsidR="00027102">
      <w:fldChar w:fldCharType="begin"/>
    </w:r>
    <w:r w:rsidR="00027102">
      <w:instrText xml:space="preserve"> NUMPAGES  \* MERGEFORMAT </w:instrText>
    </w:r>
    <w:r w:rsidR="00027102">
      <w:fldChar w:fldCharType="separate"/>
    </w:r>
    <w:r>
      <w:rPr>
        <w:noProof/>
      </w:rPr>
      <w:t>2</w:t>
    </w:r>
    <w:r w:rsidR="00027102">
      <w:rPr>
        <w:noProof/>
      </w:rPr>
      <w:fldChar w:fldCharType="end"/>
    </w:r>
    <w:r>
      <w:tab/>
    </w:r>
    <w:r w:rsidRPr="007378E9">
      <w:rPr>
        <w:rStyle w:val="HideTWBExt"/>
      </w:rPr>
      <w:t>&lt;PathFdR&gt;</w:t>
    </w:r>
    <w:r>
      <w:t>RR\1343292CS.docx</w:t>
    </w:r>
    <w:r w:rsidRPr="007378E9">
      <w:rPr>
        <w:rStyle w:val="HideTWBExt"/>
      </w:rPr>
      <w:t>&lt;/PathFdR&gt;</w:t>
    </w:r>
  </w:p>
  <w:p w14:paraId="19E34B08" w14:textId="2A063675" w:rsidR="0023430B" w:rsidRPr="00BB32F4" w:rsidRDefault="007378E9" w:rsidP="007378E9">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C8346" w14:textId="77777777" w:rsidR="007378E9" w:rsidRDefault="007378E9" w:rsidP="007378E9">
    <w:pPr>
      <w:pStyle w:val="EPFooter"/>
    </w:pPr>
    <w:r w:rsidRPr="007378E9">
      <w:rPr>
        <w:rStyle w:val="HideTWBExt"/>
      </w:rPr>
      <w:t>&lt;PathFdR&gt;</w:t>
    </w:r>
    <w:r>
      <w:t>RR\1343292CS.docx</w:t>
    </w:r>
    <w:r w:rsidRPr="007378E9">
      <w:rPr>
        <w:rStyle w:val="HideTWBExt"/>
      </w:rPr>
      <w:t>&lt;/PathFdR&gt;</w:t>
    </w:r>
    <w:r>
      <w:tab/>
    </w:r>
    <w:r>
      <w:fldChar w:fldCharType="begin"/>
    </w:r>
    <w:r>
      <w:instrText xml:space="preserve"> PAGE  \* MERGEFORMAT </w:instrText>
    </w:r>
    <w:r>
      <w:fldChar w:fldCharType="separate"/>
    </w:r>
    <w:r>
      <w:rPr>
        <w:noProof/>
      </w:rPr>
      <w:t>1</w:t>
    </w:r>
    <w:r>
      <w:fldChar w:fldCharType="end"/>
    </w:r>
    <w:r>
      <w:t>/</w:t>
    </w:r>
    <w:r w:rsidR="00027102">
      <w:fldChar w:fldCharType="begin"/>
    </w:r>
    <w:r w:rsidR="00027102">
      <w:instrText xml:space="preserve"> NUMPAGES  \* MERGEFORMAT </w:instrText>
    </w:r>
    <w:r w:rsidR="00027102">
      <w:fldChar w:fldCharType="separate"/>
    </w:r>
    <w:r>
      <w:rPr>
        <w:noProof/>
      </w:rPr>
      <w:t>2</w:t>
    </w:r>
    <w:r w:rsidR="00027102">
      <w:rPr>
        <w:noProof/>
      </w:rPr>
      <w:fldChar w:fldCharType="end"/>
    </w:r>
    <w:r>
      <w:tab/>
      <w:t>PE</w:t>
    </w:r>
    <w:r w:rsidRPr="007378E9">
      <w:rPr>
        <w:rStyle w:val="HideTWBExt"/>
      </w:rPr>
      <w:t>&lt;NoPE&gt;</w:t>
    </w:r>
    <w:r>
      <w:t>786.974</w:t>
    </w:r>
    <w:r w:rsidRPr="007378E9">
      <w:rPr>
        <w:rStyle w:val="HideTWBExt"/>
      </w:rPr>
      <w:t>&lt;/NoPE&gt;&lt;Version&gt;</w:t>
    </w:r>
    <w:r>
      <w:t>v03-00</w:t>
    </w:r>
    <w:r w:rsidRPr="007378E9">
      <w:rPr>
        <w:rStyle w:val="HideTWBExt"/>
      </w:rPr>
      <w:t>&lt;/Version&gt;</w:t>
    </w:r>
  </w:p>
  <w:p w14:paraId="55772857" w14:textId="70877882" w:rsidR="0023430B" w:rsidRPr="00BB32F4" w:rsidRDefault="007378E9" w:rsidP="007378E9">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79288" w14:textId="77777777" w:rsidR="007378E9" w:rsidRDefault="007378E9" w:rsidP="007378E9">
    <w:pPr>
      <w:pStyle w:val="EPFooter"/>
    </w:pPr>
    <w:r w:rsidRPr="007378E9">
      <w:rPr>
        <w:rStyle w:val="HideTWBExt"/>
      </w:rPr>
      <w:t>&lt;PathFdR&gt;</w:t>
    </w:r>
    <w:r>
      <w:t>RR\1343292CS.docx</w:t>
    </w:r>
    <w:r w:rsidRPr="007378E9">
      <w:rPr>
        <w:rStyle w:val="HideTWBExt"/>
      </w:rPr>
      <w:t>&lt;/PathFdR&gt;</w:t>
    </w:r>
    <w:r>
      <w:tab/>
    </w:r>
    <w:r>
      <w:tab/>
      <w:t>PE</w:t>
    </w:r>
    <w:r w:rsidRPr="007378E9">
      <w:rPr>
        <w:rStyle w:val="HideTWBExt"/>
      </w:rPr>
      <w:t>&lt;NoPE&gt;</w:t>
    </w:r>
    <w:r>
      <w:t>786.974</w:t>
    </w:r>
    <w:r w:rsidRPr="007378E9">
      <w:rPr>
        <w:rStyle w:val="HideTWBExt"/>
      </w:rPr>
      <w:t>&lt;/NoPE&gt;&lt;Version&gt;</w:t>
    </w:r>
    <w:r>
      <w:t>v03-00</w:t>
    </w:r>
    <w:r w:rsidRPr="007378E9">
      <w:rPr>
        <w:rStyle w:val="HideTWBExt"/>
      </w:rPr>
      <w:t>&lt;/Version&gt;</w:t>
    </w:r>
  </w:p>
  <w:p w14:paraId="0DAAB3EC" w14:textId="281E5878" w:rsidR="0023430B" w:rsidRPr="00BB32F4" w:rsidRDefault="007378E9" w:rsidP="007378E9">
    <w:pPr>
      <w:pStyle w:val="EPFooter2"/>
    </w:pPr>
    <w:r>
      <w:t>CS</w:t>
    </w:r>
    <w:r>
      <w:tab/>
    </w:r>
    <w:r w:rsidRPr="007378E9">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CF1E2" w14:textId="77777777" w:rsidR="0017012B" w:rsidRPr="00BB32F4" w:rsidRDefault="0017012B">
      <w:r w:rsidRPr="00BB32F4">
        <w:separator/>
      </w:r>
    </w:p>
  </w:footnote>
  <w:footnote w:type="continuationSeparator" w:id="0">
    <w:p w14:paraId="279F43C2" w14:textId="77777777" w:rsidR="0017012B" w:rsidRPr="00BB32F4" w:rsidRDefault="0017012B">
      <w:r w:rsidRPr="00BB32F4">
        <w:continuationSeparator/>
      </w:r>
    </w:p>
  </w:footnote>
  <w:footnote w:id="1">
    <w:p w14:paraId="573674B1" w14:textId="77777777" w:rsidR="009847AD" w:rsidRPr="00BB32F4" w:rsidRDefault="009847AD" w:rsidP="009847AD">
      <w:pPr>
        <w:pStyle w:val="FootnoteText"/>
      </w:pPr>
      <w:r w:rsidRPr="00BB32F4">
        <w:rPr>
          <w:rStyle w:val="FootnoteReference"/>
        </w:rPr>
        <w:footnoteRef/>
      </w:r>
      <w:r w:rsidRPr="00BB32F4">
        <w:rPr>
          <w:rStyle w:val="FootnoteReference"/>
        </w:rPr>
        <w:t xml:space="preserve"> </w:t>
      </w:r>
      <w:r w:rsidRPr="00BB32F4">
        <w:t>Rozsudek Soudního dvora ze dne 21. října 2008, Marra/De Gregorio a Clemente, C 200/07 a C-201/07, ECLI:EU:C:2008:579; rozsudek Tribunálu ze dne 19. března 2010, Gollnisch v. Parlament, T-42/06, ECLI:EU:T:2010:102; rozsudek Soudního dvora ze dne 6. září 2011, Patriciello, C 163/10, ECLI: EU:C:2011:543; rozsudek Tribunálu ze dne 17. ledna 2013, Gollnisch/Parlament, T-346/11 a T-347/11, ECLI:EU:T:2013:23. rozsudek Soudního dvora ze dne 19. prosince 2019, Junqueras Vies, C-502/19, ECLI:EU:C:2019:1115.</w:t>
      </w:r>
    </w:p>
  </w:footnote>
  <w:footnote w:id="2">
    <w:p w14:paraId="3F551C5A" w14:textId="77777777" w:rsidR="007E054F" w:rsidRPr="00BB32F4" w:rsidRDefault="007E054F" w:rsidP="007E054F">
      <w:pPr>
        <w:pStyle w:val="FootnoteText"/>
      </w:pPr>
      <w:r w:rsidRPr="00BB32F4">
        <w:rPr>
          <w:rStyle w:val="FootnoteReference"/>
        </w:rPr>
        <w:footnoteRef/>
      </w:r>
      <w:r w:rsidRPr="00BB32F4">
        <w:rPr>
          <w:rStyle w:val="FootnoteReference"/>
        </w:rPr>
        <w:t xml:space="preserve"> </w:t>
      </w:r>
      <w:r w:rsidRPr="00BB32F4">
        <w:t>Rozsudek Tribunálu ze dne 30. dubna 2019, Briois v.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157B" w14:textId="77777777" w:rsidR="00315B6C" w:rsidRDefault="00315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3C152" w14:textId="77777777" w:rsidR="00315B6C" w:rsidRDefault="00315B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84D1E" w14:textId="77777777" w:rsidR="00315B6C" w:rsidRDefault="00315B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25671799">
    <w:abstractNumId w:val="9"/>
  </w:num>
  <w:num w:numId="2" w16cid:durableId="637346172">
    <w:abstractNumId w:val="9"/>
  </w:num>
  <w:num w:numId="3" w16cid:durableId="1047485434">
    <w:abstractNumId w:val="7"/>
  </w:num>
  <w:num w:numId="4" w16cid:durableId="135877872">
    <w:abstractNumId w:val="7"/>
  </w:num>
  <w:num w:numId="5" w16cid:durableId="1853567047">
    <w:abstractNumId w:val="6"/>
  </w:num>
  <w:num w:numId="6" w16cid:durableId="2087877662">
    <w:abstractNumId w:val="6"/>
  </w:num>
  <w:num w:numId="7" w16cid:durableId="1894854756">
    <w:abstractNumId w:val="5"/>
  </w:num>
  <w:num w:numId="8" w16cid:durableId="1968507472">
    <w:abstractNumId w:val="5"/>
  </w:num>
  <w:num w:numId="9" w16cid:durableId="1863779788">
    <w:abstractNumId w:val="4"/>
  </w:num>
  <w:num w:numId="10" w16cid:durableId="2047563058">
    <w:abstractNumId w:val="4"/>
  </w:num>
  <w:num w:numId="11" w16cid:durableId="487399534">
    <w:abstractNumId w:val="8"/>
  </w:num>
  <w:num w:numId="12" w16cid:durableId="714430071">
    <w:abstractNumId w:val="8"/>
  </w:num>
  <w:num w:numId="13" w16cid:durableId="1900238277">
    <w:abstractNumId w:val="3"/>
  </w:num>
  <w:num w:numId="14" w16cid:durableId="710615963">
    <w:abstractNumId w:val="3"/>
  </w:num>
  <w:num w:numId="15" w16cid:durableId="1476988420">
    <w:abstractNumId w:val="2"/>
  </w:num>
  <w:num w:numId="16" w16cid:durableId="1842426570">
    <w:abstractNumId w:val="2"/>
  </w:num>
  <w:num w:numId="17" w16cid:durableId="899899626">
    <w:abstractNumId w:val="1"/>
  </w:num>
  <w:num w:numId="18" w16cid:durableId="1196581535">
    <w:abstractNumId w:val="1"/>
  </w:num>
  <w:num w:numId="19" w16cid:durableId="568660362">
    <w:abstractNumId w:val="0"/>
  </w:num>
  <w:num w:numId="20" w16cid:durableId="1369599918">
    <w:abstractNumId w:val="0"/>
  </w:num>
  <w:num w:numId="21" w16cid:durableId="734620208">
    <w:abstractNumId w:val="9"/>
  </w:num>
  <w:num w:numId="22" w16cid:durableId="901329334">
    <w:abstractNumId w:val="7"/>
  </w:num>
  <w:num w:numId="23" w16cid:durableId="1518150756">
    <w:abstractNumId w:val="6"/>
  </w:num>
  <w:num w:numId="24" w16cid:durableId="882250478">
    <w:abstractNumId w:val="5"/>
  </w:num>
  <w:num w:numId="25" w16cid:durableId="949162219">
    <w:abstractNumId w:val="4"/>
  </w:num>
  <w:num w:numId="26" w16cid:durableId="1647079032">
    <w:abstractNumId w:val="8"/>
  </w:num>
  <w:num w:numId="27" w16cid:durableId="1367682236">
    <w:abstractNumId w:val="3"/>
  </w:num>
  <w:num w:numId="28" w16cid:durableId="205531571">
    <w:abstractNumId w:val="2"/>
  </w:num>
  <w:num w:numId="29" w16cid:durableId="1087077472">
    <w:abstractNumId w:val="1"/>
  </w:num>
  <w:num w:numId="30" w16cid:durableId="1888029701">
    <w:abstractNumId w:val="0"/>
  </w:num>
  <w:num w:numId="31" w16cid:durableId="1993093251">
    <w:abstractNumId w:val="9"/>
  </w:num>
  <w:num w:numId="32" w16cid:durableId="1277833928">
    <w:abstractNumId w:val="7"/>
  </w:num>
  <w:num w:numId="33" w16cid:durableId="996417165">
    <w:abstractNumId w:val="6"/>
  </w:num>
  <w:num w:numId="34" w16cid:durableId="2034064037">
    <w:abstractNumId w:val="5"/>
  </w:num>
  <w:num w:numId="35" w16cid:durableId="1103920464">
    <w:abstractNumId w:val="4"/>
  </w:num>
  <w:num w:numId="36" w16cid:durableId="295528732">
    <w:abstractNumId w:val="8"/>
  </w:num>
  <w:num w:numId="37" w16cid:durableId="680086866">
    <w:abstractNumId w:val="3"/>
  </w:num>
  <w:num w:numId="38" w16cid:durableId="1182936834">
    <w:abstractNumId w:val="2"/>
  </w:num>
  <w:num w:numId="39" w16cid:durableId="792941448">
    <w:abstractNumId w:val="1"/>
  </w:num>
  <w:num w:numId="40" w16cid:durableId="1993218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T" w:val="13/04/2026"/>
    <w:docVar w:name="LastEditedSection" w:val=" 1"/>
    <w:docVar w:name="strDocTypeID" w:val="PR_IMM_Waiver"/>
    <w:docVar w:name="strSubDir" w:val="1343"/>
    <w:docVar w:name="TXTLANGUE" w:val="CS"/>
    <w:docVar w:name="TXTLANGUEMIN" w:val="cs"/>
    <w:docVar w:name="TXTNRIMM" w:val="2025/0000"/>
    <w:docVar w:name="TXTNRPE" w:val="786.974"/>
    <w:docVar w:name="TXTPEorAP" w:val="PE"/>
    <w:docVar w:name="TXTROUTE" w:val="RR\1343292CS.docx"/>
    <w:docVar w:name="TXTVERSION" w:val="03-00"/>
  </w:docVars>
  <w:rsids>
    <w:rsidRoot w:val="0017012B"/>
    <w:rsid w:val="0000145C"/>
    <w:rsid w:val="0001147D"/>
    <w:rsid w:val="00027102"/>
    <w:rsid w:val="00044B9B"/>
    <w:rsid w:val="00060E63"/>
    <w:rsid w:val="0006105E"/>
    <w:rsid w:val="00082C8F"/>
    <w:rsid w:val="000C0CAA"/>
    <w:rsid w:val="000D6A8E"/>
    <w:rsid w:val="000E36C4"/>
    <w:rsid w:val="000E736E"/>
    <w:rsid w:val="00142D49"/>
    <w:rsid w:val="00167433"/>
    <w:rsid w:val="0017012B"/>
    <w:rsid w:val="001F5242"/>
    <w:rsid w:val="00205304"/>
    <w:rsid w:val="00215FF9"/>
    <w:rsid w:val="0023430B"/>
    <w:rsid w:val="002442B3"/>
    <w:rsid w:val="00273EFB"/>
    <w:rsid w:val="00285706"/>
    <w:rsid w:val="002915E6"/>
    <w:rsid w:val="00315B6C"/>
    <w:rsid w:val="00326E87"/>
    <w:rsid w:val="0035402F"/>
    <w:rsid w:val="0035595E"/>
    <w:rsid w:val="00392A3D"/>
    <w:rsid w:val="003B1888"/>
    <w:rsid w:val="003D30B4"/>
    <w:rsid w:val="003E24B5"/>
    <w:rsid w:val="004433B2"/>
    <w:rsid w:val="0044752A"/>
    <w:rsid w:val="0045635E"/>
    <w:rsid w:val="00493F90"/>
    <w:rsid w:val="004E7774"/>
    <w:rsid w:val="005922F7"/>
    <w:rsid w:val="005B5955"/>
    <w:rsid w:val="00633DF2"/>
    <w:rsid w:val="0064025A"/>
    <w:rsid w:val="00656B6C"/>
    <w:rsid w:val="00681E33"/>
    <w:rsid w:val="006A027A"/>
    <w:rsid w:val="006C038C"/>
    <w:rsid w:val="007378E9"/>
    <w:rsid w:val="00753DFC"/>
    <w:rsid w:val="007613CD"/>
    <w:rsid w:val="0076428C"/>
    <w:rsid w:val="00771E7F"/>
    <w:rsid w:val="0078039D"/>
    <w:rsid w:val="00785C52"/>
    <w:rsid w:val="00797CAE"/>
    <w:rsid w:val="007A7BF5"/>
    <w:rsid w:val="007C040A"/>
    <w:rsid w:val="007D49EE"/>
    <w:rsid w:val="007E054F"/>
    <w:rsid w:val="007E434A"/>
    <w:rsid w:val="007F4D6A"/>
    <w:rsid w:val="008376BE"/>
    <w:rsid w:val="00851E2C"/>
    <w:rsid w:val="00856F2F"/>
    <w:rsid w:val="00867D72"/>
    <w:rsid w:val="00872381"/>
    <w:rsid w:val="008731D7"/>
    <w:rsid w:val="008D1236"/>
    <w:rsid w:val="008D1C36"/>
    <w:rsid w:val="008E0A00"/>
    <w:rsid w:val="008E6FB9"/>
    <w:rsid w:val="008F39C8"/>
    <w:rsid w:val="0091636F"/>
    <w:rsid w:val="009442F2"/>
    <w:rsid w:val="009847AD"/>
    <w:rsid w:val="009915DD"/>
    <w:rsid w:val="009A4162"/>
    <w:rsid w:val="009B47E5"/>
    <w:rsid w:val="009E7AD9"/>
    <w:rsid w:val="009F3E1A"/>
    <w:rsid w:val="009F5083"/>
    <w:rsid w:val="00A33B09"/>
    <w:rsid w:val="00A63EB7"/>
    <w:rsid w:val="00A702EA"/>
    <w:rsid w:val="00A87FB0"/>
    <w:rsid w:val="00A90192"/>
    <w:rsid w:val="00AB6696"/>
    <w:rsid w:val="00AF363C"/>
    <w:rsid w:val="00B6597B"/>
    <w:rsid w:val="00B81D30"/>
    <w:rsid w:val="00BB32F4"/>
    <w:rsid w:val="00BC2FCE"/>
    <w:rsid w:val="00C42BD9"/>
    <w:rsid w:val="00CC662F"/>
    <w:rsid w:val="00CE5349"/>
    <w:rsid w:val="00CF16EE"/>
    <w:rsid w:val="00D1021A"/>
    <w:rsid w:val="00DA67D6"/>
    <w:rsid w:val="00DB1E47"/>
    <w:rsid w:val="00DD480D"/>
    <w:rsid w:val="00DF74F0"/>
    <w:rsid w:val="00E114BC"/>
    <w:rsid w:val="00EC401F"/>
    <w:rsid w:val="00ED0F47"/>
    <w:rsid w:val="00ED77AB"/>
    <w:rsid w:val="00EE0973"/>
    <w:rsid w:val="00F03A29"/>
    <w:rsid w:val="00F33866"/>
    <w:rsid w:val="00F41D3E"/>
    <w:rsid w:val="00F452C6"/>
    <w:rsid w:val="00F602A0"/>
    <w:rsid w:val="00F63477"/>
    <w:rsid w:val="00F857A1"/>
    <w:rsid w:val="00FA4CD8"/>
    <w:rsid w:val="00FB5B0C"/>
    <w:rsid w:val="00FD1F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66811"/>
  <w15:chartTrackingRefBased/>
  <w15:docId w15:val="{9E0DF20B-5D5D-4109-9F32-CD6E9F608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9847AD"/>
    <w:rPr>
      <w:sz w:val="20"/>
    </w:rPr>
  </w:style>
  <w:style w:type="character" w:customStyle="1" w:styleId="FootnoteTextChar">
    <w:name w:val="Footnote Text Char"/>
    <w:basedOn w:val="DefaultParagraphFont"/>
    <w:link w:val="FootnoteText"/>
    <w:rsid w:val="009847AD"/>
  </w:style>
  <w:style w:type="character" w:styleId="FootnoteReference">
    <w:name w:val="footnote reference"/>
    <w:basedOn w:val="DefaultParagraphFont"/>
    <w:unhideWhenUsed/>
    <w:rsid w:val="009847AD"/>
    <w:rPr>
      <w:vertAlign w:val="superscript"/>
    </w:rPr>
  </w:style>
  <w:style w:type="paragraph" w:styleId="Footer">
    <w:name w:val="footer"/>
    <w:basedOn w:val="Normal"/>
    <w:link w:val="FooterChar"/>
    <w:semiHidden/>
    <w:rsid w:val="009847AD"/>
    <w:pPr>
      <w:tabs>
        <w:tab w:val="center" w:pos="4513"/>
        <w:tab w:val="right" w:pos="9026"/>
      </w:tabs>
    </w:pPr>
  </w:style>
  <w:style w:type="character" w:customStyle="1" w:styleId="FooterChar">
    <w:name w:val="Footer Char"/>
    <w:basedOn w:val="DefaultParagraphFont"/>
    <w:link w:val="Footer"/>
    <w:semiHidden/>
    <w:rsid w:val="009847AD"/>
    <w:rPr>
      <w:sz w:val="24"/>
      <w:lang w:val="cs-CZ"/>
    </w:rPr>
  </w:style>
  <w:style w:type="paragraph" w:customStyle="1" w:styleId="CoverReference">
    <w:name w:val="CoverReference"/>
    <w:basedOn w:val="Normal"/>
    <w:rsid w:val="007378E9"/>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710</Words>
  <Characters>3796</Characters>
  <Application>Microsoft Office Word</Application>
  <DocSecurity>0</DocSecurity>
  <Lines>102</Lines>
  <Paragraphs>58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HANUSOVA Jindra</dc:creator>
  <cp:keywords/>
  <dc:description/>
  <cp:lastModifiedBy>KLACAR Marie</cp:lastModifiedBy>
  <cp:revision>2</cp:revision>
  <cp:lastPrinted>2004-12-08T15:27:00Z</cp:lastPrinted>
  <dcterms:created xsi:type="dcterms:W3CDTF">2026-05-13T08:55:00Z</dcterms:created>
  <dcterms:modified xsi:type="dcterms:W3CDTF">2026-05-13T08:55:00Z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\\eiciLUXpr1\pdocep$\DocEP\TRANSFIL\CS\PR_IMM_Waiver.CS(19/08/2024 11:21:02)</vt:lpwstr>
  </property>
  <property fmtid="{D5CDD505-2E9C-101B-9397-08002B2CF9AE}" pid="9" name="&lt;Model&gt;">
    <vt:lpwstr>PR_IMM_Waiver</vt:lpwstr>
  </property>
  <property fmtid="{D5CDD505-2E9C-101B-9397-08002B2CF9AE}" pid="10" name="FooterPath">
    <vt:lpwstr>RR\1343292CS.docx</vt:lpwstr>
  </property>
  <property fmtid="{D5CDD505-2E9C-101B-9397-08002B2CF9AE}" pid="11" name="PE number">
    <vt:lpwstr>786.974</vt:lpwstr>
  </property>
  <property fmtid="{D5CDD505-2E9C-101B-9397-08002B2CF9AE}" pid="12" name="RegistreCheck">
    <vt:lpwstr>OK</vt:lpwstr>
  </property>
  <property fmtid="{D5CDD505-2E9C-101B-9397-08002B2CF9AE}" pid="13" name="Bookout">
    <vt:lpwstr>OK - 2026/05/13 10:55</vt:lpwstr>
  </property>
  <property fmtid="{D5CDD505-2E9C-101B-9397-08002B2CF9AE}" pid="14" name="SDLStudio">
    <vt:lpwstr/>
  </property>
</Properties>
</file>