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97D6F" w:rsidRPr="00B305EC" w14:paraId="021EA3E0" w14:textId="77777777" w:rsidTr="00C85D0F">
        <w:trPr>
          <w:trHeight w:hRule="exact" w:val="1418"/>
        </w:trPr>
        <w:tc>
          <w:tcPr>
            <w:tcW w:w="6804" w:type="dxa"/>
            <w:shd w:val="clear" w:color="auto" w:fill="auto"/>
            <w:vAlign w:val="center"/>
          </w:tcPr>
          <w:p w14:paraId="267A824A" w14:textId="77777777" w:rsidR="00CF16EE" w:rsidRPr="00B305EC" w:rsidRDefault="00656C62" w:rsidP="00C85D0F">
            <w:pPr>
              <w:pStyle w:val="EPName"/>
            </w:pPr>
            <w:r w:rsidRPr="00B305EC">
              <w:t>Europa-Parlamentet</w:t>
            </w:r>
          </w:p>
          <w:p w14:paraId="44E51B23" w14:textId="77777777" w:rsidR="00CF16EE" w:rsidRPr="00B305EC" w:rsidRDefault="00656C62" w:rsidP="00C85D0F">
            <w:pPr>
              <w:pStyle w:val="EPTerm"/>
            </w:pPr>
            <w:r w:rsidRPr="00B305EC">
              <w:t>2024-2029</w:t>
            </w:r>
          </w:p>
        </w:tc>
        <w:tc>
          <w:tcPr>
            <w:tcW w:w="2268" w:type="dxa"/>
            <w:shd w:val="clear" w:color="auto" w:fill="auto"/>
          </w:tcPr>
          <w:p w14:paraId="244EE7C8" w14:textId="77777777" w:rsidR="00CF16EE" w:rsidRPr="00B305EC" w:rsidRDefault="00656C62" w:rsidP="00C85D0F">
            <w:pPr>
              <w:pStyle w:val="EPLogo"/>
            </w:pPr>
            <w:r w:rsidRPr="00B305EC">
              <w:rPr>
                <w:noProof/>
              </w:rPr>
              <w:drawing>
                <wp:inline distT="0" distB="0" distL="0" distR="0" wp14:anchorId="0FA13C37" wp14:editId="378FD4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C816F09" w14:textId="77777777" w:rsidR="00215FF9" w:rsidRPr="00B305EC" w:rsidRDefault="00215FF9" w:rsidP="00215FF9">
      <w:pPr>
        <w:pStyle w:val="LineTop"/>
      </w:pPr>
    </w:p>
    <w:p w14:paraId="3C8DA1FC" w14:textId="7C5906ED" w:rsidR="00215FF9" w:rsidRPr="00B305EC" w:rsidRDefault="00BA12B5" w:rsidP="00215FF9">
      <w:pPr>
        <w:pStyle w:val="EPBody"/>
      </w:pPr>
      <w:r w:rsidRPr="00B305EC">
        <w:t>Mødedokument</w:t>
      </w:r>
    </w:p>
    <w:p w14:paraId="208C18BD" w14:textId="77777777" w:rsidR="00215FF9" w:rsidRPr="00B305EC" w:rsidRDefault="00215FF9" w:rsidP="00215FF9">
      <w:pPr>
        <w:pStyle w:val="LineBottom"/>
      </w:pPr>
    </w:p>
    <w:p w14:paraId="08913314" w14:textId="1E986BC8" w:rsidR="005922F7" w:rsidRPr="00B305EC" w:rsidRDefault="00BA12B5" w:rsidP="00BA12B5">
      <w:pPr>
        <w:pStyle w:val="CoverReference"/>
      </w:pPr>
      <w:r w:rsidRPr="00B305EC">
        <w:rPr>
          <w:rStyle w:val="HideTWBExt"/>
        </w:rPr>
        <w:t>&lt;NoDocSe&gt;</w:t>
      </w:r>
      <w:r w:rsidRPr="00B305EC">
        <w:t>A10</w:t>
      </w:r>
      <w:r w:rsidRPr="00B305EC">
        <w:noBreakHyphen/>
        <w:t>0128/2026</w:t>
      </w:r>
      <w:r w:rsidRPr="00B305EC">
        <w:rPr>
          <w:rStyle w:val="HideTWBExt"/>
        </w:rPr>
        <w:t>&lt;/NoDocSe&gt;</w:t>
      </w:r>
    </w:p>
    <w:p w14:paraId="45612C8E" w14:textId="05871B95" w:rsidR="005922F7" w:rsidRPr="00B305EC" w:rsidRDefault="00656C62" w:rsidP="005922F7">
      <w:pPr>
        <w:pStyle w:val="CoverDate"/>
      </w:pPr>
      <w:r w:rsidRPr="00B305EC">
        <w:rPr>
          <w:rStyle w:val="HideTWBExt"/>
          <w:noProof w:val="0"/>
        </w:rPr>
        <w:t>&lt;Date&gt;</w:t>
      </w:r>
      <w:r w:rsidR="00BA12B5" w:rsidRPr="00B305EC">
        <w:rPr>
          <w:rStyle w:val="HideTWBInt"/>
        </w:rPr>
        <w:t>{06/05/2026}</w:t>
      </w:r>
      <w:r w:rsidR="00BA12B5" w:rsidRPr="00B305EC">
        <w:t>6.5.2026</w:t>
      </w:r>
      <w:r w:rsidRPr="00B305EC">
        <w:rPr>
          <w:rStyle w:val="HideTWBExt"/>
          <w:noProof w:val="0"/>
        </w:rPr>
        <w:t>&lt;/Date&gt;</w:t>
      </w:r>
    </w:p>
    <w:p w14:paraId="3BF71675" w14:textId="30F366F5" w:rsidR="00142D49" w:rsidRPr="00B305EC" w:rsidRDefault="00656C62">
      <w:pPr>
        <w:pStyle w:val="CoverDocType24a"/>
      </w:pPr>
      <w:r w:rsidRPr="00B305EC">
        <w:rPr>
          <w:rStyle w:val="HideTWBExt"/>
          <w:b w:val="0"/>
          <w:noProof w:val="0"/>
        </w:rPr>
        <w:t>&lt;TitreType&gt;</w:t>
      </w:r>
      <w:r w:rsidR="00BA12B5" w:rsidRPr="00B305EC">
        <w:t>BETÆNKNING</w:t>
      </w:r>
      <w:r w:rsidRPr="00B305EC">
        <w:rPr>
          <w:rStyle w:val="HideTWBExt"/>
          <w:b w:val="0"/>
          <w:noProof w:val="0"/>
        </w:rPr>
        <w:t>&lt;/TitreType&gt;</w:t>
      </w:r>
    </w:p>
    <w:p w14:paraId="11255C4D" w14:textId="77777777" w:rsidR="00142D49" w:rsidRPr="00B305EC" w:rsidRDefault="00656C62">
      <w:pPr>
        <w:pStyle w:val="CoverNormal"/>
      </w:pPr>
      <w:r w:rsidRPr="00B305EC">
        <w:rPr>
          <w:rStyle w:val="HideTWBExt"/>
          <w:noProof w:val="0"/>
        </w:rPr>
        <w:t>&lt;Titre&gt;</w:t>
      </w:r>
      <w:r w:rsidRPr="00B305EC">
        <w:t>om anmodning om ophævelse af Nikos Pappas' immunitet</w:t>
      </w:r>
      <w:r w:rsidRPr="00B305EC">
        <w:rPr>
          <w:rStyle w:val="HideTWBExt"/>
          <w:noProof w:val="0"/>
        </w:rPr>
        <w:t>&lt;/Titre&gt;</w:t>
      </w:r>
    </w:p>
    <w:p w14:paraId="6152A89F" w14:textId="77777777" w:rsidR="00142D49" w:rsidRPr="00B305EC" w:rsidRDefault="00656C62">
      <w:pPr>
        <w:pStyle w:val="CoverNormal24a"/>
      </w:pPr>
      <w:r w:rsidRPr="00B305EC">
        <w:rPr>
          <w:rStyle w:val="HideTWBExt"/>
          <w:noProof w:val="0"/>
        </w:rPr>
        <w:t>&lt;DocRef&gt;</w:t>
      </w:r>
      <w:r w:rsidRPr="00B305EC">
        <w:t>(2025/2234(IMM))</w:t>
      </w:r>
      <w:r w:rsidRPr="00B305EC">
        <w:rPr>
          <w:rStyle w:val="HideTWBExt"/>
          <w:noProof w:val="0"/>
        </w:rPr>
        <w:t>&lt;/DocRef&gt;</w:t>
      </w:r>
    </w:p>
    <w:p w14:paraId="3B1BD3DF" w14:textId="77777777" w:rsidR="00142D49" w:rsidRPr="00B305EC" w:rsidRDefault="00656C62">
      <w:pPr>
        <w:pStyle w:val="CoverNormal24a"/>
      </w:pPr>
      <w:r w:rsidRPr="00B305EC">
        <w:rPr>
          <w:rStyle w:val="HideTWBExt"/>
          <w:noProof w:val="0"/>
        </w:rPr>
        <w:t>&lt;Commission&gt;</w:t>
      </w:r>
      <w:r w:rsidRPr="00B305EC">
        <w:rPr>
          <w:rStyle w:val="HideTWBInt"/>
          <w:color w:val="auto"/>
        </w:rPr>
        <w:t>{JURI}</w:t>
      </w:r>
      <w:r w:rsidRPr="00B305EC">
        <w:t>Retsudvalget</w:t>
      </w:r>
      <w:r w:rsidRPr="00B305EC">
        <w:rPr>
          <w:rStyle w:val="HideTWBExt"/>
          <w:noProof w:val="0"/>
        </w:rPr>
        <w:t>&lt;/Commission&gt;</w:t>
      </w:r>
    </w:p>
    <w:p w14:paraId="359BF25F" w14:textId="77777777" w:rsidR="00142D49" w:rsidRPr="00B305EC" w:rsidRDefault="00656C62">
      <w:pPr>
        <w:pStyle w:val="CoverNormal24a"/>
      </w:pPr>
      <w:r w:rsidRPr="00B305EC">
        <w:t xml:space="preserve">Ordfører: </w:t>
      </w:r>
      <w:r w:rsidRPr="00B305EC">
        <w:rPr>
          <w:rStyle w:val="HideTWBExt"/>
          <w:noProof w:val="0"/>
        </w:rPr>
        <w:t>&lt;Depute&gt;</w:t>
      </w:r>
      <w:r w:rsidRPr="00B305EC">
        <w:t>Marcin Sypniewski</w:t>
      </w:r>
      <w:r w:rsidRPr="00B305EC">
        <w:rPr>
          <w:rStyle w:val="HideTWBExt"/>
          <w:noProof w:val="0"/>
        </w:rPr>
        <w:t>&lt;/Depute&gt;</w:t>
      </w:r>
    </w:p>
    <w:p w14:paraId="3AADF09E" w14:textId="4323C80E" w:rsidR="0006105E" w:rsidRPr="00B305EC" w:rsidRDefault="0006105E" w:rsidP="0006105E">
      <w:pPr>
        <w:pStyle w:val="CoverNormal"/>
        <w:rPr>
          <w:strike/>
        </w:rPr>
      </w:pPr>
    </w:p>
    <w:p w14:paraId="3DF4A987" w14:textId="77777777" w:rsidR="00142D49" w:rsidRPr="00B305EC" w:rsidRDefault="00656C62" w:rsidP="00DF74F0">
      <w:pPr>
        <w:widowControl/>
        <w:tabs>
          <w:tab w:val="center" w:pos="4677"/>
        </w:tabs>
      </w:pPr>
      <w:r w:rsidRPr="00B305EC">
        <w:br w:type="page"/>
      </w:r>
      <w:r w:rsidRPr="00B305EC">
        <w:lastRenderedPageBreak/>
        <w:t>PR_IMM_Waiver</w:t>
      </w:r>
    </w:p>
    <w:p w14:paraId="6E18687F" w14:textId="77777777" w:rsidR="00142D49" w:rsidRPr="00B305EC" w:rsidRDefault="00656C62">
      <w:pPr>
        <w:pStyle w:val="TOCHeading"/>
      </w:pPr>
      <w:r w:rsidRPr="00B305EC">
        <w:t>INDHOLD</w:t>
      </w:r>
    </w:p>
    <w:p w14:paraId="396DC2C7" w14:textId="77777777" w:rsidR="00142D49" w:rsidRPr="00B305EC" w:rsidRDefault="00656C62">
      <w:pPr>
        <w:pStyle w:val="TOCPage"/>
      </w:pPr>
      <w:r w:rsidRPr="00B305EC">
        <w:t>Side</w:t>
      </w:r>
    </w:p>
    <w:p w14:paraId="6A21A148" w14:textId="3F8FDE9A" w:rsidR="008C259D" w:rsidRDefault="00656C6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305EC">
        <w:fldChar w:fldCharType="begin"/>
      </w:r>
      <w:r w:rsidRPr="00B305EC">
        <w:instrText xml:space="preserve"> TOC \t "PageHeading</w:instrText>
      </w:r>
      <w:r w:rsidR="008C259D">
        <w:instrText>;</w:instrText>
      </w:r>
      <w:r w:rsidRPr="00B305EC">
        <w:instrText xml:space="preserve">1" </w:instrText>
      </w:r>
      <w:r w:rsidRPr="00B305EC">
        <w:fldChar w:fldCharType="separate"/>
      </w:r>
      <w:r w:rsidR="008C259D">
        <w:rPr>
          <w:noProof/>
        </w:rPr>
        <w:t>FORSLAG TIL EUROPA-PARLAMENTETS AFGØRELSE</w:t>
      </w:r>
      <w:r w:rsidR="008C259D">
        <w:rPr>
          <w:noProof/>
        </w:rPr>
        <w:tab/>
      </w:r>
      <w:r w:rsidR="008C259D">
        <w:rPr>
          <w:noProof/>
        </w:rPr>
        <w:fldChar w:fldCharType="begin"/>
      </w:r>
      <w:r w:rsidR="008C259D">
        <w:rPr>
          <w:noProof/>
        </w:rPr>
        <w:instrText xml:space="preserve"> PAGEREF _Toc229549656 \h </w:instrText>
      </w:r>
      <w:r w:rsidR="008C259D">
        <w:rPr>
          <w:noProof/>
        </w:rPr>
      </w:r>
      <w:r w:rsidR="008C259D">
        <w:rPr>
          <w:noProof/>
        </w:rPr>
        <w:fldChar w:fldCharType="separate"/>
      </w:r>
      <w:r w:rsidR="008C259D">
        <w:rPr>
          <w:noProof/>
        </w:rPr>
        <w:t>3</w:t>
      </w:r>
      <w:r w:rsidR="008C259D">
        <w:rPr>
          <w:noProof/>
        </w:rPr>
        <w:fldChar w:fldCharType="end"/>
      </w:r>
    </w:p>
    <w:p w14:paraId="2735456A" w14:textId="0AD193C2" w:rsidR="008C259D" w:rsidRDefault="008C259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OPLYSNINGER OM VEDTAGELSE I DET KOMPETENTE UDVALG</w:t>
      </w:r>
      <w:r>
        <w:rPr>
          <w:noProof/>
        </w:rPr>
        <w:tab/>
      </w:r>
      <w:r>
        <w:rPr>
          <w:noProof/>
        </w:rPr>
        <w:fldChar w:fldCharType="begin"/>
      </w:r>
      <w:r>
        <w:rPr>
          <w:noProof/>
        </w:rPr>
        <w:instrText xml:space="preserve"> PAGEREF _Toc229549657 \h </w:instrText>
      </w:r>
      <w:r>
        <w:rPr>
          <w:noProof/>
        </w:rPr>
      </w:r>
      <w:r>
        <w:rPr>
          <w:noProof/>
        </w:rPr>
        <w:fldChar w:fldCharType="separate"/>
      </w:r>
      <w:r>
        <w:rPr>
          <w:noProof/>
        </w:rPr>
        <w:t>5</w:t>
      </w:r>
      <w:r>
        <w:rPr>
          <w:noProof/>
        </w:rPr>
        <w:fldChar w:fldCharType="end"/>
      </w:r>
    </w:p>
    <w:p w14:paraId="2C033DB7" w14:textId="41B4A975" w:rsidR="0006105E" w:rsidRPr="00B305EC" w:rsidRDefault="00656C62" w:rsidP="00273EFB">
      <w:r w:rsidRPr="00B305EC">
        <w:fldChar w:fldCharType="end"/>
      </w:r>
    </w:p>
    <w:p w14:paraId="13636462" w14:textId="77777777" w:rsidR="00142D49" w:rsidRPr="00B305EC" w:rsidRDefault="00656C62">
      <w:pPr>
        <w:pStyle w:val="PageHeading"/>
      </w:pPr>
      <w:r w:rsidRPr="00B305EC">
        <w:br w:type="page"/>
      </w:r>
      <w:bookmarkStart w:id="0" w:name="_Toc229549656"/>
      <w:r w:rsidRPr="00B305EC">
        <w:t>FORSLAG TIL EUROPA-PARLAMENTETS AFGØRELSE</w:t>
      </w:r>
      <w:bookmarkEnd w:id="0"/>
    </w:p>
    <w:p w14:paraId="670EC157" w14:textId="77777777" w:rsidR="00142D49" w:rsidRPr="00B305EC" w:rsidRDefault="00656C62">
      <w:pPr>
        <w:pStyle w:val="NormalBold"/>
      </w:pPr>
      <w:r w:rsidRPr="00B305EC">
        <w:t>om anmodning om ophævelse af Nikos Pappas' immunitet</w:t>
      </w:r>
    </w:p>
    <w:p w14:paraId="3C1C1A38" w14:textId="77777777" w:rsidR="00142D49" w:rsidRPr="00B305EC" w:rsidRDefault="00656C62" w:rsidP="00FD1F04">
      <w:pPr>
        <w:pStyle w:val="NormalBold"/>
      </w:pPr>
      <w:r w:rsidRPr="00B305EC">
        <w:t>(2025/2234 (IMM))</w:t>
      </w:r>
    </w:p>
    <w:p w14:paraId="1D26BA9A" w14:textId="77777777" w:rsidR="00142D49" w:rsidRPr="00B305EC" w:rsidRDefault="00656C62" w:rsidP="00FD1F04">
      <w:pPr>
        <w:pStyle w:val="EPComma"/>
      </w:pPr>
      <w:r w:rsidRPr="00B305EC">
        <w:rPr>
          <w:i/>
          <w:iCs/>
        </w:rPr>
        <w:t>Europa-Parlamentet</w:t>
      </w:r>
      <w:r w:rsidRPr="00B305EC">
        <w:t>,</w:t>
      </w:r>
    </w:p>
    <w:p w14:paraId="71D15AC4" w14:textId="77777777" w:rsidR="0037671C" w:rsidRPr="00B305EC" w:rsidRDefault="00656C62" w:rsidP="0037671C">
      <w:pPr>
        <w:pStyle w:val="NormalHanging12a"/>
      </w:pPr>
      <w:r w:rsidRPr="00B305EC">
        <w:t>–</w:t>
      </w:r>
      <w:r w:rsidRPr="00B305EC">
        <w:tab/>
        <w:t>der henviser til anmodning om ophævelse af Nikos Pappas' immunitet, modtaget ved skrivelse af 7. oktober 2025 fra vicestatsadvokaten ved Grækenlands højesteret, med en anmodning indgivet af anklageren ved retten i første instans i Athen i forbindelse med en straffesag, der skal indledes mod ham, hvorom der blev givet meddelelse på plenarmødet den 12. november 2025,</w:t>
      </w:r>
    </w:p>
    <w:p w14:paraId="07941395" w14:textId="77777777" w:rsidR="0037671C" w:rsidRPr="00B305EC" w:rsidRDefault="00656C62" w:rsidP="0037671C">
      <w:pPr>
        <w:pStyle w:val="NormalHanging12a"/>
      </w:pPr>
      <w:r w:rsidRPr="00B305EC">
        <w:t>–</w:t>
      </w:r>
      <w:r w:rsidRPr="00B305EC">
        <w:tab/>
        <w:t xml:space="preserve">der har hørt Nikos Pappas den 15. april 2026, jf. forretningsordenens artikel 9, stk. 6, </w:t>
      </w:r>
    </w:p>
    <w:p w14:paraId="56BFF0B4" w14:textId="77777777" w:rsidR="0037671C" w:rsidRPr="00B305EC" w:rsidRDefault="00656C62" w:rsidP="0037671C">
      <w:pPr>
        <w:pStyle w:val="NormalHanging12a"/>
      </w:pPr>
      <w:r w:rsidRPr="00B305EC">
        <w:t>–</w:t>
      </w:r>
      <w:r w:rsidRPr="00B305EC">
        <w:tab/>
        <w:t>der henviser til artikel 8 og 9 i protokol nr. 7 vedrørende Den Europæiske Unions privilegier og immuniteter samt artikel 6, stk. 2, i akten af 20. september 1976 om almindelige direkte valg af medlemmerne af Europa-Parlamentet,</w:t>
      </w:r>
    </w:p>
    <w:p w14:paraId="1C81FE5D" w14:textId="77777777" w:rsidR="0037671C" w:rsidRPr="00B305EC" w:rsidRDefault="00656C62" w:rsidP="0037671C">
      <w:pPr>
        <w:pStyle w:val="NormalHanging12a"/>
      </w:pPr>
      <w:r w:rsidRPr="00B305EC">
        <w:t>–</w:t>
      </w:r>
      <w:r w:rsidRPr="00B305EC">
        <w:tab/>
        <w:t>der henviser til de domme, som Den Europæiske Unions Domstol har afsagt den 21. oktober 2008, 19. marts 2010, 6. september 2011, 17. januar 2013 og 19. december 2019</w:t>
      </w:r>
      <w:r w:rsidRPr="00B305EC">
        <w:rPr>
          <w:vertAlign w:val="superscript"/>
        </w:rPr>
        <w:footnoteReference w:id="1"/>
      </w:r>
      <w:r w:rsidRPr="00B305EC">
        <w:t>,</w:t>
      </w:r>
    </w:p>
    <w:p w14:paraId="4207E883" w14:textId="77777777" w:rsidR="0037671C" w:rsidRPr="00B305EC" w:rsidRDefault="00656C62" w:rsidP="0037671C">
      <w:pPr>
        <w:pStyle w:val="NormalHanging12a"/>
      </w:pPr>
      <w:r w:rsidRPr="00B305EC">
        <w:t>–</w:t>
      </w:r>
      <w:r w:rsidRPr="00B305EC">
        <w:tab/>
        <w:t>der henviser til forretningsordenens artikel 5, stk. 2, artikel 6, stk. 1, og artikel 9,</w:t>
      </w:r>
    </w:p>
    <w:p w14:paraId="446FC24E" w14:textId="0F63E205" w:rsidR="0037671C" w:rsidRPr="00B305EC" w:rsidRDefault="00656C62" w:rsidP="0037671C">
      <w:pPr>
        <w:pStyle w:val="NormalHanging12a"/>
      </w:pPr>
      <w:r w:rsidRPr="00B305EC">
        <w:t>–</w:t>
      </w:r>
      <w:r w:rsidRPr="00B305EC">
        <w:tab/>
        <w:t>der henviser til betænkning fra Retsudvalget (</w:t>
      </w:r>
      <w:r w:rsidR="00BA12B5" w:rsidRPr="00B305EC">
        <w:t>A10</w:t>
      </w:r>
      <w:r w:rsidR="00BA12B5" w:rsidRPr="00B305EC">
        <w:noBreakHyphen/>
        <w:t>0128/2026</w:t>
      </w:r>
      <w:r w:rsidRPr="00B305EC">
        <w:t>),</w:t>
      </w:r>
    </w:p>
    <w:p w14:paraId="0E7E0693" w14:textId="77777777" w:rsidR="0037671C" w:rsidRPr="00B305EC" w:rsidRDefault="00656C62" w:rsidP="0037671C">
      <w:pPr>
        <w:pStyle w:val="NormalHanging12a"/>
        <w:rPr>
          <w:bCs/>
          <w:iCs/>
        </w:rPr>
      </w:pPr>
      <w:r w:rsidRPr="00B305EC">
        <w:t>A.</w:t>
      </w:r>
      <w:r w:rsidRPr="00B305EC">
        <w:tab/>
        <w:t>der henviser til, at vicestatsadvokaten ved Grækenlands højesteret har fremsendt en anmodning fra anklageren ved retten i første instans i Athen om ophævelse af immuniteten for Nikos Pappas, medlem af Europa-Parlamentet valgt i Grækenland, i forbindelse med påståede ærekrænkende udtalelser online og trusler, der udgør strafbare handlinger i henhold til artikel 94, artikel 361, stk. 1, første og andet punktum, og artikel 333, stk. 1, første punktum, i den græske straffelov;</w:t>
      </w:r>
    </w:p>
    <w:p w14:paraId="13CEFFE2" w14:textId="455EE6E2" w:rsidR="0037671C" w:rsidRPr="00B305EC" w:rsidRDefault="00656C62" w:rsidP="0037671C">
      <w:pPr>
        <w:pStyle w:val="NormalHanging12a"/>
      </w:pPr>
      <w:r w:rsidRPr="00B305EC">
        <w:t>B.</w:t>
      </w:r>
      <w:r w:rsidRPr="00B305EC">
        <w:tab/>
      </w:r>
      <w:bookmarkStart w:id="1" w:name="_Hlk226714510"/>
      <w:r w:rsidRPr="00B305EC">
        <w:t xml:space="preserve">der henviser til, at klagen ifølge anmodningen viser, at Nikos Pappas den 11. juni 2025 angiveligt </w:t>
      </w:r>
      <w:r w:rsidR="00B804DC" w:rsidRPr="00B305EC">
        <w:t>fremsatte ærekrænkende udtalelser</w:t>
      </w:r>
      <w:r w:rsidRPr="00B305EC">
        <w:t xml:space="preserve"> og truede klageren gennem direkte meddelelser sendt via hans personlige konto på Instagram;</w:t>
      </w:r>
      <w:bookmarkEnd w:id="1"/>
    </w:p>
    <w:p w14:paraId="073B49B6" w14:textId="77777777" w:rsidR="0037671C" w:rsidRPr="00B305EC" w:rsidRDefault="00656C62" w:rsidP="0037671C">
      <w:pPr>
        <w:pStyle w:val="NormalHanging12a"/>
      </w:pPr>
      <w:r w:rsidRPr="00B305EC">
        <w:t>C.</w:t>
      </w:r>
      <w:r w:rsidRPr="00B305EC">
        <w:tab/>
        <w:t>der henviser til, at Nikos Pappas blev valgt til Europa-Parlamentet ved valget i juni 2024, og at han var medlem af Europa-Parlamentet på tidspunktet for den hævdede lovovertrædelse; der henviser til, at klagen over ham ifølge anmodningen er dateret den 16. juli 2025;</w:t>
      </w:r>
    </w:p>
    <w:p w14:paraId="08877EF9" w14:textId="77777777" w:rsidR="0037671C" w:rsidRPr="00B305EC" w:rsidRDefault="00656C62" w:rsidP="0037671C">
      <w:pPr>
        <w:pStyle w:val="NormalHanging12a"/>
      </w:pPr>
      <w:r w:rsidRPr="00B305EC">
        <w:t>D.</w:t>
      </w:r>
      <w:r w:rsidRPr="00B305EC">
        <w:tab/>
        <w:t>der henviser til, at den hævdede lovovertrædelse ikke udgør – og den efterfølgende anmodning om ophævelse af Nikos Pappas' immunitet ikke vedrører – en meningstilkendegivelse eller en stemmeafgivelse fra Nikos Pappas' side under udøvelsen af hans hverv som omhandlet i artikel 8 i protokol nr. 7 vedrørende Den Europæiske Unions privilegier og immuniteter;</w:t>
      </w:r>
    </w:p>
    <w:p w14:paraId="511EBE3E" w14:textId="77777777" w:rsidR="0037671C" w:rsidRPr="00B305EC" w:rsidRDefault="00656C62" w:rsidP="0037671C">
      <w:pPr>
        <w:pStyle w:val="NormalHanging12a"/>
      </w:pPr>
      <w:r w:rsidRPr="00B305EC">
        <w:t>E.</w:t>
      </w:r>
      <w:r w:rsidRPr="00B305EC">
        <w:tab/>
        <w:t>der henviser til, at Europa-Parlamentets medlemmer i henhold til artikel 9, stk. 1, litra a), i protokol nr. 7 vedrørende Den Europæiske Unions privilegier og immuniteter under Europa-Parlamentets mødeperioder på deres eget lands område nyder de immuniteter, der tilstås medlemmerne af deres lands lovgivende forsamling;</w:t>
      </w:r>
    </w:p>
    <w:p w14:paraId="23753BAC" w14:textId="77777777" w:rsidR="0037671C" w:rsidRPr="00B305EC" w:rsidRDefault="00656C62" w:rsidP="0037671C">
      <w:pPr>
        <w:pStyle w:val="NormalHanging12a"/>
      </w:pPr>
      <w:r w:rsidRPr="00B305EC">
        <w:t>F.</w:t>
      </w:r>
      <w:r w:rsidRPr="00B305EC">
        <w:tab/>
        <w:t>der henviser til, at et parlamentsmedlem ifølge artikel 62 i Den Hellenske Republiks forfatning under sit mandat ikke kan retsforfølges, anholdes, fængsles eller på anden måde berøves sin frihed uden parlamentets samtykke;</w:t>
      </w:r>
    </w:p>
    <w:p w14:paraId="637F0595" w14:textId="77777777" w:rsidR="0037671C" w:rsidRPr="00B305EC" w:rsidRDefault="00656C62" w:rsidP="0037671C">
      <w:pPr>
        <w:pStyle w:val="NormalHanging12a"/>
      </w:pPr>
      <w:r w:rsidRPr="00B305EC">
        <w:t>G.</w:t>
      </w:r>
      <w:r w:rsidRPr="00B305EC">
        <w:tab/>
        <w:t>der henviser til, at formålet med den parlamentariske immunitet i protokol nr. 7 vedrørende Den Europæiske Unions privilegier og immuniteter er at beskytte Parlamentet og dets medlemmer mod retsforfølgelse i relation til aktiviteter, der udføres under udøvelsen af det parlamentariske hverv, og som ikke kan adskilles fra dette hverv;</w:t>
      </w:r>
    </w:p>
    <w:p w14:paraId="1B0605A4" w14:textId="77777777" w:rsidR="0037671C" w:rsidRPr="00B305EC" w:rsidRDefault="00656C62" w:rsidP="0037671C">
      <w:pPr>
        <w:pStyle w:val="NormalHanging12a"/>
      </w:pPr>
      <w:r w:rsidRPr="00B305EC">
        <w:t>H.</w:t>
      </w:r>
      <w:r w:rsidRPr="00B305EC">
        <w:tab/>
        <w:t>der henviser til, at parlamentarisk immunitet i henhold til forretningsordenens artikel 5, stk. 2, ikke er et medlems personlige privilegium, men derimod en garanti for Parlamentets uafhængighed som helhed og for dets medlemmers uafhængighed;</w:t>
      </w:r>
    </w:p>
    <w:p w14:paraId="51131641" w14:textId="77777777" w:rsidR="0037671C" w:rsidRPr="00B305EC" w:rsidRDefault="00656C62" w:rsidP="0037671C">
      <w:pPr>
        <w:pStyle w:val="NormalHanging12a"/>
      </w:pPr>
      <w:r w:rsidRPr="00B305EC">
        <w:t>I.</w:t>
      </w:r>
      <w:r w:rsidRPr="00B305EC">
        <w:tab/>
        <w:t>der henviser til, at Europa-Parlamentet i denne sag ikke har fundet noget bevis på fumus persecutionis, dvs. faktiske omstændigheder, der tyder på, at hensigten bag retssagen kan være at skade medlemmets politiske virksomhed som medlem af Europa-Parlamentet;</w:t>
      </w:r>
    </w:p>
    <w:p w14:paraId="6449A5DC" w14:textId="77777777" w:rsidR="0037671C" w:rsidRPr="00B305EC" w:rsidRDefault="00656C62" w:rsidP="0037671C">
      <w:pPr>
        <w:pStyle w:val="NormalHanging12a"/>
      </w:pPr>
      <w:r w:rsidRPr="00B305EC">
        <w:t>J.</w:t>
      </w:r>
      <w:r w:rsidRPr="00B305EC">
        <w:tab/>
        <w:t>der henviser til, at Parlamentet på den ene side ikke kan sidestilles med en domstol, og at medlemmet på den anden side i forbindelse med en procedure om ophævelse af immunitet ikke kan betragtes som en "anklaget"</w:t>
      </w:r>
      <w:r w:rsidRPr="00B305EC">
        <w:rPr>
          <w:vertAlign w:val="superscript"/>
        </w:rPr>
        <w:footnoteReference w:id="2"/>
      </w:r>
      <w:r w:rsidRPr="00B305EC">
        <w:t>;</w:t>
      </w:r>
    </w:p>
    <w:p w14:paraId="786CD87D" w14:textId="77777777" w:rsidR="0037671C" w:rsidRPr="00B305EC" w:rsidRDefault="00656C62" w:rsidP="0037671C">
      <w:pPr>
        <w:pStyle w:val="NormalHanging12a"/>
      </w:pPr>
      <w:r w:rsidRPr="00B305EC">
        <w:t>1.</w:t>
      </w:r>
      <w:r w:rsidRPr="00B305EC">
        <w:tab/>
        <w:t>vedtager at ophæve Nikos Pappas' immunitet;</w:t>
      </w:r>
    </w:p>
    <w:p w14:paraId="02BA1F03" w14:textId="77777777" w:rsidR="0037671C" w:rsidRPr="00B305EC" w:rsidRDefault="00656C62" w:rsidP="0037671C">
      <w:pPr>
        <w:pStyle w:val="NormalHanging12a"/>
      </w:pPr>
      <w:r w:rsidRPr="00B305EC">
        <w:t>2.</w:t>
      </w:r>
      <w:r w:rsidRPr="00B305EC">
        <w:tab/>
        <w:t>pålægger sin formand straks at sende denne afgørelse og det kompetente udvalgs betænkning til Den Hellenske Republiks kompetente myndigheder og til Nikos Pappas.</w:t>
      </w:r>
    </w:p>
    <w:p w14:paraId="39446346" w14:textId="77777777" w:rsidR="0035402F" w:rsidRPr="00B305EC" w:rsidRDefault="0035402F" w:rsidP="00BA12B5">
      <w:pPr>
        <w:pStyle w:val="NormalHanging12a"/>
      </w:pPr>
    </w:p>
    <w:p w14:paraId="76F8B50A" w14:textId="77777777" w:rsidR="00BA12B5" w:rsidRPr="00B305EC" w:rsidRDefault="00BA12B5" w:rsidP="00BA12B5">
      <w:pPr>
        <w:sectPr w:rsidR="00BA12B5" w:rsidRPr="00B305EC" w:rsidSect="00D5573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36E7D1DE" w14:textId="73DBDBED" w:rsidR="00BA12B5" w:rsidRPr="00B305EC" w:rsidRDefault="00BA12B5" w:rsidP="00BA12B5">
      <w:pPr>
        <w:pStyle w:val="PageHeading"/>
      </w:pPr>
      <w:bookmarkStart w:id="2" w:name="ProcPageRR"/>
      <w:bookmarkStart w:id="3" w:name="_Toc229549657"/>
      <w:r w:rsidRPr="00B305EC">
        <w:t>OPLYSNINGER OM VEDTAGELSE</w:t>
      </w:r>
      <w:r w:rsidRPr="00B305EC">
        <w:br/>
        <w:t xml:space="preserve">I </w:t>
      </w:r>
      <w:r w:rsidR="008C259D">
        <w:t xml:space="preserve">DET </w:t>
      </w:r>
      <w:r w:rsidRPr="00B305EC">
        <w:t>KO</w:t>
      </w:r>
      <w:r w:rsidR="008C259D">
        <w:t xml:space="preserve">MPETENTE </w:t>
      </w:r>
      <w:r w:rsidRPr="00B305EC">
        <w:t>UDVALG</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A12B5" w:rsidRPr="00B305EC" w14:paraId="5AEA558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66B0771" w14:textId="77777777" w:rsidR="00BA12B5" w:rsidRPr="00B305EC" w:rsidRDefault="00BA12B5">
            <w:pPr>
              <w:autoSpaceDE w:val="0"/>
              <w:autoSpaceDN w:val="0"/>
              <w:adjustRightInd w:val="0"/>
              <w:rPr>
                <w:b/>
                <w:bCs/>
                <w:color w:val="000000"/>
                <w:sz w:val="20"/>
              </w:rPr>
            </w:pPr>
            <w:r w:rsidRPr="00B305EC">
              <w:rPr>
                <w:b/>
                <w:bCs/>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3096A13" w14:textId="77777777" w:rsidR="00BA12B5" w:rsidRPr="00B305EC" w:rsidRDefault="00BA12B5">
            <w:pPr>
              <w:autoSpaceDE w:val="0"/>
              <w:autoSpaceDN w:val="0"/>
              <w:adjustRightInd w:val="0"/>
              <w:rPr>
                <w:color w:val="000000"/>
                <w:sz w:val="20"/>
              </w:rPr>
            </w:pPr>
            <w:r w:rsidRPr="00B305EC">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B36FD4C" w14:textId="77777777" w:rsidR="00BA12B5" w:rsidRPr="00B305EC" w:rsidRDefault="00BA12B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7A00E67" w14:textId="77777777" w:rsidR="00BA12B5" w:rsidRPr="00B305EC" w:rsidRDefault="00BA12B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2553BF7" w14:textId="77777777" w:rsidR="00BA12B5" w:rsidRPr="00B305EC" w:rsidRDefault="00BA12B5">
            <w:pPr>
              <w:autoSpaceDE w:val="0"/>
              <w:autoSpaceDN w:val="0"/>
              <w:adjustRightInd w:val="0"/>
              <w:rPr>
                <w:rFonts w:ascii="sans-serif" w:hAnsi="sans-serif" w:cs="sans-serif"/>
                <w:color w:val="000000"/>
              </w:rPr>
            </w:pPr>
          </w:p>
        </w:tc>
      </w:tr>
      <w:tr w:rsidR="00BA12B5" w:rsidRPr="00B305EC" w14:paraId="4CB416E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AE13F31" w14:textId="77777777" w:rsidR="00BA12B5" w:rsidRPr="00B305EC" w:rsidRDefault="00BA12B5">
            <w:pPr>
              <w:autoSpaceDE w:val="0"/>
              <w:autoSpaceDN w:val="0"/>
              <w:adjustRightInd w:val="0"/>
              <w:rPr>
                <w:b/>
                <w:bCs/>
                <w:color w:val="000000"/>
                <w:sz w:val="20"/>
              </w:rPr>
            </w:pPr>
            <w:r w:rsidRPr="00B305EC">
              <w:rPr>
                <w:b/>
                <w:bCs/>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E421862" w14:textId="77777777" w:rsidR="00BA12B5" w:rsidRPr="00B305EC" w:rsidRDefault="00BA12B5">
            <w:pPr>
              <w:autoSpaceDE w:val="0"/>
              <w:autoSpaceDN w:val="0"/>
              <w:adjustRightInd w:val="0"/>
              <w:rPr>
                <w:color w:val="000000"/>
                <w:sz w:val="20"/>
              </w:rPr>
            </w:pPr>
            <w:r w:rsidRPr="00B305EC">
              <w:rPr>
                <w:color w:val="000000"/>
                <w:sz w:val="20"/>
              </w:rPr>
              <w:t>+:</w:t>
            </w:r>
          </w:p>
          <w:p w14:paraId="28AE62DC" w14:textId="77777777" w:rsidR="00BA12B5" w:rsidRPr="00B305EC" w:rsidRDefault="00BA12B5">
            <w:pPr>
              <w:autoSpaceDE w:val="0"/>
              <w:autoSpaceDN w:val="0"/>
              <w:adjustRightInd w:val="0"/>
              <w:rPr>
                <w:color w:val="000000"/>
                <w:sz w:val="20"/>
              </w:rPr>
            </w:pPr>
            <w:r w:rsidRPr="00B305EC">
              <w:rPr>
                <w:color w:val="000000"/>
                <w:sz w:val="20"/>
              </w:rPr>
              <w:t>–:</w:t>
            </w:r>
          </w:p>
          <w:p w14:paraId="4513640B" w14:textId="77777777" w:rsidR="00BA12B5" w:rsidRPr="00B305EC" w:rsidRDefault="00BA12B5">
            <w:pPr>
              <w:autoSpaceDE w:val="0"/>
              <w:autoSpaceDN w:val="0"/>
              <w:adjustRightInd w:val="0"/>
              <w:rPr>
                <w:color w:val="000000"/>
                <w:sz w:val="20"/>
              </w:rPr>
            </w:pPr>
            <w:r w:rsidRPr="00B305E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3F1D6D6" w14:textId="77777777" w:rsidR="00BA12B5" w:rsidRPr="00B305EC" w:rsidRDefault="00BA12B5">
            <w:pPr>
              <w:autoSpaceDE w:val="0"/>
              <w:autoSpaceDN w:val="0"/>
              <w:adjustRightInd w:val="0"/>
              <w:rPr>
                <w:color w:val="000000"/>
                <w:sz w:val="20"/>
              </w:rPr>
            </w:pPr>
            <w:r w:rsidRPr="00B305EC">
              <w:rPr>
                <w:color w:val="000000"/>
                <w:sz w:val="20"/>
              </w:rPr>
              <w:t>21</w:t>
            </w:r>
          </w:p>
          <w:p w14:paraId="3FCB853E" w14:textId="77777777" w:rsidR="00BA12B5" w:rsidRPr="00B305EC" w:rsidRDefault="00BA12B5">
            <w:pPr>
              <w:autoSpaceDE w:val="0"/>
              <w:autoSpaceDN w:val="0"/>
              <w:adjustRightInd w:val="0"/>
              <w:rPr>
                <w:color w:val="000000"/>
                <w:sz w:val="20"/>
              </w:rPr>
            </w:pPr>
            <w:r w:rsidRPr="00B305EC">
              <w:rPr>
                <w:color w:val="000000"/>
                <w:sz w:val="20"/>
              </w:rPr>
              <w:t>0</w:t>
            </w:r>
          </w:p>
          <w:p w14:paraId="7DC36985" w14:textId="77777777" w:rsidR="00BA12B5" w:rsidRPr="00B305EC" w:rsidRDefault="00BA12B5">
            <w:pPr>
              <w:autoSpaceDE w:val="0"/>
              <w:autoSpaceDN w:val="0"/>
              <w:adjustRightInd w:val="0"/>
              <w:rPr>
                <w:color w:val="000000"/>
                <w:sz w:val="20"/>
              </w:rPr>
            </w:pPr>
            <w:r w:rsidRPr="00B305EC">
              <w:rPr>
                <w:color w:val="000000"/>
                <w:sz w:val="20"/>
              </w:rPr>
              <w:t>0</w:t>
            </w:r>
          </w:p>
        </w:tc>
      </w:tr>
    </w:tbl>
    <w:p w14:paraId="33DF012B" w14:textId="77777777" w:rsidR="00BA12B5" w:rsidRPr="00B305EC" w:rsidRDefault="00BA12B5"/>
    <w:bookmarkEnd w:id="2"/>
    <w:p w14:paraId="7D896C52" w14:textId="08989CE3" w:rsidR="00BA12B5" w:rsidRPr="00B305EC" w:rsidRDefault="00BA12B5" w:rsidP="00BA12B5"/>
    <w:sectPr w:rsidR="00BA12B5" w:rsidRPr="00B305EC" w:rsidSect="00BA12B5">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38905" w14:textId="77777777" w:rsidR="00656C62" w:rsidRPr="00D55737" w:rsidRDefault="00656C62">
      <w:r w:rsidRPr="00D55737">
        <w:separator/>
      </w:r>
    </w:p>
  </w:endnote>
  <w:endnote w:type="continuationSeparator" w:id="0">
    <w:p w14:paraId="798D99B9" w14:textId="77777777" w:rsidR="00656C62" w:rsidRPr="00D55737" w:rsidRDefault="00656C62">
      <w:r w:rsidRPr="00D557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545EA" w14:textId="77777777" w:rsidR="00BA12B5" w:rsidRDefault="00BA12B5" w:rsidP="00BA12B5">
    <w:pPr>
      <w:pStyle w:val="EPFooter"/>
    </w:pPr>
    <w:r>
      <w:t>PE</w:t>
    </w:r>
    <w:r w:rsidRPr="00BA12B5">
      <w:rPr>
        <w:rStyle w:val="HideTWBExt"/>
      </w:rPr>
      <w:t>&lt;NoPE&gt;</w:t>
    </w:r>
    <w:r>
      <w:t>786.974</w:t>
    </w:r>
    <w:r w:rsidRPr="00BA12B5">
      <w:rPr>
        <w:rStyle w:val="HideTWBExt"/>
      </w:rPr>
      <w:t>&lt;/NoPE&gt;&lt;Version&gt;</w:t>
    </w:r>
    <w:r>
      <w:t>v03-00</w:t>
    </w:r>
    <w:r w:rsidRPr="00BA12B5">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3</w:t>
      </w:r>
    </w:fldSimple>
    <w:r>
      <w:tab/>
    </w:r>
    <w:r w:rsidRPr="00BA12B5">
      <w:rPr>
        <w:rStyle w:val="HideTWBExt"/>
      </w:rPr>
      <w:t>&lt;PathFdR&gt;</w:t>
    </w:r>
    <w:r>
      <w:t>RR\1343292DA.docx</w:t>
    </w:r>
    <w:r w:rsidRPr="00BA12B5">
      <w:rPr>
        <w:rStyle w:val="HideTWBExt"/>
      </w:rPr>
      <w:t>&lt;/PathFdR&gt;</w:t>
    </w:r>
  </w:p>
  <w:p w14:paraId="17C23F40" w14:textId="1B945515" w:rsidR="0023430B" w:rsidRPr="00D55737" w:rsidRDefault="00BA12B5" w:rsidP="00BA12B5">
    <w:pPr>
      <w:pStyle w:val="EPFooter2"/>
    </w:pPr>
    <w:r>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010EC" w14:textId="77777777" w:rsidR="00BA12B5" w:rsidRDefault="00BA12B5" w:rsidP="00BA12B5">
    <w:pPr>
      <w:pStyle w:val="EPFooter"/>
    </w:pPr>
    <w:r w:rsidRPr="00BA12B5">
      <w:rPr>
        <w:rStyle w:val="HideTWBExt"/>
      </w:rPr>
      <w:t>&lt;PathFdR&gt;</w:t>
    </w:r>
    <w:r>
      <w:t>RR\1343292DA.docx</w:t>
    </w:r>
    <w:r w:rsidRPr="00BA12B5">
      <w:rPr>
        <w:rStyle w:val="HideTWBExt"/>
      </w:rPr>
      <w:t>&lt;/PathFdR&gt;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3</w:t>
      </w:r>
    </w:fldSimple>
    <w:r>
      <w:tab/>
      <w:t>PE</w:t>
    </w:r>
    <w:r w:rsidRPr="00BA12B5">
      <w:rPr>
        <w:rStyle w:val="HideTWBExt"/>
      </w:rPr>
      <w:t>&lt;NoPE&gt;</w:t>
    </w:r>
    <w:r>
      <w:t>786.974</w:t>
    </w:r>
    <w:r w:rsidRPr="00BA12B5">
      <w:rPr>
        <w:rStyle w:val="HideTWBExt"/>
      </w:rPr>
      <w:t>&lt;/NoPE&gt;&lt;Version&gt;</w:t>
    </w:r>
    <w:r>
      <w:t>v03-00</w:t>
    </w:r>
    <w:r w:rsidRPr="00BA12B5">
      <w:rPr>
        <w:rStyle w:val="HideTWBExt"/>
      </w:rPr>
      <w:t>&lt;/Version&gt;</w:t>
    </w:r>
  </w:p>
  <w:p w14:paraId="16CD517D" w14:textId="38FB2D98" w:rsidR="0023430B" w:rsidRPr="00D55737" w:rsidRDefault="00BA12B5" w:rsidP="00BA12B5">
    <w:pPr>
      <w:pStyle w:val="EPFooter2"/>
    </w:pPr>
    <w:r>
      <w:tab/>
    </w:r>
    <w:r>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139CA" w14:textId="77777777" w:rsidR="00BA12B5" w:rsidRDefault="00BA12B5" w:rsidP="00BA12B5">
    <w:pPr>
      <w:pStyle w:val="EPFooter"/>
    </w:pPr>
    <w:r w:rsidRPr="00BA12B5">
      <w:rPr>
        <w:rStyle w:val="HideTWBExt"/>
      </w:rPr>
      <w:t>&lt;PathFdR&gt;</w:t>
    </w:r>
    <w:r>
      <w:t>RR\1343292DA.docx</w:t>
    </w:r>
    <w:r w:rsidRPr="00BA12B5">
      <w:rPr>
        <w:rStyle w:val="HideTWBExt"/>
      </w:rPr>
      <w:t>&lt;/PathFdR&gt;</w:t>
    </w:r>
    <w:r>
      <w:tab/>
    </w:r>
    <w:r>
      <w:tab/>
      <w:t>PE</w:t>
    </w:r>
    <w:r w:rsidRPr="00BA12B5">
      <w:rPr>
        <w:rStyle w:val="HideTWBExt"/>
      </w:rPr>
      <w:t>&lt;NoPE&gt;</w:t>
    </w:r>
    <w:r>
      <w:t>786.974</w:t>
    </w:r>
    <w:r w:rsidRPr="00BA12B5">
      <w:rPr>
        <w:rStyle w:val="HideTWBExt"/>
      </w:rPr>
      <w:t>&lt;/NoPE&gt;&lt;Version&gt;</w:t>
    </w:r>
    <w:r>
      <w:t>v03-00</w:t>
    </w:r>
    <w:r w:rsidRPr="00BA12B5">
      <w:rPr>
        <w:rStyle w:val="HideTWBExt"/>
      </w:rPr>
      <w:t>&lt;/Version&gt;</w:t>
    </w:r>
  </w:p>
  <w:p w14:paraId="1410F3AC" w14:textId="4C84EBE2" w:rsidR="0023430B" w:rsidRPr="00D55737" w:rsidRDefault="00BA12B5" w:rsidP="00BA12B5">
    <w:pPr>
      <w:pStyle w:val="EPFooter2"/>
    </w:pPr>
    <w:r>
      <w:t>DA</w:t>
    </w:r>
    <w:r>
      <w:tab/>
    </w:r>
    <w:r w:rsidRPr="00BA12B5">
      <w:rPr>
        <w:b w:val="0"/>
        <w:i/>
        <w:color w:val="C0C0C0"/>
        <w:sz w:val="22"/>
      </w:rPr>
      <w:t>Forenet i mangfoldighed</w:t>
    </w:r>
    <w:r>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22685" w14:textId="77777777" w:rsidR="007A3F74" w:rsidRPr="00D55737" w:rsidRDefault="00656C62">
      <w:r w:rsidRPr="00D55737">
        <w:separator/>
      </w:r>
    </w:p>
  </w:footnote>
  <w:footnote w:type="continuationSeparator" w:id="0">
    <w:p w14:paraId="4DAF60B6" w14:textId="77777777" w:rsidR="007A3F74" w:rsidRPr="00D55737" w:rsidRDefault="00656C62">
      <w:r w:rsidRPr="00D55737">
        <w:continuationSeparator/>
      </w:r>
    </w:p>
  </w:footnote>
  <w:footnote w:id="1">
    <w:p w14:paraId="4A1CFFB9" w14:textId="77777777" w:rsidR="0037671C" w:rsidRPr="00D55737" w:rsidRDefault="00656C62" w:rsidP="0037671C">
      <w:pPr>
        <w:pStyle w:val="FootnoteText"/>
      </w:pPr>
      <w:r w:rsidRPr="00D55737">
        <w:rPr>
          <w:rStyle w:val="FootnoteReference"/>
        </w:rPr>
        <w:footnoteRef/>
      </w:r>
      <w:r w:rsidRPr="00D55737">
        <w:rPr>
          <w:rStyle w:val="FootnoteReference"/>
        </w:rPr>
        <w:t xml:space="preserve"> </w:t>
      </w:r>
      <w:r w:rsidRPr="00D55737">
        <w:t>Domstolens dom af 21.10.2008, Marra mod De Gregorio og Clemente, C-200/07 og C-201/07, ECLI:EU:C:2008:579; Rettens dom af 19. marts 2010, Gollnisch mod Parlamentet, T-42/06, ECLI:EU:T:2010:102; Domstolens dom af 6. september 2011, Patriciello, C-163/10, ECLI: EU:C:2011:543; Rettens dom af 17. januar 2013, Gollnisch mod Parlamentet, T-346/11 og T-347/11, ECLI:EU:T:2013:23; Domstolens dom af 19. december 2019, Junqueras Vies, C-502/19, ECLI:EU:C:2019:1115.</w:t>
      </w:r>
    </w:p>
  </w:footnote>
  <w:footnote w:id="2">
    <w:p w14:paraId="558B33B9" w14:textId="77777777" w:rsidR="0037671C" w:rsidRPr="00D55737" w:rsidRDefault="00656C62" w:rsidP="0037671C">
      <w:pPr>
        <w:pStyle w:val="FootnoteText"/>
      </w:pPr>
      <w:r w:rsidRPr="00D55737">
        <w:rPr>
          <w:rStyle w:val="FootnoteReference"/>
        </w:rPr>
        <w:footnoteRef/>
      </w:r>
      <w:r w:rsidRPr="00D55737">
        <w:rPr>
          <w:rStyle w:val="FootnoteReference"/>
        </w:rPr>
        <w:t xml:space="preserve"> </w:t>
      </w:r>
      <w:r w:rsidRPr="00D55737">
        <w:t>Rettens dom af 30. april 2019, Briois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68C4" w14:textId="77777777" w:rsidR="0093542C" w:rsidRDefault="009354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B585" w14:textId="77777777" w:rsidR="0093542C" w:rsidRDefault="009354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4551" w14:textId="77777777" w:rsidR="0093542C" w:rsidRDefault="009354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66049966">
    <w:abstractNumId w:val="9"/>
  </w:num>
  <w:num w:numId="2" w16cid:durableId="500123677">
    <w:abstractNumId w:val="9"/>
  </w:num>
  <w:num w:numId="3" w16cid:durableId="1251350794">
    <w:abstractNumId w:val="7"/>
  </w:num>
  <w:num w:numId="4" w16cid:durableId="538204988">
    <w:abstractNumId w:val="7"/>
  </w:num>
  <w:num w:numId="5" w16cid:durableId="75397706">
    <w:abstractNumId w:val="6"/>
  </w:num>
  <w:num w:numId="6" w16cid:durableId="1763794196">
    <w:abstractNumId w:val="6"/>
  </w:num>
  <w:num w:numId="7" w16cid:durableId="1933928331">
    <w:abstractNumId w:val="5"/>
  </w:num>
  <w:num w:numId="8" w16cid:durableId="1153915050">
    <w:abstractNumId w:val="5"/>
  </w:num>
  <w:num w:numId="9" w16cid:durableId="518348470">
    <w:abstractNumId w:val="4"/>
  </w:num>
  <w:num w:numId="10" w16cid:durableId="916595541">
    <w:abstractNumId w:val="4"/>
  </w:num>
  <w:num w:numId="11" w16cid:durableId="356584343">
    <w:abstractNumId w:val="8"/>
  </w:num>
  <w:num w:numId="12" w16cid:durableId="1006860297">
    <w:abstractNumId w:val="8"/>
  </w:num>
  <w:num w:numId="13" w16cid:durableId="2122459182">
    <w:abstractNumId w:val="3"/>
  </w:num>
  <w:num w:numId="14" w16cid:durableId="995376107">
    <w:abstractNumId w:val="3"/>
  </w:num>
  <w:num w:numId="15" w16cid:durableId="777532011">
    <w:abstractNumId w:val="2"/>
  </w:num>
  <w:num w:numId="16" w16cid:durableId="1760180310">
    <w:abstractNumId w:val="2"/>
  </w:num>
  <w:num w:numId="17" w16cid:durableId="650838489">
    <w:abstractNumId w:val="1"/>
  </w:num>
  <w:num w:numId="18" w16cid:durableId="1290627998">
    <w:abstractNumId w:val="1"/>
  </w:num>
  <w:num w:numId="19" w16cid:durableId="1948807813">
    <w:abstractNumId w:val="0"/>
  </w:num>
  <w:num w:numId="20" w16cid:durableId="668680220">
    <w:abstractNumId w:val="0"/>
  </w:num>
  <w:num w:numId="21" w16cid:durableId="1836257524">
    <w:abstractNumId w:val="9"/>
  </w:num>
  <w:num w:numId="22" w16cid:durableId="1973629948">
    <w:abstractNumId w:val="7"/>
  </w:num>
  <w:num w:numId="23" w16cid:durableId="993527861">
    <w:abstractNumId w:val="6"/>
  </w:num>
  <w:num w:numId="24" w16cid:durableId="1841920576">
    <w:abstractNumId w:val="5"/>
  </w:num>
  <w:num w:numId="25" w16cid:durableId="1499228666">
    <w:abstractNumId w:val="4"/>
  </w:num>
  <w:num w:numId="26" w16cid:durableId="438914760">
    <w:abstractNumId w:val="8"/>
  </w:num>
  <w:num w:numId="27" w16cid:durableId="1546600766">
    <w:abstractNumId w:val="3"/>
  </w:num>
  <w:num w:numId="28" w16cid:durableId="1523980013">
    <w:abstractNumId w:val="2"/>
  </w:num>
  <w:num w:numId="29" w16cid:durableId="729578024">
    <w:abstractNumId w:val="1"/>
  </w:num>
  <w:num w:numId="30" w16cid:durableId="812868156">
    <w:abstractNumId w:val="0"/>
  </w:num>
  <w:num w:numId="31" w16cid:durableId="1722942012">
    <w:abstractNumId w:val="9"/>
  </w:num>
  <w:num w:numId="32" w16cid:durableId="610166904">
    <w:abstractNumId w:val="7"/>
  </w:num>
  <w:num w:numId="33" w16cid:durableId="471598544">
    <w:abstractNumId w:val="6"/>
  </w:num>
  <w:num w:numId="34" w16cid:durableId="703290029">
    <w:abstractNumId w:val="5"/>
  </w:num>
  <w:num w:numId="35" w16cid:durableId="196478196">
    <w:abstractNumId w:val="4"/>
  </w:num>
  <w:num w:numId="36" w16cid:durableId="457837999">
    <w:abstractNumId w:val="8"/>
  </w:num>
  <w:num w:numId="37" w16cid:durableId="1081296137">
    <w:abstractNumId w:val="3"/>
  </w:num>
  <w:num w:numId="38" w16cid:durableId="580678148">
    <w:abstractNumId w:val="2"/>
  </w:num>
  <w:num w:numId="39" w16cid:durableId="30228065">
    <w:abstractNumId w:val="1"/>
  </w:num>
  <w:num w:numId="40" w16cid:durableId="1066031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10/04/2026"/>
    <w:docVar w:name="EPPOMNU" w:val=" 1"/>
    <w:docVar w:name="HEARDMNU" w:val=" 1"/>
    <w:docVar w:name="JUDGMNU@" w:val=" 2"/>
    <w:docVar w:name="LastEditedSection" w:val=" 1"/>
    <w:docVar w:name="PLENARYDT" w:val="10/04/2026"/>
    <w:docVar w:name="REQUESTDT" w:val="10/04/2026"/>
    <w:docVar w:name="strDocTypeID" w:val="PR_IMM_Waiver"/>
    <w:docVar w:name="strSubDir" w:val="1343"/>
    <w:docVar w:name="TXTAUTHOR" w:val="Marcin Sypniewski"/>
    <w:docVar w:name="TXTLANGUE" w:val="DA"/>
    <w:docVar w:name="TXTLANGUEMIN" w:val="da"/>
    <w:docVar w:name="TXTNAME" w:val="Nikos Pappas"/>
    <w:docVar w:name="TXTNRIMM" w:val="2025/2234"/>
    <w:docVar w:name="TXTNRPE" w:val="786.974"/>
    <w:docVar w:name="TXTPEorAP" w:val="PE"/>
    <w:docVar w:name="TXTROUTE" w:val="RR\1343292DA.docx"/>
    <w:docVar w:name="TXTVERSION" w:val="03-00"/>
    <w:docVar w:name="WAIVEMNU" w:val=" 1"/>
  </w:docVars>
  <w:rsids>
    <w:rsidRoot w:val="007A3F74"/>
    <w:rsid w:val="00044B9B"/>
    <w:rsid w:val="00060E63"/>
    <w:rsid w:val="0006105E"/>
    <w:rsid w:val="00080B89"/>
    <w:rsid w:val="00097D6F"/>
    <w:rsid w:val="000C0CAA"/>
    <w:rsid w:val="000E36C4"/>
    <w:rsid w:val="00114131"/>
    <w:rsid w:val="00142D49"/>
    <w:rsid w:val="001D24BD"/>
    <w:rsid w:val="001F5613"/>
    <w:rsid w:val="00205304"/>
    <w:rsid w:val="00215FF9"/>
    <w:rsid w:val="0022121A"/>
    <w:rsid w:val="0023430B"/>
    <w:rsid w:val="002442B3"/>
    <w:rsid w:val="00250733"/>
    <w:rsid w:val="00273EFB"/>
    <w:rsid w:val="00285706"/>
    <w:rsid w:val="002915E6"/>
    <w:rsid w:val="0029288E"/>
    <w:rsid w:val="00296EB6"/>
    <w:rsid w:val="002D1E42"/>
    <w:rsid w:val="00301E7D"/>
    <w:rsid w:val="00326E87"/>
    <w:rsid w:val="0035402F"/>
    <w:rsid w:val="0035595E"/>
    <w:rsid w:val="0037671C"/>
    <w:rsid w:val="00392A3D"/>
    <w:rsid w:val="003B1888"/>
    <w:rsid w:val="003D30B4"/>
    <w:rsid w:val="003E24B5"/>
    <w:rsid w:val="00414AA0"/>
    <w:rsid w:val="00431EC1"/>
    <w:rsid w:val="004433B2"/>
    <w:rsid w:val="0044752A"/>
    <w:rsid w:val="004502C8"/>
    <w:rsid w:val="0045635E"/>
    <w:rsid w:val="00493F90"/>
    <w:rsid w:val="004E363A"/>
    <w:rsid w:val="004E7774"/>
    <w:rsid w:val="00503AC2"/>
    <w:rsid w:val="005922F7"/>
    <w:rsid w:val="005B5955"/>
    <w:rsid w:val="00627F06"/>
    <w:rsid w:val="00633DF2"/>
    <w:rsid w:val="00644B86"/>
    <w:rsid w:val="00656C62"/>
    <w:rsid w:val="00681E33"/>
    <w:rsid w:val="006A1780"/>
    <w:rsid w:val="006C038C"/>
    <w:rsid w:val="00736D0A"/>
    <w:rsid w:val="007470A8"/>
    <w:rsid w:val="00752B65"/>
    <w:rsid w:val="00753DFC"/>
    <w:rsid w:val="007613CD"/>
    <w:rsid w:val="0076428C"/>
    <w:rsid w:val="00771E7F"/>
    <w:rsid w:val="00780317"/>
    <w:rsid w:val="0078039D"/>
    <w:rsid w:val="00785C52"/>
    <w:rsid w:val="00797CAE"/>
    <w:rsid w:val="007A3F74"/>
    <w:rsid w:val="007A7BF5"/>
    <w:rsid w:val="007C040A"/>
    <w:rsid w:val="007D49EE"/>
    <w:rsid w:val="007E434A"/>
    <w:rsid w:val="007F4D6A"/>
    <w:rsid w:val="008376BE"/>
    <w:rsid w:val="008436E0"/>
    <w:rsid w:val="00851E2C"/>
    <w:rsid w:val="00867D72"/>
    <w:rsid w:val="00872381"/>
    <w:rsid w:val="008C259D"/>
    <w:rsid w:val="008D1236"/>
    <w:rsid w:val="008D1C36"/>
    <w:rsid w:val="008E6FB9"/>
    <w:rsid w:val="008F39C8"/>
    <w:rsid w:val="0091636F"/>
    <w:rsid w:val="0093542C"/>
    <w:rsid w:val="009442F2"/>
    <w:rsid w:val="0094666F"/>
    <w:rsid w:val="009915DD"/>
    <w:rsid w:val="009A4162"/>
    <w:rsid w:val="009B47E5"/>
    <w:rsid w:val="009D54A6"/>
    <w:rsid w:val="009E7AD9"/>
    <w:rsid w:val="009F5083"/>
    <w:rsid w:val="009F55EA"/>
    <w:rsid w:val="00A33B09"/>
    <w:rsid w:val="00A45926"/>
    <w:rsid w:val="00A63BDB"/>
    <w:rsid w:val="00A87FB0"/>
    <w:rsid w:val="00AA7D88"/>
    <w:rsid w:val="00AB1E20"/>
    <w:rsid w:val="00AB3EA7"/>
    <w:rsid w:val="00B24A96"/>
    <w:rsid w:val="00B305EC"/>
    <w:rsid w:val="00B37A07"/>
    <w:rsid w:val="00B61BA7"/>
    <w:rsid w:val="00B73433"/>
    <w:rsid w:val="00B76A78"/>
    <w:rsid w:val="00B804DC"/>
    <w:rsid w:val="00B81D30"/>
    <w:rsid w:val="00BA12B5"/>
    <w:rsid w:val="00BD34CF"/>
    <w:rsid w:val="00BE1054"/>
    <w:rsid w:val="00C42BD9"/>
    <w:rsid w:val="00C66DE6"/>
    <w:rsid w:val="00C85D0F"/>
    <w:rsid w:val="00CB158E"/>
    <w:rsid w:val="00CC662F"/>
    <w:rsid w:val="00CD25E0"/>
    <w:rsid w:val="00CE5349"/>
    <w:rsid w:val="00CF16EE"/>
    <w:rsid w:val="00D1021A"/>
    <w:rsid w:val="00D55737"/>
    <w:rsid w:val="00D8214F"/>
    <w:rsid w:val="00DA032C"/>
    <w:rsid w:val="00DA67D6"/>
    <w:rsid w:val="00DB1E47"/>
    <w:rsid w:val="00DD480D"/>
    <w:rsid w:val="00DF74F0"/>
    <w:rsid w:val="00E114BC"/>
    <w:rsid w:val="00EC401F"/>
    <w:rsid w:val="00ED1601"/>
    <w:rsid w:val="00F03A29"/>
    <w:rsid w:val="00F05AB2"/>
    <w:rsid w:val="00F452C6"/>
    <w:rsid w:val="00F81900"/>
    <w:rsid w:val="00F857A1"/>
    <w:rsid w:val="00FA4CD8"/>
    <w:rsid w:val="00FB5B0C"/>
    <w:rsid w:val="00FD1F04"/>
    <w:rsid w:val="00FF7E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4F38C"/>
  <w15:chartTrackingRefBased/>
  <w15:docId w15:val="{E7429305-94F2-4A62-8EA0-08C07A9A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unhideWhenUsed/>
    <w:rsid w:val="007470A8"/>
    <w:rPr>
      <w:sz w:val="20"/>
    </w:rPr>
  </w:style>
  <w:style w:type="character" w:customStyle="1" w:styleId="FootnoteTextChar">
    <w:name w:val="Footnote Text Char"/>
    <w:basedOn w:val="DefaultParagraphFont"/>
    <w:link w:val="FootnoteText"/>
    <w:rsid w:val="007470A8"/>
  </w:style>
  <w:style w:type="character" w:styleId="FootnoteReference">
    <w:name w:val="footnote reference"/>
    <w:basedOn w:val="DefaultParagraphFont"/>
    <w:unhideWhenUsed/>
    <w:rsid w:val="007470A8"/>
    <w:rPr>
      <w:vertAlign w:val="superscript"/>
    </w:rPr>
  </w:style>
  <w:style w:type="paragraph" w:styleId="Footer">
    <w:name w:val="footer"/>
    <w:basedOn w:val="Normal"/>
    <w:link w:val="FooterChar"/>
    <w:semiHidden/>
    <w:rsid w:val="00CD25E0"/>
    <w:pPr>
      <w:tabs>
        <w:tab w:val="center" w:pos="4513"/>
        <w:tab w:val="right" w:pos="9026"/>
      </w:tabs>
    </w:pPr>
  </w:style>
  <w:style w:type="character" w:customStyle="1" w:styleId="FooterChar">
    <w:name w:val="Footer Char"/>
    <w:basedOn w:val="DefaultParagraphFont"/>
    <w:link w:val="Footer"/>
    <w:semiHidden/>
    <w:rsid w:val="00CD25E0"/>
    <w:rPr>
      <w:sz w:val="24"/>
    </w:rPr>
  </w:style>
  <w:style w:type="paragraph" w:styleId="Revision">
    <w:name w:val="Revision"/>
    <w:hidden/>
    <w:uiPriority w:val="99"/>
    <w:semiHidden/>
    <w:rsid w:val="00B61BA7"/>
    <w:rPr>
      <w:sz w:val="24"/>
    </w:rPr>
  </w:style>
  <w:style w:type="character" w:styleId="CommentReference">
    <w:name w:val="annotation reference"/>
    <w:basedOn w:val="DefaultParagraphFont"/>
    <w:rsid w:val="00414AA0"/>
    <w:rPr>
      <w:sz w:val="16"/>
      <w:szCs w:val="16"/>
    </w:rPr>
  </w:style>
  <w:style w:type="paragraph" w:styleId="CommentText">
    <w:name w:val="annotation text"/>
    <w:basedOn w:val="Normal"/>
    <w:link w:val="CommentTextChar"/>
    <w:rsid w:val="00414AA0"/>
    <w:rPr>
      <w:sz w:val="20"/>
    </w:rPr>
  </w:style>
  <w:style w:type="character" w:customStyle="1" w:styleId="CommentTextChar">
    <w:name w:val="Comment Text Char"/>
    <w:basedOn w:val="DefaultParagraphFont"/>
    <w:link w:val="CommentText"/>
    <w:rsid w:val="00414AA0"/>
  </w:style>
  <w:style w:type="paragraph" w:styleId="CommentSubject">
    <w:name w:val="annotation subject"/>
    <w:basedOn w:val="CommentText"/>
    <w:next w:val="CommentText"/>
    <w:link w:val="CommentSubjectChar"/>
    <w:semiHidden/>
    <w:unhideWhenUsed/>
    <w:rsid w:val="00414AA0"/>
    <w:rPr>
      <w:b/>
      <w:bCs/>
    </w:rPr>
  </w:style>
  <w:style w:type="character" w:customStyle="1" w:styleId="CommentSubjectChar">
    <w:name w:val="Comment Subject Char"/>
    <w:basedOn w:val="CommentTextChar"/>
    <w:link w:val="CommentSubject"/>
    <w:semiHidden/>
    <w:rsid w:val="00414AA0"/>
    <w:rPr>
      <w:b/>
      <w:bCs/>
    </w:rPr>
  </w:style>
  <w:style w:type="character" w:styleId="Hyperlink">
    <w:name w:val="Hyperlink"/>
    <w:basedOn w:val="DefaultParagraphFont"/>
    <w:rsid w:val="00414AA0"/>
    <w:rPr>
      <w:color w:val="0563C1" w:themeColor="hyperlink"/>
      <w:u w:val="single"/>
    </w:rPr>
  </w:style>
  <w:style w:type="character" w:styleId="UnresolvedMention">
    <w:name w:val="Unresolved Mention"/>
    <w:basedOn w:val="DefaultParagraphFont"/>
    <w:uiPriority w:val="99"/>
    <w:semiHidden/>
    <w:unhideWhenUsed/>
    <w:rsid w:val="00414AA0"/>
    <w:rPr>
      <w:color w:val="605E5C"/>
      <w:shd w:val="clear" w:color="auto" w:fill="E1DFDD"/>
    </w:rPr>
  </w:style>
  <w:style w:type="character" w:styleId="FollowedHyperlink">
    <w:name w:val="FollowedHyperlink"/>
    <w:basedOn w:val="DefaultParagraphFont"/>
    <w:rsid w:val="00B24A96"/>
    <w:rPr>
      <w:color w:val="954F72" w:themeColor="followedHyperlink"/>
      <w:u w:val="single"/>
    </w:rPr>
  </w:style>
  <w:style w:type="paragraph" w:customStyle="1" w:styleId="CoverReference">
    <w:name w:val="CoverReference"/>
    <w:basedOn w:val="Normal"/>
    <w:rsid w:val="00BA12B5"/>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743</Words>
  <Characters>4269</Characters>
  <Application>Microsoft Office Word</Application>
  <DocSecurity>0</DocSecurity>
  <Lines>106</Lines>
  <Paragraphs>57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ZAHARIE Ana Maria</dc:creator>
  <cp:lastModifiedBy>HEINSOEE Katja</cp:lastModifiedBy>
  <cp:revision>2</cp:revision>
  <cp:lastPrinted>2026-04-14T09:48:00Z</cp:lastPrinted>
  <dcterms:created xsi:type="dcterms:W3CDTF">2026-05-13T05:27:00Z</dcterms:created>
  <dcterms:modified xsi:type="dcterms:W3CDTF">2026-05-13T05:27:00Z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1343292</vt:lpwstr>
  </property>
  <property fmtid="{D5CDD505-2E9C-101B-9397-08002B2CF9AE}" pid="4" name="&lt;Model&gt;">
    <vt:lpwstr>PR_IMM_Waiver</vt:lpwstr>
  </property>
  <property fmtid="{D5CDD505-2E9C-101B-9397-08002B2CF9AE}" pid="5" name="&lt;ModelCod&gt;">
    <vt:lpwstr>\\eiciLUXpr1\pdocep$\DocEP\DOCS\General\PR\PR_NonLeg\IMM\PR_IMM_Waiver.dotx(26/05/2023 17:52:03)</vt:lpwstr>
  </property>
  <property fmtid="{D5CDD505-2E9C-101B-9397-08002B2CF9AE}" pid="6" name="&lt;ModelTra&gt;">
    <vt:lpwstr>\\eiciLUXpr1\pdocep$\DocEP\TRANSFIL\EN\PR_IMM_Waiver.EN(05/08/2025 16:25:00)</vt:lpwstr>
  </property>
  <property fmtid="{D5CDD505-2E9C-101B-9397-08002B2CF9AE}" pid="7" name="&lt;Type&gt;">
    <vt:lpwstr>RR</vt:lpwstr>
  </property>
  <property fmtid="{D5CDD505-2E9C-101B-9397-08002B2CF9AE}" pid="8" name="Bookout">
    <vt:lpwstr>OK - 2026/05/13 07:27</vt:lpwstr>
  </property>
  <property fmtid="{D5CDD505-2E9C-101B-9397-08002B2CF9AE}" pid="9" name="Created with">
    <vt:lpwstr>10.2.1 Build [20260301]</vt:lpwstr>
  </property>
  <property fmtid="{D5CDD505-2E9C-101B-9397-08002B2CF9AE}" pid="10" name="FooterPath">
    <vt:lpwstr>RR\1343292DA.docx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786.974</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- 2026/04/27 15:47</vt:lpwstr>
  </property>
</Properties>
</file>