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5306B" w:rsidRPr="00670EE7" w14:paraId="092D0110" w14:textId="77777777" w:rsidTr="00C85D0F">
        <w:trPr>
          <w:trHeight w:hRule="exact" w:val="1418"/>
        </w:trPr>
        <w:tc>
          <w:tcPr>
            <w:tcW w:w="6804" w:type="dxa"/>
            <w:shd w:val="clear" w:color="auto" w:fill="auto"/>
            <w:vAlign w:val="center"/>
          </w:tcPr>
          <w:p w14:paraId="36459C2B" w14:textId="77777777" w:rsidR="00CF16EE" w:rsidRPr="00670EE7" w:rsidRDefault="00B6787B" w:rsidP="00526E70">
            <w:pPr>
              <w:pStyle w:val="EPName"/>
              <w:widowControl/>
            </w:pPr>
            <w:r w:rsidRPr="00670EE7">
              <w:t>Parlamento Europeo</w:t>
            </w:r>
          </w:p>
          <w:p w14:paraId="2784E3E8" w14:textId="77777777" w:rsidR="00CF16EE" w:rsidRPr="00670EE7" w:rsidRDefault="00B6787B" w:rsidP="00526E70">
            <w:pPr>
              <w:pStyle w:val="EPTerm"/>
              <w:widowControl/>
            </w:pPr>
            <w:r w:rsidRPr="00670EE7">
              <w:t>2024-2029</w:t>
            </w:r>
          </w:p>
        </w:tc>
        <w:tc>
          <w:tcPr>
            <w:tcW w:w="2268" w:type="dxa"/>
            <w:shd w:val="clear" w:color="auto" w:fill="auto"/>
          </w:tcPr>
          <w:p w14:paraId="3027FD4B" w14:textId="77777777" w:rsidR="00CF16EE" w:rsidRPr="00670EE7" w:rsidRDefault="00B6787B" w:rsidP="00526E70">
            <w:pPr>
              <w:pStyle w:val="EPLogo"/>
              <w:widowControl/>
            </w:pPr>
            <w:r w:rsidRPr="00670EE7">
              <w:rPr>
                <w:noProof/>
              </w:rPr>
              <w:drawing>
                <wp:inline distT="0" distB="0" distL="0" distR="0" wp14:anchorId="0197C0C7" wp14:editId="35CB50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E8E7BFC" w14:textId="77777777" w:rsidR="00215FF9" w:rsidRPr="00670EE7" w:rsidRDefault="00215FF9" w:rsidP="00526E70">
      <w:pPr>
        <w:pStyle w:val="LineTop"/>
        <w:widowControl/>
      </w:pPr>
    </w:p>
    <w:p w14:paraId="5B373CB9" w14:textId="77777777" w:rsidR="00215FF9" w:rsidRPr="00670EE7" w:rsidRDefault="00B6787B" w:rsidP="00526E70">
      <w:pPr>
        <w:pStyle w:val="EPBody"/>
        <w:widowControl/>
      </w:pPr>
      <w:r w:rsidRPr="00670EE7">
        <w:t>Documento de sesión</w:t>
      </w:r>
    </w:p>
    <w:p w14:paraId="71217EAA" w14:textId="77777777" w:rsidR="00215FF9" w:rsidRPr="00670EE7" w:rsidRDefault="00215FF9" w:rsidP="00526E70">
      <w:pPr>
        <w:pStyle w:val="LineBottom"/>
        <w:widowControl/>
      </w:pPr>
    </w:p>
    <w:p w14:paraId="2D052A75" w14:textId="77777777" w:rsidR="005922F7" w:rsidRPr="00670EE7" w:rsidRDefault="00B6787B" w:rsidP="00526E70">
      <w:pPr>
        <w:pStyle w:val="CoverReference"/>
        <w:widowControl/>
      </w:pPr>
      <w:r w:rsidRPr="00670EE7">
        <w:rPr>
          <w:rStyle w:val="HideTWBExt"/>
        </w:rPr>
        <w:t>&lt;NoDocSe&gt;</w:t>
      </w:r>
      <w:r w:rsidRPr="00670EE7">
        <w:t>A10-0128/2026</w:t>
      </w:r>
      <w:r w:rsidRPr="00670EE7">
        <w:rPr>
          <w:rStyle w:val="HideTWBExt"/>
        </w:rPr>
        <w:t>&lt;/NoDocSe&gt;</w:t>
      </w:r>
    </w:p>
    <w:p w14:paraId="3A3A9728" w14:textId="77777777" w:rsidR="005922F7" w:rsidRPr="00670EE7" w:rsidRDefault="00B6787B" w:rsidP="00526E70">
      <w:pPr>
        <w:pStyle w:val="CoverDate"/>
        <w:widowControl/>
      </w:pPr>
      <w:r w:rsidRPr="00670EE7">
        <w:rPr>
          <w:rStyle w:val="HideTWBExt"/>
        </w:rPr>
        <w:t>&lt;Date&gt;</w:t>
      </w:r>
      <w:r w:rsidRPr="00670EE7">
        <w:rPr>
          <w:rStyle w:val="HideTWBInt"/>
          <w:color w:val="auto"/>
        </w:rPr>
        <w:t>{06/05/2026}</w:t>
      </w:r>
      <w:r w:rsidRPr="00670EE7">
        <w:t>6.5.2026</w:t>
      </w:r>
      <w:r w:rsidRPr="00670EE7">
        <w:rPr>
          <w:rStyle w:val="HideTWBExt"/>
        </w:rPr>
        <w:t>&lt;/Date&gt;</w:t>
      </w:r>
    </w:p>
    <w:p w14:paraId="74C5AC66" w14:textId="77777777" w:rsidR="00142D49" w:rsidRPr="00670EE7" w:rsidRDefault="00B6787B" w:rsidP="00526E70">
      <w:pPr>
        <w:pStyle w:val="CoverDocType24a"/>
        <w:widowControl/>
      </w:pPr>
      <w:r w:rsidRPr="00670EE7">
        <w:rPr>
          <w:rStyle w:val="HideTWBExt"/>
          <w:b w:val="0"/>
        </w:rPr>
        <w:t>&lt;TitreType&gt;</w:t>
      </w:r>
      <w:r w:rsidRPr="00670EE7">
        <w:t>INFORME</w:t>
      </w:r>
      <w:r w:rsidRPr="00670EE7">
        <w:rPr>
          <w:rStyle w:val="HideTWBExt"/>
          <w:b w:val="0"/>
        </w:rPr>
        <w:t>&lt;/TitreType&gt;</w:t>
      </w:r>
    </w:p>
    <w:p w14:paraId="5E73C136" w14:textId="77777777" w:rsidR="00142D49" w:rsidRPr="00670EE7" w:rsidRDefault="00B6787B" w:rsidP="00526E70">
      <w:pPr>
        <w:pStyle w:val="CoverNormal"/>
        <w:widowControl/>
      </w:pPr>
      <w:r w:rsidRPr="00670EE7">
        <w:rPr>
          <w:rStyle w:val="HideTWBExt"/>
        </w:rPr>
        <w:t>&lt;Titre&gt;</w:t>
      </w:r>
      <w:r w:rsidRPr="00670EE7">
        <w:t>sobre el suplicatorio de suspensión de la inmunidad de Nikos Pappas</w:t>
      </w:r>
      <w:r w:rsidRPr="00670EE7">
        <w:rPr>
          <w:rStyle w:val="HideTWBExt"/>
        </w:rPr>
        <w:t>&lt;/Titre&gt;</w:t>
      </w:r>
    </w:p>
    <w:p w14:paraId="19C80DB6" w14:textId="77777777" w:rsidR="00142D49" w:rsidRPr="00670EE7" w:rsidRDefault="00B6787B" w:rsidP="00526E70">
      <w:pPr>
        <w:pStyle w:val="CoverNormal24a"/>
        <w:widowControl/>
      </w:pPr>
      <w:r w:rsidRPr="00670EE7">
        <w:rPr>
          <w:rStyle w:val="HideTWBExt"/>
        </w:rPr>
        <w:t>&lt;DocRef&gt;</w:t>
      </w:r>
      <w:r w:rsidRPr="00670EE7">
        <w:t>(2025/2234(IMM))</w:t>
      </w:r>
      <w:r w:rsidRPr="00670EE7">
        <w:rPr>
          <w:rStyle w:val="HideTWBExt"/>
        </w:rPr>
        <w:t>&lt;/DocRef&gt;</w:t>
      </w:r>
    </w:p>
    <w:p w14:paraId="2AC2B178" w14:textId="77777777" w:rsidR="00142D49" w:rsidRPr="00670EE7" w:rsidRDefault="00B6787B" w:rsidP="00526E70">
      <w:pPr>
        <w:pStyle w:val="CoverNormal24a"/>
        <w:widowControl/>
      </w:pPr>
      <w:r w:rsidRPr="00670EE7">
        <w:rPr>
          <w:rStyle w:val="HideTWBExt"/>
        </w:rPr>
        <w:t>&lt;Commission&gt;</w:t>
      </w:r>
      <w:r w:rsidRPr="00670EE7">
        <w:rPr>
          <w:rStyle w:val="HideTWBInt"/>
          <w:color w:val="auto"/>
        </w:rPr>
        <w:t>{JURI}</w:t>
      </w:r>
      <w:r w:rsidRPr="00670EE7">
        <w:t>Comisión de Asuntos Jurídicos</w:t>
      </w:r>
      <w:r w:rsidRPr="00670EE7">
        <w:rPr>
          <w:rStyle w:val="HideTWBExt"/>
        </w:rPr>
        <w:t>&lt;/Commission&gt;</w:t>
      </w:r>
    </w:p>
    <w:p w14:paraId="0A1F24D6" w14:textId="77777777" w:rsidR="00142D49" w:rsidRPr="00670EE7" w:rsidRDefault="00B6787B" w:rsidP="00526E70">
      <w:pPr>
        <w:pStyle w:val="CoverNormal24a"/>
        <w:widowControl/>
      </w:pPr>
      <w:r w:rsidRPr="00670EE7">
        <w:t xml:space="preserve">Ponente: </w:t>
      </w:r>
      <w:r w:rsidRPr="00670EE7">
        <w:rPr>
          <w:rStyle w:val="HideTWBExt"/>
        </w:rPr>
        <w:t>&lt;Depute&gt;</w:t>
      </w:r>
      <w:r w:rsidRPr="00670EE7">
        <w:t>Marcin Sypniewski</w:t>
      </w:r>
      <w:r w:rsidRPr="00670EE7">
        <w:rPr>
          <w:rStyle w:val="HideTWBExt"/>
        </w:rPr>
        <w:t>&lt;/Depute&gt;</w:t>
      </w:r>
    </w:p>
    <w:p w14:paraId="67D4C9DB" w14:textId="77777777" w:rsidR="00142D49" w:rsidRPr="00670EE7" w:rsidRDefault="00B6787B" w:rsidP="00526E70">
      <w:pPr>
        <w:widowControl/>
        <w:tabs>
          <w:tab w:val="center" w:pos="4677"/>
        </w:tabs>
      </w:pPr>
      <w:r w:rsidRPr="00670EE7">
        <w:br w:type="page"/>
      </w:r>
      <w:r w:rsidRPr="00670EE7">
        <w:lastRenderedPageBreak/>
        <w:t>PR_IMM_Waiver</w:t>
      </w:r>
    </w:p>
    <w:p w14:paraId="6950C586" w14:textId="77777777" w:rsidR="00142D49" w:rsidRPr="00670EE7" w:rsidRDefault="00B6787B" w:rsidP="00526E70">
      <w:pPr>
        <w:pStyle w:val="TOCHeading"/>
        <w:widowControl/>
      </w:pPr>
      <w:r w:rsidRPr="00670EE7">
        <w:t>ÍNDICE</w:t>
      </w:r>
    </w:p>
    <w:p w14:paraId="5AB6A641" w14:textId="77777777" w:rsidR="00142D49" w:rsidRPr="00670EE7" w:rsidRDefault="00B6787B" w:rsidP="00526E70">
      <w:pPr>
        <w:pStyle w:val="TOCPage"/>
        <w:widowControl/>
      </w:pPr>
      <w:r w:rsidRPr="00670EE7">
        <w:t>Página</w:t>
      </w:r>
    </w:p>
    <w:p w14:paraId="68448D25" w14:textId="610FA01C" w:rsidR="00526E70" w:rsidRDefault="00B6787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70EE7">
        <w:fldChar w:fldCharType="begin"/>
      </w:r>
      <w:r w:rsidRPr="00670EE7">
        <w:instrText xml:space="preserve"> TOC \t "PageHeading</w:instrText>
      </w:r>
      <w:r w:rsidR="00211AA7" w:rsidRPr="00670EE7">
        <w:instrText>;</w:instrText>
      </w:r>
      <w:r w:rsidRPr="00670EE7">
        <w:instrText xml:space="preserve">1" </w:instrText>
      </w:r>
      <w:r w:rsidRPr="00670EE7">
        <w:fldChar w:fldCharType="separate"/>
      </w:r>
      <w:r w:rsidR="00526E70">
        <w:rPr>
          <w:noProof/>
        </w:rPr>
        <w:t>PROPUESTA DE DECISIÓN DEL PARLAMENTO EUROPEO</w:t>
      </w:r>
      <w:r w:rsidR="00526E70">
        <w:rPr>
          <w:noProof/>
        </w:rPr>
        <w:tab/>
      </w:r>
      <w:r w:rsidR="00526E70">
        <w:rPr>
          <w:noProof/>
        </w:rPr>
        <w:fldChar w:fldCharType="begin"/>
      </w:r>
      <w:r w:rsidR="00526E70">
        <w:rPr>
          <w:noProof/>
        </w:rPr>
        <w:instrText xml:space="preserve"> PAGEREF _Toc228977354 \h </w:instrText>
      </w:r>
      <w:r w:rsidR="00526E70">
        <w:rPr>
          <w:noProof/>
        </w:rPr>
      </w:r>
      <w:r w:rsidR="00526E70">
        <w:rPr>
          <w:noProof/>
        </w:rPr>
        <w:fldChar w:fldCharType="separate"/>
      </w:r>
      <w:r w:rsidR="00526E70">
        <w:rPr>
          <w:noProof/>
        </w:rPr>
        <w:t>3</w:t>
      </w:r>
      <w:r w:rsidR="00526E70">
        <w:rPr>
          <w:noProof/>
        </w:rPr>
        <w:fldChar w:fldCharType="end"/>
      </w:r>
    </w:p>
    <w:p w14:paraId="28E7C000" w14:textId="17D29099" w:rsidR="00526E70" w:rsidRDefault="00526E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INFORMACIÓN SOBRE LA APROBACIÓN EN LA COMISIÓN COMPETENTE PARA EL FONDO</w:t>
      </w:r>
      <w:r>
        <w:rPr>
          <w:noProof/>
        </w:rPr>
        <w:tab/>
      </w:r>
      <w:r>
        <w:rPr>
          <w:noProof/>
        </w:rPr>
        <w:fldChar w:fldCharType="begin"/>
      </w:r>
      <w:r>
        <w:rPr>
          <w:noProof/>
        </w:rPr>
        <w:instrText xml:space="preserve"> PAGEREF _Toc228977355 \h </w:instrText>
      </w:r>
      <w:r>
        <w:rPr>
          <w:noProof/>
        </w:rPr>
      </w:r>
      <w:r>
        <w:rPr>
          <w:noProof/>
        </w:rPr>
        <w:fldChar w:fldCharType="separate"/>
      </w:r>
      <w:r>
        <w:rPr>
          <w:noProof/>
        </w:rPr>
        <w:t>5</w:t>
      </w:r>
      <w:r>
        <w:rPr>
          <w:noProof/>
        </w:rPr>
        <w:fldChar w:fldCharType="end"/>
      </w:r>
    </w:p>
    <w:p w14:paraId="2F1A9A08" w14:textId="5DBD87A1" w:rsidR="0006105E" w:rsidRPr="00670EE7" w:rsidRDefault="00B6787B" w:rsidP="00526E70">
      <w:pPr>
        <w:widowControl/>
      </w:pPr>
      <w:r w:rsidRPr="00670EE7">
        <w:fldChar w:fldCharType="end"/>
      </w:r>
    </w:p>
    <w:p w14:paraId="2A93DF0D" w14:textId="77777777" w:rsidR="00142D49" w:rsidRPr="00670EE7" w:rsidRDefault="00B6787B" w:rsidP="00526E70">
      <w:pPr>
        <w:pStyle w:val="PageHeading"/>
        <w:widowControl/>
      </w:pPr>
      <w:r w:rsidRPr="00670EE7">
        <w:br w:type="page"/>
      </w:r>
      <w:bookmarkStart w:id="0" w:name="_Toc228977354"/>
      <w:r w:rsidRPr="00670EE7">
        <w:lastRenderedPageBreak/>
        <w:t>PROPUESTA DE DECISIÓN DEL PARLAMENTO EUROPEO</w:t>
      </w:r>
      <w:bookmarkEnd w:id="0"/>
    </w:p>
    <w:p w14:paraId="05E0CDC4" w14:textId="77777777" w:rsidR="00142D49" w:rsidRPr="00670EE7" w:rsidRDefault="00B6787B" w:rsidP="00526E70">
      <w:pPr>
        <w:pStyle w:val="NormalBold"/>
        <w:widowControl/>
      </w:pPr>
      <w:r w:rsidRPr="00670EE7">
        <w:t>sobre el suplicatorio de suspensión de la inmunidad de Nikos Pappas</w:t>
      </w:r>
    </w:p>
    <w:p w14:paraId="1C429C17" w14:textId="77777777" w:rsidR="00142D49" w:rsidRPr="00670EE7" w:rsidRDefault="00B6787B" w:rsidP="00526E70">
      <w:pPr>
        <w:pStyle w:val="NormalBold"/>
        <w:widowControl/>
      </w:pPr>
      <w:r w:rsidRPr="00670EE7">
        <w:t>(2025/2234 (IMM))</w:t>
      </w:r>
    </w:p>
    <w:p w14:paraId="426AE790" w14:textId="77777777" w:rsidR="00142D49" w:rsidRPr="00670EE7" w:rsidRDefault="00B6787B" w:rsidP="00526E70">
      <w:pPr>
        <w:pStyle w:val="EPComma"/>
        <w:widowControl/>
      </w:pPr>
      <w:r w:rsidRPr="00670EE7">
        <w:rPr>
          <w:i/>
          <w:iCs/>
        </w:rPr>
        <w:t>El Parlamento Europeo</w:t>
      </w:r>
      <w:r w:rsidRPr="00670EE7">
        <w:t>,</w:t>
      </w:r>
    </w:p>
    <w:p w14:paraId="1A42448D" w14:textId="77777777" w:rsidR="0037671C" w:rsidRPr="00670EE7" w:rsidRDefault="00B6787B" w:rsidP="00526E70">
      <w:pPr>
        <w:pStyle w:val="NormalHanging12a"/>
        <w:widowControl/>
      </w:pPr>
      <w:r w:rsidRPr="00670EE7">
        <w:t>–</w:t>
      </w:r>
      <w:r w:rsidRPr="00670EE7">
        <w:tab/>
        <w:t>Visto el suplicatorio de suspensión de la inmunidad de Nikos Pappas, recibido mediante carta, el 7 de octubre de 2025, de la fiscal general adjunta del Tribunal Supremo de Grecia, por la que se transmitía un suplicatorio presentado por la Fiscalía del Tribunal de Primera Instancia de Atenas, en relación con el procedimiento penal que debe incoarse contra él, y comunicado al Pleno el 12 de noviembre de 2025,</w:t>
      </w:r>
    </w:p>
    <w:p w14:paraId="7B4C8267" w14:textId="77777777" w:rsidR="0037671C" w:rsidRPr="00670EE7" w:rsidRDefault="00B6787B" w:rsidP="00526E70">
      <w:pPr>
        <w:pStyle w:val="NormalHanging12a"/>
        <w:widowControl/>
      </w:pPr>
      <w:r w:rsidRPr="00670EE7">
        <w:t>–</w:t>
      </w:r>
      <w:r w:rsidRPr="00670EE7">
        <w:tab/>
        <w:t xml:space="preserve">Previa audiencia a Nikos Pappas el 15 de abril de 2026, de conformidad con el artículo 9, apartado 6, de su Reglamento interno, </w:t>
      </w:r>
    </w:p>
    <w:p w14:paraId="41339790" w14:textId="77777777" w:rsidR="0037671C" w:rsidRPr="00670EE7" w:rsidRDefault="00B6787B" w:rsidP="00526E70">
      <w:pPr>
        <w:pStyle w:val="NormalHanging12a"/>
        <w:widowControl/>
      </w:pPr>
      <w:r w:rsidRPr="00670EE7">
        <w:t>–</w:t>
      </w:r>
      <w:r w:rsidRPr="00670EE7">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734A49C0" w14:textId="04EF4043" w:rsidR="0037671C" w:rsidRPr="00670EE7" w:rsidRDefault="00B6787B" w:rsidP="00526E70">
      <w:pPr>
        <w:pStyle w:val="NormalHanging12a"/>
        <w:widowControl/>
      </w:pPr>
      <w:r w:rsidRPr="00670EE7">
        <w:t>–</w:t>
      </w:r>
      <w:r w:rsidRPr="00670EE7">
        <w:tab/>
        <w:t>Vistas las sentencias del Tribunal de Justicia de la Unión Europea de 21 de octubre de</w:t>
      </w:r>
      <w:r w:rsidR="00526E70">
        <w:t> </w:t>
      </w:r>
      <w:r w:rsidRPr="00670EE7">
        <w:t>2008, 19 de marzo de 2010, 6 de septiembre de 2011, 17 de enero de 2013 y 19 de diciembre de 2019</w:t>
      </w:r>
      <w:r w:rsidRPr="00670EE7">
        <w:rPr>
          <w:vertAlign w:val="superscript"/>
        </w:rPr>
        <w:footnoteReference w:id="1"/>
      </w:r>
      <w:r w:rsidRPr="00670EE7">
        <w:t>,</w:t>
      </w:r>
    </w:p>
    <w:p w14:paraId="03FC2DCF" w14:textId="77777777" w:rsidR="0037671C" w:rsidRPr="00670EE7" w:rsidRDefault="00B6787B" w:rsidP="00526E70">
      <w:pPr>
        <w:pStyle w:val="NormalHanging12a"/>
        <w:widowControl/>
      </w:pPr>
      <w:r w:rsidRPr="00670EE7">
        <w:t>–</w:t>
      </w:r>
      <w:r w:rsidRPr="00670EE7">
        <w:tab/>
        <w:t>Vistos el artículo 5, apartado 2, el artículo 6, apartado 1, y el artículo 9 de su Reglamento interno,</w:t>
      </w:r>
    </w:p>
    <w:p w14:paraId="7C7616C4" w14:textId="77777777" w:rsidR="0037671C" w:rsidRPr="00670EE7" w:rsidRDefault="00B6787B" w:rsidP="00526E70">
      <w:pPr>
        <w:pStyle w:val="NormalHanging12a"/>
        <w:widowControl/>
      </w:pPr>
      <w:r w:rsidRPr="00670EE7">
        <w:t>–</w:t>
      </w:r>
      <w:r w:rsidRPr="00670EE7">
        <w:tab/>
        <w:t>Visto el informe de la Comisión de Asuntos Jurídicos (A10-0128/2026),</w:t>
      </w:r>
    </w:p>
    <w:p w14:paraId="595462B9" w14:textId="77777777" w:rsidR="0037671C" w:rsidRPr="00670EE7" w:rsidRDefault="00B6787B" w:rsidP="00526E70">
      <w:pPr>
        <w:pStyle w:val="NormalHanging12a"/>
        <w:widowControl/>
        <w:rPr>
          <w:bCs/>
          <w:iCs/>
        </w:rPr>
      </w:pPr>
      <w:r w:rsidRPr="00670EE7">
        <w:t>A.</w:t>
      </w:r>
      <w:r w:rsidRPr="00670EE7">
        <w:tab/>
        <w:t>Considerando que la fiscal general adjunta del Tribunal Supremo de Grecia ha transmitido un suplicatorio de la Fiscalía del Tribunal de Primera Instancia de Atenas para la suspensión de la inmunidad de Nikos Pappas, diputado al Parlamento Europeo elegido en Grecia, en relación con presuntas injurias a través de internet y amenazas, tipificadas como delitos de conformidad con el artículo 94, el artículo 361, apartado 1, frases primera y segunda, y el artículo 333, apartado 1, primera frase, del Código Penal griego;</w:t>
      </w:r>
    </w:p>
    <w:p w14:paraId="155C476C" w14:textId="77777777" w:rsidR="0037671C" w:rsidRPr="00670EE7" w:rsidRDefault="00B6787B" w:rsidP="00526E70">
      <w:pPr>
        <w:pStyle w:val="NormalHanging12a"/>
        <w:widowControl/>
      </w:pPr>
      <w:r w:rsidRPr="00670EE7">
        <w:t>B.</w:t>
      </w:r>
      <w:r w:rsidRPr="00670EE7">
        <w:tab/>
      </w:r>
      <w:bookmarkStart w:id="1" w:name="_Hlk226714510"/>
      <w:r w:rsidRPr="00670EE7">
        <w:t>Considerando que, según el suplicatorio, la denuncia indica que, el 11 de junio de 2025, Nikos Pappas presuntamente insultó y amenazó al denunciante mediante mensajes directos enviados a través de su cuenta personal en Instagram;</w:t>
      </w:r>
      <w:bookmarkEnd w:id="1"/>
    </w:p>
    <w:p w14:paraId="102CC983" w14:textId="77777777" w:rsidR="0037671C" w:rsidRPr="00670EE7" w:rsidRDefault="00B6787B" w:rsidP="00526E70">
      <w:pPr>
        <w:pStyle w:val="NormalHanging12a"/>
        <w:widowControl/>
      </w:pPr>
      <w:r w:rsidRPr="00670EE7">
        <w:lastRenderedPageBreak/>
        <w:t>C.</w:t>
      </w:r>
      <w:r w:rsidRPr="00670EE7">
        <w:tab/>
        <w:t>Considerando que Nikos Pappas fue elegido diputado al Parlamento Europeo en las elecciones europeas de junio de 2024 y que era diputado al Parlamento Europeo en el momento de la presunta comisión de los delitos; que, según el suplicatorio, la denuncia contra él data del 16 de julio de 2025;</w:t>
      </w:r>
    </w:p>
    <w:p w14:paraId="213B60D0" w14:textId="77777777" w:rsidR="0037671C" w:rsidRPr="00670EE7" w:rsidRDefault="00B6787B" w:rsidP="00526E70">
      <w:pPr>
        <w:pStyle w:val="NormalHanging12a"/>
        <w:widowControl/>
      </w:pPr>
      <w:r w:rsidRPr="00670EE7">
        <w:t>D.</w:t>
      </w:r>
      <w:r w:rsidRPr="00670EE7">
        <w:tab/>
        <w:t>Considerando que el supuesto delito y el ulterior suplicatorio de suspensión de la inmunidad de Nikos Pappas no están relacionados con las opiniones o los votos emitidos en el ejercicio de sus funciones en el sentido del artículo 8 del Protocolo n.º 7 sobre los privilegios y las inmunidades de la Unión Europea;</w:t>
      </w:r>
    </w:p>
    <w:p w14:paraId="7DFDC434" w14:textId="77777777" w:rsidR="0037671C" w:rsidRPr="00670EE7" w:rsidRDefault="00B6787B" w:rsidP="00526E70">
      <w:pPr>
        <w:pStyle w:val="NormalHanging12a"/>
        <w:widowControl/>
      </w:pPr>
      <w:r w:rsidRPr="00670EE7">
        <w:t>E.</w:t>
      </w:r>
      <w:r w:rsidRPr="00670EE7">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0B5D0B62" w14:textId="77777777" w:rsidR="0037671C" w:rsidRPr="00670EE7" w:rsidRDefault="00B6787B" w:rsidP="00526E70">
      <w:pPr>
        <w:pStyle w:val="NormalHanging12a"/>
        <w:widowControl/>
      </w:pPr>
      <w:r w:rsidRPr="00670EE7">
        <w:t>F.</w:t>
      </w:r>
      <w:r w:rsidRPr="00670EE7">
        <w:tab/>
        <w:t>Considerando que, de conformidad con el artículo 62 de la Constitución de la República Helénica, ningún diputado podrá ser procesado, detenido, preso o sometido a otras medidas privativas de libertad durante su mandato sin la autorización de la Cámara de Diputados;</w:t>
      </w:r>
    </w:p>
    <w:p w14:paraId="0B8A7842" w14:textId="77777777" w:rsidR="0037671C" w:rsidRPr="00670EE7" w:rsidRDefault="00B6787B" w:rsidP="00526E70">
      <w:pPr>
        <w:pStyle w:val="NormalHanging12a"/>
        <w:widowControl/>
      </w:pPr>
      <w:r w:rsidRPr="00670EE7">
        <w:t>G.</w:t>
      </w:r>
      <w:r w:rsidRPr="00670EE7">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5A3444A8" w14:textId="77777777" w:rsidR="0037671C" w:rsidRPr="00670EE7" w:rsidRDefault="00B6787B" w:rsidP="00526E70">
      <w:pPr>
        <w:pStyle w:val="NormalHanging12a"/>
        <w:widowControl/>
      </w:pPr>
      <w:r w:rsidRPr="00670EE7">
        <w:t>H.</w:t>
      </w:r>
      <w:r w:rsidRPr="00670EE7">
        <w:tab/>
        <w:t>Considerando que, de conformidad con el artículo 5, apartado 2, de su Reglamento interno, la inmunidad parlamentaria no es un privilegio personal del diputado, sino una garantía de independencia del Parlamento en su conjunto y de sus diputados;</w:t>
      </w:r>
    </w:p>
    <w:p w14:paraId="223AC237" w14:textId="77777777" w:rsidR="0037671C" w:rsidRPr="00670EE7" w:rsidRDefault="00B6787B" w:rsidP="00526E70">
      <w:pPr>
        <w:pStyle w:val="NormalHanging12a"/>
        <w:widowControl/>
      </w:pPr>
      <w:r w:rsidRPr="00670EE7">
        <w:t>I.</w:t>
      </w:r>
      <w:r w:rsidRPr="00670EE7">
        <w:tab/>
        <w:t xml:space="preserve">Considerando que, en este caso, el Parlamento no ha podido determinar la existencia de </w:t>
      </w:r>
      <w:r w:rsidRPr="00670EE7">
        <w:rPr>
          <w:i/>
          <w:iCs/>
        </w:rPr>
        <w:t>fumus persecutionis</w:t>
      </w:r>
      <w:r w:rsidRPr="00670EE7">
        <w:t>, esto es, de elementos de hecho que indiquen que la actuación judicial en cuestión se inició con la intención de causar un perjuicio a la actividad política del diputado en su condición de miembro del Parlamento Europeo;</w:t>
      </w:r>
    </w:p>
    <w:p w14:paraId="43398202" w14:textId="77777777" w:rsidR="0037671C" w:rsidRPr="00670EE7" w:rsidRDefault="00B6787B" w:rsidP="00526E70">
      <w:pPr>
        <w:pStyle w:val="NormalHanging12a"/>
        <w:widowControl/>
      </w:pPr>
      <w:r w:rsidRPr="00670EE7">
        <w:t>J.</w:t>
      </w:r>
      <w:r w:rsidRPr="00670EE7">
        <w:tab/>
        <w:t>Considerando, por un lado, que el Parlamento no puede equipararse a un órgano jurisdiccional y, por otro, que el diputado, en el contexto de un procedimiento de suspensión de la inmunidad, no puede considerarse un «acusado»</w:t>
      </w:r>
      <w:r w:rsidRPr="00670EE7">
        <w:rPr>
          <w:vertAlign w:val="superscript"/>
        </w:rPr>
        <w:footnoteReference w:id="2"/>
      </w:r>
      <w:r w:rsidRPr="00670EE7">
        <w:t>;</w:t>
      </w:r>
    </w:p>
    <w:p w14:paraId="103D7240" w14:textId="77777777" w:rsidR="0037671C" w:rsidRPr="00670EE7" w:rsidRDefault="00B6787B" w:rsidP="00526E70">
      <w:pPr>
        <w:pStyle w:val="NormalHanging12a"/>
        <w:widowControl/>
      </w:pPr>
      <w:r w:rsidRPr="00670EE7">
        <w:t>1.</w:t>
      </w:r>
      <w:r w:rsidRPr="00670EE7">
        <w:tab/>
        <w:t>Decide suspender la inmunidad parlamentaria de Nikos Pappas;</w:t>
      </w:r>
    </w:p>
    <w:p w14:paraId="2054CDD4" w14:textId="77777777" w:rsidR="0037671C" w:rsidRPr="00670EE7" w:rsidRDefault="00B6787B" w:rsidP="00526E70">
      <w:pPr>
        <w:pStyle w:val="NormalHanging12a"/>
        <w:widowControl/>
      </w:pPr>
      <w:r w:rsidRPr="00670EE7">
        <w:t>2.</w:t>
      </w:r>
      <w:r w:rsidRPr="00670EE7">
        <w:tab/>
        <w:t>Encarga a su presidenta que transmita inmediatamente la presente Decisión y el informe de la comisión competente a las autoridades competentes de la República Helénica y a Nikos Pappas.</w:t>
      </w:r>
    </w:p>
    <w:p w14:paraId="706909EA" w14:textId="77777777" w:rsidR="00782E54" w:rsidRPr="00670EE7" w:rsidRDefault="00782E54" w:rsidP="00526E70">
      <w:pPr>
        <w:widowControl/>
        <w:sectPr w:rsidR="00782E54" w:rsidRPr="00670EE7" w:rsidSect="00670E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08AE564A" w14:textId="77777777" w:rsidR="00DC7727" w:rsidRPr="00670EE7" w:rsidRDefault="00B6787B" w:rsidP="00526E70">
      <w:pPr>
        <w:pStyle w:val="PageHeading"/>
        <w:widowControl/>
      </w:pPr>
      <w:bookmarkStart w:id="2" w:name="ProcPageRR"/>
      <w:bookmarkStart w:id="3" w:name="_Toc228977355"/>
      <w:r w:rsidRPr="00670EE7">
        <w:lastRenderedPageBreak/>
        <w:t>INFORMACIÓN SOBRE LA APROBACIÓN</w:t>
      </w:r>
      <w:r w:rsidRPr="00670EE7">
        <w:br/>
        <w:t>EN LA COMISIÓN COMPETENTE PARA EL FONDO</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5306B" w:rsidRPr="00670EE7" w14:paraId="780813A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310729" w14:textId="77777777" w:rsidR="00DC7727" w:rsidRPr="00670EE7" w:rsidRDefault="00B6787B" w:rsidP="00526E70">
            <w:pPr>
              <w:widowControl/>
              <w:autoSpaceDE w:val="0"/>
              <w:autoSpaceDN w:val="0"/>
              <w:adjustRightInd w:val="0"/>
              <w:rPr>
                <w:b/>
                <w:bCs/>
                <w:color w:val="000000"/>
                <w:sz w:val="20"/>
              </w:rPr>
            </w:pPr>
            <w:r w:rsidRPr="00670EE7">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AEC852A" w14:textId="77777777" w:rsidR="00DC7727" w:rsidRPr="00670EE7" w:rsidRDefault="00B6787B" w:rsidP="00526E70">
            <w:pPr>
              <w:widowControl/>
              <w:autoSpaceDE w:val="0"/>
              <w:autoSpaceDN w:val="0"/>
              <w:adjustRightInd w:val="0"/>
              <w:rPr>
                <w:color w:val="000000"/>
                <w:sz w:val="20"/>
              </w:rPr>
            </w:pPr>
            <w:r w:rsidRPr="00670EE7">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EBD6ADB" w14:textId="77777777" w:rsidR="00DC7727" w:rsidRPr="00670EE7" w:rsidRDefault="00DC7727" w:rsidP="00526E70">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3B94227" w14:textId="77777777" w:rsidR="00DC7727" w:rsidRPr="00670EE7" w:rsidRDefault="00DC7727" w:rsidP="00526E70">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2BAFE8" w14:textId="77777777" w:rsidR="00DC7727" w:rsidRPr="00670EE7" w:rsidRDefault="00DC7727" w:rsidP="00526E70">
            <w:pPr>
              <w:widowControl/>
              <w:autoSpaceDE w:val="0"/>
              <w:autoSpaceDN w:val="0"/>
              <w:adjustRightInd w:val="0"/>
              <w:rPr>
                <w:rFonts w:ascii="sans-serif" w:hAnsi="sans-serif" w:cs="sans-serif"/>
                <w:color w:val="000000"/>
              </w:rPr>
            </w:pPr>
          </w:p>
        </w:tc>
      </w:tr>
      <w:tr w:rsidR="0095306B" w:rsidRPr="00670EE7" w14:paraId="412F1AB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E796C2" w14:textId="77777777" w:rsidR="00DC7727" w:rsidRPr="00670EE7" w:rsidRDefault="00B6787B" w:rsidP="00526E70">
            <w:pPr>
              <w:widowControl/>
              <w:autoSpaceDE w:val="0"/>
              <w:autoSpaceDN w:val="0"/>
              <w:adjustRightInd w:val="0"/>
              <w:rPr>
                <w:b/>
                <w:bCs/>
                <w:color w:val="000000"/>
                <w:sz w:val="20"/>
              </w:rPr>
            </w:pPr>
            <w:r w:rsidRPr="00670EE7">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78F7243" w14:textId="77777777" w:rsidR="00DC7727" w:rsidRPr="00670EE7" w:rsidRDefault="00B6787B" w:rsidP="00526E70">
            <w:pPr>
              <w:widowControl/>
              <w:autoSpaceDE w:val="0"/>
              <w:autoSpaceDN w:val="0"/>
              <w:adjustRightInd w:val="0"/>
              <w:rPr>
                <w:color w:val="000000"/>
                <w:sz w:val="20"/>
              </w:rPr>
            </w:pPr>
            <w:r w:rsidRPr="00670EE7">
              <w:rPr>
                <w:color w:val="000000"/>
                <w:sz w:val="20"/>
              </w:rPr>
              <w:t>+:</w:t>
            </w:r>
          </w:p>
          <w:p w14:paraId="751F2963" w14:textId="77777777" w:rsidR="00DC7727" w:rsidRPr="00670EE7" w:rsidRDefault="00B6787B" w:rsidP="00526E70">
            <w:pPr>
              <w:widowControl/>
              <w:autoSpaceDE w:val="0"/>
              <w:autoSpaceDN w:val="0"/>
              <w:adjustRightInd w:val="0"/>
              <w:rPr>
                <w:color w:val="000000"/>
                <w:sz w:val="20"/>
              </w:rPr>
            </w:pPr>
            <w:r w:rsidRPr="00670EE7">
              <w:rPr>
                <w:color w:val="000000"/>
                <w:sz w:val="20"/>
              </w:rPr>
              <w:t>–:</w:t>
            </w:r>
          </w:p>
          <w:p w14:paraId="4783ABE2" w14:textId="77777777" w:rsidR="00DC7727" w:rsidRPr="00670EE7" w:rsidRDefault="00B6787B" w:rsidP="00526E70">
            <w:pPr>
              <w:widowControl/>
              <w:autoSpaceDE w:val="0"/>
              <w:autoSpaceDN w:val="0"/>
              <w:adjustRightInd w:val="0"/>
              <w:rPr>
                <w:color w:val="000000"/>
                <w:sz w:val="20"/>
              </w:rPr>
            </w:pPr>
            <w:r w:rsidRPr="00670EE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65CCC1" w14:textId="77777777" w:rsidR="00DC7727" w:rsidRPr="00670EE7" w:rsidRDefault="00B6787B" w:rsidP="00526E70">
            <w:pPr>
              <w:widowControl/>
              <w:autoSpaceDE w:val="0"/>
              <w:autoSpaceDN w:val="0"/>
              <w:adjustRightInd w:val="0"/>
              <w:rPr>
                <w:color w:val="000000"/>
                <w:sz w:val="20"/>
              </w:rPr>
            </w:pPr>
            <w:r w:rsidRPr="00670EE7">
              <w:rPr>
                <w:color w:val="000000"/>
                <w:sz w:val="20"/>
              </w:rPr>
              <w:t>21</w:t>
            </w:r>
          </w:p>
          <w:p w14:paraId="596CBECF" w14:textId="77777777" w:rsidR="00DC7727" w:rsidRPr="00670EE7" w:rsidRDefault="00B6787B" w:rsidP="00526E70">
            <w:pPr>
              <w:widowControl/>
              <w:autoSpaceDE w:val="0"/>
              <w:autoSpaceDN w:val="0"/>
              <w:adjustRightInd w:val="0"/>
              <w:rPr>
                <w:color w:val="000000"/>
                <w:sz w:val="20"/>
              </w:rPr>
            </w:pPr>
            <w:r w:rsidRPr="00670EE7">
              <w:rPr>
                <w:color w:val="000000"/>
                <w:sz w:val="20"/>
              </w:rPr>
              <w:t>0</w:t>
            </w:r>
          </w:p>
          <w:p w14:paraId="3BE0FBF8" w14:textId="77777777" w:rsidR="00DC7727" w:rsidRPr="00670EE7" w:rsidRDefault="00B6787B" w:rsidP="00526E70">
            <w:pPr>
              <w:widowControl/>
              <w:autoSpaceDE w:val="0"/>
              <w:autoSpaceDN w:val="0"/>
              <w:adjustRightInd w:val="0"/>
              <w:rPr>
                <w:color w:val="000000"/>
                <w:sz w:val="20"/>
              </w:rPr>
            </w:pPr>
            <w:r w:rsidRPr="00670EE7">
              <w:rPr>
                <w:color w:val="000000"/>
                <w:sz w:val="20"/>
              </w:rPr>
              <w:t>0</w:t>
            </w:r>
          </w:p>
        </w:tc>
      </w:tr>
    </w:tbl>
    <w:p w14:paraId="47215645" w14:textId="77777777" w:rsidR="00DC7727" w:rsidRPr="00670EE7" w:rsidRDefault="00DC7727" w:rsidP="00526E70">
      <w:pPr>
        <w:widowControl/>
      </w:pPr>
    </w:p>
    <w:bookmarkEnd w:id="2"/>
    <w:p w14:paraId="64F762D7" w14:textId="77777777" w:rsidR="00782E54" w:rsidRPr="00670EE7" w:rsidRDefault="00782E54" w:rsidP="00526E70">
      <w:pPr>
        <w:widowControl/>
      </w:pPr>
    </w:p>
    <w:sectPr w:rsidR="00782E54" w:rsidRPr="00670EE7"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9EEA3" w14:textId="77777777" w:rsidR="00B6787B" w:rsidRPr="00670EE7" w:rsidRDefault="00B6787B">
      <w:r w:rsidRPr="00670EE7">
        <w:separator/>
      </w:r>
    </w:p>
  </w:endnote>
  <w:endnote w:type="continuationSeparator" w:id="0">
    <w:p w14:paraId="32C60BE3" w14:textId="77777777" w:rsidR="00B6787B" w:rsidRPr="00670EE7" w:rsidRDefault="00B6787B">
      <w:r w:rsidRPr="00670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E36F" w14:textId="77777777" w:rsidR="00670EE7" w:rsidRPr="00670EE7" w:rsidRDefault="00670EE7" w:rsidP="00670EE7">
    <w:pPr>
      <w:pStyle w:val="EPFooter"/>
    </w:pPr>
    <w:r w:rsidRPr="00670EE7">
      <w:t>PE</w:t>
    </w:r>
    <w:r w:rsidRPr="00670EE7">
      <w:rPr>
        <w:rStyle w:val="HideTWBExt"/>
      </w:rPr>
      <w:t>&lt;NoPE&gt;</w:t>
    </w:r>
    <w:r w:rsidRPr="00670EE7">
      <w:t>786.974</w:t>
    </w:r>
    <w:r w:rsidRPr="00670EE7">
      <w:rPr>
        <w:rStyle w:val="HideTWBExt"/>
      </w:rPr>
      <w:t>&lt;/NoPE&gt;&lt;Version&gt;</w:t>
    </w:r>
    <w:r w:rsidRPr="00670EE7">
      <w:t>v03-00</w:t>
    </w:r>
    <w:r w:rsidRPr="00670EE7">
      <w:rPr>
        <w:rStyle w:val="HideTWBExt"/>
      </w:rPr>
      <w:t>&lt;/Version&gt;</w:t>
    </w:r>
    <w:r w:rsidRPr="00670EE7">
      <w:tab/>
    </w:r>
    <w:r w:rsidRPr="00670EE7">
      <w:fldChar w:fldCharType="begin"/>
    </w:r>
    <w:r w:rsidRPr="00670EE7">
      <w:instrText xml:space="preserve"> PAGE  \* MERGEFORMAT </w:instrText>
    </w:r>
    <w:r w:rsidRPr="00670EE7">
      <w:fldChar w:fldCharType="separate"/>
    </w:r>
    <w:r w:rsidRPr="00670EE7">
      <w:rPr>
        <w:noProof/>
      </w:rPr>
      <w:t>2</w:t>
    </w:r>
    <w:r w:rsidRPr="00670EE7">
      <w:fldChar w:fldCharType="end"/>
    </w:r>
    <w:r w:rsidRPr="00670EE7">
      <w:t>/</w:t>
    </w:r>
    <w:fldSimple w:instr=" NUMPAGES  \* MERGEFORMAT ">
      <w:r w:rsidRPr="00670EE7">
        <w:rPr>
          <w:noProof/>
        </w:rPr>
        <w:t>5</w:t>
      </w:r>
    </w:fldSimple>
    <w:r w:rsidRPr="00670EE7">
      <w:tab/>
    </w:r>
    <w:r w:rsidRPr="00670EE7">
      <w:rPr>
        <w:rStyle w:val="HideTWBExt"/>
      </w:rPr>
      <w:t>&lt;PathFdR&gt;</w:t>
    </w:r>
    <w:r w:rsidRPr="00670EE7">
      <w:t>RR\1343292ES.docx</w:t>
    </w:r>
    <w:r w:rsidRPr="00670EE7">
      <w:rPr>
        <w:rStyle w:val="HideTWBExt"/>
      </w:rPr>
      <w:t>&lt;/PathFdR&gt;</w:t>
    </w:r>
  </w:p>
  <w:p w14:paraId="38757DC2" w14:textId="66EA3525" w:rsidR="0023430B" w:rsidRPr="00670EE7" w:rsidRDefault="00670EE7" w:rsidP="00670EE7">
    <w:pPr>
      <w:pStyle w:val="EPFooter2"/>
    </w:pPr>
    <w:r w:rsidRPr="00670EE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2981" w14:textId="77777777" w:rsidR="00670EE7" w:rsidRPr="00670EE7" w:rsidRDefault="00670EE7" w:rsidP="00670EE7">
    <w:pPr>
      <w:pStyle w:val="EPFooter"/>
    </w:pPr>
    <w:r w:rsidRPr="00670EE7">
      <w:rPr>
        <w:rStyle w:val="HideTWBExt"/>
      </w:rPr>
      <w:t>&lt;PathFdR&gt;</w:t>
    </w:r>
    <w:r w:rsidRPr="00670EE7">
      <w:t>RR\1343292ES.docx</w:t>
    </w:r>
    <w:r w:rsidRPr="00670EE7">
      <w:rPr>
        <w:rStyle w:val="HideTWBExt"/>
      </w:rPr>
      <w:t>&lt;/PathFdR&gt;</w:t>
    </w:r>
    <w:r w:rsidRPr="00670EE7">
      <w:tab/>
    </w:r>
    <w:r w:rsidRPr="00670EE7">
      <w:fldChar w:fldCharType="begin"/>
    </w:r>
    <w:r w:rsidRPr="00670EE7">
      <w:instrText xml:space="preserve"> PAGE  \* MERGEFORMAT </w:instrText>
    </w:r>
    <w:r w:rsidRPr="00670EE7">
      <w:fldChar w:fldCharType="separate"/>
    </w:r>
    <w:r w:rsidRPr="00670EE7">
      <w:rPr>
        <w:noProof/>
      </w:rPr>
      <w:t>3</w:t>
    </w:r>
    <w:r w:rsidRPr="00670EE7">
      <w:fldChar w:fldCharType="end"/>
    </w:r>
    <w:r w:rsidRPr="00670EE7">
      <w:t>/</w:t>
    </w:r>
    <w:fldSimple w:instr=" NUMPAGES  \* MERGEFORMAT ">
      <w:r w:rsidRPr="00670EE7">
        <w:rPr>
          <w:noProof/>
        </w:rPr>
        <w:t>5</w:t>
      </w:r>
    </w:fldSimple>
    <w:r w:rsidRPr="00670EE7">
      <w:tab/>
      <w:t>PE</w:t>
    </w:r>
    <w:r w:rsidRPr="00670EE7">
      <w:rPr>
        <w:rStyle w:val="HideTWBExt"/>
      </w:rPr>
      <w:t>&lt;NoPE&gt;</w:t>
    </w:r>
    <w:r w:rsidRPr="00670EE7">
      <w:t>786.974</w:t>
    </w:r>
    <w:r w:rsidRPr="00670EE7">
      <w:rPr>
        <w:rStyle w:val="HideTWBExt"/>
      </w:rPr>
      <w:t>&lt;/NoPE&gt;&lt;Version&gt;</w:t>
    </w:r>
    <w:r w:rsidRPr="00670EE7">
      <w:t>v03-00</w:t>
    </w:r>
    <w:r w:rsidRPr="00670EE7">
      <w:rPr>
        <w:rStyle w:val="HideTWBExt"/>
      </w:rPr>
      <w:t>&lt;/Version&gt;</w:t>
    </w:r>
  </w:p>
  <w:p w14:paraId="424C5FC9" w14:textId="04748C16" w:rsidR="0023430B" w:rsidRPr="00670EE7" w:rsidRDefault="00670EE7" w:rsidP="00670EE7">
    <w:pPr>
      <w:pStyle w:val="EPFooter2"/>
    </w:pPr>
    <w:r w:rsidRPr="00670EE7">
      <w:tab/>
    </w:r>
    <w:r w:rsidRPr="00670EE7">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5449" w14:textId="77777777" w:rsidR="00670EE7" w:rsidRPr="00670EE7" w:rsidRDefault="00670EE7" w:rsidP="00670EE7">
    <w:pPr>
      <w:pStyle w:val="EPFooter"/>
    </w:pPr>
    <w:r w:rsidRPr="00670EE7">
      <w:rPr>
        <w:rStyle w:val="HideTWBExt"/>
      </w:rPr>
      <w:t>&lt;PathFdR&gt;</w:t>
    </w:r>
    <w:r w:rsidRPr="00670EE7">
      <w:t>RR\1343292ES.docx</w:t>
    </w:r>
    <w:r w:rsidRPr="00670EE7">
      <w:rPr>
        <w:rStyle w:val="HideTWBExt"/>
      </w:rPr>
      <w:t>&lt;/PathFdR&gt;</w:t>
    </w:r>
    <w:r w:rsidRPr="00670EE7">
      <w:tab/>
    </w:r>
    <w:r w:rsidRPr="00670EE7">
      <w:tab/>
      <w:t>PE</w:t>
    </w:r>
    <w:r w:rsidRPr="00670EE7">
      <w:rPr>
        <w:rStyle w:val="HideTWBExt"/>
      </w:rPr>
      <w:t>&lt;NoPE&gt;</w:t>
    </w:r>
    <w:r w:rsidRPr="00670EE7">
      <w:t>786.974</w:t>
    </w:r>
    <w:r w:rsidRPr="00670EE7">
      <w:rPr>
        <w:rStyle w:val="HideTWBExt"/>
      </w:rPr>
      <w:t>&lt;/NoPE&gt;&lt;Version&gt;</w:t>
    </w:r>
    <w:r w:rsidRPr="00670EE7">
      <w:t>v03-00</w:t>
    </w:r>
    <w:r w:rsidRPr="00670EE7">
      <w:rPr>
        <w:rStyle w:val="HideTWBExt"/>
      </w:rPr>
      <w:t>&lt;/Version&gt;</w:t>
    </w:r>
  </w:p>
  <w:p w14:paraId="396D10FA" w14:textId="1D641886" w:rsidR="0023430B" w:rsidRPr="00670EE7" w:rsidRDefault="00670EE7" w:rsidP="00670EE7">
    <w:pPr>
      <w:pStyle w:val="EPFooter2"/>
    </w:pPr>
    <w:r w:rsidRPr="00670EE7">
      <w:t>ES</w:t>
    </w:r>
    <w:r w:rsidRPr="00670EE7">
      <w:tab/>
    </w:r>
    <w:r w:rsidRPr="00670EE7">
      <w:rPr>
        <w:b w:val="0"/>
        <w:i/>
        <w:color w:val="C0C0C0"/>
        <w:sz w:val="22"/>
      </w:rPr>
      <w:t>Unida en la diversidad</w:t>
    </w:r>
    <w:r w:rsidRPr="00670EE7">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DCB2A" w14:textId="77777777" w:rsidR="007A3F74" w:rsidRPr="00670EE7" w:rsidRDefault="00B6787B">
      <w:r w:rsidRPr="00670EE7">
        <w:separator/>
      </w:r>
    </w:p>
  </w:footnote>
  <w:footnote w:type="continuationSeparator" w:id="0">
    <w:p w14:paraId="10A9CD50" w14:textId="77777777" w:rsidR="007A3F74" w:rsidRPr="00670EE7" w:rsidRDefault="00B6787B">
      <w:r w:rsidRPr="00670EE7">
        <w:continuationSeparator/>
      </w:r>
    </w:p>
  </w:footnote>
  <w:footnote w:id="1">
    <w:p w14:paraId="5EB8FC6B" w14:textId="5942ED95" w:rsidR="0037671C" w:rsidRPr="00670EE7" w:rsidRDefault="00B6787B" w:rsidP="00526E70">
      <w:pPr>
        <w:pStyle w:val="FootnoteText"/>
        <w:ind w:left="567" w:hanging="567"/>
      </w:pPr>
      <w:r w:rsidRPr="00670EE7">
        <w:rPr>
          <w:rStyle w:val="FootnoteReference"/>
        </w:rPr>
        <w:footnoteRef/>
      </w:r>
      <w:r w:rsidRPr="00670EE7">
        <w:rPr>
          <w:rStyle w:val="FootnoteReference"/>
        </w:rPr>
        <w:t xml:space="preserve"> </w:t>
      </w:r>
      <w:r w:rsidR="00526E70">
        <w:tab/>
      </w:r>
      <w:r w:rsidRPr="00670EE7">
        <w:t>Sentencia del Tribunal de Justicia de 21 de octubre de 2008, Marra/De Gregorio y Clemente, C-200/07 y C-201/07, ECLI:EU:C:2008:579; sentencia del Tribunal General de 19 de marzo de 2010, Gollnisch/Parlamento, T-42/06, ECLI:EU:T:2010:102; sentencia del Tribunal de Justicia de 6 de septiembre de 2011, Patriciello, C-163/10, ECLI: EU:C:2011:543; sentencia del Tribunal General de 17 de enero de 2013, Gollnisch/Parlamento, T-346/11 y T-347/11, ECLI:EU:T:2013:23; sentencia del Tribunal de Justicia de 19 de diciembre de 2019, Junqueras Vies, C-502/19, ECLI:EU:C:2019:1115.</w:t>
      </w:r>
    </w:p>
  </w:footnote>
  <w:footnote w:id="2">
    <w:p w14:paraId="79B8797F" w14:textId="77A15EF1" w:rsidR="0037671C" w:rsidRPr="00670EE7" w:rsidRDefault="00B6787B" w:rsidP="00526E70">
      <w:pPr>
        <w:pStyle w:val="FootnoteText"/>
        <w:ind w:left="567" w:hanging="567"/>
      </w:pPr>
      <w:r w:rsidRPr="00670EE7">
        <w:rPr>
          <w:rStyle w:val="FootnoteReference"/>
        </w:rPr>
        <w:footnoteRef/>
      </w:r>
      <w:r w:rsidRPr="00670EE7">
        <w:rPr>
          <w:rStyle w:val="FootnoteReference"/>
        </w:rPr>
        <w:t xml:space="preserve"> </w:t>
      </w:r>
      <w:r w:rsidR="00526E70">
        <w:tab/>
      </w:r>
      <w:r w:rsidRPr="00670EE7">
        <w:t>Sentencia del Tribunal General de 30 de abril de 2019, Briois/Parlamento, T</w:t>
      </w:r>
      <w:r w:rsidRPr="00670EE7">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4EFD" w14:textId="77777777" w:rsidR="00526E70" w:rsidRDefault="00526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45C5" w14:textId="77777777" w:rsidR="00526E70" w:rsidRDefault="00526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549B" w14:textId="77777777" w:rsidR="00526E70" w:rsidRDefault="00526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26E70"/>
    <w:rsid w:val="005922F7"/>
    <w:rsid w:val="005B5955"/>
    <w:rsid w:val="00627F06"/>
    <w:rsid w:val="00633DF2"/>
    <w:rsid w:val="00670EE7"/>
    <w:rsid w:val="00681E33"/>
    <w:rsid w:val="006A1780"/>
    <w:rsid w:val="006C038C"/>
    <w:rsid w:val="006D6F36"/>
    <w:rsid w:val="0071647F"/>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5306B"/>
    <w:rsid w:val="009915DD"/>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6787B"/>
    <w:rsid w:val="00B76A78"/>
    <w:rsid w:val="00B81D30"/>
    <w:rsid w:val="00BB307A"/>
    <w:rsid w:val="00BD02C3"/>
    <w:rsid w:val="00BD34CF"/>
    <w:rsid w:val="00BE1054"/>
    <w:rsid w:val="00C33434"/>
    <w:rsid w:val="00C42BD9"/>
    <w:rsid w:val="00C66DE6"/>
    <w:rsid w:val="00C85D0F"/>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26A12"/>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A7218"/>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898</Words>
  <Characters>4638</Characters>
  <Application>Microsoft Office Word</Application>
  <DocSecurity>0</DocSecurity>
  <Lines>110</Lines>
  <Paragraphs>58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ZAHARIE Ana Maria</dc:creator>
  <cp:lastModifiedBy>GONZALEZ FREIRE Paula</cp:lastModifiedBy>
  <cp:revision>2</cp:revision>
  <cp:lastPrinted>2026-04-14T09:48:00Z</cp:lastPrinted>
  <dcterms:created xsi:type="dcterms:W3CDTF">2026-05-06T14:29:00Z</dcterms:created>
  <dcterms:modified xsi:type="dcterms:W3CDTF">2026-05-06T14:29:00Z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1343292</vt:lpwstr>
  </property>
  <property fmtid="{D5CDD505-2E9C-101B-9397-08002B2CF9AE}" pid="4" name="&lt;Model&gt;">
    <vt:lpwstr>PR_IMM_Waiver</vt:lpwstr>
  </property>
  <property fmtid="{D5CDD505-2E9C-101B-9397-08002B2CF9AE}" pid="5" name="&lt;ModelCod&gt;">
    <vt:lpwstr>\\eiciLUXpr1\pdocep$\DocEP\DOCS\General\PR\PR_NonLeg\IMM\PR_IMM_Waiver.dotx(26/05/2023 17:52:03)</vt:lpwstr>
  </property>
  <property fmtid="{D5CDD505-2E9C-101B-9397-08002B2CF9AE}" pid="6" name="&lt;ModelTra&gt;">
    <vt:lpwstr>\\eiciLUXpr1\pdocep$\DocEP\TRANSFIL\EN\PR_IMM_Waiver.EN(05/08/2025 16:25:00)</vt:lpwstr>
  </property>
  <property fmtid="{D5CDD505-2E9C-101B-9397-08002B2CF9AE}" pid="7" name="&lt;Type&gt;">
    <vt:lpwstr>RR</vt:lpwstr>
  </property>
  <property fmtid="{D5CDD505-2E9C-101B-9397-08002B2CF9AE}" pid="8" name="Bookout">
    <vt:lpwstr>OK - 2026/05/06 16:28</vt:lpwstr>
  </property>
  <property fmtid="{D5CDD505-2E9C-101B-9397-08002B2CF9AE}" pid="9" name="Created with">
    <vt:lpwstr>10.2.1 Build [20260301]</vt:lpwstr>
  </property>
  <property fmtid="{D5CDD505-2E9C-101B-9397-08002B2CF9AE}" pid="10" name="FooterPath">
    <vt:lpwstr>RR\1343292ES.docx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786.974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