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978B8" w14:paraId="13655780" w14:textId="77777777" w:rsidTr="00C85D0F">
        <w:trPr>
          <w:trHeight w:hRule="exact" w:val="1418"/>
        </w:trPr>
        <w:tc>
          <w:tcPr>
            <w:tcW w:w="6804" w:type="dxa"/>
            <w:shd w:val="clear" w:color="auto" w:fill="auto"/>
            <w:vAlign w:val="center"/>
          </w:tcPr>
          <w:p w14:paraId="6095C50E" w14:textId="77777777" w:rsidR="00CF16EE" w:rsidRPr="00891D89" w:rsidRDefault="009F4B88" w:rsidP="00C85D0F">
            <w:pPr>
              <w:pStyle w:val="EPName"/>
            </w:pPr>
            <w:r>
              <w:t>Parlement européen</w:t>
            </w:r>
          </w:p>
          <w:p w14:paraId="6CB5A74A" w14:textId="77777777" w:rsidR="00CF16EE" w:rsidRPr="00891D89" w:rsidRDefault="009F4B88" w:rsidP="00C85D0F">
            <w:pPr>
              <w:pStyle w:val="EPTerm"/>
            </w:pPr>
            <w:r>
              <w:t>2024-2029</w:t>
            </w:r>
          </w:p>
        </w:tc>
        <w:tc>
          <w:tcPr>
            <w:tcW w:w="2268" w:type="dxa"/>
            <w:shd w:val="clear" w:color="auto" w:fill="auto"/>
          </w:tcPr>
          <w:p w14:paraId="0FDFAFBB" w14:textId="77777777" w:rsidR="00CF16EE" w:rsidRPr="00891D89" w:rsidRDefault="009F4B88" w:rsidP="00C85D0F">
            <w:pPr>
              <w:pStyle w:val="EPLogo"/>
            </w:pPr>
            <w:r w:rsidRPr="00891D89">
              <w:rPr>
                <w:noProof/>
              </w:rPr>
              <w:drawing>
                <wp:inline distT="0" distB="0" distL="0" distR="0" wp14:anchorId="192CB4A6" wp14:editId="631AFB1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1DA96AD" w14:textId="77777777" w:rsidR="00215FF9" w:rsidRPr="00891D89" w:rsidRDefault="00215FF9" w:rsidP="00215FF9">
      <w:pPr>
        <w:pStyle w:val="LineTop"/>
      </w:pPr>
    </w:p>
    <w:p w14:paraId="29D34823" w14:textId="77777777" w:rsidR="00215FF9" w:rsidRPr="00891D89" w:rsidRDefault="009F4B88" w:rsidP="00215FF9">
      <w:pPr>
        <w:pStyle w:val="EPBody"/>
      </w:pPr>
      <w:r>
        <w:t>Document de séance</w:t>
      </w:r>
    </w:p>
    <w:p w14:paraId="29831FA9" w14:textId="77777777" w:rsidR="00215FF9" w:rsidRPr="00891D89" w:rsidRDefault="00215FF9" w:rsidP="00215FF9">
      <w:pPr>
        <w:pStyle w:val="LineBottom"/>
      </w:pPr>
    </w:p>
    <w:p w14:paraId="26627209" w14:textId="77777777" w:rsidR="005922F7" w:rsidRPr="00891D89" w:rsidRDefault="009F4B88" w:rsidP="00A353C2">
      <w:pPr>
        <w:pStyle w:val="CoverReference"/>
      </w:pPr>
      <w:r>
        <w:rPr>
          <w:rStyle w:val="HideTWBExt"/>
        </w:rPr>
        <w:t>&lt;NoDocSe&gt;</w:t>
      </w:r>
      <w:r>
        <w:t>A10</w:t>
      </w:r>
      <w:r>
        <w:noBreakHyphen/>
        <w:t>0128/2026</w:t>
      </w:r>
      <w:r>
        <w:rPr>
          <w:rStyle w:val="HideTWBExt"/>
        </w:rPr>
        <w:t>&lt;/NoDocSe&gt;</w:t>
      </w:r>
    </w:p>
    <w:p w14:paraId="29BD7C5E" w14:textId="77777777" w:rsidR="005922F7" w:rsidRPr="00891D89" w:rsidRDefault="009F4B88" w:rsidP="005922F7">
      <w:pPr>
        <w:pStyle w:val="CoverDate"/>
      </w:pPr>
      <w:r>
        <w:rPr>
          <w:rStyle w:val="HideTWBExt"/>
        </w:rPr>
        <w:t>&lt;Date&gt;</w:t>
      </w:r>
      <w:r>
        <w:rPr>
          <w:rStyle w:val="HideTWBInt"/>
          <w:color w:val="auto"/>
        </w:rPr>
        <w:t>{06/05/2026}</w:t>
      </w:r>
      <w:r>
        <w:t>6.5.2026</w:t>
      </w:r>
      <w:r>
        <w:rPr>
          <w:rStyle w:val="HideTWBExt"/>
        </w:rPr>
        <w:t>&lt;/Date&gt;</w:t>
      </w:r>
    </w:p>
    <w:p w14:paraId="6558E55B" w14:textId="77777777" w:rsidR="00142D49" w:rsidRPr="00891D89" w:rsidRDefault="009F4B88">
      <w:pPr>
        <w:pStyle w:val="CoverDocType24a"/>
      </w:pPr>
      <w:r>
        <w:rPr>
          <w:rStyle w:val="HideTWBExt"/>
          <w:b w:val="0"/>
        </w:rPr>
        <w:t>&lt;TitreType&gt;</w:t>
      </w:r>
      <w:r>
        <w:t>RAPPORT</w:t>
      </w:r>
      <w:r>
        <w:rPr>
          <w:rStyle w:val="HideTWBExt"/>
          <w:b w:val="0"/>
        </w:rPr>
        <w:t>&lt;/TitreType&gt;</w:t>
      </w:r>
    </w:p>
    <w:p w14:paraId="1E63D1A4" w14:textId="77777777" w:rsidR="00C86948" w:rsidRPr="00891D89" w:rsidRDefault="009F4B88" w:rsidP="00C86948">
      <w:pPr>
        <w:pStyle w:val="CoverNormal"/>
      </w:pPr>
      <w:r>
        <w:rPr>
          <w:rStyle w:val="HideTWBExt"/>
        </w:rPr>
        <w:t>&lt;Titre&gt;</w:t>
      </w:r>
      <w:r>
        <w:t>sur la demande de levée de l’immunité de Nikos Pappas</w:t>
      </w:r>
      <w:r>
        <w:rPr>
          <w:rStyle w:val="HideTWBExt"/>
        </w:rPr>
        <w:t>&lt;/Titre&gt;</w:t>
      </w:r>
    </w:p>
    <w:p w14:paraId="766E4489" w14:textId="77777777" w:rsidR="00C86948" w:rsidRPr="00891D89" w:rsidRDefault="009F4B88" w:rsidP="00C86948">
      <w:pPr>
        <w:pStyle w:val="CoverNormal24a"/>
      </w:pPr>
      <w:r>
        <w:rPr>
          <w:rStyle w:val="HideTWBExt"/>
        </w:rPr>
        <w:t>&lt;DocRef&gt;</w:t>
      </w:r>
      <w:r>
        <w:t>(2025/2234(IMM))</w:t>
      </w:r>
      <w:r>
        <w:rPr>
          <w:rStyle w:val="HideTWBExt"/>
        </w:rPr>
        <w:t>&lt;/DocRef&gt;</w:t>
      </w:r>
    </w:p>
    <w:p w14:paraId="7F48324D" w14:textId="77777777" w:rsidR="00142D49" w:rsidRPr="00891D89" w:rsidRDefault="009F4B88">
      <w:pPr>
        <w:pStyle w:val="CoverNormal24a"/>
      </w:pPr>
      <w:r>
        <w:rPr>
          <w:rStyle w:val="HideTWBExt"/>
        </w:rPr>
        <w:t>&lt;Commission&gt;</w:t>
      </w:r>
      <w:r>
        <w:rPr>
          <w:rStyle w:val="HideTWBInt"/>
          <w:color w:val="auto"/>
        </w:rPr>
        <w:t>{JURI}</w:t>
      </w:r>
      <w:r>
        <w:t>Commission des affaires juridiques</w:t>
      </w:r>
      <w:r>
        <w:rPr>
          <w:rStyle w:val="HideTWBExt"/>
        </w:rPr>
        <w:t>&lt;/Commission&gt;</w:t>
      </w:r>
    </w:p>
    <w:p w14:paraId="0FBEC1F7" w14:textId="77777777" w:rsidR="00611A05" w:rsidRPr="00891D89" w:rsidRDefault="009F4B88" w:rsidP="00611A05">
      <w:pPr>
        <w:pStyle w:val="CoverNormal24a"/>
      </w:pPr>
      <w:r>
        <w:t xml:space="preserve">Rapporteur: </w:t>
      </w:r>
      <w:r>
        <w:rPr>
          <w:rStyle w:val="HideTWBExt"/>
        </w:rPr>
        <w:t>&lt;Depute&gt;</w:t>
      </w:r>
      <w:r>
        <w:t>Marcin Sypniewski</w:t>
      </w:r>
      <w:r>
        <w:rPr>
          <w:rStyle w:val="HideTWBExt"/>
        </w:rPr>
        <w:t>&lt;/Depute&gt;</w:t>
      </w:r>
    </w:p>
    <w:p w14:paraId="2423DC4D" w14:textId="77777777" w:rsidR="00142D49" w:rsidRPr="00891D89" w:rsidRDefault="009F4B88" w:rsidP="00611A05">
      <w:pPr>
        <w:pStyle w:val="CoverNormal24a"/>
      </w:pPr>
      <w:r>
        <w:br w:type="page"/>
      </w:r>
      <w:r>
        <w:lastRenderedPageBreak/>
        <w:t>PR_IMM_Waiver</w:t>
      </w:r>
    </w:p>
    <w:p w14:paraId="0EC738F6" w14:textId="77777777" w:rsidR="00142D49" w:rsidRPr="00891D89" w:rsidRDefault="009F4B88">
      <w:pPr>
        <w:pStyle w:val="TOCHeading"/>
      </w:pPr>
      <w:r>
        <w:t>SOMMAIRE</w:t>
      </w:r>
    </w:p>
    <w:p w14:paraId="0BE0F7AF" w14:textId="77777777" w:rsidR="00142D49" w:rsidRPr="00891D89" w:rsidRDefault="009F4B88">
      <w:pPr>
        <w:pStyle w:val="TOCPage"/>
      </w:pPr>
      <w:r>
        <w:t>Page</w:t>
      </w:r>
    </w:p>
    <w:p w14:paraId="4A95BCC1" w14:textId="75E174A1" w:rsidR="009F4B88" w:rsidRDefault="009F4B8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91D89">
        <w:fldChar w:fldCharType="begin"/>
      </w:r>
      <w:r w:rsidRPr="00891D89">
        <w:instrText xml:space="preserve"> TOC \t "PageHeading</w:instrText>
      </w:r>
      <w:r w:rsidR="00A353C2" w:rsidRPr="00891D89">
        <w:instrText>;</w:instrText>
      </w:r>
      <w:r w:rsidRPr="00891D89">
        <w:instrText xml:space="preserve">1" </w:instrText>
      </w:r>
      <w:r w:rsidRPr="00891D89">
        <w:fldChar w:fldCharType="separate"/>
      </w:r>
      <w:r>
        <w:rPr>
          <w:noProof/>
        </w:rPr>
        <w:t>PROPOSITION DE DÉCISION DU PARLEMENT EUROPÉEN</w:t>
      </w:r>
      <w:r>
        <w:rPr>
          <w:noProof/>
        </w:rPr>
        <w:tab/>
      </w:r>
      <w:r>
        <w:rPr>
          <w:noProof/>
        </w:rPr>
        <w:fldChar w:fldCharType="begin"/>
      </w:r>
      <w:r>
        <w:rPr>
          <w:noProof/>
        </w:rPr>
        <w:instrText xml:space="preserve"> PAGEREF _Toc229059107 \h </w:instrText>
      </w:r>
      <w:r>
        <w:rPr>
          <w:noProof/>
        </w:rPr>
      </w:r>
      <w:r>
        <w:rPr>
          <w:noProof/>
        </w:rPr>
        <w:fldChar w:fldCharType="separate"/>
      </w:r>
      <w:r>
        <w:rPr>
          <w:noProof/>
        </w:rPr>
        <w:t>3</w:t>
      </w:r>
      <w:r>
        <w:rPr>
          <w:noProof/>
        </w:rPr>
        <w:fldChar w:fldCharType="end"/>
      </w:r>
    </w:p>
    <w:p w14:paraId="6D772548" w14:textId="043A8C70" w:rsidR="009F4B88" w:rsidRDefault="009F4B8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_Toc229059108 \h </w:instrText>
      </w:r>
      <w:r>
        <w:rPr>
          <w:noProof/>
        </w:rPr>
      </w:r>
      <w:r>
        <w:rPr>
          <w:noProof/>
        </w:rPr>
        <w:fldChar w:fldCharType="separate"/>
      </w:r>
      <w:r>
        <w:rPr>
          <w:noProof/>
        </w:rPr>
        <w:t>5</w:t>
      </w:r>
      <w:r>
        <w:rPr>
          <w:noProof/>
        </w:rPr>
        <w:fldChar w:fldCharType="end"/>
      </w:r>
    </w:p>
    <w:p w14:paraId="5E888FF7" w14:textId="0EDE2DF3" w:rsidR="0006105E" w:rsidRPr="00891D89" w:rsidRDefault="009F4B88" w:rsidP="00273EFB">
      <w:r w:rsidRPr="00891D89">
        <w:fldChar w:fldCharType="end"/>
      </w:r>
    </w:p>
    <w:p w14:paraId="3807E241" w14:textId="77777777" w:rsidR="00142D49" w:rsidRPr="00891D89" w:rsidRDefault="009F4B88">
      <w:pPr>
        <w:pStyle w:val="PageHeading"/>
      </w:pPr>
      <w:r>
        <w:br w:type="page"/>
      </w:r>
      <w:bookmarkStart w:id="0" w:name="_Toc229059107"/>
      <w:r>
        <w:lastRenderedPageBreak/>
        <w:t>PROPOSITION DE DÉCISION DU PARLEMENT EUROPÉEN</w:t>
      </w:r>
      <w:bookmarkEnd w:id="0"/>
    </w:p>
    <w:p w14:paraId="217FA431" w14:textId="77777777" w:rsidR="00C86948" w:rsidRPr="00891D89" w:rsidRDefault="009F4B88" w:rsidP="00C86948">
      <w:pPr>
        <w:pStyle w:val="NormalBold"/>
      </w:pPr>
      <w:r>
        <w:t>sur la demande de levée de l’immunité de Nikos Pappas</w:t>
      </w:r>
    </w:p>
    <w:p w14:paraId="38CAB7B4" w14:textId="77777777" w:rsidR="00C86948" w:rsidRPr="00891D89" w:rsidRDefault="009F4B88" w:rsidP="00C86948">
      <w:pPr>
        <w:pStyle w:val="NormalBold"/>
      </w:pPr>
      <w:r>
        <w:t>(2025/2234 (IMM))</w:t>
      </w:r>
    </w:p>
    <w:p w14:paraId="53F64E4E" w14:textId="77777777" w:rsidR="00142D49" w:rsidRPr="00891D89" w:rsidRDefault="009F4B88" w:rsidP="00FD1F04">
      <w:pPr>
        <w:pStyle w:val="EPComma"/>
      </w:pPr>
      <w:r>
        <w:rPr>
          <w:i/>
        </w:rPr>
        <w:t>Le Parlement européen</w:t>
      </w:r>
      <w:r>
        <w:t>,</w:t>
      </w:r>
    </w:p>
    <w:p w14:paraId="2B26DEFA" w14:textId="77777777" w:rsidR="00C86948" w:rsidRPr="00891D89" w:rsidRDefault="009F4B88" w:rsidP="00C86948">
      <w:pPr>
        <w:pStyle w:val="NormalHanging12a"/>
      </w:pPr>
      <w:r>
        <w:t>–</w:t>
      </w:r>
      <w:r>
        <w:tab/>
        <w:t>vu la demande de levée de l’immunité de Nikos Pappas, reçue par lettre du 7 octobre 2025 de la substitut du procureur général de la Cour suprême grecque, transmettant une demande présentée par le procureur du tribunal de première instance d’Athènes en liaison avec la procédure pénale devant être engagée contre ledit député, et communiquée en séance plénière le 12 novembre 2025,</w:t>
      </w:r>
    </w:p>
    <w:p w14:paraId="0D44F218" w14:textId="77777777" w:rsidR="00C86948" w:rsidRPr="00891D89" w:rsidRDefault="009F4B88" w:rsidP="00C86948">
      <w:pPr>
        <w:pStyle w:val="NormalHanging12a"/>
      </w:pPr>
      <w:r>
        <w:t>–</w:t>
      </w:r>
      <w:r>
        <w:tab/>
        <w:t xml:space="preserve">ayant entendu Nikos Pappas le 15 avril 2026, conformément à l’article 9, paragraphe 6, de son règlement intérieur, </w:t>
      </w:r>
    </w:p>
    <w:p w14:paraId="29082AF5" w14:textId="77777777" w:rsidR="00C86948" w:rsidRPr="00891D89" w:rsidRDefault="009F4B88" w:rsidP="00C86948">
      <w:pPr>
        <w:pStyle w:val="NormalHanging12a"/>
      </w:pPr>
      <w:r>
        <w:t>–</w:t>
      </w:r>
      <w:r>
        <w:tab/>
        <w:t>vu les articles 8 et 9 du protocole nº 7 sur les privilèges et immunités de l’Union européenne ainsi que l’article 6, paragraphe 2, de l’acte portant élection des membres du Parlement européen au suffrage universel direct, du 20 septembre 1976,</w:t>
      </w:r>
    </w:p>
    <w:p w14:paraId="3964C13C" w14:textId="77777777" w:rsidR="00C86948" w:rsidRPr="00891D89" w:rsidRDefault="009F4B88" w:rsidP="00C86948">
      <w:pPr>
        <w:pStyle w:val="NormalHanging12a"/>
      </w:pPr>
      <w:r>
        <w:t>–</w:t>
      </w:r>
      <w:r>
        <w:tab/>
        <w:t>vu les arrêts rendus par la Cour de justice de l’Union européenne les 21 octobre 2008, 19 mars 2010, 6 septembre 2011, 17 janvier 2013 et 19 décembre 2019</w:t>
      </w:r>
      <w:r>
        <w:rPr>
          <w:vertAlign w:val="superscript"/>
        </w:rPr>
        <w:footnoteReference w:id="1"/>
      </w:r>
      <w:r>
        <w:t>,</w:t>
      </w:r>
    </w:p>
    <w:p w14:paraId="6955F888" w14:textId="77777777" w:rsidR="00C86948" w:rsidRPr="00891D89" w:rsidRDefault="009F4B88" w:rsidP="00C86948">
      <w:pPr>
        <w:pStyle w:val="NormalHanging12a"/>
      </w:pPr>
      <w:r>
        <w:t>–</w:t>
      </w:r>
      <w:r>
        <w:tab/>
        <w:t>vu l’article 5, paragraphe 2, l’article 6, paragraphe 1, et l’article 9 de son règlement intérieur,</w:t>
      </w:r>
    </w:p>
    <w:p w14:paraId="222C5C2A" w14:textId="77777777" w:rsidR="00C86948" w:rsidRPr="00891D89" w:rsidRDefault="009F4B88" w:rsidP="00C86948">
      <w:pPr>
        <w:pStyle w:val="NormalHanging12a"/>
      </w:pPr>
      <w:r>
        <w:t>–</w:t>
      </w:r>
      <w:r>
        <w:tab/>
        <w:t>vu le rapport de la commission des affaires juridiques (A10</w:t>
      </w:r>
      <w:r>
        <w:noBreakHyphen/>
        <w:t>0128/2026),</w:t>
      </w:r>
    </w:p>
    <w:p w14:paraId="1AD87A2C" w14:textId="77777777" w:rsidR="00C86948" w:rsidRPr="00891D89" w:rsidRDefault="009F4B88" w:rsidP="00C86948">
      <w:pPr>
        <w:pStyle w:val="NormalHanging12a"/>
        <w:rPr>
          <w:bCs/>
          <w:iCs/>
        </w:rPr>
      </w:pPr>
      <w:r>
        <w:t>A.</w:t>
      </w:r>
      <w:r>
        <w:tab/>
        <w:t xml:space="preserve">considérant que la substitut du procureur général de la Cour suprême grecque a transmis une demande du procureur du tribunal de première instance d’Athènes en vue de la levée de l’immunité de Nikos Pappas, député au Parlement européen élu en Grèce, pour des insultes par le biais de l’internet et menaces présumées, qui constituent des infractions pénales conformément à l’article 94, à l’article 361, paragraphe 1, première et deuxième phrases, et à l’article 333, paragraphe 1, première phrase, du code pénal </w:t>
      </w:r>
      <w:r>
        <w:t>grec;</w:t>
      </w:r>
    </w:p>
    <w:p w14:paraId="7DD3A553" w14:textId="77777777" w:rsidR="00C86948" w:rsidRPr="00891D89" w:rsidRDefault="009F4B88" w:rsidP="00C86948">
      <w:pPr>
        <w:pStyle w:val="NormalHanging12a"/>
      </w:pPr>
      <w:r>
        <w:t>B.</w:t>
      </w:r>
      <w:r>
        <w:tab/>
      </w:r>
      <w:bookmarkStart w:id="1" w:name="_Hlk226714510"/>
      <w:r>
        <w:t>considérant que, conformément à la demande, la plainte indique que, le 11 juin 2025, Nikos Pappas aurait insulté et menacé le plaignant par des messages directs envoyés par son compte personnel sur Instagram;</w:t>
      </w:r>
      <w:bookmarkEnd w:id="1"/>
    </w:p>
    <w:p w14:paraId="3B7A5BF6" w14:textId="77777777" w:rsidR="00C86948" w:rsidRPr="00891D89" w:rsidRDefault="009F4B88" w:rsidP="00C86948">
      <w:pPr>
        <w:pStyle w:val="NormalHanging12a"/>
      </w:pPr>
      <w:r>
        <w:t>C.</w:t>
      </w:r>
      <w:r>
        <w:tab/>
        <w:t xml:space="preserve">considérant que Nikos Pappas a été élu au Parlement européen lors des élections européennes de juin 2024 et qu’il était député au Parlement européen au moment des infractions présumées; considérant que, d’après la demande, la plainte déposée contre </w:t>
      </w:r>
      <w:r>
        <w:lastRenderedPageBreak/>
        <w:t>lui date du 16 juillet 2025;</w:t>
      </w:r>
    </w:p>
    <w:p w14:paraId="6026BB1D" w14:textId="77777777" w:rsidR="00C86948" w:rsidRPr="00891D89" w:rsidRDefault="009F4B88" w:rsidP="00C86948">
      <w:pPr>
        <w:pStyle w:val="NormalHanging12a"/>
      </w:pPr>
      <w:r>
        <w:t>D.</w:t>
      </w:r>
      <w:r>
        <w:tab/>
        <w:t>considérant que l’infraction présumée n’est pas constitutive d’une opinion ou d’un vote émis par Nikos Pappas dans l’exercice de ses fonctions au sens de l’article 8 du protocole nº 7 sur les privilèges et immunités de l’Union européenne et que la demande de levée de son immunité qui en découle n’est pas liée à une telle opinion ou à un tel vote;</w:t>
      </w:r>
    </w:p>
    <w:p w14:paraId="48E54411" w14:textId="77777777" w:rsidR="00C86948" w:rsidRPr="00891D89" w:rsidRDefault="009F4B88" w:rsidP="00C86948">
      <w:pPr>
        <w:pStyle w:val="NormalHanging12a"/>
      </w:pPr>
      <w:r>
        <w:t>E.</w:t>
      </w:r>
      <w:r>
        <w:tab/>
        <w:t>considérant que l’article 9, premier alinéa, point a), du protocole nº 7 sur les privilèges et immunités de l’Union européenne dispose que, pendant la durée des sessions du Parlement européen, les députés au Parlement européen bénéficient, sur leur territoire national, des immunités reconnues aux membres du parlement de leur pays;</w:t>
      </w:r>
    </w:p>
    <w:p w14:paraId="1E7115AC" w14:textId="77777777" w:rsidR="00C86948" w:rsidRPr="00891D89" w:rsidRDefault="009F4B88" w:rsidP="00C86948">
      <w:pPr>
        <w:pStyle w:val="NormalHanging12a"/>
      </w:pPr>
      <w:r>
        <w:t>F.</w:t>
      </w:r>
      <w:r>
        <w:tab/>
        <w:t>considérant que, conformément à l’article 62 de la Constitution de la République hellénique, aucun député ne peut être, durant son mandat, poursuivi, arrêté, emprisonné ou soumis à d’autres mesures privatives de liberté sans l’autorisation de la Chambre des députés;</w:t>
      </w:r>
    </w:p>
    <w:p w14:paraId="735924A0" w14:textId="77777777" w:rsidR="00C86948" w:rsidRPr="00891D89" w:rsidRDefault="009F4B88" w:rsidP="00C86948">
      <w:pPr>
        <w:pStyle w:val="NormalHanging12a"/>
      </w:pPr>
      <w:r>
        <w:t>G.</w:t>
      </w:r>
      <w:r>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14:paraId="3DDEF05B" w14:textId="77777777" w:rsidR="00C86948" w:rsidRPr="00891D89" w:rsidRDefault="009F4B88" w:rsidP="00C86948">
      <w:pPr>
        <w:pStyle w:val="NormalHanging12a"/>
      </w:pPr>
      <w:r>
        <w:t>H.</w:t>
      </w:r>
      <w:r>
        <w:tab/>
      </w:r>
      <w:r>
        <w:t>considérant que, conformément à l’article 5, paragraphe 2, de son règlement intérieur, l’immunité parlementaire n’est pas un privilège personnel du député, mais une garantie d’indépendance du Parlement dans son ensemble et de ses députés;</w:t>
      </w:r>
    </w:p>
    <w:p w14:paraId="2CB7B1FF" w14:textId="77777777" w:rsidR="00C86948" w:rsidRPr="00891D89" w:rsidRDefault="009F4B88" w:rsidP="00C86948">
      <w:pPr>
        <w:pStyle w:val="NormalHanging12a"/>
      </w:pPr>
      <w:r>
        <w:t>I.</w:t>
      </w:r>
      <w:r>
        <w:tab/>
        <w:t xml:space="preserve">considérant que, en l’espèce, le Parlement européen n’a trouvé aucun élément de preuve établissant l’existence d’un </w:t>
      </w:r>
      <w:r>
        <w:rPr>
          <w:i/>
        </w:rPr>
        <w:t>fumus persecutionis</w:t>
      </w:r>
      <w:r>
        <w:t>, c’est-à-dire des éléments de fait qui permettent de présumer que les poursuites en question ont été engagées dans l’intention de nuire à l’activité politique du député en sa qualité de député au Parlement européen;</w:t>
      </w:r>
    </w:p>
    <w:p w14:paraId="1E343C6F" w14:textId="77777777" w:rsidR="00C86948" w:rsidRPr="00891D89" w:rsidRDefault="009F4B88" w:rsidP="00C86948">
      <w:pPr>
        <w:pStyle w:val="NormalHanging12a"/>
      </w:pPr>
      <w:r>
        <w:t>J.</w:t>
      </w:r>
      <w:r>
        <w:tab/>
        <w:t>considérant, d’une part, que le Parlement ne saurait être assimilé à un tribunal et, d’autre part, que le député ne saurait, dans le contexte d’une procédure de levée d’immunité, être considéré comme un «accusé»</w:t>
      </w:r>
      <w:r>
        <w:rPr>
          <w:vertAlign w:val="superscript"/>
        </w:rPr>
        <w:footnoteReference w:id="2"/>
      </w:r>
      <w:r>
        <w:t>;</w:t>
      </w:r>
    </w:p>
    <w:p w14:paraId="54FF3C06" w14:textId="77777777" w:rsidR="00C86948" w:rsidRPr="00891D89" w:rsidRDefault="009F4B88" w:rsidP="00C86948">
      <w:pPr>
        <w:pStyle w:val="NormalHanging12a"/>
      </w:pPr>
      <w:r>
        <w:t>1.</w:t>
      </w:r>
      <w:r>
        <w:tab/>
        <w:t>décide de lever l’immunité de Nikos Pappas;</w:t>
      </w:r>
    </w:p>
    <w:p w14:paraId="5EAE99E1" w14:textId="77777777" w:rsidR="00C86948" w:rsidRPr="00891D89" w:rsidRDefault="009F4B88" w:rsidP="00C86948">
      <w:pPr>
        <w:pStyle w:val="NormalHanging12a"/>
      </w:pPr>
      <w:r>
        <w:t>2.</w:t>
      </w:r>
      <w:r>
        <w:tab/>
        <w:t>charge sa Présidente de transmettre immédiatement la présente décision et le rapport de sa commission compétente aux autorités compétentes de la République hellénique et à Nikos Pappas.</w:t>
      </w:r>
    </w:p>
    <w:p w14:paraId="6B523590" w14:textId="77777777" w:rsidR="00A35E2C" w:rsidRPr="00891D89" w:rsidRDefault="00A35E2C" w:rsidP="00A353C2">
      <w:pPr>
        <w:pStyle w:val="NormalHanging12a"/>
      </w:pPr>
    </w:p>
    <w:p w14:paraId="4BDDB392" w14:textId="77777777" w:rsidR="00A353C2" w:rsidRPr="00891D89" w:rsidRDefault="00A353C2" w:rsidP="00A353C2">
      <w:pPr>
        <w:sectPr w:rsidR="00A353C2" w:rsidRPr="00891D89" w:rsidSect="00891D8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33ED55D" w14:textId="77777777" w:rsidR="00A353C2" w:rsidRPr="00891D89" w:rsidRDefault="009F4B88" w:rsidP="00A353C2">
      <w:pPr>
        <w:pStyle w:val="PageHeading"/>
      </w:pPr>
      <w:bookmarkStart w:id="2" w:name="ProcPageRR"/>
      <w:bookmarkStart w:id="3" w:name="_Toc229059108"/>
      <w:r>
        <w:lastRenderedPageBreak/>
        <w:t>INFORMATIONS SUR L’ADOPTION PAR LA COMMISSION COMPÉTENTE AU FOND</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78B8" w14:paraId="14BF3F9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C8C04C8" w14:textId="77777777" w:rsidR="00A353C2" w:rsidRPr="00891D89" w:rsidRDefault="009F4B88">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2A06F1B" w14:textId="77777777" w:rsidR="00A353C2" w:rsidRPr="00891D89" w:rsidRDefault="009F4B88">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FD341C9" w14:textId="77777777" w:rsidR="00A353C2" w:rsidRPr="00891D89" w:rsidRDefault="00A353C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68FBA34" w14:textId="77777777" w:rsidR="00A353C2" w:rsidRPr="00891D89" w:rsidRDefault="00A353C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E70BDF" w14:textId="77777777" w:rsidR="00A353C2" w:rsidRPr="00891D89" w:rsidRDefault="00A353C2">
            <w:pPr>
              <w:autoSpaceDE w:val="0"/>
              <w:autoSpaceDN w:val="0"/>
              <w:adjustRightInd w:val="0"/>
              <w:rPr>
                <w:rFonts w:ascii="sans-serif" w:hAnsi="sans-serif" w:cs="sans-serif"/>
                <w:color w:val="000000"/>
              </w:rPr>
            </w:pPr>
          </w:p>
        </w:tc>
      </w:tr>
      <w:tr w:rsidR="008978B8" w14:paraId="6BAF360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7F6FB3E" w14:textId="77777777" w:rsidR="00A353C2" w:rsidRPr="00891D89" w:rsidRDefault="009F4B88">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9113146" w14:textId="77777777" w:rsidR="00A353C2" w:rsidRPr="00891D89" w:rsidRDefault="009F4B88">
            <w:pPr>
              <w:autoSpaceDE w:val="0"/>
              <w:autoSpaceDN w:val="0"/>
              <w:adjustRightInd w:val="0"/>
              <w:rPr>
                <w:color w:val="000000"/>
                <w:sz w:val="20"/>
              </w:rPr>
            </w:pPr>
            <w:r>
              <w:rPr>
                <w:color w:val="000000"/>
                <w:sz w:val="20"/>
              </w:rPr>
              <w:t>+:</w:t>
            </w:r>
          </w:p>
          <w:p w14:paraId="139C034E" w14:textId="77777777" w:rsidR="00A353C2" w:rsidRPr="00891D89" w:rsidRDefault="009F4B88">
            <w:pPr>
              <w:autoSpaceDE w:val="0"/>
              <w:autoSpaceDN w:val="0"/>
              <w:adjustRightInd w:val="0"/>
              <w:rPr>
                <w:color w:val="000000"/>
                <w:sz w:val="20"/>
              </w:rPr>
            </w:pPr>
            <w:r>
              <w:rPr>
                <w:color w:val="000000"/>
                <w:sz w:val="20"/>
              </w:rPr>
              <w:t>–:</w:t>
            </w:r>
          </w:p>
          <w:p w14:paraId="633775A4" w14:textId="77777777" w:rsidR="00A353C2" w:rsidRPr="00891D89" w:rsidRDefault="009F4B8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A8F828" w14:textId="77777777" w:rsidR="00A353C2" w:rsidRPr="00891D89" w:rsidRDefault="009F4B88">
            <w:pPr>
              <w:autoSpaceDE w:val="0"/>
              <w:autoSpaceDN w:val="0"/>
              <w:adjustRightInd w:val="0"/>
              <w:rPr>
                <w:color w:val="000000"/>
                <w:sz w:val="20"/>
              </w:rPr>
            </w:pPr>
            <w:r>
              <w:rPr>
                <w:color w:val="000000"/>
                <w:sz w:val="20"/>
              </w:rPr>
              <w:t>21</w:t>
            </w:r>
          </w:p>
          <w:p w14:paraId="2A44FFBB" w14:textId="77777777" w:rsidR="00A353C2" w:rsidRPr="00891D89" w:rsidRDefault="009F4B88">
            <w:pPr>
              <w:autoSpaceDE w:val="0"/>
              <w:autoSpaceDN w:val="0"/>
              <w:adjustRightInd w:val="0"/>
              <w:rPr>
                <w:color w:val="000000"/>
                <w:sz w:val="20"/>
              </w:rPr>
            </w:pPr>
            <w:r>
              <w:rPr>
                <w:color w:val="000000"/>
                <w:sz w:val="20"/>
              </w:rPr>
              <w:t>0</w:t>
            </w:r>
          </w:p>
          <w:p w14:paraId="341383AC" w14:textId="77777777" w:rsidR="00A353C2" w:rsidRPr="00891D89" w:rsidRDefault="009F4B88">
            <w:pPr>
              <w:autoSpaceDE w:val="0"/>
              <w:autoSpaceDN w:val="0"/>
              <w:adjustRightInd w:val="0"/>
              <w:rPr>
                <w:color w:val="000000"/>
                <w:sz w:val="20"/>
              </w:rPr>
            </w:pPr>
            <w:r>
              <w:rPr>
                <w:color w:val="000000"/>
                <w:sz w:val="20"/>
              </w:rPr>
              <w:t>0</w:t>
            </w:r>
          </w:p>
        </w:tc>
      </w:tr>
    </w:tbl>
    <w:p w14:paraId="3BB95F06" w14:textId="77777777" w:rsidR="00A353C2" w:rsidRPr="00891D89" w:rsidRDefault="00A353C2"/>
    <w:bookmarkEnd w:id="2"/>
    <w:p w14:paraId="517F3BFA" w14:textId="77777777" w:rsidR="00A353C2" w:rsidRPr="00891D89" w:rsidRDefault="00A353C2" w:rsidP="00A353C2"/>
    <w:sectPr w:rsidR="00A353C2" w:rsidRPr="00891D89" w:rsidSect="00A353C2">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0D894" w14:textId="77777777" w:rsidR="009F4B88" w:rsidRDefault="009F4B88">
      <w:r>
        <w:separator/>
      </w:r>
    </w:p>
  </w:endnote>
  <w:endnote w:type="continuationSeparator" w:id="0">
    <w:p w14:paraId="4E01D4BE" w14:textId="77777777" w:rsidR="009F4B88" w:rsidRDefault="009F4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3C94" w14:textId="77777777" w:rsidR="00891D89" w:rsidRPr="00891D89" w:rsidRDefault="009F4B88" w:rsidP="00891D89">
    <w:pPr>
      <w:pStyle w:val="EPFooter"/>
    </w:pPr>
    <w:r w:rsidRPr="00891D89">
      <w:t>PE</w:t>
    </w:r>
    <w:r w:rsidRPr="00891D89">
      <w:rPr>
        <w:rStyle w:val="HideTWBExt"/>
      </w:rPr>
      <w:t>&lt;NoPE&gt;</w:t>
    </w:r>
    <w:r w:rsidRPr="00891D89">
      <w:t>786.974</w:t>
    </w:r>
    <w:r w:rsidRPr="00891D89">
      <w:rPr>
        <w:rStyle w:val="HideTWBExt"/>
      </w:rPr>
      <w:t>&lt;/NoPE&gt;&lt;Version&gt;</w:t>
    </w:r>
    <w:r w:rsidRPr="00891D89">
      <w:t>v03-00</w:t>
    </w:r>
    <w:r w:rsidRPr="00891D89">
      <w:rPr>
        <w:rStyle w:val="HideTWBExt"/>
      </w:rPr>
      <w:t>&lt;/Version&gt;</w:t>
    </w:r>
    <w:r w:rsidRPr="00891D89">
      <w:tab/>
    </w:r>
    <w:r w:rsidRPr="00891D89">
      <w:fldChar w:fldCharType="begin"/>
    </w:r>
    <w:r w:rsidRPr="00891D89">
      <w:instrText xml:space="preserve"> PAGE  \* MERGEFORMAT </w:instrText>
    </w:r>
    <w:r w:rsidRPr="00891D89">
      <w:fldChar w:fldCharType="separate"/>
    </w:r>
    <w:r w:rsidRPr="00891D89">
      <w:rPr>
        <w:noProof/>
      </w:rPr>
      <w:t>4</w:t>
    </w:r>
    <w:r w:rsidRPr="00891D89">
      <w:fldChar w:fldCharType="end"/>
    </w:r>
    <w:r w:rsidRPr="00891D89">
      <w:t>/</w:t>
    </w:r>
    <w:r w:rsidRPr="00891D89">
      <w:fldChar w:fldCharType="begin"/>
    </w:r>
    <w:r>
      <w:instrText xml:space="preserve"> NUMPAGES  \* MERGEFORMAT </w:instrText>
    </w:r>
    <w:r w:rsidRPr="00891D89">
      <w:fldChar w:fldCharType="separate"/>
    </w:r>
    <w:r w:rsidRPr="00891D89">
      <w:rPr>
        <w:noProof/>
      </w:rPr>
      <w:t>5</w:t>
    </w:r>
    <w:r w:rsidRPr="00891D89">
      <w:rPr>
        <w:noProof/>
      </w:rPr>
      <w:fldChar w:fldCharType="end"/>
    </w:r>
    <w:r w:rsidRPr="00891D89">
      <w:tab/>
    </w:r>
    <w:r w:rsidRPr="00891D89">
      <w:rPr>
        <w:rStyle w:val="HideTWBExt"/>
      </w:rPr>
      <w:t>&lt;PathFdR&gt;</w:t>
    </w:r>
    <w:r w:rsidRPr="00891D89">
      <w:t>RR\1343292FR.docx</w:t>
    </w:r>
    <w:r w:rsidRPr="00891D89">
      <w:rPr>
        <w:rStyle w:val="HideTWBExt"/>
      </w:rPr>
      <w:t>&lt;/PathFdR&gt;</w:t>
    </w:r>
  </w:p>
  <w:p w14:paraId="0653AFF1" w14:textId="77777777" w:rsidR="0023430B" w:rsidRPr="00891D89" w:rsidRDefault="009F4B88" w:rsidP="00891D89">
    <w:pPr>
      <w:pStyle w:val="EPFooter2"/>
    </w:pPr>
    <w:r w:rsidRPr="00891D8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539D" w14:textId="77777777" w:rsidR="00891D89" w:rsidRPr="00891D89" w:rsidRDefault="009F4B88" w:rsidP="00891D89">
    <w:pPr>
      <w:pStyle w:val="EPFooter"/>
    </w:pPr>
    <w:r w:rsidRPr="00891D89">
      <w:rPr>
        <w:rStyle w:val="HideTWBExt"/>
      </w:rPr>
      <w:t>&lt;PathFdR&gt;</w:t>
    </w:r>
    <w:r w:rsidRPr="00891D89">
      <w:t>RR\1343292FR.docx</w:t>
    </w:r>
    <w:r w:rsidRPr="00891D89">
      <w:rPr>
        <w:rStyle w:val="HideTWBExt"/>
      </w:rPr>
      <w:t>&lt;/PathFdR&gt;</w:t>
    </w:r>
    <w:r w:rsidRPr="00891D89">
      <w:tab/>
    </w:r>
    <w:r w:rsidRPr="00891D89">
      <w:fldChar w:fldCharType="begin"/>
    </w:r>
    <w:r w:rsidRPr="00891D89">
      <w:instrText xml:space="preserve"> PAGE  \* MERGEFORMAT </w:instrText>
    </w:r>
    <w:r w:rsidRPr="00891D89">
      <w:fldChar w:fldCharType="separate"/>
    </w:r>
    <w:r w:rsidRPr="00891D89">
      <w:rPr>
        <w:noProof/>
      </w:rPr>
      <w:t>5</w:t>
    </w:r>
    <w:r w:rsidRPr="00891D89">
      <w:fldChar w:fldCharType="end"/>
    </w:r>
    <w:r w:rsidRPr="00891D89">
      <w:t>/</w:t>
    </w:r>
    <w:r w:rsidRPr="00891D89">
      <w:fldChar w:fldCharType="begin"/>
    </w:r>
    <w:r>
      <w:instrText xml:space="preserve"> NUMPAGES  \* MERGEFORMAT </w:instrText>
    </w:r>
    <w:r w:rsidRPr="00891D89">
      <w:fldChar w:fldCharType="separate"/>
    </w:r>
    <w:r w:rsidRPr="00891D89">
      <w:rPr>
        <w:noProof/>
      </w:rPr>
      <w:t>5</w:t>
    </w:r>
    <w:r w:rsidRPr="00891D89">
      <w:rPr>
        <w:noProof/>
      </w:rPr>
      <w:fldChar w:fldCharType="end"/>
    </w:r>
    <w:r w:rsidRPr="00891D89">
      <w:tab/>
      <w:t>PE</w:t>
    </w:r>
    <w:r w:rsidRPr="00891D89">
      <w:rPr>
        <w:rStyle w:val="HideTWBExt"/>
      </w:rPr>
      <w:t>&lt;NoPE&gt;</w:t>
    </w:r>
    <w:r w:rsidRPr="00891D89">
      <w:t>786.974</w:t>
    </w:r>
    <w:r w:rsidRPr="00891D89">
      <w:rPr>
        <w:rStyle w:val="HideTWBExt"/>
      </w:rPr>
      <w:t>&lt;/NoPE&gt;&lt;Version&gt;</w:t>
    </w:r>
    <w:r w:rsidRPr="00891D89">
      <w:t>v03-00</w:t>
    </w:r>
    <w:r w:rsidRPr="00891D89">
      <w:rPr>
        <w:rStyle w:val="HideTWBExt"/>
      </w:rPr>
      <w:t>&lt;/Version&gt;</w:t>
    </w:r>
  </w:p>
  <w:p w14:paraId="016F7166" w14:textId="77777777" w:rsidR="0023430B" w:rsidRPr="00891D89" w:rsidRDefault="009F4B88" w:rsidP="00891D89">
    <w:pPr>
      <w:pStyle w:val="EPFooter2"/>
    </w:pPr>
    <w:r w:rsidRPr="00891D89">
      <w:tab/>
    </w:r>
    <w:r w:rsidRPr="00891D8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A35FC" w14:textId="77777777" w:rsidR="00891D89" w:rsidRPr="00891D89" w:rsidRDefault="009F4B88" w:rsidP="00891D89">
    <w:pPr>
      <w:pStyle w:val="EPFooter"/>
    </w:pPr>
    <w:r w:rsidRPr="00891D89">
      <w:rPr>
        <w:rStyle w:val="HideTWBExt"/>
      </w:rPr>
      <w:t>&lt;PathFdR&gt;</w:t>
    </w:r>
    <w:r w:rsidRPr="00891D89">
      <w:t>RR\1343292FR.docx</w:t>
    </w:r>
    <w:r w:rsidRPr="00891D89">
      <w:rPr>
        <w:rStyle w:val="HideTWBExt"/>
      </w:rPr>
      <w:t>&lt;/PathFdR&gt;</w:t>
    </w:r>
    <w:r w:rsidRPr="00891D89">
      <w:tab/>
    </w:r>
    <w:r w:rsidRPr="00891D89">
      <w:tab/>
      <w:t>PE</w:t>
    </w:r>
    <w:r w:rsidRPr="00891D89">
      <w:rPr>
        <w:rStyle w:val="HideTWBExt"/>
      </w:rPr>
      <w:t>&lt;NoPE&gt;</w:t>
    </w:r>
    <w:r w:rsidRPr="00891D89">
      <w:t>786.974</w:t>
    </w:r>
    <w:r w:rsidRPr="00891D89">
      <w:rPr>
        <w:rStyle w:val="HideTWBExt"/>
      </w:rPr>
      <w:t>&lt;/NoPE&gt;&lt;Version&gt;</w:t>
    </w:r>
    <w:r w:rsidRPr="00891D89">
      <w:t>v03-00</w:t>
    </w:r>
    <w:r w:rsidRPr="00891D89">
      <w:rPr>
        <w:rStyle w:val="HideTWBExt"/>
      </w:rPr>
      <w:t>&lt;/Version&gt;</w:t>
    </w:r>
  </w:p>
  <w:p w14:paraId="1B05E5BB" w14:textId="77777777" w:rsidR="0023430B" w:rsidRPr="00891D89" w:rsidRDefault="009F4B88" w:rsidP="00891D89">
    <w:pPr>
      <w:pStyle w:val="EPFooter2"/>
    </w:pPr>
    <w:r w:rsidRPr="00891D89">
      <w:t>FR</w:t>
    </w:r>
    <w:r w:rsidRPr="00891D89">
      <w:tab/>
    </w:r>
    <w:r w:rsidRPr="00891D89">
      <w:rPr>
        <w:b w:val="0"/>
        <w:i/>
        <w:color w:val="C0C0C0"/>
        <w:sz w:val="22"/>
      </w:rPr>
      <w:t>Unie dans la diversité</w:t>
    </w:r>
    <w:r w:rsidRPr="00891D89">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1F418" w14:textId="77777777" w:rsidR="00792857" w:rsidRPr="00891D89" w:rsidRDefault="009F4B88">
      <w:r w:rsidRPr="00891D89">
        <w:separator/>
      </w:r>
    </w:p>
  </w:footnote>
  <w:footnote w:type="continuationSeparator" w:id="0">
    <w:p w14:paraId="23AF1538" w14:textId="77777777" w:rsidR="00792857" w:rsidRPr="00891D89" w:rsidRDefault="009F4B88">
      <w:r w:rsidRPr="00891D89">
        <w:continuationSeparator/>
      </w:r>
    </w:p>
  </w:footnote>
  <w:footnote w:id="1">
    <w:p w14:paraId="25D79F68" w14:textId="77777777" w:rsidR="00C86948" w:rsidRPr="00891D89" w:rsidRDefault="009F4B88" w:rsidP="00C86948">
      <w:pPr>
        <w:pStyle w:val="FootnoteText"/>
      </w:pPr>
      <w:r>
        <w:rPr>
          <w:rStyle w:val="FootnoteReference"/>
        </w:rPr>
        <w:footnoteRef/>
      </w:r>
      <w:r>
        <w:rPr>
          <w:rStyle w:val="FootnoteReference"/>
        </w:rPr>
        <w:t xml:space="preserve"> </w:t>
      </w:r>
      <w:r>
        <w:t xml:space="preserve">Arrêt de la Cour de justice du 21 octobre 2008, Marra/De Gregorio et Clemente, C-200/07 et C-201/07, </w:t>
      </w:r>
      <w:r>
        <w:t>ECLI:EU:C:2008:579; arrêt du Tribunal du 19 mars 2010, Gollnisch/Parlement, T-42/06, ECLI:EU:T:2010:102; arrêt de la Cour de justice du 6 septembre 2011, Patriciello, C-163/10, ECLI: EU:C:2011:543; arrêt du Tribunal du 17 janvier 2013, Gollnisch/Parlement, T-346/11 et T-347/11, ECLI:EU:T:2013:23; arrêt de la Cour de justice du 19 décembre 2019, Junqueras Vies, C-502/19, ECLI:EU:C:2019:1115.</w:t>
      </w:r>
    </w:p>
  </w:footnote>
  <w:footnote w:id="2">
    <w:p w14:paraId="5C0B24D5" w14:textId="77777777" w:rsidR="00C86948" w:rsidRPr="00891D89" w:rsidRDefault="009F4B88" w:rsidP="00C86948">
      <w:pPr>
        <w:pStyle w:val="FootnoteText"/>
      </w:pPr>
      <w:r>
        <w:rPr>
          <w:rStyle w:val="FootnoteReference"/>
        </w:rPr>
        <w:footnoteRef/>
      </w:r>
      <w:r>
        <w:rPr>
          <w:rStyle w:val="FootnoteReference"/>
        </w:rPr>
        <w:t xml:space="preserve"> </w:t>
      </w:r>
      <w: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B566B" w14:textId="77777777" w:rsidR="0087772D" w:rsidRDefault="008777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A9AD3" w14:textId="77777777" w:rsidR="0087772D" w:rsidRDefault="008777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2848D" w14:textId="77777777" w:rsidR="0087772D" w:rsidRDefault="008777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1631635">
    <w:abstractNumId w:val="9"/>
  </w:num>
  <w:num w:numId="2" w16cid:durableId="1797790852">
    <w:abstractNumId w:val="9"/>
  </w:num>
  <w:num w:numId="3" w16cid:durableId="1357661726">
    <w:abstractNumId w:val="7"/>
  </w:num>
  <w:num w:numId="4" w16cid:durableId="2017491195">
    <w:abstractNumId w:val="7"/>
  </w:num>
  <w:num w:numId="5" w16cid:durableId="457335788">
    <w:abstractNumId w:val="6"/>
  </w:num>
  <w:num w:numId="6" w16cid:durableId="1216968314">
    <w:abstractNumId w:val="6"/>
  </w:num>
  <w:num w:numId="7" w16cid:durableId="1784303655">
    <w:abstractNumId w:val="5"/>
  </w:num>
  <w:num w:numId="8" w16cid:durableId="273635734">
    <w:abstractNumId w:val="5"/>
  </w:num>
  <w:num w:numId="9" w16cid:durableId="1309899652">
    <w:abstractNumId w:val="4"/>
  </w:num>
  <w:num w:numId="10" w16cid:durableId="547689038">
    <w:abstractNumId w:val="4"/>
  </w:num>
  <w:num w:numId="11" w16cid:durableId="815879966">
    <w:abstractNumId w:val="8"/>
  </w:num>
  <w:num w:numId="12" w16cid:durableId="1637834388">
    <w:abstractNumId w:val="8"/>
  </w:num>
  <w:num w:numId="13" w16cid:durableId="2060472331">
    <w:abstractNumId w:val="3"/>
  </w:num>
  <w:num w:numId="14" w16cid:durableId="472019869">
    <w:abstractNumId w:val="3"/>
  </w:num>
  <w:num w:numId="15" w16cid:durableId="1418818345">
    <w:abstractNumId w:val="2"/>
  </w:num>
  <w:num w:numId="16" w16cid:durableId="36053460">
    <w:abstractNumId w:val="2"/>
  </w:num>
  <w:num w:numId="17" w16cid:durableId="222524750">
    <w:abstractNumId w:val="1"/>
  </w:num>
  <w:num w:numId="18" w16cid:durableId="1124887980">
    <w:abstractNumId w:val="1"/>
  </w:num>
  <w:num w:numId="19" w16cid:durableId="2080321470">
    <w:abstractNumId w:val="0"/>
  </w:num>
  <w:num w:numId="20" w16cid:durableId="501354080">
    <w:abstractNumId w:val="0"/>
  </w:num>
  <w:num w:numId="21" w16cid:durableId="1280802010">
    <w:abstractNumId w:val="9"/>
  </w:num>
  <w:num w:numId="22" w16cid:durableId="852189658">
    <w:abstractNumId w:val="7"/>
  </w:num>
  <w:num w:numId="23" w16cid:durableId="414592687">
    <w:abstractNumId w:val="6"/>
  </w:num>
  <w:num w:numId="24" w16cid:durableId="267199159">
    <w:abstractNumId w:val="5"/>
  </w:num>
  <w:num w:numId="25" w16cid:durableId="1320573163">
    <w:abstractNumId w:val="4"/>
  </w:num>
  <w:num w:numId="26" w16cid:durableId="282395080">
    <w:abstractNumId w:val="8"/>
  </w:num>
  <w:num w:numId="27" w16cid:durableId="1387877114">
    <w:abstractNumId w:val="3"/>
  </w:num>
  <w:num w:numId="28" w16cid:durableId="1672492570">
    <w:abstractNumId w:val="2"/>
  </w:num>
  <w:num w:numId="29" w16cid:durableId="1038700568">
    <w:abstractNumId w:val="1"/>
  </w:num>
  <w:num w:numId="30" w16cid:durableId="735936179">
    <w:abstractNumId w:val="0"/>
  </w:num>
  <w:num w:numId="31" w16cid:durableId="165942744">
    <w:abstractNumId w:val="9"/>
  </w:num>
  <w:num w:numId="32" w16cid:durableId="1989741772">
    <w:abstractNumId w:val="7"/>
  </w:num>
  <w:num w:numId="33" w16cid:durableId="822237766">
    <w:abstractNumId w:val="6"/>
  </w:num>
  <w:num w:numId="34" w16cid:durableId="1444300562">
    <w:abstractNumId w:val="5"/>
  </w:num>
  <w:num w:numId="35" w16cid:durableId="1966229888">
    <w:abstractNumId w:val="4"/>
  </w:num>
  <w:num w:numId="36" w16cid:durableId="1814827324">
    <w:abstractNumId w:val="8"/>
  </w:num>
  <w:num w:numId="37" w16cid:durableId="573470067">
    <w:abstractNumId w:val="3"/>
  </w:num>
  <w:num w:numId="38" w16cid:durableId="1902402847">
    <w:abstractNumId w:val="2"/>
  </w:num>
  <w:num w:numId="39" w16cid:durableId="2106413501">
    <w:abstractNumId w:val="1"/>
  </w:num>
  <w:num w:numId="40" w16cid:durableId="89278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1"/>
    <w:docVar w:name="DEMNU" w:val=" 1"/>
    <w:docVar w:name="DOCDT" w:val="27/04/2026"/>
    <w:docVar w:name="LastEditedSection" w:val=" 1"/>
    <w:docVar w:name="strDocTypeID" w:val="PR_IMM_Waiver"/>
    <w:docVar w:name="strSubDir" w:val="1343"/>
    <w:docVar w:name="TXTAUTHOR" w:val="Marcin Sypniewski"/>
    <w:docVar w:name="TXTLANGUE" w:val="FR"/>
    <w:docVar w:name="TXTLANGUEMIN" w:val="fr"/>
    <w:docVar w:name="TXTNAME" w:val="Nikos Pappas"/>
    <w:docVar w:name="TXTNRIMM" w:val="2025/2234"/>
    <w:docVar w:name="TXTNRPE" w:val="786.974"/>
    <w:docVar w:name="TXTPEorAP" w:val="PE"/>
    <w:docVar w:name="TXTROUTE" w:val="RR\1343292FR.docx"/>
    <w:docVar w:name="TXTVERSION" w:val="03-00"/>
  </w:docVars>
  <w:rsids>
    <w:rsidRoot w:val="00792857"/>
    <w:rsid w:val="00044B9B"/>
    <w:rsid w:val="00060E63"/>
    <w:rsid w:val="0006105E"/>
    <w:rsid w:val="000C0CAA"/>
    <w:rsid w:val="000E36C4"/>
    <w:rsid w:val="00142D49"/>
    <w:rsid w:val="001A046B"/>
    <w:rsid w:val="00205304"/>
    <w:rsid w:val="00215FF9"/>
    <w:rsid w:val="0023430B"/>
    <w:rsid w:val="002442B3"/>
    <w:rsid w:val="0024581B"/>
    <w:rsid w:val="00273EFB"/>
    <w:rsid w:val="00285706"/>
    <w:rsid w:val="002915E6"/>
    <w:rsid w:val="00326E87"/>
    <w:rsid w:val="0035402F"/>
    <w:rsid w:val="0035595E"/>
    <w:rsid w:val="00392A3D"/>
    <w:rsid w:val="003B1888"/>
    <w:rsid w:val="003D30B4"/>
    <w:rsid w:val="003E24B5"/>
    <w:rsid w:val="004433B2"/>
    <w:rsid w:val="0044752A"/>
    <w:rsid w:val="004502C8"/>
    <w:rsid w:val="0045635E"/>
    <w:rsid w:val="00493F90"/>
    <w:rsid w:val="004E7774"/>
    <w:rsid w:val="004F78CF"/>
    <w:rsid w:val="005369BE"/>
    <w:rsid w:val="005922F7"/>
    <w:rsid w:val="005B5955"/>
    <w:rsid w:val="00611A05"/>
    <w:rsid w:val="00633DF2"/>
    <w:rsid w:val="00681E33"/>
    <w:rsid w:val="006C038C"/>
    <w:rsid w:val="00753DFC"/>
    <w:rsid w:val="007576C7"/>
    <w:rsid w:val="007613CD"/>
    <w:rsid w:val="0076428C"/>
    <w:rsid w:val="00771E7F"/>
    <w:rsid w:val="0078039D"/>
    <w:rsid w:val="00785C52"/>
    <w:rsid w:val="00792857"/>
    <w:rsid w:val="00797CAE"/>
    <w:rsid w:val="007A7BF5"/>
    <w:rsid w:val="007C040A"/>
    <w:rsid w:val="007D49EE"/>
    <w:rsid w:val="007E434A"/>
    <w:rsid w:val="007F4D6A"/>
    <w:rsid w:val="00813127"/>
    <w:rsid w:val="008376BE"/>
    <w:rsid w:val="00851E2C"/>
    <w:rsid w:val="00867D72"/>
    <w:rsid w:val="00872381"/>
    <w:rsid w:val="0087772D"/>
    <w:rsid w:val="00891D89"/>
    <w:rsid w:val="008978B8"/>
    <w:rsid w:val="008D1236"/>
    <w:rsid w:val="008D1C36"/>
    <w:rsid w:val="008E6FB9"/>
    <w:rsid w:val="008F39C8"/>
    <w:rsid w:val="0091636F"/>
    <w:rsid w:val="00925400"/>
    <w:rsid w:val="009442F2"/>
    <w:rsid w:val="009915DD"/>
    <w:rsid w:val="009A4162"/>
    <w:rsid w:val="009B47E5"/>
    <w:rsid w:val="009E7AD9"/>
    <w:rsid w:val="009F4B88"/>
    <w:rsid w:val="009F5083"/>
    <w:rsid w:val="00A33B09"/>
    <w:rsid w:val="00A353C2"/>
    <w:rsid w:val="00A35E2C"/>
    <w:rsid w:val="00A87FB0"/>
    <w:rsid w:val="00B81D30"/>
    <w:rsid w:val="00C42BD9"/>
    <w:rsid w:val="00C85D0F"/>
    <w:rsid w:val="00C86948"/>
    <w:rsid w:val="00CC662F"/>
    <w:rsid w:val="00CE5349"/>
    <w:rsid w:val="00CF16EE"/>
    <w:rsid w:val="00D1021A"/>
    <w:rsid w:val="00DA67D6"/>
    <w:rsid w:val="00DB1E47"/>
    <w:rsid w:val="00DD480D"/>
    <w:rsid w:val="00DF74F0"/>
    <w:rsid w:val="00E114BC"/>
    <w:rsid w:val="00EA1CF0"/>
    <w:rsid w:val="00EC401F"/>
    <w:rsid w:val="00F03A29"/>
    <w:rsid w:val="00F35F95"/>
    <w:rsid w:val="00F452C6"/>
    <w:rsid w:val="00F4769C"/>
    <w:rsid w:val="00F479BE"/>
    <w:rsid w:val="00F857A1"/>
    <w:rsid w:val="00FA4CD8"/>
    <w:rsid w:val="00FB5B0C"/>
    <w:rsid w:val="00FD1F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4CB66"/>
  <w15:chartTrackingRefBased/>
  <w15:docId w15:val="{C840E675-F75E-495E-B63B-BEBF43E8E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unhideWhenUsed/>
    <w:rsid w:val="004F78CF"/>
    <w:rPr>
      <w:sz w:val="20"/>
    </w:rPr>
  </w:style>
  <w:style w:type="character" w:customStyle="1" w:styleId="FootnoteTextChar">
    <w:name w:val="Footnote Text Char"/>
    <w:basedOn w:val="DefaultParagraphFont"/>
    <w:link w:val="FootnoteText"/>
    <w:rsid w:val="004F78CF"/>
  </w:style>
  <w:style w:type="character" w:styleId="FootnoteReference">
    <w:name w:val="footnote reference"/>
    <w:basedOn w:val="DefaultParagraphFont"/>
    <w:unhideWhenUsed/>
    <w:rsid w:val="004F78CF"/>
    <w:rPr>
      <w:vertAlign w:val="superscript"/>
    </w:rPr>
  </w:style>
  <w:style w:type="paragraph" w:styleId="Footer">
    <w:name w:val="footer"/>
    <w:basedOn w:val="Normal"/>
    <w:link w:val="FooterChar"/>
    <w:semiHidden/>
    <w:rsid w:val="00813127"/>
    <w:pPr>
      <w:tabs>
        <w:tab w:val="center" w:pos="4513"/>
        <w:tab w:val="right" w:pos="9026"/>
      </w:tabs>
    </w:pPr>
  </w:style>
  <w:style w:type="character" w:customStyle="1" w:styleId="FooterChar">
    <w:name w:val="Footer Char"/>
    <w:basedOn w:val="DefaultParagraphFont"/>
    <w:link w:val="Footer"/>
    <w:semiHidden/>
    <w:rsid w:val="00813127"/>
    <w:rPr>
      <w:sz w:val="24"/>
      <w:lang w:val="fr-FR"/>
    </w:rPr>
  </w:style>
  <w:style w:type="paragraph" w:customStyle="1" w:styleId="CoverReference">
    <w:name w:val="CoverReference"/>
    <w:basedOn w:val="Normal"/>
    <w:rsid w:val="00A353C2"/>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828</Words>
  <Characters>4459</Characters>
  <Application>Microsoft Office Word</Application>
  <DocSecurity>0</DocSecurity>
  <Lines>108</Lines>
  <Paragraphs>58</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DESCHAMPS Nathalie</dc:creator>
  <cp:lastModifiedBy>GRANET-CORNEE Coline</cp:lastModifiedBy>
  <cp:revision>2</cp:revision>
  <cp:lastPrinted>2004-12-08T15:27:00Z</cp:lastPrinted>
  <dcterms:created xsi:type="dcterms:W3CDTF">2026-05-07T13:11:00Z</dcterms:created>
  <dcterms:modified xsi:type="dcterms:W3CDTF">2026-05-07T13:11:00Z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1343292</vt:lpwstr>
  </property>
  <property fmtid="{D5CDD505-2E9C-101B-9397-08002B2CF9AE}" pid="4" name="&lt;Model&gt;">
    <vt:lpwstr>PR_IMM_Waiver</vt:lpwstr>
  </property>
  <property fmtid="{D5CDD505-2E9C-101B-9397-08002B2CF9AE}" pid="5" name="&lt;ModelCod&gt;">
    <vt:lpwstr>\\eiciLUXpr1\pdocep$\DocEP\DOCS\General\PR\PR_NonLeg\IMM\PR_IMM_Waiver.dotx(26/05/2023 17:52:03)</vt:lpwstr>
  </property>
  <property fmtid="{D5CDD505-2E9C-101B-9397-08002B2CF9AE}" pid="6" name="&lt;ModelTra&gt;">
    <vt:lpwstr>\\eiciLUXpr1\pdocep$\DocEP\TRANSFIL\FR\PR_IMM_Waiver.FR(19/08/2024 10:17:00)</vt:lpwstr>
  </property>
  <property fmtid="{D5CDD505-2E9C-101B-9397-08002B2CF9AE}" pid="7" name="&lt;Type&gt;">
    <vt:lpwstr>RR</vt:lpwstr>
  </property>
  <property fmtid="{D5CDD505-2E9C-101B-9397-08002B2CF9AE}" pid="8" name="Bookout">
    <vt:lpwstr>OK - 2026/05/07 15:11</vt:lpwstr>
  </property>
  <property fmtid="{D5CDD505-2E9C-101B-9397-08002B2CF9AE}" pid="9" name="Created with">
    <vt:lpwstr>10.3.0 Build [20260401]</vt:lpwstr>
  </property>
  <property fmtid="{D5CDD505-2E9C-101B-9397-08002B2CF9AE}" pid="10" name="FooterPath">
    <vt:lpwstr>RR\1343292FR.docx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786.974</vt:lpwstr>
  </property>
  <property fmtid="{D5CDD505-2E9C-101B-9397-08002B2CF9AE}" pid="14" name="RegistreCheck">
    <vt:lpwstr>OK</vt:lpwstr>
  </property>
  <property fmtid="{D5CDD505-2E9C-101B-9397-08002B2CF9AE}" pid="15" name="SDLStudio">
    <vt:lpwstr/>
  </property>
</Properties>
</file>