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45F04" w:rsidRPr="0039241E" w14:paraId="196558F8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379D29" w14:textId="77777777" w:rsidR="00CF16EE" w:rsidRPr="0039241E" w:rsidRDefault="00005097" w:rsidP="00C85D0F">
            <w:pPr>
              <w:pStyle w:val="EPName"/>
            </w:pPr>
            <w:r w:rsidRPr="0039241E">
              <w:t>Európai Parlament</w:t>
            </w:r>
          </w:p>
          <w:p w14:paraId="4194E890" w14:textId="77777777" w:rsidR="00CF16EE" w:rsidRPr="0039241E" w:rsidRDefault="00005097" w:rsidP="00C85D0F">
            <w:pPr>
              <w:pStyle w:val="EPTerm"/>
            </w:pPr>
            <w:r w:rsidRPr="0039241E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8AABEC6" w14:textId="77777777" w:rsidR="00CF16EE" w:rsidRPr="0039241E" w:rsidRDefault="00005097" w:rsidP="00C85D0F">
            <w:pPr>
              <w:pStyle w:val="EPLogo"/>
            </w:pPr>
            <w:r w:rsidRPr="0039241E">
              <w:rPr>
                <w:noProof/>
              </w:rPr>
              <w:drawing>
                <wp:inline distT="0" distB="0" distL="0" distR="0" wp14:anchorId="521599CE" wp14:editId="21BA57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12EDEB" w14:textId="77777777" w:rsidR="00215FF9" w:rsidRPr="0039241E" w:rsidRDefault="00215FF9" w:rsidP="00215FF9">
      <w:pPr>
        <w:pStyle w:val="LineTop"/>
      </w:pPr>
    </w:p>
    <w:p w14:paraId="513E49AE" w14:textId="77777777" w:rsidR="00215FF9" w:rsidRPr="0039241E" w:rsidRDefault="00005097" w:rsidP="00215FF9">
      <w:pPr>
        <w:pStyle w:val="EPBody"/>
      </w:pPr>
      <w:r w:rsidRPr="0039241E">
        <w:t>Plenárisülés-dokumentum</w:t>
      </w:r>
    </w:p>
    <w:p w14:paraId="5D9D74F8" w14:textId="77777777" w:rsidR="00215FF9" w:rsidRPr="0039241E" w:rsidRDefault="00215FF9" w:rsidP="00215FF9">
      <w:pPr>
        <w:pStyle w:val="LineBottom"/>
      </w:pPr>
    </w:p>
    <w:p w14:paraId="7C9D4959" w14:textId="77777777" w:rsidR="005922F7" w:rsidRPr="0039241E" w:rsidRDefault="00005097" w:rsidP="001D549A">
      <w:pPr>
        <w:pStyle w:val="CoverReference"/>
      </w:pPr>
      <w:r w:rsidRPr="0039241E">
        <w:rPr>
          <w:rStyle w:val="HideTWBExt"/>
        </w:rPr>
        <w:t>&lt;NoDocSe&gt;</w:t>
      </w:r>
      <w:r w:rsidRPr="0039241E">
        <w:t>A10-0128/2026</w:t>
      </w:r>
      <w:r w:rsidRPr="0039241E">
        <w:rPr>
          <w:rStyle w:val="HideTWBExt"/>
        </w:rPr>
        <w:t>&lt;/NoDocSe&gt;</w:t>
      </w:r>
    </w:p>
    <w:p w14:paraId="3913D3D1" w14:textId="77777777" w:rsidR="005922F7" w:rsidRPr="0039241E" w:rsidRDefault="00005097" w:rsidP="005922F7">
      <w:pPr>
        <w:pStyle w:val="CoverDate"/>
      </w:pPr>
      <w:r w:rsidRPr="0039241E">
        <w:rPr>
          <w:rStyle w:val="HideTWBExt"/>
        </w:rPr>
        <w:t>&lt;Date&gt;</w:t>
      </w:r>
      <w:r w:rsidRPr="0039241E">
        <w:rPr>
          <w:rStyle w:val="HideTWBInt"/>
          <w:color w:val="auto"/>
        </w:rPr>
        <w:t>{06/05/2026}</w:t>
      </w:r>
      <w:r w:rsidRPr="0039241E">
        <w:t>6.5.2026</w:t>
      </w:r>
      <w:r w:rsidRPr="0039241E">
        <w:rPr>
          <w:rStyle w:val="HideTWBExt"/>
        </w:rPr>
        <w:t>&lt;/Date&gt;</w:t>
      </w:r>
    </w:p>
    <w:p w14:paraId="48B1D5C3" w14:textId="77777777" w:rsidR="00142D49" w:rsidRPr="0039241E" w:rsidRDefault="00005097">
      <w:pPr>
        <w:pStyle w:val="CoverDocType24a"/>
      </w:pPr>
      <w:r w:rsidRPr="0039241E">
        <w:rPr>
          <w:rStyle w:val="HideTWBExt"/>
          <w:b w:val="0"/>
        </w:rPr>
        <w:t>&lt;TitreType&gt;</w:t>
      </w:r>
      <w:r w:rsidRPr="0039241E">
        <w:t>JELENTÉS</w:t>
      </w:r>
      <w:r w:rsidRPr="0039241E">
        <w:rPr>
          <w:rStyle w:val="HideTWBExt"/>
          <w:b w:val="0"/>
        </w:rPr>
        <w:t>&lt;/TitreType&gt;</w:t>
      </w:r>
    </w:p>
    <w:p w14:paraId="696275B3" w14:textId="77777777" w:rsidR="00142D49" w:rsidRPr="0039241E" w:rsidRDefault="00005097">
      <w:pPr>
        <w:pStyle w:val="CoverNormal"/>
      </w:pPr>
      <w:r w:rsidRPr="0039241E">
        <w:rPr>
          <w:rStyle w:val="HideTWBExt"/>
        </w:rPr>
        <w:t>&lt;Titre&gt;</w:t>
      </w:r>
      <w:r w:rsidRPr="0039241E">
        <w:t>a Nikos Pappas mentelmi jogának felfüggesztésére irányuló kérelemről</w:t>
      </w:r>
      <w:r w:rsidRPr="0039241E">
        <w:rPr>
          <w:rStyle w:val="HideTWBExt"/>
        </w:rPr>
        <w:t>&lt;/Titre&gt;</w:t>
      </w:r>
    </w:p>
    <w:p w14:paraId="014A4865" w14:textId="77777777" w:rsidR="00142D49" w:rsidRPr="0039241E" w:rsidRDefault="00005097">
      <w:pPr>
        <w:pStyle w:val="CoverNormal24a"/>
      </w:pPr>
      <w:r w:rsidRPr="0039241E">
        <w:rPr>
          <w:rStyle w:val="HideTWBExt"/>
        </w:rPr>
        <w:t>&lt;DocRef&gt;</w:t>
      </w:r>
      <w:r w:rsidRPr="0039241E">
        <w:t>(2025/2234(IMM))</w:t>
      </w:r>
      <w:r w:rsidRPr="0039241E">
        <w:rPr>
          <w:rStyle w:val="HideTWBExt"/>
        </w:rPr>
        <w:t>&lt;/DocRef&gt;</w:t>
      </w:r>
    </w:p>
    <w:p w14:paraId="19C8018B" w14:textId="77777777" w:rsidR="00142D49" w:rsidRPr="0039241E" w:rsidRDefault="00005097">
      <w:pPr>
        <w:pStyle w:val="CoverNormal24a"/>
      </w:pPr>
      <w:r w:rsidRPr="0039241E">
        <w:rPr>
          <w:rStyle w:val="HideTWBExt"/>
        </w:rPr>
        <w:t>&lt;Commission&gt;</w:t>
      </w:r>
      <w:r w:rsidRPr="0039241E">
        <w:rPr>
          <w:rStyle w:val="HideTWBInt"/>
          <w:color w:val="auto"/>
        </w:rPr>
        <w:t>{JURI}</w:t>
      </w:r>
      <w:r w:rsidRPr="0039241E">
        <w:t>Jogi Bizottság</w:t>
      </w:r>
      <w:r w:rsidRPr="0039241E">
        <w:rPr>
          <w:rStyle w:val="HideTWBExt"/>
        </w:rPr>
        <w:t>&lt;/Commission&gt;</w:t>
      </w:r>
    </w:p>
    <w:p w14:paraId="28EFE37A" w14:textId="77777777" w:rsidR="00142D49" w:rsidRPr="0039241E" w:rsidRDefault="00005097">
      <w:pPr>
        <w:pStyle w:val="CoverNormal24a"/>
      </w:pPr>
      <w:r w:rsidRPr="0039241E">
        <w:t xml:space="preserve">Előadó: </w:t>
      </w:r>
      <w:r w:rsidRPr="0039241E">
        <w:rPr>
          <w:rStyle w:val="HideTWBExt"/>
        </w:rPr>
        <w:t>&lt;Depute&gt;</w:t>
      </w:r>
      <w:r w:rsidRPr="0039241E">
        <w:t>Marcin Sypniewski</w:t>
      </w:r>
      <w:r w:rsidRPr="0039241E">
        <w:rPr>
          <w:rStyle w:val="HideTWBExt"/>
        </w:rPr>
        <w:t>&lt;/Depute&gt;</w:t>
      </w:r>
    </w:p>
    <w:p w14:paraId="15F68438" w14:textId="77777777" w:rsidR="00142D49" w:rsidRPr="0039241E" w:rsidRDefault="00005097" w:rsidP="00DF74F0">
      <w:pPr>
        <w:widowControl/>
        <w:tabs>
          <w:tab w:val="center" w:pos="4677"/>
        </w:tabs>
      </w:pPr>
      <w:r w:rsidRPr="0039241E">
        <w:br w:type="page"/>
      </w:r>
      <w:r w:rsidRPr="0039241E">
        <w:lastRenderedPageBreak/>
        <w:t>PR_IMM_Waiver</w:t>
      </w:r>
    </w:p>
    <w:p w14:paraId="2D3B1FB7" w14:textId="77777777" w:rsidR="00142D49" w:rsidRPr="0039241E" w:rsidRDefault="00005097">
      <w:pPr>
        <w:pStyle w:val="TOCHeading"/>
      </w:pPr>
      <w:r w:rsidRPr="0039241E">
        <w:t>TARTALOM</w:t>
      </w:r>
    </w:p>
    <w:p w14:paraId="503C76A0" w14:textId="77777777" w:rsidR="00142D49" w:rsidRPr="0039241E" w:rsidRDefault="00005097">
      <w:pPr>
        <w:pStyle w:val="TOCPage"/>
      </w:pPr>
      <w:r w:rsidRPr="0039241E">
        <w:t>Oldal</w:t>
      </w:r>
    </w:p>
    <w:p w14:paraId="7001881C" w14:textId="6E95612D" w:rsidR="00005097" w:rsidRDefault="0000509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39241E">
        <w:fldChar w:fldCharType="begin"/>
      </w:r>
      <w:r w:rsidRPr="0039241E">
        <w:instrText xml:space="preserve"> TOC \t "PageHeading</w:instrText>
      </w:r>
      <w:r w:rsidR="00211AA7" w:rsidRPr="0039241E">
        <w:instrText>;</w:instrText>
      </w:r>
      <w:r w:rsidRPr="0039241E">
        <w:instrText xml:space="preserve">1" </w:instrText>
      </w:r>
      <w:r w:rsidRPr="0039241E">
        <w:fldChar w:fldCharType="separate"/>
      </w:r>
      <w:r>
        <w:rPr>
          <w:noProof/>
        </w:rPr>
        <w:t>AZ EURÓPAI PARLAMENT HATÁROZATÁRA IRÁNYULÓ JAVASLAT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_Toc229558181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05CF9FEC" w14:textId="565A70BB" w:rsidR="00005097" w:rsidRDefault="0000509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INFORMÁCIÓ AZ ILLETÉKES BIZOTTSÁG ÁLTALI ELFOGADÁSRÓL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_Toc229558182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425B3F8C" w14:textId="0936DD0E" w:rsidR="0006105E" w:rsidRPr="0039241E" w:rsidRDefault="00005097" w:rsidP="00273EFB">
      <w:r w:rsidRPr="0039241E">
        <w:fldChar w:fldCharType="end"/>
      </w:r>
    </w:p>
    <w:p w14:paraId="41A1B706" w14:textId="77777777" w:rsidR="00142D49" w:rsidRPr="0039241E" w:rsidRDefault="00005097">
      <w:pPr>
        <w:pStyle w:val="PageHeading"/>
      </w:pPr>
      <w:r w:rsidRPr="0039241E">
        <w:br w:type="page"/>
      </w:r>
      <w:bookmarkStart w:id="0" w:name="_Toc229558181"/>
      <w:r w:rsidRPr="0039241E">
        <w:lastRenderedPageBreak/>
        <w:t>AZ EURÓPAI PARLAMENT HATÁROZATÁRA IRÁNYULÓ JAVASLAT</w:t>
      </w:r>
      <w:bookmarkEnd w:id="0"/>
    </w:p>
    <w:p w14:paraId="73F740DC" w14:textId="77777777" w:rsidR="00142D49" w:rsidRPr="0039241E" w:rsidRDefault="00005097">
      <w:pPr>
        <w:pStyle w:val="NormalBold"/>
      </w:pPr>
      <w:r w:rsidRPr="0039241E">
        <w:t>a Nikos Pappas mentelmi jogának felfüggesztésére irányuló kérelemről</w:t>
      </w:r>
    </w:p>
    <w:p w14:paraId="6F803666" w14:textId="77777777" w:rsidR="00142D49" w:rsidRPr="0039241E" w:rsidRDefault="00005097" w:rsidP="00FD1F04">
      <w:pPr>
        <w:pStyle w:val="NormalBold"/>
      </w:pPr>
      <w:r w:rsidRPr="0039241E">
        <w:t>(2025/2234 (IMM))</w:t>
      </w:r>
    </w:p>
    <w:p w14:paraId="24B3D846" w14:textId="77777777" w:rsidR="00142D49" w:rsidRPr="0039241E" w:rsidRDefault="00005097" w:rsidP="00FD1F04">
      <w:pPr>
        <w:pStyle w:val="EPComma"/>
      </w:pPr>
      <w:r w:rsidRPr="0039241E">
        <w:t>Az Európai Parlament,</w:t>
      </w:r>
    </w:p>
    <w:p w14:paraId="227CBA97" w14:textId="77777777" w:rsidR="0037671C" w:rsidRPr="0039241E" w:rsidRDefault="00005097" w:rsidP="0037671C">
      <w:pPr>
        <w:pStyle w:val="NormalHanging12a"/>
      </w:pPr>
      <w:r w:rsidRPr="0039241E">
        <w:t>–</w:t>
      </w:r>
      <w:r w:rsidRPr="0039241E">
        <w:tab/>
        <w:t>tekintettel az athéni elsőfokú bíróság melletti ügyésznek az általa indítandó büntetőeljárással kapcsolatban benyújtott és a görög legfelsőbb bíróság melletti főügyészhelyettes 2025. október 7-i levelében továbbított, a plenáris ülésen 2025. november 12-én bejelentett, a Nikos Pappas mentelmi jogának felfüggesztésére irányuló kérelemre,</w:t>
      </w:r>
    </w:p>
    <w:p w14:paraId="260EFF6F" w14:textId="77777777" w:rsidR="0037671C" w:rsidRPr="0039241E" w:rsidRDefault="00005097" w:rsidP="0037671C">
      <w:pPr>
        <w:pStyle w:val="NormalHanging12a"/>
      </w:pPr>
      <w:r w:rsidRPr="0039241E">
        <w:t>–</w:t>
      </w:r>
      <w:r w:rsidRPr="0039241E">
        <w:tab/>
        <w:t xml:space="preserve">miután eljárási szabályzata 9. cikke (6) bekezdésének megfelelően 2026. április 15-én meghallgatta Nikos Pappast, </w:t>
      </w:r>
    </w:p>
    <w:p w14:paraId="286A113A" w14:textId="77777777" w:rsidR="0037671C" w:rsidRPr="0039241E" w:rsidRDefault="00005097" w:rsidP="0037671C">
      <w:pPr>
        <w:pStyle w:val="NormalHanging12a"/>
      </w:pPr>
      <w:r w:rsidRPr="0039241E">
        <w:t>–</w:t>
      </w:r>
      <w:r w:rsidRPr="0039241E">
        <w:tab/>
        <w:t>tekintettel az Európai Unió kiváltságairól és mentességeiről szóló 7. jegyzőkönyv 8. és 9. cikkére, valamint az Európai Parlament képviselőinek közvetlen és általános választójog alapján történő választásáról szóló, 1976. szeptember 20-i okmány 6. cikkének (2) bekezdésére,</w:t>
      </w:r>
    </w:p>
    <w:p w14:paraId="0823B7FD" w14:textId="77777777" w:rsidR="0037671C" w:rsidRPr="0039241E" w:rsidRDefault="00005097" w:rsidP="0037671C">
      <w:pPr>
        <w:pStyle w:val="NormalHanging12a"/>
      </w:pPr>
      <w:r w:rsidRPr="0039241E">
        <w:t>–</w:t>
      </w:r>
      <w:r w:rsidRPr="0039241E">
        <w:tab/>
        <w:t>tekintettel az Európai Unió Bírósága által 2008. október 21-én, 2010. március 19-én, 2011. szeptember 6-án, 2013. január 17-én és 2019. december 19-én hozott ítéletekre</w:t>
      </w:r>
      <w:r w:rsidRPr="0039241E">
        <w:rPr>
          <w:vertAlign w:val="superscript"/>
        </w:rPr>
        <w:footnoteReference w:id="1"/>
      </w:r>
      <w:r w:rsidRPr="0039241E">
        <w:t>,</w:t>
      </w:r>
    </w:p>
    <w:p w14:paraId="5D561730" w14:textId="77777777" w:rsidR="0037671C" w:rsidRPr="0039241E" w:rsidRDefault="00005097" w:rsidP="0037671C">
      <w:pPr>
        <w:pStyle w:val="NormalHanging12a"/>
      </w:pPr>
      <w:r w:rsidRPr="0039241E">
        <w:t>–</w:t>
      </w:r>
      <w:r w:rsidRPr="0039241E">
        <w:tab/>
        <w:t>tekintettel eljárási szabályzata 5. cikkének (2) bekezdésére, 6. cikkének (1) bekezdésére és 9. cikkére,</w:t>
      </w:r>
    </w:p>
    <w:p w14:paraId="4AC461B5" w14:textId="77777777" w:rsidR="0037671C" w:rsidRPr="0039241E" w:rsidRDefault="00005097" w:rsidP="0037671C">
      <w:pPr>
        <w:pStyle w:val="NormalHanging12a"/>
      </w:pPr>
      <w:r w:rsidRPr="0039241E">
        <w:t>–</w:t>
      </w:r>
      <w:r w:rsidRPr="0039241E">
        <w:tab/>
        <w:t>tekintettel a Jogi Bizottság jelentésére (A10-0128/2026),</w:t>
      </w:r>
    </w:p>
    <w:p w14:paraId="6AE52B5A" w14:textId="77777777" w:rsidR="0037671C" w:rsidRPr="0039241E" w:rsidRDefault="00005097" w:rsidP="0037671C">
      <w:pPr>
        <w:pStyle w:val="NormalHanging12a"/>
        <w:rPr>
          <w:bCs/>
          <w:iCs/>
        </w:rPr>
      </w:pPr>
      <w:r w:rsidRPr="0039241E">
        <w:t>A.</w:t>
      </w:r>
      <w:r w:rsidRPr="0039241E">
        <w:tab/>
        <w:t>mivel a görög legfelsőbb bíróság melletti főügyészhelyettes továbbította az athéni elsőfokú bíróság melletti ügyésznek a Nikos Pappas Görögországban megválasztott európai parlamenti képviselő mentelmi jogának felfüggesztésére irányuló kérelmét a görög büntető törvénykönyv 94. cikke, 361. cikke (1) bekezdésének első és második mondata, valamint 333. cikke (1) bekezdésének első mondata értelmében bűncselekménynek minősülő állítólagos online becsületsértéssel és fenyegetésekkel kapcsolatban;</w:t>
      </w:r>
    </w:p>
    <w:p w14:paraId="74BD0A49" w14:textId="77777777" w:rsidR="0037671C" w:rsidRPr="0039241E" w:rsidRDefault="00005097" w:rsidP="0037671C">
      <w:pPr>
        <w:pStyle w:val="NormalHanging12a"/>
      </w:pPr>
      <w:r w:rsidRPr="0039241E">
        <w:t>B.</w:t>
      </w:r>
      <w:r w:rsidRPr="0039241E">
        <w:tab/>
      </w:r>
      <w:bookmarkStart w:id="1" w:name="_Hlk226714510"/>
      <w:r w:rsidRPr="0039241E">
        <w:t>mivel a kérelem szerint a feljelentés értelmében 2025. június 11-én Nikos Pappas az Instagramon található személyes fiókján keresztül küldött közvetlen üzenetek révén állítólag megsértette és fenyegette a feljelentőt;</w:t>
      </w:r>
      <w:bookmarkEnd w:id="1"/>
    </w:p>
    <w:p w14:paraId="1340969F" w14:textId="77777777" w:rsidR="0037671C" w:rsidRPr="0039241E" w:rsidRDefault="00005097" w:rsidP="0037671C">
      <w:pPr>
        <w:pStyle w:val="NormalHanging12a"/>
      </w:pPr>
      <w:r w:rsidRPr="0039241E">
        <w:t>C.</w:t>
      </w:r>
      <w:r w:rsidRPr="0039241E">
        <w:tab/>
        <w:t xml:space="preserve">mivel Nikos Pappast a 2024. júniusi európai választásokon választották az Európai Parlament képviselőjévé, és az állítólagos bűncselekmények idején nem volt az Európai Parlament képviselője; mivel a kérelem szerint az ellene benyújtott feljelentés 2025. </w:t>
      </w:r>
      <w:r w:rsidRPr="0039241E">
        <w:lastRenderedPageBreak/>
        <w:t>július 16-án kelt;</w:t>
      </w:r>
    </w:p>
    <w:p w14:paraId="2FDF0E3B" w14:textId="77777777" w:rsidR="0037671C" w:rsidRPr="0039241E" w:rsidRDefault="00005097" w:rsidP="0037671C">
      <w:pPr>
        <w:pStyle w:val="NormalHanging12a"/>
      </w:pPr>
      <w:r w:rsidRPr="0039241E">
        <w:t>D.</w:t>
      </w:r>
      <w:r w:rsidRPr="0039241E">
        <w:tab/>
        <w:t>mivel az állítólagos bűncselekmények nem minősülnek a Nikos Pappas által az Európai Unió kiváltságairól és mentességeiről szóló 7. jegyzőkönyv 8. cikkének értelmében vett feladatai ellátása során kifejtett véleménynek vagy leadott szavazatnak, és a Nikos Pappas mentelmi jogának felfüggesztésére irányuló kérelem sem kapcsolódik ilyenhez;</w:t>
      </w:r>
    </w:p>
    <w:p w14:paraId="1B31B751" w14:textId="77777777" w:rsidR="0037671C" w:rsidRPr="0039241E" w:rsidRDefault="00005097" w:rsidP="0037671C">
      <w:pPr>
        <w:pStyle w:val="NormalHanging12a"/>
      </w:pPr>
      <w:r w:rsidRPr="0039241E">
        <w:t>E.</w:t>
      </w:r>
      <w:r w:rsidRPr="0039241E">
        <w:tab/>
        <w:t>mivel az Európai Unió kiváltságairól és mentességeiről szóló 7. jegyzőkönyv 9. cikke első bekezdésének a) pontja szerint az Európai Parlament ülésszakainak ideje alatt az Európai Parlament tagjai saját államuk területén a parlamentjük tagjaira vonatkozó mentességeket élvezik;</w:t>
      </w:r>
    </w:p>
    <w:p w14:paraId="5D5255A5" w14:textId="77777777" w:rsidR="0037671C" w:rsidRPr="0039241E" w:rsidRDefault="00005097" w:rsidP="0037671C">
      <w:pPr>
        <w:pStyle w:val="NormalHanging12a"/>
      </w:pPr>
      <w:r w:rsidRPr="0039241E">
        <w:t>F.</w:t>
      </w:r>
      <w:r w:rsidRPr="0039241E">
        <w:tab/>
        <w:t>mivel a Görög Köztársaság alkotmányának 62. cikke értelmében parlamenti képviselőt parlamenti megbízatása során bűnvádi eljárás alá helyezni, letartóztatni, bebörtönözni vagy egyéb módon szabadságától megfosztani a parlament előzetes engedélye nélkül nem lehet;</w:t>
      </w:r>
    </w:p>
    <w:p w14:paraId="3AAC9620" w14:textId="77777777" w:rsidR="0037671C" w:rsidRPr="0039241E" w:rsidRDefault="00005097" w:rsidP="0037671C">
      <w:pPr>
        <w:pStyle w:val="NormalHanging12a"/>
      </w:pPr>
      <w:r w:rsidRPr="0039241E">
        <w:t>G.</w:t>
      </w:r>
      <w:r w:rsidRPr="0039241E">
        <w:tab/>
        <w:t>mivel az Európai Unió kiváltságairól és mentességeiről szóló 7. 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eljárásoktól;</w:t>
      </w:r>
    </w:p>
    <w:p w14:paraId="0A0814C8" w14:textId="77777777" w:rsidR="0037671C" w:rsidRPr="0039241E" w:rsidRDefault="00005097" w:rsidP="0037671C">
      <w:pPr>
        <w:pStyle w:val="NormalHanging12a"/>
      </w:pPr>
      <w:r w:rsidRPr="0039241E">
        <w:t>H.</w:t>
      </w:r>
      <w:r w:rsidRPr="0039241E">
        <w:tab/>
        <w:t xml:space="preserve">mivel az Európai Parlament eljárási szabályzata 5. cikkének (2) </w:t>
      </w:r>
      <w:r w:rsidRPr="0039241E">
        <w:t>bekezdésével összhangban a parlamenti mentelmi jog nem a képviselők személyes kiváltsága, hanem a teljes Parlament és az egyes képviselők függetlenségének biztosítéka;</w:t>
      </w:r>
    </w:p>
    <w:p w14:paraId="7311F73F" w14:textId="77777777" w:rsidR="0037671C" w:rsidRPr="0039241E" w:rsidRDefault="00005097" w:rsidP="0037671C">
      <w:pPr>
        <w:pStyle w:val="NormalHanging12a"/>
      </w:pPr>
      <w:r w:rsidRPr="0039241E">
        <w:t>I.</w:t>
      </w:r>
      <w:r w:rsidRPr="0039241E">
        <w:tab/>
        <w:t>mivel a Parlament nem talált bizonyítékot fumus persecutionis fennállására, azaz olyan ténybeli elemekre, amelyek arra utalnának, hogy a szóban forgó bírósági eljárást azzal a szándékkal indították, hogy aláássák a képviselőnek az Európai Parlament képviselőjeként folytatott politikai tevékenységét;</w:t>
      </w:r>
    </w:p>
    <w:p w14:paraId="13472DBE" w14:textId="77777777" w:rsidR="0037671C" w:rsidRPr="0039241E" w:rsidRDefault="00005097" w:rsidP="0037671C">
      <w:pPr>
        <w:pStyle w:val="NormalHanging12a"/>
      </w:pPr>
      <w:r w:rsidRPr="0039241E">
        <w:t>J.</w:t>
      </w:r>
      <w:r w:rsidRPr="0039241E">
        <w:tab/>
        <w:t>mivel egyrészről a Parlament nem töltheti be bíróság szerepét, másrészről pedig a mentelmi jog felfüggesztésére irányuló eljárásban az érintett képviselő nem tekinthető vádlottnak</w:t>
      </w:r>
      <w:r w:rsidRPr="0039241E">
        <w:rPr>
          <w:vertAlign w:val="superscript"/>
        </w:rPr>
        <w:footnoteReference w:id="2"/>
      </w:r>
      <w:r w:rsidRPr="0039241E">
        <w:t>;</w:t>
      </w:r>
    </w:p>
    <w:p w14:paraId="2CB27D42" w14:textId="77777777" w:rsidR="0037671C" w:rsidRPr="0039241E" w:rsidRDefault="00005097" w:rsidP="0037671C">
      <w:pPr>
        <w:pStyle w:val="NormalHanging12a"/>
      </w:pPr>
      <w:r w:rsidRPr="0039241E">
        <w:t>1.</w:t>
      </w:r>
      <w:r w:rsidRPr="0039241E">
        <w:tab/>
        <w:t>úgy határoz, hogy felfüggeszti Nikos Pappas mentelmi jogát;</w:t>
      </w:r>
    </w:p>
    <w:p w14:paraId="567C1F66" w14:textId="77777777" w:rsidR="0037671C" w:rsidRPr="0039241E" w:rsidRDefault="00005097" w:rsidP="00DC7727">
      <w:pPr>
        <w:pStyle w:val="NormalHanging12a"/>
      </w:pPr>
      <w:r w:rsidRPr="0039241E">
        <w:t>2.</w:t>
      </w:r>
      <w:r w:rsidRPr="0039241E">
        <w:tab/>
        <w:t>utasítja elnökét, hogy haladéktalanul továbbítsa ezt a határozatot és az illetékes bizottság jelentését a Görög Köztársaság illetékes hatóságainak és Nikos Pappasnak.</w:t>
      </w:r>
    </w:p>
    <w:p w14:paraId="72CD5E66" w14:textId="77777777" w:rsidR="00782E54" w:rsidRPr="0039241E" w:rsidRDefault="00782E54" w:rsidP="00DC7727">
      <w:pPr>
        <w:sectPr w:rsidR="00782E54" w:rsidRPr="0039241E" w:rsidSect="0039241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titlePg/>
        </w:sectPr>
      </w:pPr>
    </w:p>
    <w:p w14:paraId="4BAB60CC" w14:textId="77777777" w:rsidR="00DC7727" w:rsidRPr="0039241E" w:rsidRDefault="00005097" w:rsidP="00DC7727">
      <w:pPr>
        <w:pStyle w:val="PageHeading"/>
      </w:pPr>
      <w:bookmarkStart w:id="2" w:name="ProcPageRR"/>
      <w:bookmarkStart w:id="3" w:name="_Toc229558182"/>
      <w:r w:rsidRPr="0039241E">
        <w:lastRenderedPageBreak/>
        <w:t>INFORMÁCIÓ AZ ILLETÉKES BIZOTTSÁG ÁLTALI ELFOGADÁSRÓL</w:t>
      </w:r>
      <w:bookmarkEnd w:id="3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C45F04" w:rsidRPr="0039241E" w14:paraId="73B17774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8AD41C3" w14:textId="77777777" w:rsidR="00DC7727" w:rsidRPr="0039241E" w:rsidRDefault="0000509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39241E">
              <w:rPr>
                <w:b/>
                <w:color w:val="000000"/>
                <w:sz w:val="20"/>
              </w:rPr>
              <w:t>Az elfogadás dátuma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9C08C89" w14:textId="77777777" w:rsidR="00DC7727" w:rsidRPr="0039241E" w:rsidRDefault="00005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9241E">
              <w:rPr>
                <w:color w:val="000000"/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ADC5489" w14:textId="77777777" w:rsidR="00DC7727" w:rsidRPr="0039241E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1A3F3D9" w14:textId="77777777" w:rsidR="00DC7727" w:rsidRPr="0039241E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9CE8AD9" w14:textId="77777777" w:rsidR="00DC7727" w:rsidRPr="0039241E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C45F04" w:rsidRPr="0039241E" w14:paraId="13E26A87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A40880F" w14:textId="77777777" w:rsidR="00DC7727" w:rsidRPr="0039241E" w:rsidRDefault="0000509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39241E">
              <w:rPr>
                <w:b/>
                <w:color w:val="000000"/>
                <w:sz w:val="20"/>
              </w:rPr>
              <w:t>A zárószavazás eredménye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8B0AF72" w14:textId="77777777" w:rsidR="00DC7727" w:rsidRPr="0039241E" w:rsidRDefault="00005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9241E">
              <w:rPr>
                <w:color w:val="000000"/>
                <w:sz w:val="20"/>
              </w:rPr>
              <w:t>+:</w:t>
            </w:r>
          </w:p>
          <w:p w14:paraId="4D4775F7" w14:textId="77777777" w:rsidR="00DC7727" w:rsidRPr="0039241E" w:rsidRDefault="00005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9241E">
              <w:rPr>
                <w:color w:val="000000"/>
                <w:sz w:val="20"/>
              </w:rPr>
              <w:t>–:</w:t>
            </w:r>
          </w:p>
          <w:p w14:paraId="49855E7F" w14:textId="77777777" w:rsidR="00DC7727" w:rsidRPr="0039241E" w:rsidRDefault="00005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9241E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C86F8D8" w14:textId="77777777" w:rsidR="00DC7727" w:rsidRPr="0039241E" w:rsidRDefault="00005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9241E">
              <w:rPr>
                <w:color w:val="000000"/>
                <w:sz w:val="20"/>
              </w:rPr>
              <w:t>21</w:t>
            </w:r>
          </w:p>
          <w:p w14:paraId="01052D9F" w14:textId="77777777" w:rsidR="00DC7727" w:rsidRPr="0039241E" w:rsidRDefault="00005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9241E">
              <w:rPr>
                <w:color w:val="000000"/>
                <w:sz w:val="20"/>
              </w:rPr>
              <w:t>0</w:t>
            </w:r>
          </w:p>
          <w:p w14:paraId="3EB3D440" w14:textId="77777777" w:rsidR="00DC7727" w:rsidRPr="0039241E" w:rsidRDefault="00005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9241E">
              <w:rPr>
                <w:color w:val="000000"/>
                <w:sz w:val="20"/>
              </w:rPr>
              <w:t>0</w:t>
            </w:r>
          </w:p>
        </w:tc>
      </w:tr>
    </w:tbl>
    <w:p w14:paraId="701D82B9" w14:textId="77777777" w:rsidR="00DC7727" w:rsidRPr="0039241E" w:rsidRDefault="00DC7727"/>
    <w:bookmarkEnd w:id="2"/>
    <w:p w14:paraId="372CF090" w14:textId="77777777" w:rsidR="00782E54" w:rsidRPr="0039241E" w:rsidRDefault="00782E54" w:rsidP="00DC7727"/>
    <w:sectPr w:rsidR="00782E54" w:rsidRPr="0039241E" w:rsidSect="00DC7727">
      <w:pgSz w:w="11894" w:h="15840"/>
      <w:pgMar w:top="1700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70211" w14:textId="77777777" w:rsidR="00005097" w:rsidRPr="0039241E" w:rsidRDefault="00005097">
      <w:r w:rsidRPr="0039241E">
        <w:separator/>
      </w:r>
    </w:p>
  </w:endnote>
  <w:endnote w:type="continuationSeparator" w:id="0">
    <w:p w14:paraId="10B46226" w14:textId="77777777" w:rsidR="00005097" w:rsidRPr="0039241E" w:rsidRDefault="00005097">
      <w:r w:rsidRPr="003924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5F813" w14:textId="77777777" w:rsidR="0039241E" w:rsidRPr="0039241E" w:rsidRDefault="0039241E" w:rsidP="0039241E">
    <w:pPr>
      <w:pStyle w:val="EPFooter"/>
    </w:pPr>
    <w:r w:rsidRPr="0039241E">
      <w:t>PE</w:t>
    </w:r>
    <w:r w:rsidRPr="0039241E">
      <w:rPr>
        <w:rStyle w:val="HideTWBExt"/>
      </w:rPr>
      <w:t>&lt;NoPE&gt;</w:t>
    </w:r>
    <w:r w:rsidRPr="0039241E">
      <w:t>786.974</w:t>
    </w:r>
    <w:r w:rsidRPr="0039241E">
      <w:rPr>
        <w:rStyle w:val="HideTWBExt"/>
      </w:rPr>
      <w:t>&lt;/NoPE&gt;&lt;Version&gt;</w:t>
    </w:r>
    <w:r w:rsidRPr="0039241E">
      <w:t>v03-00</w:t>
    </w:r>
    <w:r w:rsidRPr="0039241E">
      <w:rPr>
        <w:rStyle w:val="HideTWBExt"/>
      </w:rPr>
      <w:t>&lt;/Version&gt;</w:t>
    </w:r>
    <w:r w:rsidRPr="0039241E">
      <w:tab/>
    </w:r>
    <w:r w:rsidRPr="0039241E">
      <w:fldChar w:fldCharType="begin"/>
    </w:r>
    <w:r w:rsidRPr="0039241E">
      <w:instrText xml:space="preserve"> PAGE  \* MERGEFORMAT </w:instrText>
    </w:r>
    <w:r w:rsidRPr="0039241E">
      <w:fldChar w:fldCharType="separate"/>
    </w:r>
    <w:r w:rsidRPr="0039241E">
      <w:rPr>
        <w:noProof/>
      </w:rPr>
      <w:t>2</w:t>
    </w:r>
    <w:r w:rsidRPr="0039241E">
      <w:fldChar w:fldCharType="end"/>
    </w:r>
    <w:r w:rsidRPr="0039241E">
      <w:t>/</w:t>
    </w:r>
    <w:fldSimple w:instr=" NUMPAGES  \* MERGEFORMAT ">
      <w:r w:rsidRPr="0039241E">
        <w:rPr>
          <w:noProof/>
        </w:rPr>
        <w:t>1</w:t>
      </w:r>
    </w:fldSimple>
    <w:r w:rsidRPr="0039241E">
      <w:tab/>
    </w:r>
    <w:r w:rsidRPr="0039241E">
      <w:rPr>
        <w:rStyle w:val="HideTWBExt"/>
      </w:rPr>
      <w:t>&lt;PathFdR&gt;</w:t>
    </w:r>
    <w:r w:rsidRPr="0039241E">
      <w:t>RR\1343292HU.docx</w:t>
    </w:r>
    <w:r w:rsidRPr="0039241E">
      <w:rPr>
        <w:rStyle w:val="HideTWBExt"/>
      </w:rPr>
      <w:t>&lt;/PathFdR&gt;</w:t>
    </w:r>
  </w:p>
  <w:p w14:paraId="44272DAA" w14:textId="6CB340B0" w:rsidR="0023430B" w:rsidRPr="0039241E" w:rsidRDefault="0039241E" w:rsidP="0039241E">
    <w:pPr>
      <w:pStyle w:val="EPFooter2"/>
    </w:pPr>
    <w:r w:rsidRPr="0039241E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94CCB" w14:textId="77777777" w:rsidR="0039241E" w:rsidRPr="0039241E" w:rsidRDefault="0039241E" w:rsidP="0039241E">
    <w:pPr>
      <w:pStyle w:val="EPFooter"/>
    </w:pPr>
    <w:r w:rsidRPr="0039241E">
      <w:rPr>
        <w:rStyle w:val="HideTWBExt"/>
      </w:rPr>
      <w:t>&lt;PathFdR&gt;</w:t>
    </w:r>
    <w:r w:rsidRPr="0039241E">
      <w:t>RR\1343292HU.docx</w:t>
    </w:r>
    <w:r w:rsidRPr="0039241E">
      <w:rPr>
        <w:rStyle w:val="HideTWBExt"/>
      </w:rPr>
      <w:t>&lt;/PathFdR&gt;</w:t>
    </w:r>
    <w:r w:rsidRPr="0039241E">
      <w:tab/>
    </w:r>
    <w:r w:rsidRPr="0039241E">
      <w:fldChar w:fldCharType="begin"/>
    </w:r>
    <w:r w:rsidRPr="0039241E">
      <w:instrText xml:space="preserve"> PAGE  \* MERGEFORMAT </w:instrText>
    </w:r>
    <w:r w:rsidRPr="0039241E">
      <w:fldChar w:fldCharType="separate"/>
    </w:r>
    <w:r w:rsidRPr="0039241E">
      <w:rPr>
        <w:noProof/>
      </w:rPr>
      <w:t>2</w:t>
    </w:r>
    <w:r w:rsidRPr="0039241E">
      <w:fldChar w:fldCharType="end"/>
    </w:r>
    <w:r w:rsidRPr="0039241E">
      <w:t>/</w:t>
    </w:r>
    <w:fldSimple w:instr=" NUMPAGES  \* MERGEFORMAT ">
      <w:r w:rsidRPr="0039241E">
        <w:rPr>
          <w:noProof/>
        </w:rPr>
        <w:t>1</w:t>
      </w:r>
    </w:fldSimple>
    <w:r w:rsidRPr="0039241E">
      <w:tab/>
      <w:t>PE</w:t>
    </w:r>
    <w:r w:rsidRPr="0039241E">
      <w:rPr>
        <w:rStyle w:val="HideTWBExt"/>
      </w:rPr>
      <w:t>&lt;NoPE&gt;</w:t>
    </w:r>
    <w:r w:rsidRPr="0039241E">
      <w:t>786.974</w:t>
    </w:r>
    <w:r w:rsidRPr="0039241E">
      <w:rPr>
        <w:rStyle w:val="HideTWBExt"/>
      </w:rPr>
      <w:t>&lt;/NoPE&gt;&lt;Version&gt;</w:t>
    </w:r>
    <w:r w:rsidRPr="0039241E">
      <w:t>v03-00</w:t>
    </w:r>
    <w:r w:rsidRPr="0039241E">
      <w:rPr>
        <w:rStyle w:val="HideTWBExt"/>
      </w:rPr>
      <w:t>&lt;/Version&gt;</w:t>
    </w:r>
  </w:p>
  <w:p w14:paraId="5B8ACF4D" w14:textId="2765E764" w:rsidR="0023430B" w:rsidRPr="0039241E" w:rsidRDefault="0039241E" w:rsidP="0039241E">
    <w:pPr>
      <w:pStyle w:val="EPFooter2"/>
    </w:pPr>
    <w:r w:rsidRPr="0039241E">
      <w:tab/>
    </w:r>
    <w:r w:rsidRPr="0039241E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F32C" w14:textId="77777777" w:rsidR="0039241E" w:rsidRPr="0039241E" w:rsidRDefault="0039241E" w:rsidP="0039241E">
    <w:pPr>
      <w:pStyle w:val="EPFooter"/>
    </w:pPr>
    <w:r w:rsidRPr="0039241E">
      <w:rPr>
        <w:rStyle w:val="HideTWBExt"/>
      </w:rPr>
      <w:t>&lt;PathFdR&gt;</w:t>
    </w:r>
    <w:r w:rsidRPr="0039241E">
      <w:t>RR\1343292HU.docx</w:t>
    </w:r>
    <w:r w:rsidRPr="0039241E">
      <w:rPr>
        <w:rStyle w:val="HideTWBExt"/>
      </w:rPr>
      <w:t>&lt;/PathFdR&gt;</w:t>
    </w:r>
    <w:r w:rsidRPr="0039241E">
      <w:tab/>
    </w:r>
    <w:r w:rsidRPr="0039241E">
      <w:tab/>
      <w:t>PE</w:t>
    </w:r>
    <w:r w:rsidRPr="0039241E">
      <w:rPr>
        <w:rStyle w:val="HideTWBExt"/>
      </w:rPr>
      <w:t>&lt;NoPE&gt;</w:t>
    </w:r>
    <w:r w:rsidRPr="0039241E">
      <w:t>786.974</w:t>
    </w:r>
    <w:r w:rsidRPr="0039241E">
      <w:rPr>
        <w:rStyle w:val="HideTWBExt"/>
      </w:rPr>
      <w:t>&lt;/NoPE&gt;&lt;Version&gt;</w:t>
    </w:r>
    <w:r w:rsidRPr="0039241E">
      <w:t>v03-00</w:t>
    </w:r>
    <w:r w:rsidRPr="0039241E">
      <w:rPr>
        <w:rStyle w:val="HideTWBExt"/>
      </w:rPr>
      <w:t>&lt;/Version&gt;</w:t>
    </w:r>
  </w:p>
  <w:p w14:paraId="3D2B6C6F" w14:textId="00705F99" w:rsidR="0023430B" w:rsidRPr="0039241E" w:rsidRDefault="0039241E" w:rsidP="0039241E">
    <w:pPr>
      <w:pStyle w:val="EPFooter2"/>
    </w:pPr>
    <w:r w:rsidRPr="0039241E">
      <w:t>HU</w:t>
    </w:r>
    <w:r w:rsidRPr="0039241E">
      <w:tab/>
    </w:r>
    <w:r w:rsidRPr="0039241E">
      <w:rPr>
        <w:b w:val="0"/>
        <w:i/>
        <w:color w:val="C0C0C0"/>
        <w:sz w:val="22"/>
      </w:rPr>
      <w:t>Egyesülve a sokféleségben</w:t>
    </w:r>
    <w:r w:rsidRPr="0039241E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29E9A" w14:textId="77777777" w:rsidR="007A3F74" w:rsidRPr="0039241E" w:rsidRDefault="00005097">
      <w:r w:rsidRPr="0039241E">
        <w:separator/>
      </w:r>
    </w:p>
  </w:footnote>
  <w:footnote w:type="continuationSeparator" w:id="0">
    <w:p w14:paraId="39DADA8A" w14:textId="77777777" w:rsidR="007A3F74" w:rsidRPr="0039241E" w:rsidRDefault="00005097">
      <w:r w:rsidRPr="0039241E">
        <w:continuationSeparator/>
      </w:r>
    </w:p>
  </w:footnote>
  <w:footnote w:id="1">
    <w:p w14:paraId="222AC9AB" w14:textId="77777777" w:rsidR="0037671C" w:rsidRPr="0039241E" w:rsidRDefault="00005097" w:rsidP="0037671C">
      <w:pPr>
        <w:pStyle w:val="FootnoteText"/>
      </w:pPr>
      <w:r w:rsidRPr="0039241E">
        <w:rPr>
          <w:rStyle w:val="FootnoteReference"/>
        </w:rPr>
        <w:footnoteRef/>
      </w:r>
      <w:r w:rsidRPr="0039241E">
        <w:rPr>
          <w:rStyle w:val="FootnoteReference"/>
        </w:rPr>
        <w:t xml:space="preserve"> </w:t>
      </w:r>
      <w:r w:rsidRPr="0039241E">
        <w:t>A Bíróság 2008. október 21-i ítélete, Marra kontra De Gregorio és Clemente, C 200/07. és C-201/07., ECLI:EU:C:2008:579; a Törvényszék 2010. március 19-i ítélete, Gollnisch kontra Európai Parlament, T-42/06, ECLI:EU:T:2010:102; a Bíróság 2011. szeptember 6-i ítélete, Patriciello-ügy, C-163/10, ECLI: EU:C:2011:543; a Törvényszék 2013. január 17-i ítélete, Gollnisch kontra Parlament, T-346/11 és T-347/11, ECLI:EU:T:2013:23; a Bíróság 2019. december 19-i ítélete, Junqueras Vies, C-502/19, ECLI:EU:C:2019:1115.</w:t>
      </w:r>
    </w:p>
  </w:footnote>
  <w:footnote w:id="2">
    <w:p w14:paraId="5E877990" w14:textId="77777777" w:rsidR="0037671C" w:rsidRPr="0039241E" w:rsidRDefault="00005097" w:rsidP="0037671C">
      <w:pPr>
        <w:pStyle w:val="FootnoteText"/>
      </w:pPr>
      <w:r w:rsidRPr="0039241E">
        <w:rPr>
          <w:rStyle w:val="FootnoteReference"/>
        </w:rPr>
        <w:footnoteRef/>
      </w:r>
      <w:r w:rsidRPr="0039241E">
        <w:rPr>
          <w:rStyle w:val="FootnoteReference"/>
        </w:rPr>
        <w:t xml:space="preserve"> </w:t>
      </w:r>
      <w:r w:rsidRPr="0039241E">
        <w:t>A Törvényszék 2019. április 30-i ítélete, Briois kontra Európai 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DC00D" w14:textId="77777777" w:rsidR="00005097" w:rsidRDefault="000050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C31A3" w14:textId="77777777" w:rsidR="00005097" w:rsidRDefault="000050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7CA3B" w14:textId="77777777" w:rsidR="00005097" w:rsidRDefault="000050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6049966">
    <w:abstractNumId w:val="9"/>
  </w:num>
  <w:num w:numId="2" w16cid:durableId="500123677">
    <w:abstractNumId w:val="9"/>
  </w:num>
  <w:num w:numId="3" w16cid:durableId="1251350794">
    <w:abstractNumId w:val="7"/>
  </w:num>
  <w:num w:numId="4" w16cid:durableId="538204988">
    <w:abstractNumId w:val="7"/>
  </w:num>
  <w:num w:numId="5" w16cid:durableId="75397706">
    <w:abstractNumId w:val="6"/>
  </w:num>
  <w:num w:numId="6" w16cid:durableId="1763794196">
    <w:abstractNumId w:val="6"/>
  </w:num>
  <w:num w:numId="7" w16cid:durableId="1933928331">
    <w:abstractNumId w:val="5"/>
  </w:num>
  <w:num w:numId="8" w16cid:durableId="1153915050">
    <w:abstractNumId w:val="5"/>
  </w:num>
  <w:num w:numId="9" w16cid:durableId="518348470">
    <w:abstractNumId w:val="4"/>
  </w:num>
  <w:num w:numId="10" w16cid:durableId="916595541">
    <w:abstractNumId w:val="4"/>
  </w:num>
  <w:num w:numId="11" w16cid:durableId="356584343">
    <w:abstractNumId w:val="8"/>
  </w:num>
  <w:num w:numId="12" w16cid:durableId="1006860297">
    <w:abstractNumId w:val="8"/>
  </w:num>
  <w:num w:numId="13" w16cid:durableId="2122459182">
    <w:abstractNumId w:val="3"/>
  </w:num>
  <w:num w:numId="14" w16cid:durableId="995376107">
    <w:abstractNumId w:val="3"/>
  </w:num>
  <w:num w:numId="15" w16cid:durableId="777532011">
    <w:abstractNumId w:val="2"/>
  </w:num>
  <w:num w:numId="16" w16cid:durableId="1760180310">
    <w:abstractNumId w:val="2"/>
  </w:num>
  <w:num w:numId="17" w16cid:durableId="650838489">
    <w:abstractNumId w:val="1"/>
  </w:num>
  <w:num w:numId="18" w16cid:durableId="1290627998">
    <w:abstractNumId w:val="1"/>
  </w:num>
  <w:num w:numId="19" w16cid:durableId="1948807813">
    <w:abstractNumId w:val="0"/>
  </w:num>
  <w:num w:numId="20" w16cid:durableId="668680220">
    <w:abstractNumId w:val="0"/>
  </w:num>
  <w:num w:numId="21" w16cid:durableId="1836257524">
    <w:abstractNumId w:val="9"/>
  </w:num>
  <w:num w:numId="22" w16cid:durableId="1973629948">
    <w:abstractNumId w:val="7"/>
  </w:num>
  <w:num w:numId="23" w16cid:durableId="993527861">
    <w:abstractNumId w:val="6"/>
  </w:num>
  <w:num w:numId="24" w16cid:durableId="1841920576">
    <w:abstractNumId w:val="5"/>
  </w:num>
  <w:num w:numId="25" w16cid:durableId="1499228666">
    <w:abstractNumId w:val="4"/>
  </w:num>
  <w:num w:numId="26" w16cid:durableId="438914760">
    <w:abstractNumId w:val="8"/>
  </w:num>
  <w:num w:numId="27" w16cid:durableId="1546600766">
    <w:abstractNumId w:val="3"/>
  </w:num>
  <w:num w:numId="28" w16cid:durableId="1523980013">
    <w:abstractNumId w:val="2"/>
  </w:num>
  <w:num w:numId="29" w16cid:durableId="729578024">
    <w:abstractNumId w:val="1"/>
  </w:num>
  <w:num w:numId="30" w16cid:durableId="812868156">
    <w:abstractNumId w:val="0"/>
  </w:num>
  <w:num w:numId="31" w16cid:durableId="1722942012">
    <w:abstractNumId w:val="9"/>
  </w:num>
  <w:num w:numId="32" w16cid:durableId="610166904">
    <w:abstractNumId w:val="7"/>
  </w:num>
  <w:num w:numId="33" w16cid:durableId="471598544">
    <w:abstractNumId w:val="6"/>
  </w:num>
  <w:num w:numId="34" w16cid:durableId="703290029">
    <w:abstractNumId w:val="5"/>
  </w:num>
  <w:num w:numId="35" w16cid:durableId="196478196">
    <w:abstractNumId w:val="4"/>
  </w:num>
  <w:num w:numId="36" w16cid:durableId="457837999">
    <w:abstractNumId w:val="8"/>
  </w:num>
  <w:num w:numId="37" w16cid:durableId="1081296137">
    <w:abstractNumId w:val="3"/>
  </w:num>
  <w:num w:numId="38" w16cid:durableId="580678148">
    <w:abstractNumId w:val="2"/>
  </w:num>
  <w:num w:numId="39" w16cid:durableId="30228065">
    <w:abstractNumId w:val="1"/>
  </w:num>
  <w:num w:numId="40" w16cid:durableId="1066031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TMNU" w:val=" 1"/>
    <w:docVar w:name="DOCDT" w:val="06/05/2026"/>
    <w:docVar w:name="EPPOMNU" w:val=" 1"/>
    <w:docVar w:name="HEARDMNU" w:val=" 1"/>
    <w:docVar w:name="JUDGMNU@" w:val=" 2"/>
    <w:docVar w:name="LastEditedSection" w:val=" 1"/>
    <w:docVar w:name="PLENARYDT" w:val="10/04/2026"/>
    <w:docVar w:name="REQUESTDT" w:val="10/04/2026"/>
    <w:docVar w:name="strDocTypeID" w:val="PR_IMM_Waiver"/>
    <w:docVar w:name="strSubDir" w:val="786"/>
    <w:docVar w:name="TXTAUTHOR" w:val="Marcin Sypniewski"/>
    <w:docVar w:name="TXTLANGUE" w:val="EN"/>
    <w:docVar w:name="TXTLANGUEMIN" w:val="en"/>
    <w:docVar w:name="TXTNAME" w:val="Nikos Pappas"/>
    <w:docVar w:name="TXTNRIMM" w:val="2025/2234"/>
    <w:docVar w:name="TXTNRPE" w:val="786.974"/>
    <w:docVar w:name="TXTPEorAP" w:val="PE"/>
    <w:docVar w:name="TXTROUTE" w:val="RR\786.974EN.docx"/>
    <w:docVar w:name="TXTVERSION" w:val="03-00"/>
    <w:docVar w:name="WAIVEMNU" w:val=" 1"/>
  </w:docVars>
  <w:rsids>
    <w:rsidRoot w:val="007A3F74"/>
    <w:rsid w:val="00005097"/>
    <w:rsid w:val="00044B9B"/>
    <w:rsid w:val="00060E63"/>
    <w:rsid w:val="0006105E"/>
    <w:rsid w:val="00080B89"/>
    <w:rsid w:val="000C0CAA"/>
    <w:rsid w:val="000E36C4"/>
    <w:rsid w:val="000F22E6"/>
    <w:rsid w:val="000F57CC"/>
    <w:rsid w:val="00107BF5"/>
    <w:rsid w:val="00114131"/>
    <w:rsid w:val="00135BE0"/>
    <w:rsid w:val="00142D49"/>
    <w:rsid w:val="001523F3"/>
    <w:rsid w:val="001529BD"/>
    <w:rsid w:val="00172971"/>
    <w:rsid w:val="001D549A"/>
    <w:rsid w:val="001F52C3"/>
    <w:rsid w:val="001F5613"/>
    <w:rsid w:val="00205304"/>
    <w:rsid w:val="00211AA7"/>
    <w:rsid w:val="00215FF9"/>
    <w:rsid w:val="0023430B"/>
    <w:rsid w:val="002442B3"/>
    <w:rsid w:val="00250733"/>
    <w:rsid w:val="00252E1D"/>
    <w:rsid w:val="00273EFB"/>
    <w:rsid w:val="00285706"/>
    <w:rsid w:val="002915E6"/>
    <w:rsid w:val="0029288E"/>
    <w:rsid w:val="00296EB6"/>
    <w:rsid w:val="002F5F7C"/>
    <w:rsid w:val="00326E87"/>
    <w:rsid w:val="0035402F"/>
    <w:rsid w:val="0035595E"/>
    <w:rsid w:val="0037671C"/>
    <w:rsid w:val="0039241E"/>
    <w:rsid w:val="00392A3D"/>
    <w:rsid w:val="003B1888"/>
    <w:rsid w:val="003D30B4"/>
    <w:rsid w:val="003E24B5"/>
    <w:rsid w:val="00414AA0"/>
    <w:rsid w:val="00431EC1"/>
    <w:rsid w:val="004433B2"/>
    <w:rsid w:val="0044752A"/>
    <w:rsid w:val="004502C8"/>
    <w:rsid w:val="0045635E"/>
    <w:rsid w:val="00493F90"/>
    <w:rsid w:val="004B2372"/>
    <w:rsid w:val="004E7774"/>
    <w:rsid w:val="00503AC2"/>
    <w:rsid w:val="005922F7"/>
    <w:rsid w:val="005B5955"/>
    <w:rsid w:val="00627F06"/>
    <w:rsid w:val="00633DF2"/>
    <w:rsid w:val="00681E33"/>
    <w:rsid w:val="006A1780"/>
    <w:rsid w:val="006C038C"/>
    <w:rsid w:val="006D6F36"/>
    <w:rsid w:val="00736D0A"/>
    <w:rsid w:val="007470A8"/>
    <w:rsid w:val="00752B65"/>
    <w:rsid w:val="00753DFC"/>
    <w:rsid w:val="007613CD"/>
    <w:rsid w:val="0076428C"/>
    <w:rsid w:val="00771E7F"/>
    <w:rsid w:val="00780317"/>
    <w:rsid w:val="0078039D"/>
    <w:rsid w:val="00782E54"/>
    <w:rsid w:val="00785C52"/>
    <w:rsid w:val="00797CAE"/>
    <w:rsid w:val="007A3F74"/>
    <w:rsid w:val="007A7BF5"/>
    <w:rsid w:val="007C040A"/>
    <w:rsid w:val="007D49EE"/>
    <w:rsid w:val="007E434A"/>
    <w:rsid w:val="007F4D6A"/>
    <w:rsid w:val="008376BE"/>
    <w:rsid w:val="008436E0"/>
    <w:rsid w:val="00851E2C"/>
    <w:rsid w:val="00867D72"/>
    <w:rsid w:val="00872381"/>
    <w:rsid w:val="008D1236"/>
    <w:rsid w:val="008D1C36"/>
    <w:rsid w:val="008E6FB9"/>
    <w:rsid w:val="008F39C8"/>
    <w:rsid w:val="0091636F"/>
    <w:rsid w:val="009442F2"/>
    <w:rsid w:val="0094666F"/>
    <w:rsid w:val="009915DD"/>
    <w:rsid w:val="009A4162"/>
    <w:rsid w:val="009B47E5"/>
    <w:rsid w:val="009D54A6"/>
    <w:rsid w:val="009E4C4E"/>
    <w:rsid w:val="009E7AD9"/>
    <w:rsid w:val="009F5083"/>
    <w:rsid w:val="009F55EA"/>
    <w:rsid w:val="00A33B09"/>
    <w:rsid w:val="00A45926"/>
    <w:rsid w:val="00A63BDB"/>
    <w:rsid w:val="00A87FB0"/>
    <w:rsid w:val="00AA7D88"/>
    <w:rsid w:val="00AB1E20"/>
    <w:rsid w:val="00AB3EA7"/>
    <w:rsid w:val="00B24A96"/>
    <w:rsid w:val="00B37A07"/>
    <w:rsid w:val="00B61BA7"/>
    <w:rsid w:val="00B76A78"/>
    <w:rsid w:val="00B81D30"/>
    <w:rsid w:val="00BB307A"/>
    <w:rsid w:val="00BD02C3"/>
    <w:rsid w:val="00BD34CF"/>
    <w:rsid w:val="00BE1054"/>
    <w:rsid w:val="00C33434"/>
    <w:rsid w:val="00C42BD9"/>
    <w:rsid w:val="00C45F04"/>
    <w:rsid w:val="00C66DE6"/>
    <w:rsid w:val="00C85D0F"/>
    <w:rsid w:val="00CB158E"/>
    <w:rsid w:val="00CC662F"/>
    <w:rsid w:val="00CC6730"/>
    <w:rsid w:val="00CD25E0"/>
    <w:rsid w:val="00CE5349"/>
    <w:rsid w:val="00CF16EE"/>
    <w:rsid w:val="00D1021A"/>
    <w:rsid w:val="00D25B0A"/>
    <w:rsid w:val="00D8214F"/>
    <w:rsid w:val="00DA032C"/>
    <w:rsid w:val="00DA14FB"/>
    <w:rsid w:val="00DA67D6"/>
    <w:rsid w:val="00DB1E47"/>
    <w:rsid w:val="00DC7727"/>
    <w:rsid w:val="00DD480D"/>
    <w:rsid w:val="00DF74F0"/>
    <w:rsid w:val="00E114BC"/>
    <w:rsid w:val="00EC401F"/>
    <w:rsid w:val="00ED1601"/>
    <w:rsid w:val="00EE1CD1"/>
    <w:rsid w:val="00EE79E0"/>
    <w:rsid w:val="00F032EE"/>
    <w:rsid w:val="00F03A29"/>
    <w:rsid w:val="00F05AB2"/>
    <w:rsid w:val="00F22E87"/>
    <w:rsid w:val="00F335B2"/>
    <w:rsid w:val="00F452C6"/>
    <w:rsid w:val="00F81900"/>
    <w:rsid w:val="00F857A1"/>
    <w:rsid w:val="00FA4CD8"/>
    <w:rsid w:val="00FB5B0C"/>
    <w:rsid w:val="00FB67C5"/>
    <w:rsid w:val="00FD1F04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E57CE"/>
  <w15:chartTrackingRefBased/>
  <w15:docId w15:val="{E7429305-94F2-4A62-8EA0-08C07A9A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D6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326E8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DF74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60E63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DocType24a">
    <w:name w:val="CoverDocType24a"/>
    <w:basedOn w:val="Normal"/>
    <w:rsid w:val="00060E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E7AD9"/>
    <w:pPr>
      <w:tabs>
        <w:tab w:val="center" w:pos="4513"/>
        <w:tab w:val="right" w:pos="9026"/>
      </w:tabs>
    </w:pPr>
  </w:style>
  <w:style w:type="paragraph" w:customStyle="1" w:styleId="Confidential">
    <w:name w:val="Confidential"/>
    <w:basedOn w:val="Normal"/>
    <w:rsid w:val="00142D49"/>
    <w:pPr>
      <w:spacing w:before="120" w:after="120"/>
      <w:jc w:val="center"/>
    </w:pPr>
    <w:rPr>
      <w:rFonts w:ascii="Arial" w:hAnsi="Arial"/>
      <w:caps/>
    </w:rPr>
  </w:style>
  <w:style w:type="table" w:styleId="TableGrid">
    <w:name w:val="Table Grid"/>
    <w:basedOn w:val="TableNormal"/>
    <w:rsid w:val="00215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215F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215FF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613C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F74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F74F0"/>
    <w:pPr>
      <w:jc w:val="right"/>
    </w:pPr>
  </w:style>
  <w:style w:type="paragraph" w:customStyle="1" w:styleId="EPFooter">
    <w:name w:val="EPFooter"/>
    <w:basedOn w:val="Normal"/>
    <w:rsid w:val="00060E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E7AD9"/>
    <w:rPr>
      <w:sz w:val="24"/>
    </w:rPr>
  </w:style>
  <w:style w:type="paragraph" w:customStyle="1" w:styleId="EPComma">
    <w:name w:val="EPComma"/>
    <w:basedOn w:val="Normal"/>
    <w:rsid w:val="00FD1F04"/>
    <w:pPr>
      <w:spacing w:before="480" w:after="240"/>
    </w:pPr>
  </w:style>
  <w:style w:type="paragraph" w:styleId="FootnoteText">
    <w:name w:val="footnote text"/>
    <w:basedOn w:val="Normal"/>
    <w:link w:val="FootnoteTextChar"/>
    <w:unhideWhenUsed/>
    <w:rsid w:val="007470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470A8"/>
  </w:style>
  <w:style w:type="character" w:styleId="FootnoteReference">
    <w:name w:val="footnote reference"/>
    <w:basedOn w:val="DefaultParagraphFont"/>
    <w:unhideWhenUsed/>
    <w:rsid w:val="007470A8"/>
    <w:rPr>
      <w:vertAlign w:val="superscript"/>
    </w:rPr>
  </w:style>
  <w:style w:type="paragraph" w:styleId="Footer">
    <w:name w:val="footer"/>
    <w:basedOn w:val="Normal"/>
    <w:link w:val="FooterChar"/>
    <w:semiHidden/>
    <w:rsid w:val="00CD25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D25E0"/>
    <w:rPr>
      <w:sz w:val="24"/>
    </w:rPr>
  </w:style>
  <w:style w:type="paragraph" w:styleId="Revision">
    <w:name w:val="Revision"/>
    <w:hidden/>
    <w:uiPriority w:val="99"/>
    <w:semiHidden/>
    <w:rsid w:val="00B61BA7"/>
    <w:rPr>
      <w:sz w:val="24"/>
    </w:rPr>
  </w:style>
  <w:style w:type="character" w:styleId="CommentReference">
    <w:name w:val="annotation reference"/>
    <w:basedOn w:val="DefaultParagraphFont"/>
    <w:rsid w:val="00414A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4AA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4AA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4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4AA0"/>
    <w:rPr>
      <w:b/>
      <w:bCs/>
    </w:rPr>
  </w:style>
  <w:style w:type="character" w:styleId="Hyperlink">
    <w:name w:val="Hyperlink"/>
    <w:basedOn w:val="DefaultParagraphFont"/>
    <w:rsid w:val="00414A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A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24A96"/>
    <w:rPr>
      <w:color w:val="954F72" w:themeColor="followedHyperlink"/>
      <w:u w:val="single"/>
    </w:rPr>
  </w:style>
  <w:style w:type="paragraph" w:customStyle="1" w:styleId="CoverReference">
    <w:name w:val="CoverReference"/>
    <w:basedOn w:val="Normal"/>
    <w:rsid w:val="001D549A"/>
    <w:pPr>
      <w:spacing w:before="1080"/>
      <w:jc w:val="right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641</Words>
  <Characters>4477</Characters>
  <Application>Microsoft Office Word</Application>
  <DocSecurity>0</DocSecurity>
  <Lines>106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PR_IMM_Waiver</vt:lpstr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PR_IMM_Waiver</dc:title>
  <dc:creator>ZAHARIE Ana Maria</dc:creator>
  <cp:lastModifiedBy>TAKACS Tamas</cp:lastModifiedBy>
  <cp:revision>2</cp:revision>
  <cp:lastPrinted>2026-04-14T09:48:00Z</cp:lastPrinted>
  <dcterms:created xsi:type="dcterms:W3CDTF">2026-05-13T07:51:00Z</dcterms:created>
  <dcterms:modified xsi:type="dcterms:W3CDTF">2026-05-13T07:51:00Z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1343292</vt:lpwstr>
  </property>
  <property fmtid="{D5CDD505-2E9C-101B-9397-08002B2CF9AE}" pid="4" name="&lt;Model&gt;">
    <vt:lpwstr>PR_IMM_Waiver</vt:lpwstr>
  </property>
  <property fmtid="{D5CDD505-2E9C-101B-9397-08002B2CF9AE}" pid="5" name="&lt;ModelCod&gt;">
    <vt:lpwstr>\\eiciLUXpr1\pdocep$\DocEP\DOCS\General\PR\PR_NonLeg\IMM\PR_IMM_Waiver.dotx(26/05/2023 17:52:03)</vt:lpwstr>
  </property>
  <property fmtid="{D5CDD505-2E9C-101B-9397-08002B2CF9AE}" pid="6" name="&lt;ModelTra&gt;">
    <vt:lpwstr>\\eiciLUXpr1\pdocep$\DocEP\TRANSFIL\EN\PR_IMM_Waiver.EN(05/08/2025 16:25:00)</vt:lpwstr>
  </property>
  <property fmtid="{D5CDD505-2E9C-101B-9397-08002B2CF9AE}" pid="7" name="&lt;Type&gt;">
    <vt:lpwstr>RR</vt:lpwstr>
  </property>
  <property fmtid="{D5CDD505-2E9C-101B-9397-08002B2CF9AE}" pid="8" name="Bookout">
    <vt:lpwstr>OK - 2026/05/13 09:49</vt:lpwstr>
  </property>
  <property fmtid="{D5CDD505-2E9C-101B-9397-08002B2CF9AE}" pid="9" name="Created with">
    <vt:lpwstr>10.2.1 Build [20260301]</vt:lpwstr>
  </property>
  <property fmtid="{D5CDD505-2E9C-101B-9397-08002B2CF9AE}" pid="10" name="FooterPath">
    <vt:lpwstr>RR\1343292HU.docx</vt:lpwstr>
  </property>
  <property fmtid="{D5CDD505-2E9C-101B-9397-08002B2CF9AE}" pid="11" name="LastEdited with">
    <vt:lpwstr>10.3.0 Build [20260401]</vt:lpwstr>
  </property>
  <property fmtid="{D5CDD505-2E9C-101B-9397-08002B2CF9AE}" pid="12" name="OriLang">
    <vt:lpwstr>EN</vt:lpwstr>
  </property>
  <property fmtid="{D5CDD505-2E9C-101B-9397-08002B2CF9AE}" pid="13" name="PE number">
    <vt:lpwstr>786.974</vt:lpwstr>
  </property>
  <property fmtid="{D5CDD505-2E9C-101B-9397-08002B2CF9AE}" pid="14" name="RegistreCheck">
    <vt:lpwstr>OK</vt:lpwstr>
  </property>
  <property fmtid="{D5CDD505-2E9C-101B-9397-08002B2CF9AE}" pid="15" name="SDLStudio">
    <vt:lpwstr/>
  </property>
  <property fmtid="{D5CDD505-2E9C-101B-9397-08002B2CF9AE}" pid="16" name="SendToEpades">
    <vt:lpwstr/>
  </property>
</Properties>
</file>