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262CE7" w14:paraId="5155D312" w14:textId="77777777" w:rsidTr="00C85D0F">
        <w:trPr>
          <w:trHeight w:hRule="exact" w:val="1418"/>
        </w:trPr>
        <w:tc>
          <w:tcPr>
            <w:tcW w:w="6804" w:type="dxa"/>
            <w:shd w:val="clear" w:color="auto" w:fill="auto"/>
            <w:vAlign w:val="center"/>
          </w:tcPr>
          <w:p w14:paraId="60777BCE" w14:textId="77777777" w:rsidR="00CF16EE" w:rsidRPr="00262CE7" w:rsidRDefault="007A3F74" w:rsidP="00C85D0F">
            <w:pPr>
              <w:pStyle w:val="EPName"/>
            </w:pPr>
            <w:r w:rsidRPr="00262CE7">
              <w:t>Europos Parlamentas</w:t>
            </w:r>
          </w:p>
          <w:p w14:paraId="62D57263" w14:textId="1191277C" w:rsidR="00CF16EE" w:rsidRPr="00262CE7" w:rsidRDefault="007470A8" w:rsidP="00C85D0F">
            <w:pPr>
              <w:pStyle w:val="EPTerm"/>
            </w:pPr>
            <w:r w:rsidRPr="00262CE7">
              <w:t>2024-2029</w:t>
            </w:r>
          </w:p>
        </w:tc>
        <w:tc>
          <w:tcPr>
            <w:tcW w:w="2268" w:type="dxa"/>
            <w:shd w:val="clear" w:color="auto" w:fill="auto"/>
          </w:tcPr>
          <w:p w14:paraId="31923707" w14:textId="77777777" w:rsidR="00CF16EE" w:rsidRPr="00262CE7" w:rsidRDefault="00CF16EE" w:rsidP="00C85D0F">
            <w:pPr>
              <w:pStyle w:val="EPLogo"/>
            </w:pPr>
            <w:r w:rsidRPr="00262CE7">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262CE7" w:rsidRDefault="00215FF9" w:rsidP="00215FF9">
      <w:pPr>
        <w:pStyle w:val="LineTop"/>
      </w:pPr>
    </w:p>
    <w:p w14:paraId="653CDBB3" w14:textId="572C0593" w:rsidR="00215FF9" w:rsidRPr="00262CE7" w:rsidRDefault="001D549A" w:rsidP="00215FF9">
      <w:pPr>
        <w:pStyle w:val="EPBody"/>
      </w:pPr>
      <w:r w:rsidRPr="00262CE7">
        <w:t>Plenarinio posėdžio dokumentas</w:t>
      </w:r>
    </w:p>
    <w:p w14:paraId="6AC55BC9" w14:textId="77777777" w:rsidR="00215FF9" w:rsidRPr="00262CE7" w:rsidRDefault="00215FF9" w:rsidP="00215FF9">
      <w:pPr>
        <w:pStyle w:val="LineBottom"/>
      </w:pPr>
    </w:p>
    <w:p w14:paraId="3FC44D51" w14:textId="593397DB" w:rsidR="005922F7" w:rsidRPr="00262CE7" w:rsidRDefault="001D549A" w:rsidP="001D549A">
      <w:pPr>
        <w:pStyle w:val="CoverReference"/>
      </w:pPr>
      <w:r w:rsidRPr="00262CE7">
        <w:rPr>
          <w:rStyle w:val="HideTWBExt"/>
        </w:rPr>
        <w:t>&lt;NoDocSe&gt;</w:t>
      </w:r>
      <w:r w:rsidRPr="00262CE7">
        <w:t>A10-0128/2026</w:t>
      </w:r>
      <w:r w:rsidRPr="00262CE7">
        <w:rPr>
          <w:rStyle w:val="HideTWBExt"/>
        </w:rPr>
        <w:t>&lt;/NoDocSe&gt;</w:t>
      </w:r>
    </w:p>
    <w:p w14:paraId="68D6E421" w14:textId="3474272B" w:rsidR="005922F7" w:rsidRPr="00262CE7" w:rsidRDefault="005922F7" w:rsidP="005922F7">
      <w:pPr>
        <w:pStyle w:val="CoverDate"/>
      </w:pPr>
      <w:r w:rsidRPr="00262CE7">
        <w:rPr>
          <w:rStyle w:val="HideTWBExt"/>
        </w:rPr>
        <w:t>&lt;Date&gt;</w:t>
      </w:r>
      <w:r w:rsidRPr="00262CE7">
        <w:rPr>
          <w:rStyle w:val="HideTWBInt"/>
        </w:rPr>
        <w:t>{06/05/2026}</w:t>
      </w:r>
      <w:r w:rsidRPr="00262CE7">
        <w:t>6.5.2026</w:t>
      </w:r>
      <w:r w:rsidRPr="00262CE7">
        <w:rPr>
          <w:rStyle w:val="HideTWBExt"/>
        </w:rPr>
        <w:t>&lt;/Date&gt;</w:t>
      </w:r>
    </w:p>
    <w:p w14:paraId="16FABFAD" w14:textId="603C76ED" w:rsidR="00142D49" w:rsidRPr="00262CE7" w:rsidRDefault="00142D49">
      <w:pPr>
        <w:pStyle w:val="CoverDocType24a"/>
      </w:pPr>
      <w:r w:rsidRPr="00262CE7">
        <w:rPr>
          <w:rStyle w:val="HideTWBExt"/>
          <w:b w:val="0"/>
        </w:rPr>
        <w:t>&lt;TitreType&gt;</w:t>
      </w:r>
      <w:r w:rsidRPr="00262CE7">
        <w:t>PRANEŠIMAS</w:t>
      </w:r>
      <w:r w:rsidRPr="00262CE7">
        <w:rPr>
          <w:rStyle w:val="HideTWBExt"/>
          <w:b w:val="0"/>
        </w:rPr>
        <w:t>&lt;/TitreType&gt;</w:t>
      </w:r>
    </w:p>
    <w:p w14:paraId="2C9802BA" w14:textId="287BD81D" w:rsidR="00142D49" w:rsidRPr="00262CE7" w:rsidRDefault="00142D49">
      <w:pPr>
        <w:pStyle w:val="CoverNormal"/>
      </w:pPr>
      <w:r w:rsidRPr="00262CE7">
        <w:rPr>
          <w:rStyle w:val="HideTWBExt"/>
        </w:rPr>
        <w:t>&lt;Titre&gt;</w:t>
      </w:r>
      <w:r w:rsidRPr="00262CE7">
        <w:t>dėl prašymo atšaukti Nikoso Pappaso (Nikos Pappas) imunitetą</w:t>
      </w:r>
      <w:r w:rsidRPr="00262CE7">
        <w:rPr>
          <w:rStyle w:val="HideTWBExt"/>
        </w:rPr>
        <w:t>&lt;/Titre&gt;</w:t>
      </w:r>
    </w:p>
    <w:p w14:paraId="5EAD59DB" w14:textId="321EA79A" w:rsidR="00142D49" w:rsidRPr="00262CE7" w:rsidRDefault="00142D49">
      <w:pPr>
        <w:pStyle w:val="CoverNormal24a"/>
      </w:pPr>
      <w:r w:rsidRPr="00262CE7">
        <w:rPr>
          <w:rStyle w:val="HideTWBExt"/>
        </w:rPr>
        <w:t>&lt;DocRef&gt;</w:t>
      </w:r>
      <w:r w:rsidRPr="00262CE7">
        <w:t>(2025/2234(IMM))</w:t>
      </w:r>
      <w:r w:rsidRPr="00262CE7">
        <w:rPr>
          <w:rStyle w:val="HideTWBExt"/>
        </w:rPr>
        <w:t>&lt;/DocRef&gt;</w:t>
      </w:r>
    </w:p>
    <w:p w14:paraId="3B5D20EB" w14:textId="77777777" w:rsidR="00142D49" w:rsidRPr="00262CE7" w:rsidRDefault="00142D49">
      <w:pPr>
        <w:pStyle w:val="CoverNormal24a"/>
      </w:pPr>
      <w:r w:rsidRPr="00262CE7">
        <w:rPr>
          <w:rStyle w:val="HideTWBExt"/>
        </w:rPr>
        <w:t>&lt;Commission&gt;</w:t>
      </w:r>
      <w:r w:rsidRPr="00262CE7">
        <w:rPr>
          <w:rStyle w:val="HideTWBInt"/>
        </w:rPr>
        <w:t>{JURI}</w:t>
      </w:r>
      <w:r w:rsidRPr="00262CE7">
        <w:t>Teisės reikalų komitetas</w:t>
      </w:r>
      <w:r w:rsidRPr="00262CE7">
        <w:rPr>
          <w:rStyle w:val="HideTWBExt"/>
        </w:rPr>
        <w:t>&lt;/Commission&gt;</w:t>
      </w:r>
    </w:p>
    <w:p w14:paraId="7EC4A298" w14:textId="551C218A" w:rsidR="00142D49" w:rsidRPr="00262CE7" w:rsidRDefault="007A3F74">
      <w:pPr>
        <w:pStyle w:val="CoverNormal24a"/>
      </w:pPr>
      <w:r w:rsidRPr="00262CE7">
        <w:t xml:space="preserve">Pranešėjas: </w:t>
      </w:r>
      <w:r w:rsidRPr="00262CE7">
        <w:rPr>
          <w:rStyle w:val="HideTWBExt"/>
        </w:rPr>
        <w:t>&lt;Depute&gt;</w:t>
      </w:r>
      <w:r w:rsidRPr="00262CE7">
        <w:t>Marcin Sypniewski</w:t>
      </w:r>
      <w:r w:rsidRPr="00262CE7">
        <w:rPr>
          <w:rStyle w:val="HideTWBExt"/>
        </w:rPr>
        <w:t>&lt;/Depute&gt;</w:t>
      </w:r>
    </w:p>
    <w:p w14:paraId="5ABFE5AB" w14:textId="77777777" w:rsidR="00142D49" w:rsidRPr="00262CE7" w:rsidRDefault="00142D49" w:rsidP="00DF74F0">
      <w:pPr>
        <w:widowControl/>
        <w:tabs>
          <w:tab w:val="center" w:pos="4677"/>
        </w:tabs>
      </w:pPr>
      <w:r w:rsidRPr="00262CE7">
        <w:br w:type="page"/>
      </w:r>
      <w:r w:rsidRPr="00262CE7">
        <w:lastRenderedPageBreak/>
        <w:t>PR_IMM_Waiver</w:t>
      </w:r>
    </w:p>
    <w:p w14:paraId="0EDAA9FD" w14:textId="77777777" w:rsidR="00142D49" w:rsidRPr="00262CE7" w:rsidRDefault="007A3F74">
      <w:pPr>
        <w:pStyle w:val="TOCHeading"/>
      </w:pPr>
      <w:r w:rsidRPr="00262CE7">
        <w:t>TURINYS</w:t>
      </w:r>
    </w:p>
    <w:p w14:paraId="75B812B8" w14:textId="77777777" w:rsidR="00142D49" w:rsidRPr="00262CE7" w:rsidRDefault="007A3F74">
      <w:pPr>
        <w:pStyle w:val="TOCPage"/>
      </w:pPr>
      <w:r w:rsidRPr="00262CE7">
        <w:t>Psl.</w:t>
      </w:r>
    </w:p>
    <w:p w14:paraId="61D42230" w14:textId="262DE01A" w:rsidR="007559A0"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62CE7">
        <w:fldChar w:fldCharType="begin"/>
      </w:r>
      <w:r w:rsidRPr="00262CE7">
        <w:instrText xml:space="preserve"> TOC \t "PageHeading</w:instrText>
      </w:r>
      <w:r w:rsidR="00211AA7" w:rsidRPr="00262CE7">
        <w:instrText>;</w:instrText>
      </w:r>
      <w:r w:rsidRPr="00262CE7">
        <w:instrText xml:space="preserve">1" </w:instrText>
      </w:r>
      <w:r w:rsidRPr="00262CE7">
        <w:fldChar w:fldCharType="separate"/>
      </w:r>
      <w:r w:rsidR="007559A0">
        <w:rPr>
          <w:noProof/>
        </w:rPr>
        <w:t>PASIŪLYMAS DĖL EUROPOS PARLAMENTO SPRENDIMO</w:t>
      </w:r>
      <w:r w:rsidR="007559A0">
        <w:rPr>
          <w:noProof/>
        </w:rPr>
        <w:tab/>
      </w:r>
      <w:r w:rsidR="007559A0">
        <w:rPr>
          <w:noProof/>
        </w:rPr>
        <w:fldChar w:fldCharType="begin"/>
      </w:r>
      <w:r w:rsidR="007559A0">
        <w:rPr>
          <w:noProof/>
        </w:rPr>
        <w:instrText xml:space="preserve"> PAGEREF _Toc229550724 \h </w:instrText>
      </w:r>
      <w:r w:rsidR="007559A0">
        <w:rPr>
          <w:noProof/>
        </w:rPr>
      </w:r>
      <w:r w:rsidR="007559A0">
        <w:rPr>
          <w:noProof/>
        </w:rPr>
        <w:fldChar w:fldCharType="separate"/>
      </w:r>
      <w:r w:rsidR="007559A0">
        <w:rPr>
          <w:noProof/>
        </w:rPr>
        <w:t>3</w:t>
      </w:r>
      <w:r w:rsidR="007559A0">
        <w:rPr>
          <w:noProof/>
        </w:rPr>
        <w:fldChar w:fldCharType="end"/>
      </w:r>
    </w:p>
    <w:p w14:paraId="22307401" w14:textId="64C986BE" w:rsidR="007559A0" w:rsidRDefault="007559A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INFORMACIJA APIE PRIĖMIMĄ ATSAKINGAME KOMITETE</w:t>
      </w:r>
      <w:r>
        <w:rPr>
          <w:noProof/>
        </w:rPr>
        <w:tab/>
      </w:r>
      <w:r>
        <w:rPr>
          <w:noProof/>
        </w:rPr>
        <w:fldChar w:fldCharType="begin"/>
      </w:r>
      <w:r>
        <w:rPr>
          <w:noProof/>
        </w:rPr>
        <w:instrText xml:space="preserve"> PAGEREF _Toc229550725 \h </w:instrText>
      </w:r>
      <w:r>
        <w:rPr>
          <w:noProof/>
        </w:rPr>
      </w:r>
      <w:r>
        <w:rPr>
          <w:noProof/>
        </w:rPr>
        <w:fldChar w:fldCharType="separate"/>
      </w:r>
      <w:r>
        <w:rPr>
          <w:noProof/>
        </w:rPr>
        <w:t>5</w:t>
      </w:r>
      <w:r>
        <w:rPr>
          <w:noProof/>
        </w:rPr>
        <w:fldChar w:fldCharType="end"/>
      </w:r>
    </w:p>
    <w:p w14:paraId="3BE4AFC5" w14:textId="37DEFD04" w:rsidR="0006105E" w:rsidRPr="00262CE7" w:rsidRDefault="00142D49" w:rsidP="00273EFB">
      <w:r w:rsidRPr="00262CE7">
        <w:fldChar w:fldCharType="end"/>
      </w:r>
    </w:p>
    <w:p w14:paraId="4F37EBBC" w14:textId="77777777" w:rsidR="00142D49" w:rsidRPr="00262CE7" w:rsidRDefault="00142D49">
      <w:pPr>
        <w:pStyle w:val="PageHeading"/>
      </w:pPr>
      <w:r w:rsidRPr="00262CE7">
        <w:br w:type="page"/>
      </w:r>
      <w:bookmarkStart w:id="0" w:name="_Toc229550724"/>
      <w:r w:rsidRPr="00262CE7">
        <w:lastRenderedPageBreak/>
        <w:t>PASIŪLYMAS DĖL EUROPOS PARLAMENTO SPRENDIMO</w:t>
      </w:r>
      <w:bookmarkEnd w:id="0"/>
    </w:p>
    <w:p w14:paraId="2F5B7CF7" w14:textId="5D109B55" w:rsidR="00142D49" w:rsidRPr="00262CE7" w:rsidRDefault="007A3F74">
      <w:pPr>
        <w:pStyle w:val="NormalBold"/>
      </w:pPr>
      <w:r w:rsidRPr="00262CE7">
        <w:t>dėl prašymo atšaukti Nikoso Pappaso (Nikos Pappas) imunitetą</w:t>
      </w:r>
    </w:p>
    <w:p w14:paraId="63D5D842" w14:textId="6123E44B" w:rsidR="00142D49" w:rsidRPr="00262CE7" w:rsidRDefault="007A3F74" w:rsidP="00FD1F04">
      <w:pPr>
        <w:pStyle w:val="NormalBold"/>
      </w:pPr>
      <w:r w:rsidRPr="00262CE7">
        <w:t>(2025/2234 (IMM))</w:t>
      </w:r>
    </w:p>
    <w:p w14:paraId="1DD65596" w14:textId="77777777" w:rsidR="00142D49" w:rsidRPr="00262CE7" w:rsidRDefault="007A3F74" w:rsidP="00FD1F04">
      <w:pPr>
        <w:pStyle w:val="EPComma"/>
      </w:pPr>
      <w:r w:rsidRPr="00262CE7">
        <w:rPr>
          <w:i/>
        </w:rPr>
        <w:t>Europos Parlamentas</w:t>
      </w:r>
      <w:r w:rsidRPr="00262CE7">
        <w:t>,</w:t>
      </w:r>
    </w:p>
    <w:p w14:paraId="7E256B95" w14:textId="5881AC56" w:rsidR="0037671C" w:rsidRPr="00262CE7" w:rsidRDefault="00142D49" w:rsidP="0037671C">
      <w:pPr>
        <w:pStyle w:val="NormalHanging12a"/>
      </w:pPr>
      <w:r w:rsidRPr="00262CE7">
        <w:t>–</w:t>
      </w:r>
      <w:r w:rsidRPr="00262CE7">
        <w:tab/>
        <w:t>atsižvelgdamas į Graikijos Respublikos Aukščiausiojo Teismo prokuroro pavaduotojos 2025 m. spalio 7 d. laišku, kuriuo perduodamas Atėnų pirmosios instancijos teismo prokuroro prašymas, pateiktą prašymą atšaukti Nikoso Pappaso imunitetą ryšium su jo atžvilgiu pradėtinu baudžiamuoju procesu, kuris buvo paskelbtas 2025 m. lapkričio 12 d. plenariniame posėdyje,</w:t>
      </w:r>
    </w:p>
    <w:p w14:paraId="7C9D3E1E" w14:textId="5271D5BE" w:rsidR="0037671C" w:rsidRPr="00262CE7" w:rsidRDefault="0037671C" w:rsidP="0037671C">
      <w:pPr>
        <w:pStyle w:val="NormalHanging12a"/>
      </w:pPr>
      <w:r w:rsidRPr="00262CE7">
        <w:t>–</w:t>
      </w:r>
      <w:r w:rsidRPr="00262CE7">
        <w:tab/>
        <w:t xml:space="preserve">2026 m. balandžio 15 d. išklausęs Nikoso Pappaso paaiškinimų, kaip nurodyta Darbo tvarkos taisyklių 9 straipsnio 6 dalyje, </w:t>
      </w:r>
    </w:p>
    <w:p w14:paraId="37650301" w14:textId="4B03F936" w:rsidR="0037671C" w:rsidRPr="00262CE7" w:rsidRDefault="0037671C" w:rsidP="0037671C">
      <w:pPr>
        <w:pStyle w:val="NormalHanging12a"/>
      </w:pPr>
      <w:r w:rsidRPr="00262CE7">
        <w:t>–</w:t>
      </w:r>
      <w:r w:rsidRPr="00262CE7">
        <w:tab/>
        <w:t>atsižvelgdamas į Protokolo Nr. 7 dėl Europos Sąjungos privilegijų ir imunitetų 8 ir 9 straipsnius ir į 1976 m. rugsėjo 20 d. Akto dėl Europos Parlamento narių rinkimų remiantis tiesiogine visuotine rinkimų teise 6 straipsnio 2 dalį,</w:t>
      </w:r>
    </w:p>
    <w:p w14:paraId="39310BD0" w14:textId="351FE5E8" w:rsidR="0037671C" w:rsidRPr="00262CE7" w:rsidRDefault="0037671C" w:rsidP="0037671C">
      <w:pPr>
        <w:pStyle w:val="NormalHanging12a"/>
      </w:pPr>
      <w:r w:rsidRPr="00262CE7">
        <w:t>–</w:t>
      </w:r>
      <w:r w:rsidRPr="00262CE7">
        <w:tab/>
        <w:t>atsižvelgdamas į Europos Sąjungos Teisingumo Teismo 2008 m. spalio 21 d., 2010 m. kovo 19 d., 2011 m. rugsėjo 6 d., 2013 m. sausio 17 d. ir 2019 m. gruodžio 19 d. sprendimus</w:t>
      </w:r>
      <w:r w:rsidRPr="00262CE7">
        <w:rPr>
          <w:vertAlign w:val="superscript"/>
        </w:rPr>
        <w:footnoteReference w:id="1"/>
      </w:r>
      <w:r w:rsidRPr="00262CE7">
        <w:t>,</w:t>
      </w:r>
    </w:p>
    <w:p w14:paraId="299F0B39" w14:textId="77777777" w:rsidR="0037671C" w:rsidRPr="00262CE7" w:rsidRDefault="0037671C" w:rsidP="0037671C">
      <w:pPr>
        <w:pStyle w:val="NormalHanging12a"/>
      </w:pPr>
      <w:r w:rsidRPr="00262CE7">
        <w:t>–</w:t>
      </w:r>
      <w:r w:rsidRPr="00262CE7">
        <w:tab/>
        <w:t>atsižvelgdamas į Darbo tvarkos taisyklių 5 straipsnio 2 dalį, 6 straipsnio 1 dalį ir 9 straipsnį,</w:t>
      </w:r>
    </w:p>
    <w:p w14:paraId="557E4952" w14:textId="0A28F335" w:rsidR="0037671C" w:rsidRPr="00262CE7" w:rsidRDefault="0037671C" w:rsidP="0037671C">
      <w:pPr>
        <w:pStyle w:val="NormalHanging12a"/>
      </w:pPr>
      <w:r w:rsidRPr="00262CE7">
        <w:t>–</w:t>
      </w:r>
      <w:r w:rsidRPr="00262CE7">
        <w:tab/>
        <w:t>atsižvelgdamas į Teisės reikalų komiteto pranešimą (A10-0128/2026),</w:t>
      </w:r>
    </w:p>
    <w:p w14:paraId="68CFB0CB" w14:textId="3D6AE6F9" w:rsidR="0037671C" w:rsidRPr="00262CE7" w:rsidRDefault="0037671C" w:rsidP="0037671C">
      <w:pPr>
        <w:pStyle w:val="NormalHanging12a"/>
        <w:rPr>
          <w:bCs/>
          <w:iCs/>
        </w:rPr>
      </w:pPr>
      <w:r w:rsidRPr="00262CE7">
        <w:t>A.</w:t>
      </w:r>
      <w:r w:rsidRPr="00262CE7">
        <w:tab/>
        <w:t>kadangi Graikijos Aukščiausiojo Teismo prokuroro pavaduotoja perdavė Atėnų pirmosios instancijos teismo prokuroro prašymą atšaukti Graikijoje išrinkto Europos Parlamento nario Nikoso Pappaso imunitetą ryšium su galimu įžeidimu internete ir grasinimais, kurie yra Graikijos baudžiamojo kodekso 94 straipsnyje, 361 straipsnio 1 dalies pirmame ir antrame sakiniuose ir 333 straipsnio 1 dalies pirmame sakinyje numatytos nusikalstamos veikos;</w:t>
      </w:r>
    </w:p>
    <w:p w14:paraId="02BE4C11" w14:textId="086BC0AD" w:rsidR="0037671C" w:rsidRPr="00262CE7" w:rsidRDefault="0037671C" w:rsidP="0037671C">
      <w:pPr>
        <w:pStyle w:val="NormalHanging12a"/>
      </w:pPr>
      <w:r w:rsidRPr="00262CE7">
        <w:t>B.</w:t>
      </w:r>
      <w:r w:rsidRPr="00262CE7">
        <w:tab/>
      </w:r>
      <w:bookmarkStart w:id="1" w:name="_Hlk226714510"/>
      <w:r w:rsidRPr="00262CE7">
        <w:t>kadangi, remiantis prašymu, skunde nurodyta, kad 2025 m. birželio 11 d. Nikos Pappas per savo asmeninę paskyrą „Instagram“ nukentėjusiajam siunčiamais asmeniniais pranešimais galimai jį įžeidė ir jam grasino;</w:t>
      </w:r>
      <w:bookmarkEnd w:id="1"/>
    </w:p>
    <w:p w14:paraId="5978E65D" w14:textId="1BA2FFB1" w:rsidR="0037671C" w:rsidRPr="00262CE7" w:rsidRDefault="0037671C" w:rsidP="0037671C">
      <w:pPr>
        <w:pStyle w:val="NormalHanging12a"/>
      </w:pPr>
      <w:r w:rsidRPr="00262CE7">
        <w:t>C.</w:t>
      </w:r>
      <w:r w:rsidRPr="00262CE7">
        <w:tab/>
        <w:t xml:space="preserve">kadangi 2024 m. birželio mėn. vykusiuose Europos Parlamento rinkimuose Nikos Pappas buvo išrinktas į Europos Parlamentą ir veikų, kuriomis jis įtariamas, padarymo </w:t>
      </w:r>
      <w:r w:rsidRPr="00262CE7">
        <w:lastRenderedPageBreak/>
        <w:t>momentu buvo Europos Parlamento narys; kadangi prašyme nurodyta, kad skundas dėl jo pateiktas 2025 m. liepos 16 d.;</w:t>
      </w:r>
    </w:p>
    <w:p w14:paraId="0DD18B5E" w14:textId="367AEC1B" w:rsidR="0037671C" w:rsidRPr="00262CE7" w:rsidRDefault="0037671C" w:rsidP="0037671C">
      <w:pPr>
        <w:pStyle w:val="NormalHanging12a"/>
      </w:pPr>
      <w:r w:rsidRPr="00262CE7">
        <w:t>D.</w:t>
      </w:r>
      <w:r w:rsidRPr="00262CE7">
        <w:tab/>
        <w:t>kadangi galima nusikalstama veika ir dėl jos pateiktas prašymas atšaukti Nikoso Pappaso imunitetą nėra susiję su jam einant pareigas pareikšta nuomone ar balsavimu, kaip tai suprantama Protokolo Nr. 7 dėl Europos Sąjungos privilegijų ir imunitetų 8 straipsnyje;</w:t>
      </w:r>
    </w:p>
    <w:p w14:paraId="3ADC4328" w14:textId="77777777" w:rsidR="0037671C" w:rsidRPr="00262CE7" w:rsidRDefault="0037671C" w:rsidP="0037671C">
      <w:pPr>
        <w:pStyle w:val="NormalHanging12a"/>
      </w:pPr>
      <w:r w:rsidRPr="00262CE7">
        <w:t>E.</w:t>
      </w:r>
      <w:r w:rsidRPr="00262CE7">
        <w:tab/>
        <w:t>kadangi Protokolo Nr. 7 dėl Europos Sąjungos privilegijų ir imunitetų 9 straipsnio pirmos pastraipos a punkte nustatyta, kad Europos Parlamento nariai sesijų metu savo valstybės narės teritorijoje naudojasi imunitetais, kurie toje valstybėje narėje yra suteikiami parlamento nariams;</w:t>
      </w:r>
    </w:p>
    <w:p w14:paraId="2F091D3D" w14:textId="77777777" w:rsidR="0037671C" w:rsidRPr="00262CE7" w:rsidRDefault="0037671C" w:rsidP="0037671C">
      <w:pPr>
        <w:pStyle w:val="NormalHanging12a"/>
      </w:pPr>
      <w:r w:rsidRPr="00262CE7">
        <w:t>F.</w:t>
      </w:r>
      <w:r w:rsidRPr="00262CE7">
        <w:tab/>
        <w:t>kadangi, remiantis Graikijos Respublikos Konstitucijos 62 straipsniu, Parlamento kadencijos laikotarpiu Parlamento narys be Parlamento sutikimo negali būti persekiojamas, sulaikomas ar laikomas suimtas ir negali būti kitaip varžoma jo laisvė;</w:t>
      </w:r>
    </w:p>
    <w:p w14:paraId="0BB3807C" w14:textId="77777777" w:rsidR="0037671C" w:rsidRPr="00262CE7" w:rsidRDefault="0037671C" w:rsidP="0037671C">
      <w:pPr>
        <w:pStyle w:val="NormalHanging12a"/>
      </w:pPr>
      <w:r w:rsidRPr="00262CE7">
        <w:t>G.</w:t>
      </w:r>
      <w:r w:rsidRPr="00262CE7">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0054C7ED" w14:textId="77777777" w:rsidR="0037671C" w:rsidRPr="00262CE7" w:rsidRDefault="0037671C" w:rsidP="0037671C">
      <w:pPr>
        <w:pStyle w:val="NormalHanging12a"/>
      </w:pPr>
      <w:r w:rsidRPr="00262CE7">
        <w:t>H.</w:t>
      </w:r>
      <w:r w:rsidRPr="00262CE7">
        <w:tab/>
        <w:t>kadangi Parlamento Darbo tvarkos taisyklių 5 straipsnio 2 dalyje numatyta, kad Parlamento nario imunitetas yra ne jo asmeninė privilegija, bet viso Parlamento ir jo narių nepriklausomumo garantija;</w:t>
      </w:r>
    </w:p>
    <w:p w14:paraId="4F868F63" w14:textId="44FB52B8" w:rsidR="0037671C" w:rsidRPr="00262CE7" w:rsidRDefault="0037671C" w:rsidP="0037671C">
      <w:pPr>
        <w:pStyle w:val="NormalHanging12a"/>
      </w:pPr>
      <w:r w:rsidRPr="00262CE7">
        <w:t>I.</w:t>
      </w:r>
      <w:r w:rsidRPr="00262CE7">
        <w:tab/>
        <w:t xml:space="preserve">kadangi šiuo atveju Parlamentas nenustatė esant </w:t>
      </w:r>
      <w:r w:rsidRPr="00262CE7">
        <w:rPr>
          <w:i/>
        </w:rPr>
        <w:t>fumus persecutionis</w:t>
      </w:r>
      <w:r w:rsidRPr="00262CE7">
        <w:t>, t. y. faktinių aplinkybių, kurios rodytų, kad šis procesas buvo pradėtas siekiant pakenkti Europos Parlamento nario politinei veiklai;</w:t>
      </w:r>
    </w:p>
    <w:p w14:paraId="78379CF5" w14:textId="0D4B2BE0" w:rsidR="0037671C" w:rsidRPr="00262CE7" w:rsidRDefault="0037671C" w:rsidP="0037671C">
      <w:pPr>
        <w:pStyle w:val="NormalHanging12a"/>
      </w:pPr>
      <w:r w:rsidRPr="00262CE7">
        <w:t>J.</w:t>
      </w:r>
      <w:r w:rsidRPr="00262CE7">
        <w:tab/>
        <w:t>kadangi, pirma, Parlamentas negali būti prilyginamas teismui ir, antra, vykstant imuniteto atšaukimo procedūrai Parlamento narys negali būti laikomas kaltinamuoju</w:t>
      </w:r>
      <w:r w:rsidRPr="00262CE7">
        <w:rPr>
          <w:vertAlign w:val="superscript"/>
        </w:rPr>
        <w:footnoteReference w:id="2"/>
      </w:r>
      <w:r w:rsidRPr="00262CE7">
        <w:t>;</w:t>
      </w:r>
    </w:p>
    <w:p w14:paraId="088D62FC" w14:textId="59764213" w:rsidR="0037671C" w:rsidRPr="00262CE7" w:rsidRDefault="0037671C" w:rsidP="0037671C">
      <w:pPr>
        <w:pStyle w:val="NormalHanging12a"/>
      </w:pPr>
      <w:r w:rsidRPr="00262CE7">
        <w:t>1.</w:t>
      </w:r>
      <w:r w:rsidRPr="00262CE7">
        <w:tab/>
        <w:t>nusprendžia atšaukti Nikoso Pappaso imunitetą;</w:t>
      </w:r>
    </w:p>
    <w:p w14:paraId="31CD54D1" w14:textId="1329B52B" w:rsidR="0037671C" w:rsidRPr="00262CE7" w:rsidRDefault="0037671C" w:rsidP="00DC7727">
      <w:pPr>
        <w:pStyle w:val="NormalHanging12a"/>
      </w:pPr>
      <w:r w:rsidRPr="00262CE7">
        <w:t>2.</w:t>
      </w:r>
      <w:r w:rsidRPr="00262CE7">
        <w:tab/>
        <w:t>paveda Pirmininkei nedelsiant perduoti šį sprendimą ir atsakingo komiteto pranešimą Graikijos Respublikos kompetentingoms institucijoms ir Nikosui Pappasui.</w:t>
      </w:r>
    </w:p>
    <w:p w14:paraId="74C74EDC" w14:textId="77777777" w:rsidR="00782E54" w:rsidRPr="00262CE7" w:rsidRDefault="00782E54" w:rsidP="00DC7727">
      <w:pPr>
        <w:sectPr w:rsidR="00782E54" w:rsidRPr="00262CE7" w:rsidSect="00262CE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F1AF801" w14:textId="5BA2D5CD" w:rsidR="00DC7727" w:rsidRPr="00262CE7" w:rsidRDefault="00DC7727" w:rsidP="00DC7727">
      <w:pPr>
        <w:pStyle w:val="PageHeading"/>
      </w:pPr>
      <w:bookmarkStart w:id="2" w:name="ProcPageRR"/>
      <w:bookmarkStart w:id="3" w:name="_Toc229550725"/>
      <w:r w:rsidRPr="00262CE7">
        <w:lastRenderedPageBreak/>
        <w:t>INFORMACIJA APIE PRIĖMIMĄ ATSAKINGAME KOMITETE</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C7727" w:rsidRPr="00262CE7" w14:paraId="158DC7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905EB" w14:textId="77777777" w:rsidR="00DC7727" w:rsidRPr="00262CE7" w:rsidRDefault="00DC7727">
            <w:pPr>
              <w:autoSpaceDE w:val="0"/>
              <w:autoSpaceDN w:val="0"/>
              <w:adjustRightInd w:val="0"/>
              <w:rPr>
                <w:b/>
                <w:bCs/>
                <w:color w:val="000000"/>
                <w:sz w:val="20"/>
              </w:rPr>
            </w:pPr>
            <w:r w:rsidRPr="00262CE7">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54F41E" w14:textId="77777777" w:rsidR="00DC7727" w:rsidRPr="00262CE7" w:rsidRDefault="00DC7727">
            <w:pPr>
              <w:autoSpaceDE w:val="0"/>
              <w:autoSpaceDN w:val="0"/>
              <w:adjustRightInd w:val="0"/>
              <w:rPr>
                <w:color w:val="000000"/>
                <w:sz w:val="20"/>
              </w:rPr>
            </w:pPr>
            <w:r w:rsidRPr="00262CE7">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260461" w14:textId="77777777" w:rsidR="00DC7727" w:rsidRPr="00262CE7"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82E324" w14:textId="77777777" w:rsidR="00DC7727" w:rsidRPr="00262CE7"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50B71E" w14:textId="77777777" w:rsidR="00DC7727" w:rsidRPr="00262CE7" w:rsidRDefault="00DC7727">
            <w:pPr>
              <w:autoSpaceDE w:val="0"/>
              <w:autoSpaceDN w:val="0"/>
              <w:adjustRightInd w:val="0"/>
              <w:rPr>
                <w:rFonts w:ascii="sans-serif" w:hAnsi="sans-serif" w:cs="sans-serif"/>
                <w:color w:val="000000"/>
              </w:rPr>
            </w:pPr>
          </w:p>
        </w:tc>
      </w:tr>
      <w:tr w:rsidR="00DC7727" w:rsidRPr="00262CE7" w14:paraId="2E3F46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3D7FA2" w14:textId="77777777" w:rsidR="00DC7727" w:rsidRPr="00262CE7" w:rsidRDefault="00DC7727">
            <w:pPr>
              <w:autoSpaceDE w:val="0"/>
              <w:autoSpaceDN w:val="0"/>
              <w:adjustRightInd w:val="0"/>
              <w:rPr>
                <w:b/>
                <w:bCs/>
                <w:color w:val="000000"/>
                <w:sz w:val="20"/>
              </w:rPr>
            </w:pPr>
            <w:r w:rsidRPr="00262CE7">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66470" w14:textId="77777777" w:rsidR="00DC7727" w:rsidRPr="00262CE7" w:rsidRDefault="00DC7727">
            <w:pPr>
              <w:autoSpaceDE w:val="0"/>
              <w:autoSpaceDN w:val="0"/>
              <w:adjustRightInd w:val="0"/>
              <w:rPr>
                <w:color w:val="000000"/>
                <w:sz w:val="20"/>
              </w:rPr>
            </w:pPr>
            <w:r w:rsidRPr="00262CE7">
              <w:rPr>
                <w:color w:val="000000"/>
                <w:sz w:val="20"/>
              </w:rPr>
              <w:t>+:</w:t>
            </w:r>
          </w:p>
          <w:p w14:paraId="6A57D674" w14:textId="77777777" w:rsidR="00DC7727" w:rsidRPr="00262CE7" w:rsidRDefault="00DC7727">
            <w:pPr>
              <w:autoSpaceDE w:val="0"/>
              <w:autoSpaceDN w:val="0"/>
              <w:adjustRightInd w:val="0"/>
              <w:rPr>
                <w:color w:val="000000"/>
                <w:sz w:val="20"/>
              </w:rPr>
            </w:pPr>
            <w:r w:rsidRPr="00262CE7">
              <w:rPr>
                <w:color w:val="000000"/>
                <w:sz w:val="20"/>
              </w:rPr>
              <w:t>–:</w:t>
            </w:r>
          </w:p>
          <w:p w14:paraId="46CB2211" w14:textId="77777777" w:rsidR="00DC7727" w:rsidRPr="00262CE7" w:rsidRDefault="00DC7727">
            <w:pPr>
              <w:autoSpaceDE w:val="0"/>
              <w:autoSpaceDN w:val="0"/>
              <w:adjustRightInd w:val="0"/>
              <w:rPr>
                <w:color w:val="000000"/>
                <w:sz w:val="20"/>
              </w:rPr>
            </w:pPr>
            <w:r w:rsidRPr="00262CE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E6CA20" w14:textId="77777777" w:rsidR="00DC7727" w:rsidRPr="00262CE7" w:rsidRDefault="00DC7727">
            <w:pPr>
              <w:autoSpaceDE w:val="0"/>
              <w:autoSpaceDN w:val="0"/>
              <w:adjustRightInd w:val="0"/>
              <w:rPr>
                <w:color w:val="000000"/>
                <w:sz w:val="20"/>
              </w:rPr>
            </w:pPr>
            <w:r w:rsidRPr="00262CE7">
              <w:rPr>
                <w:color w:val="000000"/>
                <w:sz w:val="20"/>
              </w:rPr>
              <w:t>21</w:t>
            </w:r>
          </w:p>
          <w:p w14:paraId="25E539AB" w14:textId="77777777" w:rsidR="00DC7727" w:rsidRPr="00262CE7" w:rsidRDefault="00DC7727">
            <w:pPr>
              <w:autoSpaceDE w:val="0"/>
              <w:autoSpaceDN w:val="0"/>
              <w:adjustRightInd w:val="0"/>
              <w:rPr>
                <w:color w:val="000000"/>
                <w:sz w:val="20"/>
              </w:rPr>
            </w:pPr>
            <w:r w:rsidRPr="00262CE7">
              <w:rPr>
                <w:color w:val="000000"/>
                <w:sz w:val="20"/>
              </w:rPr>
              <w:t>0</w:t>
            </w:r>
          </w:p>
          <w:p w14:paraId="65E21B54" w14:textId="77777777" w:rsidR="00DC7727" w:rsidRPr="00262CE7" w:rsidRDefault="00DC7727">
            <w:pPr>
              <w:autoSpaceDE w:val="0"/>
              <w:autoSpaceDN w:val="0"/>
              <w:adjustRightInd w:val="0"/>
              <w:rPr>
                <w:color w:val="000000"/>
                <w:sz w:val="20"/>
              </w:rPr>
            </w:pPr>
            <w:r w:rsidRPr="00262CE7">
              <w:rPr>
                <w:color w:val="000000"/>
                <w:sz w:val="20"/>
              </w:rPr>
              <w:t>0</w:t>
            </w:r>
          </w:p>
        </w:tc>
      </w:tr>
    </w:tbl>
    <w:p w14:paraId="4C90AAAB" w14:textId="77777777" w:rsidR="00DC7727" w:rsidRPr="00262CE7" w:rsidRDefault="00DC7727"/>
    <w:bookmarkEnd w:id="2"/>
    <w:p w14:paraId="18A8CC2A" w14:textId="12C99D43" w:rsidR="00782E54" w:rsidRPr="00262CE7" w:rsidRDefault="00782E54" w:rsidP="00DC7727"/>
    <w:sectPr w:rsidR="00782E54" w:rsidRPr="00262CE7" w:rsidSect="00DC772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262CE7" w:rsidRDefault="007A3F74">
      <w:r w:rsidRPr="00262CE7">
        <w:separator/>
      </w:r>
    </w:p>
  </w:endnote>
  <w:endnote w:type="continuationSeparator" w:id="0">
    <w:p w14:paraId="610AD7B1" w14:textId="77777777" w:rsidR="007A3F74" w:rsidRPr="00262CE7" w:rsidRDefault="007A3F74">
      <w:r w:rsidRPr="00262C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3B36" w14:textId="77777777" w:rsidR="00262CE7" w:rsidRPr="00262CE7" w:rsidRDefault="00262CE7" w:rsidP="00262CE7">
    <w:pPr>
      <w:pStyle w:val="EPFooter"/>
    </w:pPr>
    <w:r w:rsidRPr="00262CE7">
      <w:t>PE</w:t>
    </w:r>
    <w:r w:rsidRPr="00262CE7">
      <w:rPr>
        <w:rStyle w:val="HideTWBExt"/>
      </w:rPr>
      <w:t>&lt;NoPE&gt;</w:t>
    </w:r>
    <w:r w:rsidRPr="00262CE7">
      <w:t>786.974</w:t>
    </w:r>
    <w:r w:rsidRPr="00262CE7">
      <w:rPr>
        <w:rStyle w:val="HideTWBExt"/>
      </w:rPr>
      <w:t>&lt;/NoPE&gt;&lt;Version&gt;</w:t>
    </w:r>
    <w:r w:rsidRPr="00262CE7">
      <w:t>v03-00</w:t>
    </w:r>
    <w:r w:rsidRPr="00262CE7">
      <w:rPr>
        <w:rStyle w:val="HideTWBExt"/>
      </w:rPr>
      <w:t>&lt;/Version&gt;</w:t>
    </w:r>
    <w:r w:rsidRPr="00262CE7">
      <w:tab/>
    </w:r>
    <w:r w:rsidRPr="00262CE7">
      <w:fldChar w:fldCharType="begin"/>
    </w:r>
    <w:r w:rsidRPr="00262CE7">
      <w:instrText xml:space="preserve"> PAGE  \* MERGEFORMAT </w:instrText>
    </w:r>
    <w:r w:rsidRPr="00262CE7">
      <w:fldChar w:fldCharType="separate"/>
    </w:r>
    <w:r w:rsidRPr="00262CE7">
      <w:rPr>
        <w:noProof/>
      </w:rPr>
      <w:t>2</w:t>
    </w:r>
    <w:r w:rsidRPr="00262CE7">
      <w:fldChar w:fldCharType="end"/>
    </w:r>
    <w:r w:rsidRPr="00262CE7">
      <w:t>/</w:t>
    </w:r>
    <w:fldSimple w:instr=" NUMPAGES  \* MERGEFORMAT ">
      <w:r w:rsidRPr="00262CE7">
        <w:rPr>
          <w:noProof/>
        </w:rPr>
        <w:t>5</w:t>
      </w:r>
    </w:fldSimple>
    <w:r w:rsidRPr="00262CE7">
      <w:tab/>
    </w:r>
    <w:r w:rsidRPr="00262CE7">
      <w:rPr>
        <w:rStyle w:val="HideTWBExt"/>
      </w:rPr>
      <w:t>&lt;PathFdR&gt;</w:t>
    </w:r>
    <w:r w:rsidRPr="00262CE7">
      <w:t>RR\1343292LT.docx</w:t>
    </w:r>
    <w:r w:rsidRPr="00262CE7">
      <w:rPr>
        <w:rStyle w:val="HideTWBExt"/>
      </w:rPr>
      <w:t>&lt;/PathFdR&gt;</w:t>
    </w:r>
  </w:p>
  <w:p w14:paraId="658457CE" w14:textId="72F31290" w:rsidR="0023430B" w:rsidRPr="00262CE7" w:rsidRDefault="00262CE7" w:rsidP="00262CE7">
    <w:pPr>
      <w:pStyle w:val="EPFooter2"/>
    </w:pPr>
    <w:r w:rsidRPr="00262CE7">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4C20" w14:textId="77777777" w:rsidR="00262CE7" w:rsidRPr="00262CE7" w:rsidRDefault="00262CE7" w:rsidP="00262CE7">
    <w:pPr>
      <w:pStyle w:val="EPFooter"/>
    </w:pPr>
    <w:r w:rsidRPr="00262CE7">
      <w:rPr>
        <w:rStyle w:val="HideTWBExt"/>
      </w:rPr>
      <w:t>&lt;PathFdR&gt;</w:t>
    </w:r>
    <w:r w:rsidRPr="00262CE7">
      <w:t>RR\1343292LT.docx</w:t>
    </w:r>
    <w:r w:rsidRPr="00262CE7">
      <w:rPr>
        <w:rStyle w:val="HideTWBExt"/>
      </w:rPr>
      <w:t>&lt;/PathFdR&gt;</w:t>
    </w:r>
    <w:r w:rsidRPr="00262CE7">
      <w:tab/>
    </w:r>
    <w:r w:rsidRPr="00262CE7">
      <w:fldChar w:fldCharType="begin"/>
    </w:r>
    <w:r w:rsidRPr="00262CE7">
      <w:instrText xml:space="preserve"> PAGE  \* MERGEFORMAT </w:instrText>
    </w:r>
    <w:r w:rsidRPr="00262CE7">
      <w:fldChar w:fldCharType="separate"/>
    </w:r>
    <w:r w:rsidRPr="00262CE7">
      <w:rPr>
        <w:noProof/>
      </w:rPr>
      <w:t>3</w:t>
    </w:r>
    <w:r w:rsidRPr="00262CE7">
      <w:fldChar w:fldCharType="end"/>
    </w:r>
    <w:r w:rsidRPr="00262CE7">
      <w:t>/</w:t>
    </w:r>
    <w:fldSimple w:instr=" NUMPAGES  \* MERGEFORMAT ">
      <w:r w:rsidRPr="00262CE7">
        <w:rPr>
          <w:noProof/>
        </w:rPr>
        <w:t>5</w:t>
      </w:r>
    </w:fldSimple>
    <w:r w:rsidRPr="00262CE7">
      <w:tab/>
      <w:t>PE</w:t>
    </w:r>
    <w:r w:rsidRPr="00262CE7">
      <w:rPr>
        <w:rStyle w:val="HideTWBExt"/>
      </w:rPr>
      <w:t>&lt;NoPE&gt;</w:t>
    </w:r>
    <w:r w:rsidRPr="00262CE7">
      <w:t>786.974</w:t>
    </w:r>
    <w:r w:rsidRPr="00262CE7">
      <w:rPr>
        <w:rStyle w:val="HideTWBExt"/>
      </w:rPr>
      <w:t>&lt;/NoPE&gt;&lt;Version&gt;</w:t>
    </w:r>
    <w:r w:rsidRPr="00262CE7">
      <w:t>v03-00</w:t>
    </w:r>
    <w:r w:rsidRPr="00262CE7">
      <w:rPr>
        <w:rStyle w:val="HideTWBExt"/>
      </w:rPr>
      <w:t>&lt;/Version&gt;</w:t>
    </w:r>
  </w:p>
  <w:p w14:paraId="2AEFD817" w14:textId="2CB3A7D6" w:rsidR="0023430B" w:rsidRPr="00262CE7" w:rsidRDefault="00262CE7" w:rsidP="00262CE7">
    <w:pPr>
      <w:pStyle w:val="EPFooter2"/>
    </w:pPr>
    <w:r w:rsidRPr="00262CE7">
      <w:tab/>
    </w:r>
    <w:r w:rsidRPr="00262CE7">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4DE0" w14:textId="77777777" w:rsidR="00262CE7" w:rsidRPr="00262CE7" w:rsidRDefault="00262CE7" w:rsidP="00262CE7">
    <w:pPr>
      <w:pStyle w:val="EPFooter"/>
    </w:pPr>
    <w:r w:rsidRPr="00262CE7">
      <w:rPr>
        <w:rStyle w:val="HideTWBExt"/>
      </w:rPr>
      <w:t>&lt;PathFdR&gt;</w:t>
    </w:r>
    <w:r w:rsidRPr="00262CE7">
      <w:t>RR\1343292LT.docx</w:t>
    </w:r>
    <w:r w:rsidRPr="00262CE7">
      <w:rPr>
        <w:rStyle w:val="HideTWBExt"/>
      </w:rPr>
      <w:t>&lt;/PathFdR&gt;</w:t>
    </w:r>
    <w:r w:rsidRPr="00262CE7">
      <w:tab/>
    </w:r>
    <w:r w:rsidRPr="00262CE7">
      <w:tab/>
      <w:t>PE</w:t>
    </w:r>
    <w:r w:rsidRPr="00262CE7">
      <w:rPr>
        <w:rStyle w:val="HideTWBExt"/>
      </w:rPr>
      <w:t>&lt;NoPE&gt;</w:t>
    </w:r>
    <w:r w:rsidRPr="00262CE7">
      <w:t>786.974</w:t>
    </w:r>
    <w:r w:rsidRPr="00262CE7">
      <w:rPr>
        <w:rStyle w:val="HideTWBExt"/>
      </w:rPr>
      <w:t>&lt;/NoPE&gt;&lt;Version&gt;</w:t>
    </w:r>
    <w:r w:rsidRPr="00262CE7">
      <w:t>v03-00</w:t>
    </w:r>
    <w:r w:rsidRPr="00262CE7">
      <w:rPr>
        <w:rStyle w:val="HideTWBExt"/>
      </w:rPr>
      <w:t>&lt;/Version&gt;</w:t>
    </w:r>
  </w:p>
  <w:p w14:paraId="335F31F2" w14:textId="6A1238BF" w:rsidR="0023430B" w:rsidRPr="00262CE7" w:rsidRDefault="00262CE7" w:rsidP="00262CE7">
    <w:pPr>
      <w:pStyle w:val="EPFooter2"/>
    </w:pPr>
    <w:r w:rsidRPr="00262CE7">
      <w:t>LT</w:t>
    </w:r>
    <w:r w:rsidRPr="00262CE7">
      <w:tab/>
    </w:r>
    <w:r w:rsidRPr="00262CE7">
      <w:rPr>
        <w:b w:val="0"/>
        <w:i/>
        <w:color w:val="C0C0C0"/>
        <w:sz w:val="22"/>
      </w:rPr>
      <w:t>Suvienijusi įvairovę</w:t>
    </w:r>
    <w:r w:rsidRPr="00262CE7">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262CE7" w:rsidRDefault="007A3F74">
      <w:r w:rsidRPr="00262CE7">
        <w:separator/>
      </w:r>
    </w:p>
  </w:footnote>
  <w:footnote w:type="continuationSeparator" w:id="0">
    <w:p w14:paraId="7CCCF422" w14:textId="77777777" w:rsidR="007A3F74" w:rsidRPr="00262CE7" w:rsidRDefault="007A3F74">
      <w:r w:rsidRPr="00262CE7">
        <w:continuationSeparator/>
      </w:r>
    </w:p>
  </w:footnote>
  <w:footnote w:id="1">
    <w:p w14:paraId="63EA19DC" w14:textId="4F68C1F5" w:rsidR="0037671C" w:rsidRPr="00262CE7" w:rsidRDefault="0037671C" w:rsidP="0037671C">
      <w:pPr>
        <w:pStyle w:val="FootnoteText"/>
      </w:pPr>
      <w:r w:rsidRPr="00262CE7">
        <w:rPr>
          <w:rStyle w:val="FootnoteReference"/>
        </w:rPr>
        <w:footnoteRef/>
      </w:r>
      <w:r w:rsidRPr="00262CE7">
        <w:rPr>
          <w:rStyle w:val="FootnoteReference"/>
        </w:rPr>
        <w:t xml:space="preserve"> </w:t>
      </w:r>
      <w:r w:rsidRPr="00262CE7">
        <w:t xml:space="preserve">2008 m. spalio 21 d. Teisingumo Teismo sprendimas </w:t>
      </w:r>
      <w:r w:rsidRPr="00262CE7">
        <w:rPr>
          <w:i/>
        </w:rPr>
        <w:t>Marra / De Gregorio ir Clemente</w:t>
      </w:r>
      <w:r w:rsidRPr="00262CE7">
        <w:t xml:space="preserve">, C-200/07 ir C-201/07, ECLI:EU:C:2008:579; 2010 m. kovo 19 d. Bendrojo Teismo sprendimas </w:t>
      </w:r>
      <w:r w:rsidRPr="00262CE7">
        <w:rPr>
          <w:i/>
        </w:rPr>
        <w:t>Gollnisch / Parlamentas</w:t>
      </w:r>
      <w:r w:rsidRPr="00262CE7">
        <w:t xml:space="preserve">, T-42/06, ECLI:EU:T:2010:102; 2011 m. rugsėjo 6 d. Teisingumo Teismo sprendimas </w:t>
      </w:r>
      <w:r w:rsidRPr="00262CE7">
        <w:rPr>
          <w:i/>
        </w:rPr>
        <w:t>Patriciello</w:t>
      </w:r>
      <w:r w:rsidRPr="00262CE7">
        <w:t xml:space="preserve">, C-163/10, ECLI:EU:C:2011:543; 2013 m. sausio 17 d. Bendrojo Teismo sprendimas </w:t>
      </w:r>
      <w:r w:rsidRPr="00262CE7">
        <w:rPr>
          <w:i/>
        </w:rPr>
        <w:t>Gollnisch / Parlamentas</w:t>
      </w:r>
      <w:r w:rsidRPr="00262CE7">
        <w:t xml:space="preserve">, T-346/11 ir T-347/11, ECLI:EU:T:2013:23; 2019 m. gruodžio 19 d. Teisingumo Teismo sprendimas </w:t>
      </w:r>
      <w:r w:rsidRPr="00262CE7">
        <w:rPr>
          <w:i/>
          <w:iCs/>
        </w:rPr>
        <w:t>Junqueras Vies</w:t>
      </w:r>
      <w:r w:rsidRPr="00262CE7">
        <w:t>, C-502/19, ECLI:EU:C:2019:1115.</w:t>
      </w:r>
    </w:p>
  </w:footnote>
  <w:footnote w:id="2">
    <w:p w14:paraId="26EEF05B" w14:textId="77777777" w:rsidR="0037671C" w:rsidRPr="00262CE7" w:rsidRDefault="0037671C" w:rsidP="0037671C">
      <w:pPr>
        <w:pStyle w:val="FootnoteText"/>
      </w:pPr>
      <w:r w:rsidRPr="00262CE7">
        <w:rPr>
          <w:rStyle w:val="FootnoteReference"/>
        </w:rPr>
        <w:footnoteRef/>
      </w:r>
      <w:r w:rsidRPr="00262CE7">
        <w:rPr>
          <w:rStyle w:val="FootnoteReference"/>
        </w:rPr>
        <w:t xml:space="preserve"> </w:t>
      </w:r>
      <w:r w:rsidRPr="00262CE7">
        <w:t xml:space="preserve">2019 m. balandžio 30 d. Bendrojo Teismo sprendimas </w:t>
      </w:r>
      <w:r w:rsidRPr="00262CE7">
        <w:rPr>
          <w:i/>
        </w:rPr>
        <w:t>Briois / Parlamentas</w:t>
      </w:r>
      <w:r w:rsidRPr="00262CE7">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91A" w14:textId="77777777" w:rsidR="007559A0" w:rsidRDefault="007559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02BD" w14:textId="77777777" w:rsidR="007559A0" w:rsidRDefault="007559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0DB6" w14:textId="77777777" w:rsidR="007559A0" w:rsidRDefault="007559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EN"/>
    <w:docVar w:name="TXTLANGUEMIN" w:val="en"/>
    <w:docVar w:name="TXTNAME" w:val="Nikos Pappas"/>
    <w:docVar w:name="TXTNRIMM" w:val="2025/2234"/>
    <w:docVar w:name="TXTNRPE" w:val="786.974"/>
    <w:docVar w:name="TXTPEorAP" w:val="PE"/>
    <w:docVar w:name="TXTROUTE" w:val="RR\786.974EN.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62CE7"/>
    <w:rsid w:val="00273EFB"/>
    <w:rsid w:val="00285706"/>
    <w:rsid w:val="002915E6"/>
    <w:rsid w:val="0029288E"/>
    <w:rsid w:val="00296EB6"/>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922F7"/>
    <w:rsid w:val="005B5955"/>
    <w:rsid w:val="00627F06"/>
    <w:rsid w:val="00633DF2"/>
    <w:rsid w:val="00681E33"/>
    <w:rsid w:val="006A1780"/>
    <w:rsid w:val="006C038C"/>
    <w:rsid w:val="006D6F36"/>
    <w:rsid w:val="00736D0A"/>
    <w:rsid w:val="007470A8"/>
    <w:rsid w:val="00752B65"/>
    <w:rsid w:val="00753DFC"/>
    <w:rsid w:val="007559A0"/>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915DD"/>
    <w:rsid w:val="009A4162"/>
    <w:rsid w:val="009B47E5"/>
    <w:rsid w:val="009D54A6"/>
    <w:rsid w:val="009E4C4E"/>
    <w:rsid w:val="009E7AD9"/>
    <w:rsid w:val="009F5083"/>
    <w:rsid w:val="009F55EA"/>
    <w:rsid w:val="00A05AFD"/>
    <w:rsid w:val="00A33B09"/>
    <w:rsid w:val="00A45926"/>
    <w:rsid w:val="00A63BDB"/>
    <w:rsid w:val="00A87FB0"/>
    <w:rsid w:val="00A95CAC"/>
    <w:rsid w:val="00AA7D88"/>
    <w:rsid w:val="00AB1E20"/>
    <w:rsid w:val="00AB3EA7"/>
    <w:rsid w:val="00B24A96"/>
    <w:rsid w:val="00B35DBC"/>
    <w:rsid w:val="00B37A07"/>
    <w:rsid w:val="00B61BA7"/>
    <w:rsid w:val="00B76A78"/>
    <w:rsid w:val="00B81D30"/>
    <w:rsid w:val="00BB307A"/>
    <w:rsid w:val="00BD02C3"/>
    <w:rsid w:val="00BD34CF"/>
    <w:rsid w:val="00BE1054"/>
    <w:rsid w:val="00C33434"/>
    <w:rsid w:val="00C42BD9"/>
    <w:rsid w:val="00C66DE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635</Words>
  <Characters>4114</Characters>
  <Application>Microsoft Office Word</Application>
  <DocSecurity>0</DocSecurity>
  <Lines>102</Lines>
  <Paragraphs>57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MANCIUNSKAS Dalius</cp:lastModifiedBy>
  <cp:revision>2</cp:revision>
  <cp:lastPrinted>2026-04-14T09:48:00Z</cp:lastPrinted>
  <dcterms:created xsi:type="dcterms:W3CDTF">2026-05-13T05:45:00Z</dcterms:created>
  <dcterms:modified xsi:type="dcterms:W3CDTF">2026-05-13T05:45:00Z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RR\1343292LT.docx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- 2026/05/13 07:45</vt:lpwstr>
  </property>
  <property fmtid="{D5CDD505-2E9C-101B-9397-08002B2CF9AE}" pid="15" name="OriLang">
    <vt:lpwstr>EN</vt:lpwstr>
  </property>
  <property fmtid="{D5CDD505-2E9C-101B-9397-08002B2CF9AE}" pid="16" name="SDLStudio">
    <vt:lpwstr/>
  </property>
</Properties>
</file>