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CF16EE" w:rsidRPr="0049720B" w14:paraId="5155D312" w14:textId="77777777" w:rsidTr="00C85D0F">
        <w:trPr>
          <w:trHeight w:hRule="exact" w:val="1418"/>
        </w:trPr>
        <w:tc>
          <w:tcPr>
            <w:tcW w:w="6804" w:type="dxa"/>
            <w:shd w:val="clear" w:color="auto" w:fill="auto"/>
            <w:vAlign w:val="center"/>
          </w:tcPr>
          <w:p w14:paraId="60777BCE" w14:textId="77777777" w:rsidR="00CF16EE" w:rsidRPr="0049720B" w:rsidRDefault="007A3F74" w:rsidP="00C85D0F">
            <w:pPr>
              <w:pStyle w:val="EPName"/>
            </w:pPr>
            <w:r w:rsidRPr="0049720B">
              <w:t>Eiropas Parlaments</w:t>
            </w:r>
          </w:p>
          <w:p w14:paraId="62D57263" w14:textId="1191277C" w:rsidR="00CF16EE" w:rsidRPr="0049720B" w:rsidRDefault="007470A8" w:rsidP="00C85D0F">
            <w:pPr>
              <w:pStyle w:val="EPTerm"/>
            </w:pPr>
            <w:r w:rsidRPr="0049720B">
              <w:t>2024-2029</w:t>
            </w:r>
          </w:p>
        </w:tc>
        <w:tc>
          <w:tcPr>
            <w:tcW w:w="2268" w:type="dxa"/>
            <w:shd w:val="clear" w:color="auto" w:fill="auto"/>
          </w:tcPr>
          <w:p w14:paraId="31923707" w14:textId="77777777" w:rsidR="00CF16EE" w:rsidRPr="0049720B" w:rsidRDefault="00CF16EE" w:rsidP="00C85D0F">
            <w:pPr>
              <w:pStyle w:val="EPLogo"/>
            </w:pPr>
            <w:r w:rsidRPr="0049720B">
              <w:rPr>
                <w:noProof/>
              </w:rPr>
              <w:drawing>
                <wp:inline distT="0" distB="0" distL="0" distR="0" wp14:anchorId="0E45DA15" wp14:editId="28CC1E0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8F36F9" w14:textId="77777777" w:rsidR="00215FF9" w:rsidRPr="0049720B" w:rsidRDefault="00215FF9" w:rsidP="00215FF9">
      <w:pPr>
        <w:pStyle w:val="LineTop"/>
      </w:pPr>
    </w:p>
    <w:p w14:paraId="653CDBB3" w14:textId="5458662B" w:rsidR="00215FF9" w:rsidRPr="0049720B" w:rsidRDefault="001E7EF6" w:rsidP="00215FF9">
      <w:pPr>
        <w:pStyle w:val="EPBody"/>
      </w:pPr>
      <w:r>
        <w:t>Sesijas dokuments</w:t>
      </w:r>
    </w:p>
    <w:p w14:paraId="6AC55BC9" w14:textId="77777777" w:rsidR="00215FF9" w:rsidRPr="0049720B" w:rsidRDefault="00215FF9" w:rsidP="00215FF9">
      <w:pPr>
        <w:pStyle w:val="LineBottom"/>
      </w:pPr>
    </w:p>
    <w:p w14:paraId="3FC44D51" w14:textId="0BC784EB" w:rsidR="005922F7" w:rsidRPr="0049720B" w:rsidRDefault="001E7EF6" w:rsidP="001E7EF6">
      <w:pPr>
        <w:pStyle w:val="CoverReference"/>
      </w:pPr>
      <w:r w:rsidRPr="001E7EF6">
        <w:rPr>
          <w:rStyle w:val="HideTWBExt"/>
        </w:rPr>
        <w:t>&lt;NoDocSe&gt;</w:t>
      </w:r>
      <w:r>
        <w:t>A10</w:t>
      </w:r>
      <w:r>
        <w:noBreakHyphen/>
        <w:t>0128/2026</w:t>
      </w:r>
      <w:r w:rsidRPr="001E7EF6">
        <w:rPr>
          <w:rStyle w:val="HideTWBExt"/>
        </w:rPr>
        <w:t>&lt;/NoDocSe&gt;</w:t>
      </w:r>
    </w:p>
    <w:p w14:paraId="68D6E421" w14:textId="69120655" w:rsidR="005922F7" w:rsidRPr="0049720B" w:rsidRDefault="005922F7" w:rsidP="005922F7">
      <w:pPr>
        <w:pStyle w:val="CoverDate"/>
      </w:pPr>
      <w:r w:rsidRPr="0049720B">
        <w:rPr>
          <w:rStyle w:val="HideTWBExt"/>
        </w:rPr>
        <w:t>&lt;Date&gt;</w:t>
      </w:r>
      <w:r w:rsidR="001E7EF6" w:rsidRPr="001E7EF6">
        <w:rPr>
          <w:rStyle w:val="HideTWBInt"/>
        </w:rPr>
        <w:t>{06/05/2026}</w:t>
      </w:r>
      <w:r w:rsidR="001E7EF6" w:rsidRPr="001E7EF6">
        <w:t>6.5.2026</w:t>
      </w:r>
      <w:r w:rsidRPr="0049720B">
        <w:rPr>
          <w:rStyle w:val="HideTWBExt"/>
        </w:rPr>
        <w:t>&lt;/Date&gt;</w:t>
      </w:r>
    </w:p>
    <w:p w14:paraId="16FABFAD" w14:textId="2129B3F8" w:rsidR="00142D49" w:rsidRPr="0049720B" w:rsidRDefault="00142D49">
      <w:pPr>
        <w:pStyle w:val="CoverDocType24a"/>
      </w:pPr>
      <w:r w:rsidRPr="0049720B">
        <w:rPr>
          <w:rStyle w:val="HideTWBExt"/>
          <w:b w:val="0"/>
        </w:rPr>
        <w:t>&lt;TitreType&gt;</w:t>
      </w:r>
      <w:r w:rsidR="001E7EF6" w:rsidRPr="001E7EF6">
        <w:t>ZIŅOJUMS</w:t>
      </w:r>
      <w:r w:rsidRPr="0049720B">
        <w:rPr>
          <w:rStyle w:val="HideTWBExt"/>
          <w:b w:val="0"/>
        </w:rPr>
        <w:t>&lt;/TitreType&gt;</w:t>
      </w:r>
    </w:p>
    <w:p w14:paraId="2C9802BA" w14:textId="287BD81D" w:rsidR="00142D49" w:rsidRPr="0049720B" w:rsidRDefault="00142D49">
      <w:pPr>
        <w:pStyle w:val="CoverNormal"/>
      </w:pPr>
      <w:r w:rsidRPr="0049720B">
        <w:rPr>
          <w:rStyle w:val="HideTWBExt"/>
        </w:rPr>
        <w:t>&lt;Titre&gt;</w:t>
      </w:r>
      <w:r w:rsidRPr="0049720B">
        <w:t xml:space="preserve">par pieprasījumu atcelt </w:t>
      </w:r>
      <w:r w:rsidRPr="0049720B">
        <w:rPr>
          <w:i/>
          <w:iCs/>
        </w:rPr>
        <w:t>Nikos Pappas</w:t>
      </w:r>
      <w:r w:rsidRPr="0049720B">
        <w:t xml:space="preserve"> imunitāti</w:t>
      </w:r>
      <w:r w:rsidRPr="0049720B">
        <w:rPr>
          <w:rStyle w:val="HideTWBExt"/>
        </w:rPr>
        <w:t>&lt;/Titre&gt;</w:t>
      </w:r>
    </w:p>
    <w:p w14:paraId="5EAD59DB" w14:textId="321EA79A" w:rsidR="00142D49" w:rsidRPr="0049720B" w:rsidRDefault="00142D49">
      <w:pPr>
        <w:pStyle w:val="CoverNormal24a"/>
      </w:pPr>
      <w:r w:rsidRPr="0049720B">
        <w:rPr>
          <w:rStyle w:val="HideTWBExt"/>
        </w:rPr>
        <w:t>&lt;DocRef&gt;</w:t>
      </w:r>
      <w:r w:rsidRPr="0049720B">
        <w:t>(2025/2234(IMM))</w:t>
      </w:r>
      <w:r w:rsidRPr="0049720B">
        <w:rPr>
          <w:rStyle w:val="HideTWBExt"/>
        </w:rPr>
        <w:t>&lt;/DocRef&gt;</w:t>
      </w:r>
    </w:p>
    <w:p w14:paraId="3B5D20EB" w14:textId="77777777" w:rsidR="00142D49" w:rsidRPr="0049720B" w:rsidRDefault="00142D49">
      <w:pPr>
        <w:pStyle w:val="CoverNormal24a"/>
      </w:pPr>
      <w:r w:rsidRPr="0049720B">
        <w:rPr>
          <w:rStyle w:val="HideTWBExt"/>
        </w:rPr>
        <w:t>&lt;Commission&gt;</w:t>
      </w:r>
      <w:r w:rsidRPr="0049720B">
        <w:rPr>
          <w:rStyle w:val="HideTWBInt"/>
        </w:rPr>
        <w:t>{JURI}</w:t>
      </w:r>
      <w:r w:rsidRPr="0049720B">
        <w:t>Juridiskā komiteja</w:t>
      </w:r>
      <w:r w:rsidRPr="0049720B">
        <w:rPr>
          <w:rStyle w:val="HideTWBExt"/>
        </w:rPr>
        <w:t>&lt;/Commission&gt;</w:t>
      </w:r>
    </w:p>
    <w:p w14:paraId="7EC4A298" w14:textId="551C218A" w:rsidR="00142D49" w:rsidRPr="0049720B" w:rsidRDefault="007A3F74">
      <w:pPr>
        <w:pStyle w:val="CoverNormal24a"/>
      </w:pPr>
      <w:r w:rsidRPr="0049720B">
        <w:t xml:space="preserve">Referents: </w:t>
      </w:r>
      <w:r w:rsidRPr="0049720B">
        <w:rPr>
          <w:rStyle w:val="HideTWBExt"/>
        </w:rPr>
        <w:t>&lt;Depute&gt;</w:t>
      </w:r>
      <w:r w:rsidRPr="0049720B">
        <w:rPr>
          <w:i/>
          <w:iCs/>
        </w:rPr>
        <w:t>Marcin Sypniewski</w:t>
      </w:r>
      <w:r w:rsidRPr="0049720B">
        <w:rPr>
          <w:rStyle w:val="HideTWBExt"/>
        </w:rPr>
        <w:t>&lt;/Depute&gt;</w:t>
      </w:r>
    </w:p>
    <w:p w14:paraId="589EAF82" w14:textId="16A458B1" w:rsidR="0006105E" w:rsidRPr="0049720B" w:rsidRDefault="0006105E" w:rsidP="0006105E">
      <w:pPr>
        <w:pStyle w:val="CoverNormal"/>
        <w:rPr>
          <w:strike/>
        </w:rPr>
      </w:pPr>
    </w:p>
    <w:p w14:paraId="5ABFE5AB" w14:textId="77777777" w:rsidR="00142D49" w:rsidRPr="0049720B" w:rsidRDefault="00142D49" w:rsidP="00DF74F0">
      <w:pPr>
        <w:widowControl/>
        <w:tabs>
          <w:tab w:val="center" w:pos="4677"/>
        </w:tabs>
      </w:pPr>
      <w:r w:rsidRPr="0049720B">
        <w:br w:type="page"/>
      </w:r>
      <w:r w:rsidRPr="0049720B">
        <w:lastRenderedPageBreak/>
        <w:t>PR_IMM_Waiver</w:t>
      </w:r>
    </w:p>
    <w:p w14:paraId="0EDAA9FD" w14:textId="77777777" w:rsidR="00142D49" w:rsidRPr="0049720B" w:rsidRDefault="007A3F74">
      <w:pPr>
        <w:pStyle w:val="TOCHeading"/>
      </w:pPr>
      <w:r w:rsidRPr="0049720B">
        <w:t>SATURA RĀDĪTĀJS</w:t>
      </w:r>
    </w:p>
    <w:p w14:paraId="75B812B8" w14:textId="77777777" w:rsidR="00142D49" w:rsidRPr="0049720B" w:rsidRDefault="007A3F74">
      <w:pPr>
        <w:pStyle w:val="TOCPage"/>
      </w:pPr>
      <w:r w:rsidRPr="0049720B">
        <w:t>Lpp.</w:t>
      </w:r>
    </w:p>
    <w:p w14:paraId="2BC07676" w14:textId="4CE87814" w:rsidR="00535A9C" w:rsidRDefault="00142D49">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49720B">
        <w:fldChar w:fldCharType="begin"/>
      </w:r>
      <w:r w:rsidRPr="0049720B">
        <w:instrText xml:space="preserve"> TOC \t "PageHeading</w:instrText>
      </w:r>
      <w:r w:rsidR="001E7EF6">
        <w:instrText>;</w:instrText>
      </w:r>
      <w:r w:rsidRPr="0049720B">
        <w:instrText xml:space="preserve">1" </w:instrText>
      </w:r>
      <w:r w:rsidRPr="0049720B">
        <w:fldChar w:fldCharType="separate"/>
      </w:r>
      <w:r w:rsidR="00535A9C">
        <w:rPr>
          <w:noProof/>
        </w:rPr>
        <w:t>EIROPAS PARLAMENTA LĒMUMA PRIEKŠLIKUMS</w:t>
      </w:r>
      <w:r w:rsidR="00535A9C">
        <w:rPr>
          <w:noProof/>
        </w:rPr>
        <w:tab/>
      </w:r>
      <w:r w:rsidR="00535A9C">
        <w:rPr>
          <w:noProof/>
        </w:rPr>
        <w:fldChar w:fldCharType="begin"/>
      </w:r>
      <w:r w:rsidR="00535A9C">
        <w:rPr>
          <w:noProof/>
        </w:rPr>
        <w:instrText xml:space="preserve"> PAGEREF _Toc228979309 \h </w:instrText>
      </w:r>
      <w:r w:rsidR="00535A9C">
        <w:rPr>
          <w:noProof/>
        </w:rPr>
      </w:r>
      <w:r w:rsidR="00535A9C">
        <w:rPr>
          <w:noProof/>
        </w:rPr>
        <w:fldChar w:fldCharType="separate"/>
      </w:r>
      <w:r w:rsidR="00535A9C">
        <w:rPr>
          <w:noProof/>
        </w:rPr>
        <w:t>3</w:t>
      </w:r>
      <w:r w:rsidR="00535A9C">
        <w:rPr>
          <w:noProof/>
        </w:rPr>
        <w:fldChar w:fldCharType="end"/>
      </w:r>
    </w:p>
    <w:p w14:paraId="118D59E6" w14:textId="554F28AB" w:rsidR="00535A9C" w:rsidRDefault="00535A9C">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INFORMĀCIJA PAR PIEŅEMŠANU ATBILDĪGAJĀ KOMITEJĀ</w:t>
      </w:r>
      <w:r>
        <w:rPr>
          <w:noProof/>
        </w:rPr>
        <w:tab/>
      </w:r>
      <w:r>
        <w:rPr>
          <w:noProof/>
        </w:rPr>
        <w:fldChar w:fldCharType="begin"/>
      </w:r>
      <w:r>
        <w:rPr>
          <w:noProof/>
        </w:rPr>
        <w:instrText xml:space="preserve"> PAGEREF _Toc228979310 \h </w:instrText>
      </w:r>
      <w:r>
        <w:rPr>
          <w:noProof/>
        </w:rPr>
      </w:r>
      <w:r>
        <w:rPr>
          <w:noProof/>
        </w:rPr>
        <w:fldChar w:fldCharType="separate"/>
      </w:r>
      <w:r>
        <w:rPr>
          <w:noProof/>
        </w:rPr>
        <w:t>5</w:t>
      </w:r>
      <w:r>
        <w:rPr>
          <w:noProof/>
        </w:rPr>
        <w:fldChar w:fldCharType="end"/>
      </w:r>
    </w:p>
    <w:p w14:paraId="3BE4AFC5" w14:textId="76BE758A" w:rsidR="0006105E" w:rsidRPr="0049720B" w:rsidRDefault="00142D49" w:rsidP="00273EFB">
      <w:r w:rsidRPr="0049720B">
        <w:fldChar w:fldCharType="end"/>
      </w:r>
    </w:p>
    <w:p w14:paraId="0FBDADE9" w14:textId="77777777" w:rsidR="00CF6D72" w:rsidRPr="0049720B" w:rsidRDefault="00CF6D72">
      <w:pPr>
        <w:pStyle w:val="PageHeading"/>
        <w:sectPr w:rsidR="00CF6D72" w:rsidRPr="0049720B" w:rsidSect="0049720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567" w:footer="567" w:gutter="0"/>
          <w:cols w:space="720"/>
          <w:noEndnote/>
          <w:titlePg/>
        </w:sectPr>
      </w:pPr>
    </w:p>
    <w:p w14:paraId="06775AEB" w14:textId="45ADC7B0" w:rsidR="00CF6D72" w:rsidRPr="0049720B" w:rsidRDefault="00CF6D72" w:rsidP="00CF6D72">
      <w:pPr>
        <w:pStyle w:val="PageHeading"/>
      </w:pPr>
      <w:bookmarkStart w:id="0" w:name="_Toc228979309"/>
      <w:r w:rsidRPr="0049720B">
        <w:lastRenderedPageBreak/>
        <w:t>EIROPAS PARLAMENTA LĒMUMA PRIEKŠLIKUMS</w:t>
      </w:r>
      <w:bookmarkEnd w:id="0"/>
    </w:p>
    <w:p w14:paraId="2F5B7CF7" w14:textId="5D109B55" w:rsidR="00142D49" w:rsidRPr="0049720B" w:rsidRDefault="007A3F74">
      <w:pPr>
        <w:pStyle w:val="NormalBold"/>
      </w:pPr>
      <w:r w:rsidRPr="0049720B">
        <w:t xml:space="preserve">par pieprasījumu atcelt </w:t>
      </w:r>
      <w:r w:rsidRPr="0049720B">
        <w:rPr>
          <w:i/>
          <w:iCs/>
        </w:rPr>
        <w:t>Nikos Pappas</w:t>
      </w:r>
      <w:r w:rsidRPr="0049720B">
        <w:t xml:space="preserve"> imunitāti</w:t>
      </w:r>
    </w:p>
    <w:p w14:paraId="63D5D842" w14:textId="6123E44B" w:rsidR="00142D49" w:rsidRPr="0049720B" w:rsidRDefault="007A3F74" w:rsidP="00FD1F04">
      <w:pPr>
        <w:pStyle w:val="NormalBold"/>
      </w:pPr>
      <w:r w:rsidRPr="0049720B">
        <w:t>(2025/2234 (IMM))</w:t>
      </w:r>
    </w:p>
    <w:p w14:paraId="1DD65596" w14:textId="77777777" w:rsidR="00142D49" w:rsidRPr="0049720B" w:rsidRDefault="007A3F74" w:rsidP="00FD1F04">
      <w:pPr>
        <w:pStyle w:val="EPComma"/>
      </w:pPr>
      <w:r w:rsidRPr="0049720B">
        <w:rPr>
          <w:i/>
          <w:iCs/>
        </w:rPr>
        <w:t>Eiropas Parlaments</w:t>
      </w:r>
      <w:r w:rsidRPr="0049720B">
        <w:t>,</w:t>
      </w:r>
    </w:p>
    <w:p w14:paraId="7E256B95" w14:textId="5881AC56" w:rsidR="0037671C" w:rsidRPr="0049720B" w:rsidRDefault="00142D49" w:rsidP="0037671C">
      <w:pPr>
        <w:pStyle w:val="NormalHanging12a"/>
      </w:pPr>
      <w:r w:rsidRPr="0049720B">
        <w:t>–</w:t>
      </w:r>
      <w:r w:rsidRPr="0049720B">
        <w:tab/>
        <w:t xml:space="preserve">ņemot vērā pieprasījumu atcelt </w:t>
      </w:r>
      <w:r w:rsidRPr="0049720B">
        <w:rPr>
          <w:i/>
          <w:iCs/>
        </w:rPr>
        <w:t>Nikos Pappas</w:t>
      </w:r>
      <w:r w:rsidRPr="0049720B">
        <w:t xml:space="preserve"> imunitāti, kuru Grieķijas Republikas Augstākās tiesas ģenerālprokurora vietnieks nosūtījis 2025. gada 7. oktobra vēstulē, ar kuru viņš pārsūtīja Atēnu Pirmās instances tiesas prokurora pieprasījumu saistībā ar ierosināto kriminālprocesu, un par kuru paziņots 2025. gada 12. novembra plenārsēdē,</w:t>
      </w:r>
    </w:p>
    <w:p w14:paraId="7C9D3E1E" w14:textId="5271D5BE" w:rsidR="0037671C" w:rsidRPr="0049720B" w:rsidRDefault="0037671C" w:rsidP="0037671C">
      <w:pPr>
        <w:pStyle w:val="NormalHanging12a"/>
      </w:pPr>
      <w:r w:rsidRPr="0049720B">
        <w:t>–</w:t>
      </w:r>
      <w:r w:rsidRPr="0049720B">
        <w:tab/>
        <w:t xml:space="preserve">pēc </w:t>
      </w:r>
      <w:r w:rsidRPr="0049720B">
        <w:rPr>
          <w:i/>
          <w:iCs/>
        </w:rPr>
        <w:t>Nikos Pappas</w:t>
      </w:r>
      <w:r w:rsidRPr="0049720B">
        <w:t xml:space="preserve"> uzklausīšanas 2026. gada 15. aprīlī saskaņā ar Reglamenta 9. panta 6. punktu, </w:t>
      </w:r>
    </w:p>
    <w:p w14:paraId="37650301" w14:textId="4B03F936" w:rsidR="0037671C" w:rsidRPr="0049720B" w:rsidRDefault="0037671C" w:rsidP="0037671C">
      <w:pPr>
        <w:pStyle w:val="NormalHanging12a"/>
      </w:pPr>
      <w:r w:rsidRPr="0049720B">
        <w:t>–</w:t>
      </w:r>
      <w:r w:rsidRPr="0049720B">
        <w:tab/>
        <w:t>ņemot vērā Protokola Nr. 7 par privilēģijām un imunitāti Eiropas Savienībā 8. un 9. pantu, kā arī 1976. gada 20. septembra Akta par Eiropas Parlamenta deputātu ievēlēšanu tiešās vispārējās vēlēšanās 6. panta 2. punktu,</w:t>
      </w:r>
    </w:p>
    <w:p w14:paraId="39310BD0" w14:textId="351FE5E8" w:rsidR="0037671C" w:rsidRPr="0049720B" w:rsidRDefault="0037671C" w:rsidP="0037671C">
      <w:pPr>
        <w:pStyle w:val="NormalHanging12a"/>
      </w:pPr>
      <w:r w:rsidRPr="0049720B">
        <w:t>–</w:t>
      </w:r>
      <w:r w:rsidRPr="0049720B">
        <w:tab/>
        <w:t>ņemot vērā Eiropas Savienības Tiesas 2008. gada 21. oktobra, 2010. gada 19. marta, 2011. gada 6. septembra, 2013. gada 17. janvāra un 2019. gada 19. decembra spriedumu</w:t>
      </w:r>
      <w:r w:rsidRPr="0049720B">
        <w:rPr>
          <w:vertAlign w:val="superscript"/>
        </w:rPr>
        <w:footnoteReference w:id="1"/>
      </w:r>
      <w:r w:rsidRPr="0049720B">
        <w:t>,</w:t>
      </w:r>
    </w:p>
    <w:p w14:paraId="299F0B39" w14:textId="77777777" w:rsidR="0037671C" w:rsidRPr="0049720B" w:rsidRDefault="0037671C" w:rsidP="0037671C">
      <w:pPr>
        <w:pStyle w:val="NormalHanging12a"/>
      </w:pPr>
      <w:r w:rsidRPr="0049720B">
        <w:t>–</w:t>
      </w:r>
      <w:r w:rsidRPr="0049720B">
        <w:tab/>
        <w:t>ņemot vērā Reglamenta 5. panta 2. punktu, 6. panta 1. punktu un 9. pantu,</w:t>
      </w:r>
    </w:p>
    <w:p w14:paraId="557E4952" w14:textId="481CD99B" w:rsidR="0037671C" w:rsidRPr="0049720B" w:rsidRDefault="0037671C" w:rsidP="0037671C">
      <w:pPr>
        <w:pStyle w:val="NormalHanging12a"/>
      </w:pPr>
      <w:r w:rsidRPr="0049720B">
        <w:t>–</w:t>
      </w:r>
      <w:r w:rsidRPr="0049720B">
        <w:tab/>
        <w:t>ņemot vērā Juridiskās komitejas ziņojumu (</w:t>
      </w:r>
      <w:r w:rsidR="001E7EF6">
        <w:t>A10</w:t>
      </w:r>
      <w:r w:rsidR="001E7EF6">
        <w:noBreakHyphen/>
        <w:t>0128/2026</w:t>
      </w:r>
      <w:r w:rsidRPr="0049720B">
        <w:t>),</w:t>
      </w:r>
    </w:p>
    <w:p w14:paraId="68CFB0CB" w14:textId="3D6AE6F9" w:rsidR="0037671C" w:rsidRPr="0049720B" w:rsidRDefault="0037671C" w:rsidP="0037671C">
      <w:pPr>
        <w:pStyle w:val="NormalHanging12a"/>
        <w:rPr>
          <w:bCs/>
          <w:iCs/>
        </w:rPr>
      </w:pPr>
      <w:r w:rsidRPr="0049720B">
        <w:t>A.</w:t>
      </w:r>
      <w:r w:rsidRPr="0049720B">
        <w:tab/>
        <w:t xml:space="preserve">tā kā Grieķijas Augstākās tiesas ģenerālprokurora vietnieks ir nosūtījis Atēnu Pirmās instances tiesas prokurora pieprasījumu atcelt Grieķijā ievēlētā Eiropas Parlamenta deputāta </w:t>
      </w:r>
      <w:r w:rsidRPr="0049720B">
        <w:rPr>
          <w:i/>
          <w:iCs/>
        </w:rPr>
        <w:t>Nikos Pappas</w:t>
      </w:r>
      <w:r w:rsidRPr="0049720B">
        <w:t xml:space="preserve"> imunitāti, pamatojoties uz iespējamiem apvainojumiem tiešsaistē un draudiem, kas ir uzskatāmi par noziedzīgiem nodarījumiem saskaņā ar Grieķijas Kriminālkodeksa 94. pantu, 361. panta 1. punkta pirmo un otro teikumu un 333. panta 1. punkta pirmo teikumu;</w:t>
      </w:r>
    </w:p>
    <w:p w14:paraId="02BE4C11" w14:textId="086BC0AD" w:rsidR="0037671C" w:rsidRPr="0049720B" w:rsidRDefault="0037671C" w:rsidP="0037671C">
      <w:pPr>
        <w:pStyle w:val="NormalHanging12a"/>
      </w:pPr>
      <w:r w:rsidRPr="0049720B">
        <w:t>B.</w:t>
      </w:r>
      <w:r w:rsidRPr="0049720B">
        <w:tab/>
      </w:r>
      <w:bookmarkStart w:id="1" w:name="_Hlk226714510"/>
      <w:r w:rsidRPr="0049720B">
        <w:t xml:space="preserve">tā kā saskaņā ar pieprasījumu sūdzībā ir norādīts, ka 2025. gada 11. jūnijā </w:t>
      </w:r>
      <w:r w:rsidRPr="0049720B">
        <w:rPr>
          <w:i/>
          <w:iCs/>
        </w:rPr>
        <w:t>Nikos Pappas</w:t>
      </w:r>
      <w:r w:rsidRPr="0049720B">
        <w:t xml:space="preserve"> esot apvainojis un draudējis sūdzības iesniedzējam ar tiešām ziņām, kas ir nosūtītas, izmantojot viņa personīgo kontu </w:t>
      </w:r>
      <w:r w:rsidRPr="0049720B">
        <w:rPr>
          <w:i/>
          <w:iCs/>
        </w:rPr>
        <w:t>Instagram</w:t>
      </w:r>
      <w:r w:rsidRPr="0049720B">
        <w:t>;</w:t>
      </w:r>
      <w:bookmarkEnd w:id="1"/>
    </w:p>
    <w:p w14:paraId="5978E65D" w14:textId="1BA2FFB1" w:rsidR="0037671C" w:rsidRPr="0049720B" w:rsidRDefault="0037671C" w:rsidP="0037671C">
      <w:pPr>
        <w:pStyle w:val="NormalHanging12a"/>
      </w:pPr>
      <w:r w:rsidRPr="0049720B">
        <w:t>C.</w:t>
      </w:r>
      <w:r w:rsidRPr="0049720B">
        <w:tab/>
        <w:t xml:space="preserve">tā kā </w:t>
      </w:r>
      <w:r w:rsidRPr="0049720B">
        <w:rPr>
          <w:i/>
          <w:iCs/>
        </w:rPr>
        <w:t>Nikos Pappas</w:t>
      </w:r>
      <w:r w:rsidRPr="0049720B">
        <w:t xml:space="preserve"> 2024. gada jūnija Eiropas vēlēšanās tika ievēlēts Eiropas Parlamentā un tā kā iespējamā noziedzīgā nodarījuma izdarīšanas laikā viņš bija Eiropas Parlamenta deputāts; tā kā saskaņā ar pieprasījumu pret viņu izvirzītā apsūdzība ir datēta ar 2025. gada 16. jūliju;</w:t>
      </w:r>
    </w:p>
    <w:p w14:paraId="0DD18B5E" w14:textId="367AEC1B" w:rsidR="0037671C" w:rsidRPr="0049720B" w:rsidRDefault="0037671C" w:rsidP="0037671C">
      <w:pPr>
        <w:pStyle w:val="NormalHanging12a"/>
      </w:pPr>
      <w:r w:rsidRPr="0049720B">
        <w:lastRenderedPageBreak/>
        <w:t>D.</w:t>
      </w:r>
      <w:r w:rsidRPr="0049720B">
        <w:tab/>
        <w:t xml:space="preserve">tā kā inkriminētais nodarījums un no tā izrietošais pieprasījums atcelt </w:t>
      </w:r>
      <w:r w:rsidRPr="0049720B">
        <w:rPr>
          <w:i/>
          <w:iCs/>
        </w:rPr>
        <w:t>Nikos Pappas</w:t>
      </w:r>
      <w:r w:rsidRPr="0049720B">
        <w:t xml:space="preserve"> imunitāti nav saistīti nedz ar viedokli, kuru viņš būtu paudis, nedz ar balsojumu, kuru viņš būtu veicis, pildot savus pienākumus Protokola Nr. 7 par privilēģijām un imunitāti Eiropas Savienībā 8. panta nozīmē;</w:t>
      </w:r>
    </w:p>
    <w:p w14:paraId="3ADC4328" w14:textId="77777777" w:rsidR="0037671C" w:rsidRPr="0049720B" w:rsidRDefault="0037671C" w:rsidP="0037671C">
      <w:pPr>
        <w:pStyle w:val="NormalHanging12a"/>
      </w:pPr>
      <w:r w:rsidRPr="0049720B">
        <w:t>E.</w:t>
      </w:r>
      <w:r w:rsidRPr="0049720B">
        <w:tab/>
        <w:t>tā kā saskaņā ar Protokola Nr. 7 par privilēģijām un imunitāti Eiropas Savienībā 9. panta pirmās daļas a) punktu Eiropas Parlamenta locekļiem savā valstī ir imunitāte, ko piešķir attiecīgās valsts parlamenta locekļiem;</w:t>
      </w:r>
    </w:p>
    <w:p w14:paraId="2F091D3D" w14:textId="77777777" w:rsidR="0037671C" w:rsidRPr="0049720B" w:rsidRDefault="0037671C" w:rsidP="0037671C">
      <w:pPr>
        <w:pStyle w:val="NormalHanging12a"/>
      </w:pPr>
      <w:r w:rsidRPr="0049720B">
        <w:t>F.</w:t>
      </w:r>
      <w:r w:rsidRPr="0049720B">
        <w:tab/>
        <w:t>tā kā saskaņā ar Grieķijas Republikas Konstitūcijas 62. pantu nevienu deputātu viņa pilnvaru laikā nevar saukt pie kriminālatbildības, aizturēt, apcietināt vai viņam piemērot citus pasākumus, kas ir saistīti ar brīvības atņemšanu, bez Deputātu palātas atļaujas;</w:t>
      </w:r>
    </w:p>
    <w:p w14:paraId="0BB3807C" w14:textId="77777777" w:rsidR="0037671C" w:rsidRPr="0049720B" w:rsidRDefault="0037671C" w:rsidP="0037671C">
      <w:pPr>
        <w:pStyle w:val="NormalHanging12a"/>
      </w:pPr>
      <w:r w:rsidRPr="0049720B">
        <w:t>G.</w:t>
      </w:r>
      <w:r w:rsidRPr="0049720B">
        <w:tab/>
        <w:t>tā kā Protokola Nr. 7 par imunitāti un privilēģijām Eiropas Savienībā paredzētās imunitātes mērķis ir aizsargāt Parlamentu un tā deputātus pret juridiskiem procesiem, kas tiek ierosināti par darbībām, kuras ir veiktas, pildot parlamentāros pienākumus, un kuras atrauti no šiem pienākumiem skatīt nevar;</w:t>
      </w:r>
    </w:p>
    <w:p w14:paraId="0054C7ED" w14:textId="77777777" w:rsidR="0037671C" w:rsidRPr="0049720B" w:rsidRDefault="0037671C" w:rsidP="0037671C">
      <w:pPr>
        <w:pStyle w:val="NormalHanging12a"/>
      </w:pPr>
      <w:r w:rsidRPr="0049720B">
        <w:t>H.</w:t>
      </w:r>
      <w:r w:rsidRPr="0049720B">
        <w:tab/>
        <w:t>tā kā saskaņā ar Parlamenta Reglamenta 5. panta 2. punktu deputāta imunitāte nav deputāta personiska privilēģija, bet gan visa Parlamenta un tā deputātu neatkarības garantija;</w:t>
      </w:r>
    </w:p>
    <w:p w14:paraId="4F868F63" w14:textId="44FB52B8" w:rsidR="0037671C" w:rsidRPr="0049720B" w:rsidRDefault="0037671C" w:rsidP="0037671C">
      <w:pPr>
        <w:pStyle w:val="NormalHanging12a"/>
      </w:pPr>
      <w:r w:rsidRPr="0049720B">
        <w:t>I.</w:t>
      </w:r>
      <w:r w:rsidRPr="0049720B">
        <w:tab/>
        <w:t xml:space="preserve">tā kā šajā lietā Parlaments nav guvis pierādījumus par </w:t>
      </w:r>
      <w:r w:rsidRPr="0049720B">
        <w:rPr>
          <w:i/>
          <w:iCs/>
        </w:rPr>
        <w:t>fumus persecutionis</w:t>
      </w:r>
      <w:r w:rsidRPr="0049720B">
        <w:t>, t.i., ziņas par faktiem, ka attiecīgā kriminālprocesa ierosināšanas īstenais mērķis varētu būt kaitēt konkrētā deputāta politiskajai darbībai Eiropas Parlamenta deputāta statusā;</w:t>
      </w:r>
    </w:p>
    <w:p w14:paraId="78379CF5" w14:textId="0D4B2BE0" w:rsidR="0037671C" w:rsidRPr="0049720B" w:rsidRDefault="0037671C" w:rsidP="0037671C">
      <w:pPr>
        <w:pStyle w:val="NormalHanging12a"/>
      </w:pPr>
      <w:r w:rsidRPr="0049720B">
        <w:t>J.</w:t>
      </w:r>
      <w:r w:rsidRPr="0049720B">
        <w:tab/>
        <w:t>tā kā, no vienas puses, Parlaments nevar tikt pielīdzināts tiesai un, no otras puses, deputāts imunitātes atcelšanas procedūras kontekstā nevar tikt uzskatīts par apsūdzēto</w:t>
      </w:r>
      <w:r w:rsidRPr="0049720B">
        <w:rPr>
          <w:vertAlign w:val="superscript"/>
        </w:rPr>
        <w:footnoteReference w:id="2"/>
      </w:r>
      <w:r w:rsidRPr="0049720B">
        <w:t>;</w:t>
      </w:r>
    </w:p>
    <w:p w14:paraId="088D62FC" w14:textId="59764213" w:rsidR="0037671C" w:rsidRPr="0049720B" w:rsidRDefault="0037671C" w:rsidP="0037671C">
      <w:pPr>
        <w:pStyle w:val="NormalHanging12a"/>
      </w:pPr>
      <w:r w:rsidRPr="0049720B">
        <w:t>1.</w:t>
      </w:r>
      <w:r w:rsidRPr="0049720B">
        <w:tab/>
        <w:t xml:space="preserve">nolemj atcelt </w:t>
      </w:r>
      <w:r w:rsidRPr="0049720B">
        <w:rPr>
          <w:i/>
          <w:iCs/>
        </w:rPr>
        <w:t>Nikos Pappas</w:t>
      </w:r>
      <w:r w:rsidRPr="0049720B">
        <w:t xml:space="preserve"> imunitāti;</w:t>
      </w:r>
    </w:p>
    <w:p w14:paraId="31CD54D1" w14:textId="1329B52B" w:rsidR="0037671C" w:rsidRPr="0049720B" w:rsidRDefault="0037671C" w:rsidP="0037671C">
      <w:pPr>
        <w:pStyle w:val="NormalHanging12a"/>
      </w:pPr>
      <w:r w:rsidRPr="0049720B">
        <w:t>2.</w:t>
      </w:r>
      <w:r w:rsidRPr="0049720B">
        <w:tab/>
        <w:t xml:space="preserve">uzdod priekšsēdētājai šo lēmumu un atbildīgās komitejas ziņojumu nekavējoties nosūtīt Grieķijas Republikas kompetentajām iestādēm un </w:t>
      </w:r>
      <w:r w:rsidRPr="0049720B">
        <w:rPr>
          <w:i/>
          <w:iCs/>
        </w:rPr>
        <w:t>Nikos Pappas</w:t>
      </w:r>
      <w:r w:rsidRPr="0049720B">
        <w:t>.</w:t>
      </w:r>
    </w:p>
    <w:p w14:paraId="31A9B734" w14:textId="2D3BA307" w:rsidR="0035402F" w:rsidRPr="001E7EF6" w:rsidRDefault="0035402F" w:rsidP="001E7EF6">
      <w:pPr>
        <w:pStyle w:val="NormalHanging12a"/>
      </w:pPr>
    </w:p>
    <w:p w14:paraId="2F5F1521" w14:textId="77777777" w:rsidR="001E7EF6" w:rsidRPr="001E7EF6" w:rsidRDefault="001E7EF6" w:rsidP="001E7EF6">
      <w:pPr>
        <w:sectPr w:rsidR="001E7EF6" w:rsidRPr="001E7EF6" w:rsidSect="00CF6D72">
          <w:footnotePr>
            <w:numRestart w:val="eachSect"/>
          </w:footnotePr>
          <w:endnotePr>
            <w:numFmt w:val="decimal"/>
          </w:endnotePr>
          <w:pgSz w:w="11906" w:h="16838"/>
          <w:pgMar w:top="1134" w:right="1418" w:bottom="1418" w:left="1418" w:header="567" w:footer="567" w:gutter="0"/>
          <w:cols w:space="720"/>
          <w:noEndnote/>
          <w:docGrid w:linePitch="326"/>
        </w:sectPr>
      </w:pPr>
    </w:p>
    <w:p w14:paraId="28B4AB9B" w14:textId="44A91122" w:rsidR="001E7EF6" w:rsidRDefault="001E7EF6" w:rsidP="001E7EF6">
      <w:pPr>
        <w:pStyle w:val="PageHeading"/>
      </w:pPr>
      <w:bookmarkStart w:id="2" w:name="ProcPageRR"/>
      <w:bookmarkStart w:id="3" w:name="_Toc228979310"/>
      <w:r>
        <w:lastRenderedPageBreak/>
        <w:t>INFORMĀCIJA PAR PIEŅEMŠANU</w:t>
      </w:r>
      <w:r>
        <w:br/>
        <w:t>ATBILDĪGAJĀ KOMITEJĀ</w:t>
      </w:r>
      <w:bookmarkEnd w:id="3"/>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1E7EF6" w14:paraId="5432D56A" w14:textId="77777777">
        <w:tblPrEx>
          <w:tblCellMar>
            <w:top w:w="0" w:type="dxa"/>
            <w:left w:w="0" w:type="dxa"/>
            <w:bottom w:w="0" w:type="dxa"/>
            <w:right w:w="0" w:type="dxa"/>
          </w:tblCellMar>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62812EE" w14:textId="77777777" w:rsidR="001E7EF6" w:rsidRDefault="001E7EF6">
            <w:pPr>
              <w:autoSpaceDE w:val="0"/>
              <w:autoSpaceDN w:val="0"/>
              <w:adjustRightInd w:val="0"/>
              <w:rPr>
                <w:b/>
                <w:bCs/>
                <w:color w:val="000000"/>
                <w:sz w:val="20"/>
              </w:rPr>
            </w:pPr>
            <w:r>
              <w:rPr>
                <w:b/>
                <w:bCs/>
                <w:color w:val="000000"/>
                <w:sz w:val="20"/>
              </w:rPr>
              <w:t>Pieņemšanas datums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A6B0216" w14:textId="77777777" w:rsidR="001E7EF6" w:rsidRDefault="001E7EF6">
            <w:pPr>
              <w:autoSpaceDE w:val="0"/>
              <w:autoSpaceDN w:val="0"/>
              <w:adjustRightInd w:val="0"/>
              <w:rPr>
                <w:color w:val="000000"/>
                <w:sz w:val="20"/>
              </w:rPr>
            </w:pPr>
            <w:r>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63BE6BA" w14:textId="77777777" w:rsidR="001E7EF6" w:rsidRDefault="001E7EF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30F3427" w14:textId="77777777" w:rsidR="001E7EF6" w:rsidRDefault="001E7EF6">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9509A0D" w14:textId="77777777" w:rsidR="001E7EF6" w:rsidRDefault="001E7EF6">
            <w:pPr>
              <w:autoSpaceDE w:val="0"/>
              <w:autoSpaceDN w:val="0"/>
              <w:adjustRightInd w:val="0"/>
              <w:rPr>
                <w:rFonts w:ascii="sans-serif" w:hAnsi="sans-serif" w:cs="sans-serif"/>
                <w:color w:val="000000"/>
              </w:rPr>
            </w:pPr>
          </w:p>
        </w:tc>
      </w:tr>
      <w:tr w:rsidR="001E7EF6" w14:paraId="6981A510" w14:textId="77777777">
        <w:tblPrEx>
          <w:tblCellMar>
            <w:top w:w="0" w:type="dxa"/>
            <w:left w:w="0" w:type="dxa"/>
            <w:bottom w:w="0" w:type="dxa"/>
            <w:right w:w="0" w:type="dxa"/>
          </w:tblCellMar>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D32248A" w14:textId="77777777" w:rsidR="001E7EF6" w:rsidRDefault="001E7EF6">
            <w:pPr>
              <w:autoSpaceDE w:val="0"/>
              <w:autoSpaceDN w:val="0"/>
              <w:adjustRightInd w:val="0"/>
              <w:rPr>
                <w:b/>
                <w:bCs/>
                <w:color w:val="000000"/>
                <w:sz w:val="20"/>
              </w:rPr>
            </w:pPr>
            <w:r>
              <w:rPr>
                <w:b/>
                <w:bCs/>
                <w:color w:val="000000"/>
                <w:sz w:val="20"/>
              </w:rPr>
              <w:t>Galīgais balsojums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7B0A497" w14:textId="77777777" w:rsidR="001E7EF6" w:rsidRDefault="001E7EF6">
            <w:pPr>
              <w:autoSpaceDE w:val="0"/>
              <w:autoSpaceDN w:val="0"/>
              <w:adjustRightInd w:val="0"/>
              <w:rPr>
                <w:color w:val="000000"/>
                <w:sz w:val="20"/>
              </w:rPr>
            </w:pPr>
            <w:r>
              <w:rPr>
                <w:color w:val="000000"/>
                <w:sz w:val="20"/>
              </w:rPr>
              <w:t>+:</w:t>
            </w:r>
          </w:p>
          <w:p w14:paraId="5EA70241" w14:textId="77777777" w:rsidR="001E7EF6" w:rsidRDefault="001E7EF6">
            <w:pPr>
              <w:autoSpaceDE w:val="0"/>
              <w:autoSpaceDN w:val="0"/>
              <w:adjustRightInd w:val="0"/>
              <w:rPr>
                <w:color w:val="000000"/>
                <w:sz w:val="20"/>
              </w:rPr>
            </w:pPr>
            <w:r>
              <w:rPr>
                <w:color w:val="000000"/>
                <w:sz w:val="20"/>
              </w:rPr>
              <w:t>–:</w:t>
            </w:r>
          </w:p>
          <w:p w14:paraId="480E69CE" w14:textId="77777777" w:rsidR="001E7EF6" w:rsidRDefault="001E7EF6">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BFDD6C7" w14:textId="77777777" w:rsidR="001E7EF6" w:rsidRDefault="001E7EF6">
            <w:pPr>
              <w:autoSpaceDE w:val="0"/>
              <w:autoSpaceDN w:val="0"/>
              <w:adjustRightInd w:val="0"/>
              <w:rPr>
                <w:color w:val="000000"/>
                <w:sz w:val="20"/>
              </w:rPr>
            </w:pPr>
            <w:r>
              <w:rPr>
                <w:color w:val="000000"/>
                <w:sz w:val="20"/>
              </w:rPr>
              <w:t>21</w:t>
            </w:r>
          </w:p>
          <w:p w14:paraId="0425936C" w14:textId="77777777" w:rsidR="001E7EF6" w:rsidRDefault="001E7EF6">
            <w:pPr>
              <w:autoSpaceDE w:val="0"/>
              <w:autoSpaceDN w:val="0"/>
              <w:adjustRightInd w:val="0"/>
              <w:rPr>
                <w:color w:val="000000"/>
                <w:sz w:val="20"/>
              </w:rPr>
            </w:pPr>
            <w:r>
              <w:rPr>
                <w:color w:val="000000"/>
                <w:sz w:val="20"/>
              </w:rPr>
              <w:t>0</w:t>
            </w:r>
          </w:p>
          <w:p w14:paraId="309544EA" w14:textId="77777777" w:rsidR="001E7EF6" w:rsidRDefault="001E7EF6">
            <w:pPr>
              <w:autoSpaceDE w:val="0"/>
              <w:autoSpaceDN w:val="0"/>
              <w:adjustRightInd w:val="0"/>
              <w:rPr>
                <w:color w:val="000000"/>
                <w:sz w:val="20"/>
              </w:rPr>
            </w:pPr>
            <w:r>
              <w:rPr>
                <w:color w:val="000000"/>
                <w:sz w:val="20"/>
              </w:rPr>
              <w:t>0</w:t>
            </w:r>
          </w:p>
        </w:tc>
      </w:tr>
    </w:tbl>
    <w:p w14:paraId="2DA651C5" w14:textId="77777777" w:rsidR="001E7EF6" w:rsidRDefault="001E7EF6"/>
    <w:bookmarkEnd w:id="2"/>
    <w:p w14:paraId="7C948FB8" w14:textId="2FD6207C" w:rsidR="001E7EF6" w:rsidRPr="001E7EF6" w:rsidRDefault="001E7EF6" w:rsidP="001E7EF6"/>
    <w:sectPr w:rsidR="001E7EF6" w:rsidRPr="001E7EF6" w:rsidSect="001E7EF6">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22D59" w14:textId="77777777" w:rsidR="007A3F74" w:rsidRPr="0049720B" w:rsidRDefault="007A3F74">
      <w:r w:rsidRPr="0049720B">
        <w:separator/>
      </w:r>
    </w:p>
  </w:endnote>
  <w:endnote w:type="continuationSeparator" w:id="0">
    <w:p w14:paraId="610AD7B1" w14:textId="77777777" w:rsidR="007A3F74" w:rsidRPr="0049720B" w:rsidRDefault="007A3F74">
      <w:r w:rsidRPr="004972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3F2F6" w14:textId="77777777" w:rsidR="001E7EF6" w:rsidRDefault="001E7EF6" w:rsidP="001E7EF6">
    <w:pPr>
      <w:pStyle w:val="EPFooter"/>
    </w:pPr>
    <w:r>
      <w:t>PE</w:t>
    </w:r>
    <w:r w:rsidRPr="001E7EF6">
      <w:rPr>
        <w:rStyle w:val="HideTWBExt"/>
      </w:rPr>
      <w:t>&lt;NoPE&gt;</w:t>
    </w:r>
    <w:r>
      <w:t>786.974</w:t>
    </w:r>
    <w:r w:rsidRPr="001E7EF6">
      <w:rPr>
        <w:rStyle w:val="HideTWBExt"/>
      </w:rPr>
      <w:t>&lt;/NoPE&gt;&lt;Version&gt;</w:t>
    </w:r>
    <w:r>
      <w:t>v03-00</w:t>
    </w:r>
    <w:r w:rsidRPr="001E7EF6">
      <w:rPr>
        <w:rStyle w:val="HideTWBExt"/>
      </w:rPr>
      <w:t>&lt;/Version&gt;</w:t>
    </w:r>
    <w:r>
      <w:tab/>
    </w:r>
    <w:r>
      <w:fldChar w:fldCharType="begin"/>
    </w:r>
    <w:r>
      <w:instrText xml:space="preserve"> PAGE  \* MERGEFORMAT </w:instrText>
    </w:r>
    <w:r>
      <w:fldChar w:fldCharType="separate"/>
    </w:r>
    <w:r>
      <w:rPr>
        <w:noProof/>
      </w:rPr>
      <w:t>2</w:t>
    </w:r>
    <w:r>
      <w:fldChar w:fldCharType="end"/>
    </w:r>
    <w:r>
      <w:t>/</w:t>
    </w:r>
    <w:fldSimple w:instr=" NUMPAGES  \* MERGEFORMAT ">
      <w:r>
        <w:rPr>
          <w:noProof/>
        </w:rPr>
        <w:t>4</w:t>
      </w:r>
    </w:fldSimple>
    <w:r>
      <w:tab/>
    </w:r>
    <w:r w:rsidRPr="001E7EF6">
      <w:rPr>
        <w:rStyle w:val="HideTWBExt"/>
      </w:rPr>
      <w:t>&lt;PathFdR&gt;</w:t>
    </w:r>
    <w:r>
      <w:t>RR\1343292LV.docx</w:t>
    </w:r>
    <w:r w:rsidRPr="001E7EF6">
      <w:rPr>
        <w:rStyle w:val="HideTWBExt"/>
      </w:rPr>
      <w:t>&lt;/PathFdR&gt;</w:t>
    </w:r>
  </w:p>
  <w:p w14:paraId="658457CE" w14:textId="7131EEF7" w:rsidR="0023430B" w:rsidRPr="0049720B" w:rsidRDefault="001E7EF6" w:rsidP="001E7EF6">
    <w:pPr>
      <w:pStyle w:val="EPFooter2"/>
    </w:pPr>
    <w:r>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4C138" w14:textId="77777777" w:rsidR="001E7EF6" w:rsidRDefault="001E7EF6" w:rsidP="001E7EF6">
    <w:pPr>
      <w:pStyle w:val="EPFooter"/>
    </w:pPr>
    <w:r w:rsidRPr="001E7EF6">
      <w:rPr>
        <w:rStyle w:val="HideTWBExt"/>
      </w:rPr>
      <w:t>&lt;PathFdR&gt;</w:t>
    </w:r>
    <w:r>
      <w:t>RR\1343292LV.docx</w:t>
    </w:r>
    <w:r w:rsidRPr="001E7EF6">
      <w:rPr>
        <w:rStyle w:val="HideTWBExt"/>
      </w:rPr>
      <w:t>&lt;/PathFdR&gt;</w:t>
    </w:r>
    <w:r>
      <w:tab/>
    </w:r>
    <w:r>
      <w:fldChar w:fldCharType="begin"/>
    </w:r>
    <w:r>
      <w:instrText xml:space="preserve"> PAGE  \* MERGEFORMAT </w:instrText>
    </w:r>
    <w:r>
      <w:fldChar w:fldCharType="separate"/>
    </w:r>
    <w:r>
      <w:rPr>
        <w:noProof/>
      </w:rPr>
      <w:t>2</w:t>
    </w:r>
    <w:r>
      <w:fldChar w:fldCharType="end"/>
    </w:r>
    <w:r>
      <w:t>/</w:t>
    </w:r>
    <w:fldSimple w:instr=" NUMPAGES  \* MERGEFORMAT ">
      <w:r>
        <w:rPr>
          <w:noProof/>
        </w:rPr>
        <w:t>4</w:t>
      </w:r>
    </w:fldSimple>
    <w:r>
      <w:tab/>
      <w:t>PE</w:t>
    </w:r>
    <w:r w:rsidRPr="001E7EF6">
      <w:rPr>
        <w:rStyle w:val="HideTWBExt"/>
      </w:rPr>
      <w:t>&lt;NoPE&gt;</w:t>
    </w:r>
    <w:r>
      <w:t>786.974</w:t>
    </w:r>
    <w:r w:rsidRPr="001E7EF6">
      <w:rPr>
        <w:rStyle w:val="HideTWBExt"/>
      </w:rPr>
      <w:t>&lt;/NoPE&gt;&lt;Version&gt;</w:t>
    </w:r>
    <w:r>
      <w:t>v03-00</w:t>
    </w:r>
    <w:r w:rsidRPr="001E7EF6">
      <w:rPr>
        <w:rStyle w:val="HideTWBExt"/>
      </w:rPr>
      <w:t>&lt;/Version&gt;</w:t>
    </w:r>
  </w:p>
  <w:p w14:paraId="2AEFD817" w14:textId="6EC1A4DC" w:rsidR="0023430B" w:rsidRPr="0049720B" w:rsidRDefault="001E7EF6" w:rsidP="001E7EF6">
    <w:pPr>
      <w:pStyle w:val="EPFooter2"/>
    </w:pPr>
    <w:r>
      <w:tab/>
    </w:r>
    <w:r>
      <w:tab/>
      <w:t>LV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A52E6" w14:textId="77777777" w:rsidR="001E7EF6" w:rsidRDefault="001E7EF6" w:rsidP="001E7EF6">
    <w:pPr>
      <w:pStyle w:val="EPFooter"/>
    </w:pPr>
    <w:r w:rsidRPr="001E7EF6">
      <w:rPr>
        <w:rStyle w:val="HideTWBExt"/>
      </w:rPr>
      <w:t>&lt;PathFdR&gt;</w:t>
    </w:r>
    <w:r>
      <w:t>RR\1343292LV.docx</w:t>
    </w:r>
    <w:r w:rsidRPr="001E7EF6">
      <w:rPr>
        <w:rStyle w:val="HideTWBExt"/>
      </w:rPr>
      <w:t>&lt;/PathFdR&gt;</w:t>
    </w:r>
    <w:r>
      <w:tab/>
    </w:r>
    <w:r>
      <w:tab/>
      <w:t>PE</w:t>
    </w:r>
    <w:r w:rsidRPr="001E7EF6">
      <w:rPr>
        <w:rStyle w:val="HideTWBExt"/>
      </w:rPr>
      <w:t>&lt;NoPE&gt;</w:t>
    </w:r>
    <w:r>
      <w:t>786.974</w:t>
    </w:r>
    <w:r w:rsidRPr="001E7EF6">
      <w:rPr>
        <w:rStyle w:val="HideTWBExt"/>
      </w:rPr>
      <w:t>&lt;/NoPE&gt;&lt;Version&gt;</w:t>
    </w:r>
    <w:r>
      <w:t>v03-00</w:t>
    </w:r>
    <w:r w:rsidRPr="001E7EF6">
      <w:rPr>
        <w:rStyle w:val="HideTWBExt"/>
      </w:rPr>
      <w:t>&lt;/Version&gt;</w:t>
    </w:r>
  </w:p>
  <w:p w14:paraId="335F31F2" w14:textId="537F16E1" w:rsidR="0023430B" w:rsidRPr="0049720B" w:rsidRDefault="001E7EF6" w:rsidP="001E7EF6">
    <w:pPr>
      <w:pStyle w:val="EPFooter2"/>
    </w:pPr>
    <w:r>
      <w:t>LV</w:t>
    </w:r>
    <w:r>
      <w:tab/>
    </w:r>
    <w:r w:rsidRPr="001E7EF6">
      <w:rPr>
        <w:b w:val="0"/>
        <w:i/>
        <w:color w:val="C0C0C0"/>
        <w:sz w:val="22"/>
      </w:rPr>
      <w:t>Vienoti daudzveidībā</w:t>
    </w:r>
    <w:r>
      <w:tab/>
      <w:t>LV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F6929" w14:textId="77777777" w:rsidR="007A3F74" w:rsidRPr="0049720B" w:rsidRDefault="007A3F74">
      <w:r w:rsidRPr="0049720B">
        <w:separator/>
      </w:r>
    </w:p>
  </w:footnote>
  <w:footnote w:type="continuationSeparator" w:id="0">
    <w:p w14:paraId="7CCCF422" w14:textId="77777777" w:rsidR="007A3F74" w:rsidRPr="0049720B" w:rsidRDefault="007A3F74">
      <w:r w:rsidRPr="0049720B">
        <w:continuationSeparator/>
      </w:r>
    </w:p>
  </w:footnote>
  <w:footnote w:id="1">
    <w:p w14:paraId="63EA19DC" w14:textId="4F68C1F5" w:rsidR="0037671C" w:rsidRPr="0049720B" w:rsidRDefault="0037671C" w:rsidP="0037671C">
      <w:pPr>
        <w:pStyle w:val="FootnoteText"/>
      </w:pPr>
      <w:r w:rsidRPr="0049720B">
        <w:rPr>
          <w:rStyle w:val="FootnoteReference"/>
        </w:rPr>
        <w:footnoteRef/>
      </w:r>
      <w:r w:rsidRPr="0049720B">
        <w:rPr>
          <w:rStyle w:val="FootnoteReference"/>
        </w:rPr>
        <w:t xml:space="preserve"> </w:t>
      </w:r>
      <w:r w:rsidRPr="0049720B">
        <w:t xml:space="preserve">Tiesas 2008. gada 21. oktobra spriedums, </w:t>
      </w:r>
      <w:r w:rsidRPr="0049720B">
        <w:rPr>
          <w:i/>
          <w:iCs/>
        </w:rPr>
        <w:t>Marra/De Gregorio</w:t>
      </w:r>
      <w:r w:rsidRPr="0049720B">
        <w:t xml:space="preserve"> un </w:t>
      </w:r>
      <w:r w:rsidRPr="0049720B">
        <w:rPr>
          <w:i/>
          <w:iCs/>
        </w:rPr>
        <w:t>Clemente</w:t>
      </w:r>
      <w:r w:rsidRPr="0049720B">
        <w:t xml:space="preserve">, C-200/07 un C-201/07, ECLI:EU:C:2008:579; Vispārējās tiesas 2010. gada 19. marta spriedums, </w:t>
      </w:r>
      <w:r w:rsidRPr="0049720B">
        <w:rPr>
          <w:i/>
          <w:iCs/>
        </w:rPr>
        <w:t>Gollnisch</w:t>
      </w:r>
      <w:r w:rsidRPr="0049720B">
        <w:t xml:space="preserve">/Parlaments, T-42/06, ECLI:EU:T:2010:102; Tiesas 2011. gada 6. septembra spriedums, </w:t>
      </w:r>
      <w:r w:rsidRPr="0049720B">
        <w:rPr>
          <w:i/>
          <w:iCs/>
        </w:rPr>
        <w:t>Patriciello</w:t>
      </w:r>
      <w:r w:rsidRPr="0049720B">
        <w:t xml:space="preserve">, C-163/10, ECLI: EU:C:2011:543; Vispārējās tiesas 2013. gada 17. janvāra spriedums, </w:t>
      </w:r>
      <w:r w:rsidRPr="0049720B">
        <w:rPr>
          <w:i/>
          <w:iCs/>
        </w:rPr>
        <w:t>Gollnisch</w:t>
      </w:r>
      <w:r w:rsidRPr="0049720B">
        <w:t xml:space="preserve">/Parlaments, T-346/11 un T-347/11, ECLI:EU:T:2013:23; Tiesas 2019. gada 19. decembra spriedums, </w:t>
      </w:r>
      <w:r w:rsidRPr="0049720B">
        <w:rPr>
          <w:i/>
          <w:iCs/>
        </w:rPr>
        <w:t>Junqueras Vies</w:t>
      </w:r>
      <w:r w:rsidRPr="0049720B">
        <w:t>, C-502/19, ECLI:EU:C:2019:1115.</w:t>
      </w:r>
    </w:p>
  </w:footnote>
  <w:footnote w:id="2">
    <w:p w14:paraId="26EEF05B" w14:textId="77777777" w:rsidR="0037671C" w:rsidRPr="0049720B" w:rsidRDefault="0037671C" w:rsidP="0037671C">
      <w:pPr>
        <w:pStyle w:val="FootnoteText"/>
      </w:pPr>
      <w:r w:rsidRPr="0049720B">
        <w:rPr>
          <w:rStyle w:val="FootnoteReference"/>
        </w:rPr>
        <w:footnoteRef/>
      </w:r>
      <w:r w:rsidRPr="0049720B">
        <w:rPr>
          <w:rStyle w:val="FootnoteReference"/>
        </w:rPr>
        <w:t xml:space="preserve"> </w:t>
      </w:r>
      <w:r w:rsidRPr="0049720B">
        <w:t xml:space="preserve">Vispārējās tiesas 2019. gada 30. aprīļa spriedums, </w:t>
      </w:r>
      <w:r w:rsidRPr="0049720B">
        <w:rPr>
          <w:i/>
          <w:iCs/>
        </w:rPr>
        <w:t>Briois</w:t>
      </w:r>
      <w:r w:rsidRPr="0049720B">
        <w:t>/Parlaments,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6C978" w14:textId="77777777" w:rsidR="001E7EF6" w:rsidRDefault="001E7E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F3C4C" w14:textId="77777777" w:rsidR="001E7EF6" w:rsidRDefault="001E7E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7B6FA" w14:textId="77777777" w:rsidR="001E7EF6" w:rsidRDefault="001E7E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466049966">
    <w:abstractNumId w:val="9"/>
  </w:num>
  <w:num w:numId="2" w16cid:durableId="500123677">
    <w:abstractNumId w:val="9"/>
  </w:num>
  <w:num w:numId="3" w16cid:durableId="1251350794">
    <w:abstractNumId w:val="7"/>
  </w:num>
  <w:num w:numId="4" w16cid:durableId="538204988">
    <w:abstractNumId w:val="7"/>
  </w:num>
  <w:num w:numId="5" w16cid:durableId="75397706">
    <w:abstractNumId w:val="6"/>
  </w:num>
  <w:num w:numId="6" w16cid:durableId="1763794196">
    <w:abstractNumId w:val="6"/>
  </w:num>
  <w:num w:numId="7" w16cid:durableId="1933928331">
    <w:abstractNumId w:val="5"/>
  </w:num>
  <w:num w:numId="8" w16cid:durableId="1153915050">
    <w:abstractNumId w:val="5"/>
  </w:num>
  <w:num w:numId="9" w16cid:durableId="518348470">
    <w:abstractNumId w:val="4"/>
  </w:num>
  <w:num w:numId="10" w16cid:durableId="916595541">
    <w:abstractNumId w:val="4"/>
  </w:num>
  <w:num w:numId="11" w16cid:durableId="356584343">
    <w:abstractNumId w:val="8"/>
  </w:num>
  <w:num w:numId="12" w16cid:durableId="1006860297">
    <w:abstractNumId w:val="8"/>
  </w:num>
  <w:num w:numId="13" w16cid:durableId="2122459182">
    <w:abstractNumId w:val="3"/>
  </w:num>
  <w:num w:numId="14" w16cid:durableId="995376107">
    <w:abstractNumId w:val="3"/>
  </w:num>
  <w:num w:numId="15" w16cid:durableId="777532011">
    <w:abstractNumId w:val="2"/>
  </w:num>
  <w:num w:numId="16" w16cid:durableId="1760180310">
    <w:abstractNumId w:val="2"/>
  </w:num>
  <w:num w:numId="17" w16cid:durableId="650838489">
    <w:abstractNumId w:val="1"/>
  </w:num>
  <w:num w:numId="18" w16cid:durableId="1290627998">
    <w:abstractNumId w:val="1"/>
  </w:num>
  <w:num w:numId="19" w16cid:durableId="1948807813">
    <w:abstractNumId w:val="0"/>
  </w:num>
  <w:num w:numId="20" w16cid:durableId="668680220">
    <w:abstractNumId w:val="0"/>
  </w:num>
  <w:num w:numId="21" w16cid:durableId="1836257524">
    <w:abstractNumId w:val="9"/>
  </w:num>
  <w:num w:numId="22" w16cid:durableId="1973629948">
    <w:abstractNumId w:val="7"/>
  </w:num>
  <w:num w:numId="23" w16cid:durableId="993527861">
    <w:abstractNumId w:val="6"/>
  </w:num>
  <w:num w:numId="24" w16cid:durableId="1841920576">
    <w:abstractNumId w:val="5"/>
  </w:num>
  <w:num w:numId="25" w16cid:durableId="1499228666">
    <w:abstractNumId w:val="4"/>
  </w:num>
  <w:num w:numId="26" w16cid:durableId="438914760">
    <w:abstractNumId w:val="8"/>
  </w:num>
  <w:num w:numId="27" w16cid:durableId="1546600766">
    <w:abstractNumId w:val="3"/>
  </w:num>
  <w:num w:numId="28" w16cid:durableId="1523980013">
    <w:abstractNumId w:val="2"/>
  </w:num>
  <w:num w:numId="29" w16cid:durableId="729578024">
    <w:abstractNumId w:val="1"/>
  </w:num>
  <w:num w:numId="30" w16cid:durableId="812868156">
    <w:abstractNumId w:val="0"/>
  </w:num>
  <w:num w:numId="31" w16cid:durableId="1722942012">
    <w:abstractNumId w:val="9"/>
  </w:num>
  <w:num w:numId="32" w16cid:durableId="610166904">
    <w:abstractNumId w:val="7"/>
  </w:num>
  <w:num w:numId="33" w16cid:durableId="471598544">
    <w:abstractNumId w:val="6"/>
  </w:num>
  <w:num w:numId="34" w16cid:durableId="703290029">
    <w:abstractNumId w:val="5"/>
  </w:num>
  <w:num w:numId="35" w16cid:durableId="196478196">
    <w:abstractNumId w:val="4"/>
  </w:num>
  <w:num w:numId="36" w16cid:durableId="457837999">
    <w:abstractNumId w:val="8"/>
  </w:num>
  <w:num w:numId="37" w16cid:durableId="1081296137">
    <w:abstractNumId w:val="3"/>
  </w:num>
  <w:num w:numId="38" w16cid:durableId="580678148">
    <w:abstractNumId w:val="2"/>
  </w:num>
  <w:num w:numId="39" w16cid:durableId="30228065">
    <w:abstractNumId w:val="1"/>
  </w:num>
  <w:num w:numId="40" w16cid:durableId="10660312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RTMNU" w:val=" 1"/>
    <w:docVar w:name="DOCDT" w:val="10/04/2026"/>
    <w:docVar w:name="EPPOMNU" w:val=" 1"/>
    <w:docVar w:name="HEARDMNU" w:val=" 1"/>
    <w:docVar w:name="JUDGMNU@" w:val=" 2"/>
    <w:docVar w:name="LastEditedSection" w:val=" 1"/>
    <w:docVar w:name="PLENARYDT" w:val="10/04/2026"/>
    <w:docVar w:name="REQUESTDT" w:val="10/04/2026"/>
    <w:docVar w:name="strDocTypeID" w:val="PR_IMM_Waiver"/>
    <w:docVar w:name="strSubDir" w:val="1343"/>
    <w:docVar w:name="TXTAUTHOR" w:val="Marcin Sypniewski"/>
    <w:docVar w:name="TXTLANGUE" w:val="LV"/>
    <w:docVar w:name="TXTLANGUEMIN" w:val="lv"/>
    <w:docVar w:name="TXTNAME" w:val="Nikos Pappas"/>
    <w:docVar w:name="TXTNRIMM" w:val="2025/2234"/>
    <w:docVar w:name="TXTNRPE" w:val="786.974"/>
    <w:docVar w:name="TXTPEorAP" w:val="PE"/>
    <w:docVar w:name="TXTROUTE" w:val="RR\1343292LV.docx"/>
    <w:docVar w:name="TXTVERSION" w:val="03-00"/>
    <w:docVar w:name="WAIVEMNU" w:val=" 1"/>
  </w:docVars>
  <w:rsids>
    <w:rsidRoot w:val="007A3F74"/>
    <w:rsid w:val="00044B9B"/>
    <w:rsid w:val="00060E63"/>
    <w:rsid w:val="0006105E"/>
    <w:rsid w:val="00080B89"/>
    <w:rsid w:val="000C0CAA"/>
    <w:rsid w:val="000E36C4"/>
    <w:rsid w:val="00114131"/>
    <w:rsid w:val="00142D49"/>
    <w:rsid w:val="00155096"/>
    <w:rsid w:val="001E7EF6"/>
    <w:rsid w:val="001F5613"/>
    <w:rsid w:val="00205304"/>
    <w:rsid w:val="00215FF9"/>
    <w:rsid w:val="0023430B"/>
    <w:rsid w:val="002442B3"/>
    <w:rsid w:val="00250733"/>
    <w:rsid w:val="00273EFB"/>
    <w:rsid w:val="00285706"/>
    <w:rsid w:val="002915E6"/>
    <w:rsid w:val="0029288E"/>
    <w:rsid w:val="00296EB6"/>
    <w:rsid w:val="00326E87"/>
    <w:rsid w:val="0035402F"/>
    <w:rsid w:val="0035595E"/>
    <w:rsid w:val="0037671C"/>
    <w:rsid w:val="00392A3D"/>
    <w:rsid w:val="003B1888"/>
    <w:rsid w:val="003D30B4"/>
    <w:rsid w:val="003E24B5"/>
    <w:rsid w:val="00414AA0"/>
    <w:rsid w:val="00431EC1"/>
    <w:rsid w:val="004433B2"/>
    <w:rsid w:val="0044752A"/>
    <w:rsid w:val="00447F3E"/>
    <w:rsid w:val="004502C8"/>
    <w:rsid w:val="0045635E"/>
    <w:rsid w:val="00493F90"/>
    <w:rsid w:val="0049720B"/>
    <w:rsid w:val="004E7774"/>
    <w:rsid w:val="00503AC2"/>
    <w:rsid w:val="00535A9C"/>
    <w:rsid w:val="00574B83"/>
    <w:rsid w:val="005922F7"/>
    <w:rsid w:val="005B5955"/>
    <w:rsid w:val="00627F06"/>
    <w:rsid w:val="00633DF2"/>
    <w:rsid w:val="00681E33"/>
    <w:rsid w:val="006A1780"/>
    <w:rsid w:val="006C038C"/>
    <w:rsid w:val="00736D0A"/>
    <w:rsid w:val="007470A8"/>
    <w:rsid w:val="00752B65"/>
    <w:rsid w:val="00753DFC"/>
    <w:rsid w:val="007613CD"/>
    <w:rsid w:val="0076428C"/>
    <w:rsid w:val="00771E7F"/>
    <w:rsid w:val="00780317"/>
    <w:rsid w:val="0078039D"/>
    <w:rsid w:val="00785C52"/>
    <w:rsid w:val="00797CAE"/>
    <w:rsid w:val="007A3F74"/>
    <w:rsid w:val="007A7BF5"/>
    <w:rsid w:val="007C040A"/>
    <w:rsid w:val="007D49EE"/>
    <w:rsid w:val="007E434A"/>
    <w:rsid w:val="007F4D6A"/>
    <w:rsid w:val="008376BE"/>
    <w:rsid w:val="008436E0"/>
    <w:rsid w:val="00851E2C"/>
    <w:rsid w:val="00867D72"/>
    <w:rsid w:val="00872381"/>
    <w:rsid w:val="008D1236"/>
    <w:rsid w:val="008D1C36"/>
    <w:rsid w:val="008E3B97"/>
    <w:rsid w:val="008E6FB9"/>
    <w:rsid w:val="008F39C8"/>
    <w:rsid w:val="0091636F"/>
    <w:rsid w:val="009442F2"/>
    <w:rsid w:val="0094666F"/>
    <w:rsid w:val="009915DD"/>
    <w:rsid w:val="009A4162"/>
    <w:rsid w:val="009B47E5"/>
    <w:rsid w:val="009D20F4"/>
    <w:rsid w:val="009D54A6"/>
    <w:rsid w:val="009E7AD9"/>
    <w:rsid w:val="009F5083"/>
    <w:rsid w:val="009F55EA"/>
    <w:rsid w:val="00A33B09"/>
    <w:rsid w:val="00A45926"/>
    <w:rsid w:val="00A63BDB"/>
    <w:rsid w:val="00A87FB0"/>
    <w:rsid w:val="00AA7D88"/>
    <w:rsid w:val="00AB1E20"/>
    <w:rsid w:val="00AB3EA7"/>
    <w:rsid w:val="00B24A96"/>
    <w:rsid w:val="00B37A07"/>
    <w:rsid w:val="00B61BA7"/>
    <w:rsid w:val="00B76A78"/>
    <w:rsid w:val="00B81D30"/>
    <w:rsid w:val="00BD34CF"/>
    <w:rsid w:val="00BE1054"/>
    <w:rsid w:val="00C42BD9"/>
    <w:rsid w:val="00C66DE6"/>
    <w:rsid w:val="00CB158E"/>
    <w:rsid w:val="00CC662F"/>
    <w:rsid w:val="00CD25E0"/>
    <w:rsid w:val="00CE5349"/>
    <w:rsid w:val="00CF16EE"/>
    <w:rsid w:val="00CF6D72"/>
    <w:rsid w:val="00D1021A"/>
    <w:rsid w:val="00D8214F"/>
    <w:rsid w:val="00DA032C"/>
    <w:rsid w:val="00DA67D6"/>
    <w:rsid w:val="00DB1E47"/>
    <w:rsid w:val="00DD480D"/>
    <w:rsid w:val="00DF74F0"/>
    <w:rsid w:val="00E114BC"/>
    <w:rsid w:val="00EC401F"/>
    <w:rsid w:val="00ED1601"/>
    <w:rsid w:val="00F03A29"/>
    <w:rsid w:val="00F05AB2"/>
    <w:rsid w:val="00F452C6"/>
    <w:rsid w:val="00F81900"/>
    <w:rsid w:val="00F857A1"/>
    <w:rsid w:val="00FA4CD8"/>
    <w:rsid w:val="00FB5B0C"/>
    <w:rsid w:val="00FD1F04"/>
    <w:rsid w:val="00FF7E0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3B8C99"/>
  <w15:chartTrackingRefBased/>
  <w15:docId w15:val="{E7429305-94F2-4A62-8EA0-08C07A9A3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4D6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326E8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F74F0"/>
    <w:pPr>
      <w:spacing w:before="80" w:after="80"/>
    </w:pPr>
    <w:rPr>
      <w:rFonts w:ascii="Arial Narrow" w:hAnsi="Arial Narrow" w:cs="Arial"/>
      <w:b/>
      <w:sz w:val="32"/>
      <w:szCs w:val="22"/>
    </w:rPr>
  </w:style>
  <w:style w:type="paragraph" w:customStyle="1" w:styleId="CoverNormal24a">
    <w:name w:val="CoverNormal24a"/>
    <w:basedOn w:val="Normal"/>
    <w:rsid w:val="00060E63"/>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060E63"/>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E7AD9"/>
    <w:pPr>
      <w:tabs>
        <w:tab w:val="center" w:pos="4513"/>
        <w:tab w:val="right" w:pos="9026"/>
      </w:tabs>
    </w:pPr>
  </w:style>
  <w:style w:type="paragraph" w:customStyle="1" w:styleId="Confidential">
    <w:name w:val="Confidential"/>
    <w:basedOn w:val="Normal"/>
    <w:rsid w:val="00142D49"/>
    <w:pPr>
      <w:spacing w:before="120" w:after="120"/>
      <w:jc w:val="center"/>
    </w:pPr>
    <w:rPr>
      <w:rFonts w:ascii="Arial" w:hAnsi="Arial"/>
      <w:caps/>
    </w:rPr>
  </w:style>
  <w:style w:type="table" w:styleId="TableGrid">
    <w:name w:val="Table Grid"/>
    <w:basedOn w:val="TableNormal"/>
    <w:rsid w:val="00215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215FF9"/>
    <w:pPr>
      <w:jc w:val="center"/>
    </w:pPr>
    <w:rPr>
      <w:rFonts w:ascii="Arial" w:hAnsi="Arial" w:cs="Arial"/>
      <w:i/>
      <w:sz w:val="22"/>
      <w:szCs w:val="22"/>
    </w:rPr>
  </w:style>
  <w:style w:type="paragraph" w:customStyle="1" w:styleId="LineTop">
    <w:name w:val="LineTop"/>
    <w:basedOn w:val="Normal"/>
    <w:next w:val="Normal"/>
    <w:rsid w:val="00215FF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613C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F74F0"/>
    <w:pPr>
      <w:spacing w:after="80"/>
    </w:pPr>
    <w:rPr>
      <w:rFonts w:ascii="Arial" w:hAnsi="Arial" w:cs="Arial"/>
      <w:sz w:val="20"/>
      <w:szCs w:val="22"/>
    </w:rPr>
  </w:style>
  <w:style w:type="paragraph" w:customStyle="1" w:styleId="EPLogo">
    <w:name w:val="EPLogo"/>
    <w:basedOn w:val="Normal"/>
    <w:qFormat/>
    <w:rsid w:val="00DF74F0"/>
    <w:pPr>
      <w:jc w:val="right"/>
    </w:pPr>
  </w:style>
  <w:style w:type="paragraph" w:customStyle="1" w:styleId="EPFooter">
    <w:name w:val="EPFooter"/>
    <w:basedOn w:val="Normal"/>
    <w:rsid w:val="00060E63"/>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E7AD9"/>
    <w:rPr>
      <w:sz w:val="24"/>
    </w:rPr>
  </w:style>
  <w:style w:type="paragraph" w:customStyle="1" w:styleId="EPComma">
    <w:name w:val="EPComma"/>
    <w:basedOn w:val="Normal"/>
    <w:rsid w:val="00FD1F04"/>
    <w:pPr>
      <w:spacing w:before="480" w:after="240"/>
    </w:pPr>
  </w:style>
  <w:style w:type="paragraph" w:styleId="FootnoteText">
    <w:name w:val="footnote text"/>
    <w:basedOn w:val="Normal"/>
    <w:link w:val="FootnoteTextChar"/>
    <w:unhideWhenUsed/>
    <w:rsid w:val="007470A8"/>
    <w:rPr>
      <w:sz w:val="20"/>
    </w:rPr>
  </w:style>
  <w:style w:type="character" w:customStyle="1" w:styleId="FootnoteTextChar">
    <w:name w:val="Footnote Text Char"/>
    <w:basedOn w:val="DefaultParagraphFont"/>
    <w:link w:val="FootnoteText"/>
    <w:rsid w:val="007470A8"/>
  </w:style>
  <w:style w:type="character" w:styleId="FootnoteReference">
    <w:name w:val="footnote reference"/>
    <w:basedOn w:val="DefaultParagraphFont"/>
    <w:unhideWhenUsed/>
    <w:rsid w:val="007470A8"/>
    <w:rPr>
      <w:vertAlign w:val="superscript"/>
    </w:rPr>
  </w:style>
  <w:style w:type="paragraph" w:styleId="Footer">
    <w:name w:val="footer"/>
    <w:basedOn w:val="Normal"/>
    <w:link w:val="FooterChar"/>
    <w:semiHidden/>
    <w:rsid w:val="00CD25E0"/>
    <w:pPr>
      <w:tabs>
        <w:tab w:val="center" w:pos="4513"/>
        <w:tab w:val="right" w:pos="9026"/>
      </w:tabs>
    </w:pPr>
  </w:style>
  <w:style w:type="character" w:customStyle="1" w:styleId="FooterChar">
    <w:name w:val="Footer Char"/>
    <w:basedOn w:val="DefaultParagraphFont"/>
    <w:link w:val="Footer"/>
    <w:semiHidden/>
    <w:rsid w:val="00CD25E0"/>
    <w:rPr>
      <w:sz w:val="24"/>
    </w:rPr>
  </w:style>
  <w:style w:type="paragraph" w:styleId="Revision">
    <w:name w:val="Revision"/>
    <w:hidden/>
    <w:uiPriority w:val="99"/>
    <w:semiHidden/>
    <w:rsid w:val="00B61BA7"/>
    <w:rPr>
      <w:sz w:val="24"/>
    </w:rPr>
  </w:style>
  <w:style w:type="character" w:styleId="CommentReference">
    <w:name w:val="annotation reference"/>
    <w:basedOn w:val="DefaultParagraphFont"/>
    <w:rsid w:val="00414AA0"/>
    <w:rPr>
      <w:sz w:val="16"/>
      <w:szCs w:val="16"/>
    </w:rPr>
  </w:style>
  <w:style w:type="paragraph" w:styleId="CommentText">
    <w:name w:val="annotation text"/>
    <w:basedOn w:val="Normal"/>
    <w:link w:val="CommentTextChar"/>
    <w:rsid w:val="00414AA0"/>
    <w:rPr>
      <w:sz w:val="20"/>
    </w:rPr>
  </w:style>
  <w:style w:type="character" w:customStyle="1" w:styleId="CommentTextChar">
    <w:name w:val="Comment Text Char"/>
    <w:basedOn w:val="DefaultParagraphFont"/>
    <w:link w:val="CommentText"/>
    <w:rsid w:val="00414AA0"/>
  </w:style>
  <w:style w:type="paragraph" w:styleId="CommentSubject">
    <w:name w:val="annotation subject"/>
    <w:basedOn w:val="CommentText"/>
    <w:next w:val="CommentText"/>
    <w:link w:val="CommentSubjectChar"/>
    <w:semiHidden/>
    <w:unhideWhenUsed/>
    <w:rsid w:val="00414AA0"/>
    <w:rPr>
      <w:b/>
      <w:bCs/>
    </w:rPr>
  </w:style>
  <w:style w:type="character" w:customStyle="1" w:styleId="CommentSubjectChar">
    <w:name w:val="Comment Subject Char"/>
    <w:basedOn w:val="CommentTextChar"/>
    <w:link w:val="CommentSubject"/>
    <w:semiHidden/>
    <w:rsid w:val="00414AA0"/>
    <w:rPr>
      <w:b/>
      <w:bCs/>
    </w:rPr>
  </w:style>
  <w:style w:type="character" w:styleId="Hyperlink">
    <w:name w:val="Hyperlink"/>
    <w:basedOn w:val="DefaultParagraphFont"/>
    <w:rsid w:val="00414AA0"/>
    <w:rPr>
      <w:color w:val="0563C1" w:themeColor="hyperlink"/>
      <w:u w:val="single"/>
    </w:rPr>
  </w:style>
  <w:style w:type="character" w:styleId="UnresolvedMention">
    <w:name w:val="Unresolved Mention"/>
    <w:basedOn w:val="DefaultParagraphFont"/>
    <w:uiPriority w:val="99"/>
    <w:semiHidden/>
    <w:unhideWhenUsed/>
    <w:rsid w:val="00414AA0"/>
    <w:rPr>
      <w:color w:val="605E5C"/>
      <w:shd w:val="clear" w:color="auto" w:fill="E1DFDD"/>
    </w:rPr>
  </w:style>
  <w:style w:type="character" w:styleId="FollowedHyperlink">
    <w:name w:val="FollowedHyperlink"/>
    <w:basedOn w:val="DefaultParagraphFont"/>
    <w:rsid w:val="00B24A96"/>
    <w:rPr>
      <w:color w:val="954F72" w:themeColor="followedHyperlink"/>
      <w:u w:val="single"/>
    </w:rPr>
  </w:style>
  <w:style w:type="paragraph" w:customStyle="1" w:styleId="CoverReference">
    <w:name w:val="CoverReference"/>
    <w:basedOn w:val="Normal"/>
    <w:rsid w:val="001E7EF6"/>
    <w:pPr>
      <w:spacing w:before="1080"/>
      <w:jc w:val="right"/>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147198">
      <w:bodyDiv w:val="1"/>
      <w:marLeft w:val="0"/>
      <w:marRight w:val="0"/>
      <w:marTop w:val="0"/>
      <w:marBottom w:val="0"/>
      <w:divBdr>
        <w:top w:val="none" w:sz="0" w:space="0" w:color="auto"/>
        <w:left w:val="none" w:sz="0" w:space="0" w:color="auto"/>
        <w:bottom w:val="none" w:sz="0" w:space="0" w:color="auto"/>
        <w:right w:val="none" w:sz="0" w:space="0" w:color="auto"/>
      </w:divBdr>
    </w:div>
    <w:div w:id="481653856">
      <w:bodyDiv w:val="1"/>
      <w:marLeft w:val="0"/>
      <w:marRight w:val="0"/>
      <w:marTop w:val="0"/>
      <w:marBottom w:val="0"/>
      <w:divBdr>
        <w:top w:val="none" w:sz="0" w:space="0" w:color="auto"/>
        <w:left w:val="none" w:sz="0" w:space="0" w:color="auto"/>
        <w:bottom w:val="none" w:sz="0" w:space="0" w:color="auto"/>
        <w:right w:val="none" w:sz="0" w:space="0" w:color="auto"/>
      </w:divBdr>
    </w:div>
    <w:div w:id="1088574406">
      <w:bodyDiv w:val="1"/>
      <w:marLeft w:val="0"/>
      <w:marRight w:val="0"/>
      <w:marTop w:val="0"/>
      <w:marBottom w:val="0"/>
      <w:divBdr>
        <w:top w:val="none" w:sz="0" w:space="0" w:color="auto"/>
        <w:left w:val="none" w:sz="0" w:space="0" w:color="auto"/>
        <w:bottom w:val="none" w:sz="0" w:space="0" w:color="auto"/>
        <w:right w:val="none" w:sz="0" w:space="0" w:color="auto"/>
      </w:divBdr>
    </w:div>
    <w:div w:id="1534423808">
      <w:bodyDiv w:val="1"/>
      <w:marLeft w:val="0"/>
      <w:marRight w:val="0"/>
      <w:marTop w:val="0"/>
      <w:marBottom w:val="0"/>
      <w:divBdr>
        <w:top w:val="none" w:sz="0" w:space="0" w:color="auto"/>
        <w:left w:val="none" w:sz="0" w:space="0" w:color="auto"/>
        <w:bottom w:val="none" w:sz="0" w:space="0" w:color="auto"/>
        <w:right w:val="none" w:sz="0" w:space="0" w:color="auto"/>
      </w:divBdr>
    </w:div>
    <w:div w:id="1713842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642</Words>
  <Characters>3983</Characters>
  <Application>Microsoft Office Word</Application>
  <DocSecurity>0</DocSecurity>
  <Lines>102</Lines>
  <Paragraphs>57</Paragraphs>
  <ScaleCrop>false</ScaleCrop>
  <HeadingPairs>
    <vt:vector size="2" baseType="variant">
      <vt:variant>
        <vt:lpstr>Title</vt:lpstr>
      </vt:variant>
      <vt:variant>
        <vt:i4>1</vt:i4>
      </vt:variant>
    </vt:vector>
  </HeadingPairs>
  <TitlesOfParts>
    <vt:vector size="1" baseType="lpstr">
      <vt:lpstr>PR_IMM_Waiver</vt:lpstr>
    </vt:vector>
  </TitlesOfParts>
  <Company/>
  <LinksUpToDate>false</LinksUpToDate>
  <CharactersWithSpaces>4568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PR_IMM_Waiver</dc:title>
  <dc:subject/>
  <dc:creator>ZAHARIE Ana Maria</dc:creator>
  <cp:keywords/>
  <dc:description/>
  <cp:lastModifiedBy>PURINS Maris</cp:lastModifiedBy>
  <cp:revision>2</cp:revision>
  <cp:lastPrinted>2026-04-14T09:48:00Z</cp:lastPrinted>
  <dcterms:created xsi:type="dcterms:W3CDTF">2026-05-06T15:01:00Z</dcterms:created>
  <dcterms:modified xsi:type="dcterms:W3CDTF">2026-05-06T15:01:00Z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Created with">
    <vt:lpwstr>10.2.1 Build [20260301]</vt:lpwstr>
  </property>
  <property fmtid="{D5CDD505-2E9C-101B-9397-08002B2CF9AE}" pid="4" name="LastEdited with">
    <vt:lpwstr>10.3.0 Build [20260401]</vt:lpwstr>
  </property>
  <property fmtid="{D5CDD505-2E9C-101B-9397-08002B2CF9AE}" pid="5" name="&lt;FdR&gt;">
    <vt:lpwstr>1343292</vt:lpwstr>
  </property>
  <property fmtid="{D5CDD505-2E9C-101B-9397-08002B2CF9AE}" pid="6" name="&lt;Type&gt;">
    <vt:lpwstr>RR</vt:lpwstr>
  </property>
  <property fmtid="{D5CDD505-2E9C-101B-9397-08002B2CF9AE}" pid="7" name="&lt;ModelCod&gt;">
    <vt:lpwstr>\\eiciLUXpr1\pdocep$\DocEP\DOCS\General\PR\PR_NonLeg\IMM\PR_IMM_Waiver.dotx(26/05/2023 17:52:03)</vt:lpwstr>
  </property>
  <property fmtid="{D5CDD505-2E9C-101B-9397-08002B2CF9AE}" pid="8" name="&lt;ModelTra&gt;">
    <vt:lpwstr>\\eiciLUXpr1\pdocep$\DocEP\TRANSFIL\EN\PR_IMM_Waiver.EN(05/08/2025 16:25:00)</vt:lpwstr>
  </property>
  <property fmtid="{D5CDD505-2E9C-101B-9397-08002B2CF9AE}" pid="9" name="&lt;Model&gt;">
    <vt:lpwstr>PR_IMM_Waiver</vt:lpwstr>
  </property>
  <property fmtid="{D5CDD505-2E9C-101B-9397-08002B2CF9AE}" pid="10" name="FooterPath">
    <vt:lpwstr>RR\1343292LV.docx</vt:lpwstr>
  </property>
  <property fmtid="{D5CDD505-2E9C-101B-9397-08002B2CF9AE}" pid="11" name="PE number">
    <vt:lpwstr>786.974</vt:lpwstr>
  </property>
  <property fmtid="{D5CDD505-2E9C-101B-9397-08002B2CF9AE}" pid="12" name="RegistreCheck">
    <vt:lpwstr>OK</vt:lpwstr>
  </property>
  <property fmtid="{D5CDD505-2E9C-101B-9397-08002B2CF9AE}" pid="13" name="SendToEpades">
    <vt:lpwstr>OK - 2026/04/27 15:47</vt:lpwstr>
  </property>
  <property fmtid="{D5CDD505-2E9C-101B-9397-08002B2CF9AE}" pid="14" name="Bookout">
    <vt:lpwstr>OK - 2026/05/06 17:01</vt:lpwstr>
  </property>
  <property fmtid="{D5CDD505-2E9C-101B-9397-08002B2CF9AE}" pid="15" name="OriLang">
    <vt:lpwstr>EN</vt:lpwstr>
  </property>
  <property fmtid="{D5CDD505-2E9C-101B-9397-08002B2CF9AE}" pid="16" name="SDLStudio">
    <vt:lpwstr/>
  </property>
</Properties>
</file>