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AD0639" w:rsidRPr="002B05C7" w14:paraId="1A242D82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4EFAFDF" w14:textId="77777777" w:rsidR="00CF16EE" w:rsidRPr="002B05C7" w:rsidRDefault="0062648B" w:rsidP="00C85D0F">
            <w:pPr>
              <w:pStyle w:val="EPName"/>
            </w:pPr>
            <w:r w:rsidRPr="002B05C7">
              <w:t>Parlament Ewropew</w:t>
            </w:r>
          </w:p>
          <w:p w14:paraId="1A3AB802" w14:textId="77777777" w:rsidR="00CF16EE" w:rsidRPr="002B05C7" w:rsidRDefault="0062648B" w:rsidP="00C85D0F">
            <w:pPr>
              <w:pStyle w:val="EPTerm"/>
            </w:pPr>
            <w:r w:rsidRPr="002B05C7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9B1EED4" w14:textId="77777777" w:rsidR="00CF16EE" w:rsidRPr="002B05C7" w:rsidRDefault="0062648B" w:rsidP="00C85D0F">
            <w:pPr>
              <w:pStyle w:val="EPLogo"/>
            </w:pPr>
            <w:r w:rsidRPr="002B05C7">
              <w:rPr>
                <w:noProof/>
              </w:rPr>
              <w:drawing>
                <wp:inline distT="0" distB="0" distL="0" distR="0" wp14:anchorId="5A0788B7" wp14:editId="6E14CB7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F29CAE" w14:textId="77777777" w:rsidR="00215FF9" w:rsidRPr="002B05C7" w:rsidRDefault="00215FF9" w:rsidP="00215FF9">
      <w:pPr>
        <w:pStyle w:val="LineTop"/>
      </w:pPr>
    </w:p>
    <w:p w14:paraId="0E71B1DB" w14:textId="77777777" w:rsidR="00215FF9" w:rsidRPr="002B05C7" w:rsidRDefault="0062648B" w:rsidP="00215FF9">
      <w:pPr>
        <w:pStyle w:val="EPBody"/>
      </w:pPr>
      <w:r w:rsidRPr="002B05C7">
        <w:t>Dokument ta’ sessjoni</w:t>
      </w:r>
    </w:p>
    <w:p w14:paraId="3AC0CEBD" w14:textId="77777777" w:rsidR="00215FF9" w:rsidRPr="002B05C7" w:rsidRDefault="00215FF9" w:rsidP="00215FF9">
      <w:pPr>
        <w:pStyle w:val="LineBottom"/>
      </w:pPr>
    </w:p>
    <w:p w14:paraId="11C7FAA3" w14:textId="77777777" w:rsidR="005922F7" w:rsidRPr="002B05C7" w:rsidRDefault="0062648B" w:rsidP="001D549A">
      <w:pPr>
        <w:pStyle w:val="CoverReference"/>
      </w:pPr>
      <w:r w:rsidRPr="002B05C7">
        <w:rPr>
          <w:rStyle w:val="HideTWBExt"/>
        </w:rPr>
        <w:t>&lt;NoDocSe&gt;</w:t>
      </w:r>
      <w:r w:rsidRPr="002B05C7">
        <w:t>A10-0128/2026</w:t>
      </w:r>
      <w:r w:rsidRPr="002B05C7">
        <w:rPr>
          <w:rStyle w:val="HideTWBExt"/>
        </w:rPr>
        <w:t>&lt;/NoDocSe&gt;</w:t>
      </w:r>
    </w:p>
    <w:p w14:paraId="3FE6E7C0" w14:textId="77777777" w:rsidR="005922F7" w:rsidRPr="002B05C7" w:rsidRDefault="0062648B" w:rsidP="005922F7">
      <w:pPr>
        <w:pStyle w:val="CoverDate"/>
      </w:pPr>
      <w:r w:rsidRPr="002B05C7">
        <w:rPr>
          <w:rStyle w:val="HideTWBExt"/>
        </w:rPr>
        <w:t>&lt;Date&gt;</w:t>
      </w:r>
      <w:r w:rsidRPr="002B05C7">
        <w:rPr>
          <w:rStyle w:val="HideTWBInt"/>
          <w:color w:val="auto"/>
        </w:rPr>
        <w:t>{06/05/2026}</w:t>
      </w:r>
      <w:r w:rsidRPr="002B05C7">
        <w:t>6.5.2026</w:t>
      </w:r>
      <w:r w:rsidRPr="002B05C7">
        <w:rPr>
          <w:rStyle w:val="HideTWBExt"/>
        </w:rPr>
        <w:t>&lt;/Date&gt;</w:t>
      </w:r>
    </w:p>
    <w:p w14:paraId="185594DB" w14:textId="77777777" w:rsidR="00142D49" w:rsidRPr="002B05C7" w:rsidRDefault="0062648B">
      <w:pPr>
        <w:pStyle w:val="CoverDocType24a"/>
      </w:pPr>
      <w:r w:rsidRPr="002B05C7">
        <w:rPr>
          <w:rStyle w:val="HideTWBExt"/>
          <w:b w:val="0"/>
        </w:rPr>
        <w:t>&lt;TitreType&gt;</w:t>
      </w:r>
      <w:r w:rsidRPr="002B05C7">
        <w:t>RAPPORT</w:t>
      </w:r>
      <w:r w:rsidRPr="002B05C7">
        <w:rPr>
          <w:rStyle w:val="HideTWBExt"/>
          <w:b w:val="0"/>
        </w:rPr>
        <w:t>&lt;/TitreType&gt;</w:t>
      </w:r>
    </w:p>
    <w:p w14:paraId="263C62D0" w14:textId="77777777" w:rsidR="00142D49" w:rsidRPr="002B05C7" w:rsidRDefault="0062648B">
      <w:pPr>
        <w:pStyle w:val="CoverNormal"/>
      </w:pPr>
      <w:r w:rsidRPr="002B05C7">
        <w:rPr>
          <w:rStyle w:val="HideTWBExt"/>
        </w:rPr>
        <w:t>&lt;Titre&gt;</w:t>
      </w:r>
      <w:r w:rsidRPr="002B05C7">
        <w:t>dwar it-talba għat-tneħħija tal-immunità ta’ Nikos Pappas</w:t>
      </w:r>
      <w:r w:rsidRPr="002B05C7">
        <w:rPr>
          <w:rStyle w:val="HideTWBExt"/>
        </w:rPr>
        <w:t>&lt;/Titre&gt;</w:t>
      </w:r>
    </w:p>
    <w:p w14:paraId="75A78373" w14:textId="77777777" w:rsidR="00142D49" w:rsidRPr="002B05C7" w:rsidRDefault="0062648B">
      <w:pPr>
        <w:pStyle w:val="CoverNormal24a"/>
      </w:pPr>
      <w:r w:rsidRPr="002B05C7">
        <w:rPr>
          <w:rStyle w:val="HideTWBExt"/>
        </w:rPr>
        <w:t>&lt;DocRef&gt;</w:t>
      </w:r>
      <w:r w:rsidRPr="002B05C7">
        <w:t>(2025/2234(IMM))</w:t>
      </w:r>
      <w:r w:rsidRPr="002B05C7">
        <w:rPr>
          <w:rStyle w:val="HideTWBExt"/>
        </w:rPr>
        <w:t>&lt;/DocRef&gt;</w:t>
      </w:r>
    </w:p>
    <w:p w14:paraId="366AD454" w14:textId="77777777" w:rsidR="00142D49" w:rsidRPr="002B05C7" w:rsidRDefault="0062648B">
      <w:pPr>
        <w:pStyle w:val="CoverNormal24a"/>
      </w:pPr>
      <w:r w:rsidRPr="002B05C7">
        <w:rPr>
          <w:rStyle w:val="HideTWBExt"/>
        </w:rPr>
        <w:t>&lt;Commission&gt;</w:t>
      </w:r>
      <w:r w:rsidRPr="002B05C7">
        <w:rPr>
          <w:rStyle w:val="HideTWBInt"/>
          <w:color w:val="auto"/>
        </w:rPr>
        <w:t>{JURI}</w:t>
      </w:r>
      <w:r w:rsidRPr="002B05C7">
        <w:t>Kumitat għall-Affarijiet Legali</w:t>
      </w:r>
      <w:r w:rsidRPr="002B05C7">
        <w:rPr>
          <w:rStyle w:val="HideTWBExt"/>
        </w:rPr>
        <w:t>&lt;/Commission&gt;</w:t>
      </w:r>
    </w:p>
    <w:p w14:paraId="3B60769A" w14:textId="77777777" w:rsidR="00142D49" w:rsidRPr="002B05C7" w:rsidRDefault="0062648B">
      <w:pPr>
        <w:pStyle w:val="CoverNormal24a"/>
      </w:pPr>
      <w:r w:rsidRPr="002B05C7">
        <w:t xml:space="preserve">Rapporteur: </w:t>
      </w:r>
      <w:r w:rsidRPr="002B05C7">
        <w:rPr>
          <w:rStyle w:val="HideTWBExt"/>
        </w:rPr>
        <w:t>&lt;Depute&gt;</w:t>
      </w:r>
      <w:r w:rsidRPr="002B05C7">
        <w:t>Marcin Sypniewski</w:t>
      </w:r>
      <w:r w:rsidRPr="002B05C7">
        <w:rPr>
          <w:rStyle w:val="HideTWBExt"/>
        </w:rPr>
        <w:t>&lt;/Depute&gt;</w:t>
      </w:r>
    </w:p>
    <w:p w14:paraId="7EB2D4D9" w14:textId="77777777" w:rsidR="00142D49" w:rsidRPr="002B05C7" w:rsidRDefault="0062648B" w:rsidP="00DF74F0">
      <w:pPr>
        <w:widowControl/>
        <w:tabs>
          <w:tab w:val="center" w:pos="4677"/>
        </w:tabs>
      </w:pPr>
      <w:r w:rsidRPr="002B05C7">
        <w:br w:type="page"/>
      </w:r>
      <w:r w:rsidRPr="002B05C7">
        <w:lastRenderedPageBreak/>
        <w:t>PR_IMM_Waiver</w:t>
      </w:r>
    </w:p>
    <w:p w14:paraId="2D9C800B" w14:textId="77777777" w:rsidR="00142D49" w:rsidRPr="002B05C7" w:rsidRDefault="0062648B">
      <w:pPr>
        <w:pStyle w:val="TOCHeading"/>
      </w:pPr>
      <w:r w:rsidRPr="002B05C7">
        <w:t>WERREJ</w:t>
      </w:r>
    </w:p>
    <w:p w14:paraId="67E8FF89" w14:textId="77777777" w:rsidR="00142D49" w:rsidRPr="002B05C7" w:rsidRDefault="0062648B">
      <w:pPr>
        <w:pStyle w:val="TOCPage"/>
      </w:pPr>
      <w:r w:rsidRPr="002B05C7">
        <w:t>Paġna</w:t>
      </w:r>
    </w:p>
    <w:p w14:paraId="778F8F2C" w14:textId="7AE330E8" w:rsidR="0062648B" w:rsidRDefault="0062648B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2B05C7">
        <w:fldChar w:fldCharType="begin"/>
      </w:r>
      <w:r w:rsidRPr="002B05C7">
        <w:instrText xml:space="preserve"> TOC \t "PageHeading</w:instrText>
      </w:r>
      <w:r w:rsidR="00211AA7" w:rsidRPr="002B05C7">
        <w:instrText>;</w:instrText>
      </w:r>
      <w:r w:rsidRPr="002B05C7">
        <w:instrText xml:space="preserve">1" </w:instrText>
      </w:r>
      <w:r w:rsidRPr="002B05C7">
        <w:fldChar w:fldCharType="separate"/>
      </w:r>
      <w:r>
        <w:rPr>
          <w:noProof/>
        </w:rPr>
        <w:t>PROPOSTA GĦAL DEĊIŻJONI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_Toc229556171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59748CD5" w14:textId="18BB924C" w:rsidR="0062648B" w:rsidRDefault="0062648B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INFORMAZZJONI DWAR L-ADOZZJONI MILL-KUMITAT RESPONSABBLI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_Toc229556172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3DCA2A0B" w14:textId="674BBF56" w:rsidR="0006105E" w:rsidRPr="002B05C7" w:rsidRDefault="0062648B" w:rsidP="00273EFB">
      <w:r w:rsidRPr="002B05C7">
        <w:fldChar w:fldCharType="end"/>
      </w:r>
    </w:p>
    <w:p w14:paraId="0FBBC8CF" w14:textId="77777777" w:rsidR="00142D49" w:rsidRPr="002B05C7" w:rsidRDefault="0062648B">
      <w:pPr>
        <w:pStyle w:val="PageHeading"/>
      </w:pPr>
      <w:r w:rsidRPr="002B05C7">
        <w:br w:type="page"/>
      </w:r>
      <w:bookmarkStart w:id="0" w:name="_Toc229556171"/>
      <w:r w:rsidRPr="002B05C7">
        <w:lastRenderedPageBreak/>
        <w:t>PROPOSTA GĦAL DEĊIŻJONI TAL-PARLAMENT EWROPEW</w:t>
      </w:r>
      <w:bookmarkEnd w:id="0"/>
    </w:p>
    <w:p w14:paraId="32135463" w14:textId="77777777" w:rsidR="00142D49" w:rsidRPr="002B05C7" w:rsidRDefault="0062648B">
      <w:pPr>
        <w:pStyle w:val="NormalBold"/>
      </w:pPr>
      <w:r w:rsidRPr="002B05C7">
        <w:t>dwar it-talba għat-tneħħija tal-immunità ta’ Nikos Pappas</w:t>
      </w:r>
    </w:p>
    <w:p w14:paraId="2A9933BB" w14:textId="77777777" w:rsidR="00142D49" w:rsidRPr="002B05C7" w:rsidRDefault="0062648B" w:rsidP="00FD1F04">
      <w:pPr>
        <w:pStyle w:val="NormalBold"/>
      </w:pPr>
      <w:r w:rsidRPr="002B05C7">
        <w:t>(2025/2234 (IMM))</w:t>
      </w:r>
    </w:p>
    <w:p w14:paraId="526257A3" w14:textId="77777777" w:rsidR="00142D49" w:rsidRPr="002B05C7" w:rsidRDefault="0062648B" w:rsidP="00FD1F04">
      <w:pPr>
        <w:pStyle w:val="EPComma"/>
      </w:pPr>
      <w:r w:rsidRPr="002B05C7">
        <w:rPr>
          <w:i/>
          <w:iCs/>
        </w:rPr>
        <w:t>Il-Parlament Ewropew</w:t>
      </w:r>
      <w:r w:rsidRPr="002B05C7">
        <w:t>,</w:t>
      </w:r>
    </w:p>
    <w:p w14:paraId="21C8E5BA" w14:textId="77777777" w:rsidR="0037671C" w:rsidRPr="002B05C7" w:rsidRDefault="0062648B" w:rsidP="0037671C">
      <w:pPr>
        <w:pStyle w:val="NormalHanging12a"/>
      </w:pPr>
      <w:r w:rsidRPr="002B05C7">
        <w:t>–</w:t>
      </w:r>
      <w:r w:rsidRPr="002B05C7">
        <w:tab/>
        <w:t>wara li kkunsidra t-talba għat-tneħħija tal-immunità ta’ Nikos Pappas, li waslet permezz ta’ ittra bid-data tas-7 ta’ Ottubru 2025 mill-Viċi Prosekutur Ġenerali tal-Qorti Suprema tal-Greċja, u li tittrażmetti talba ppreżentata mill-Prosekutur fil-Qorti tal-Ewwel Istanza ta’ Ateni b’rabta mal-proċedimenti kriminali li se jinbdew kontrih, u li kienu mħabbra fil-plenarja fit-12 ta’ Novembru 2025,</w:t>
      </w:r>
    </w:p>
    <w:p w14:paraId="3321DE6C" w14:textId="77777777" w:rsidR="0037671C" w:rsidRPr="002B05C7" w:rsidRDefault="0062648B" w:rsidP="0037671C">
      <w:pPr>
        <w:pStyle w:val="NormalHanging12a"/>
      </w:pPr>
      <w:r w:rsidRPr="002B05C7">
        <w:t>–</w:t>
      </w:r>
      <w:r w:rsidRPr="002B05C7">
        <w:tab/>
        <w:t xml:space="preserve">wara li sema’ lil Nikos Pappas fil-15 ta’ April 2026, skont l-Artikolu 9(6) tar-Regoli ta’ Proċedura tiegħu, </w:t>
      </w:r>
    </w:p>
    <w:p w14:paraId="355EA482" w14:textId="77777777" w:rsidR="0037671C" w:rsidRPr="002B05C7" w:rsidRDefault="0062648B" w:rsidP="0037671C">
      <w:pPr>
        <w:pStyle w:val="NormalHanging12a"/>
      </w:pPr>
      <w:r w:rsidRPr="002B05C7">
        <w:t>–</w:t>
      </w:r>
      <w:r w:rsidRPr="002B05C7">
        <w:tab/>
        <w:t>wara li kkunsidra l-Artikoli 8 u 9 tal-Protokoll Nru 7 dwar il-Privileġġi u l-Immunitajiet tal-Unjoni Ewropea kif ukoll l-Artikolu 6(2) tal-Att tal-20 ta’ Settembru 1976 dwar l-elezzjoni tal-Membri tal-Parlament Ewropew b’vot dirett universali,</w:t>
      </w:r>
    </w:p>
    <w:p w14:paraId="0AD9EFD0" w14:textId="77777777" w:rsidR="0037671C" w:rsidRPr="002B05C7" w:rsidRDefault="0062648B" w:rsidP="0037671C">
      <w:pPr>
        <w:pStyle w:val="NormalHanging12a"/>
      </w:pPr>
      <w:r w:rsidRPr="002B05C7">
        <w:t>–</w:t>
      </w:r>
      <w:r w:rsidRPr="002B05C7">
        <w:tab/>
        <w:t>wara li kkunsidra s-sentenzi mogħtija mill-Qorti tal-Ġustizzja tal-Unjoni Ewropea fil-21 ta’ Ottubru 2008, fid-19 ta’ Marzu 2010, fis-6 ta’ Settembru 2011, fis-17 ta’ Jannar 2013 u fid-19 ta’ Diċembru 2019</w:t>
      </w:r>
      <w:r w:rsidRPr="002B05C7">
        <w:rPr>
          <w:vertAlign w:val="superscript"/>
        </w:rPr>
        <w:footnoteReference w:id="1"/>
      </w:r>
      <w:r w:rsidRPr="002B05C7">
        <w:t>,</w:t>
      </w:r>
    </w:p>
    <w:p w14:paraId="65D1B735" w14:textId="77777777" w:rsidR="0037671C" w:rsidRPr="002B05C7" w:rsidRDefault="0062648B" w:rsidP="0037671C">
      <w:pPr>
        <w:pStyle w:val="NormalHanging12a"/>
      </w:pPr>
      <w:r w:rsidRPr="002B05C7">
        <w:t>–</w:t>
      </w:r>
      <w:r w:rsidRPr="002B05C7">
        <w:tab/>
        <w:t>wara li kkunsidra l-Artikolu 5(2), l-Artikolu 6(1) u l-Artikolu 9 tar-Regoli ta’ Proċedura tiegħu,</w:t>
      </w:r>
    </w:p>
    <w:p w14:paraId="396E5262" w14:textId="77777777" w:rsidR="0037671C" w:rsidRPr="002B05C7" w:rsidRDefault="0062648B" w:rsidP="0037671C">
      <w:pPr>
        <w:pStyle w:val="NormalHanging12a"/>
      </w:pPr>
      <w:r w:rsidRPr="002B05C7">
        <w:t>–</w:t>
      </w:r>
      <w:r w:rsidRPr="002B05C7">
        <w:tab/>
        <w:t>wara li kkunsidra r-rapport tal-Kumitat għall-Affarijiet Legali (A10-0128/2026),</w:t>
      </w:r>
    </w:p>
    <w:p w14:paraId="585B432E" w14:textId="77777777" w:rsidR="0037671C" w:rsidRPr="002B05C7" w:rsidRDefault="0062648B" w:rsidP="0037671C">
      <w:pPr>
        <w:pStyle w:val="NormalHanging12a"/>
        <w:rPr>
          <w:bCs/>
          <w:iCs/>
        </w:rPr>
      </w:pPr>
      <w:r w:rsidRPr="002B05C7">
        <w:t>A.</w:t>
      </w:r>
      <w:r w:rsidRPr="002B05C7">
        <w:tab/>
        <w:t>billi l-Viċi Prosekutur Ġenerali tal-Qorti Suprema tal-Greċja bagħat talba mill-Prosekutur tal-Qorti tal-Ewwel Istanza ta’ Ateni għat-tneħħija tal-immunità ta’ Nikos Pappas, Membru tal-Parlament Ewropew elett fil-Greċja, b’rabta ma’ allegati insulti online u theddid, li jikkostitwixxu reati kriminali skont l-Artikolu 94, l-ewwel u t-tieni sentenza tal-Artikolu 361(1), u l-ewwel sentenza tal-Artikolu 333(1) tal-Kodiċi Kriminali Grieg;</w:t>
      </w:r>
    </w:p>
    <w:p w14:paraId="402D23C9" w14:textId="77777777" w:rsidR="0037671C" w:rsidRPr="002B05C7" w:rsidRDefault="0062648B" w:rsidP="0037671C">
      <w:pPr>
        <w:pStyle w:val="NormalHanging12a"/>
      </w:pPr>
      <w:r w:rsidRPr="002B05C7">
        <w:t>B.</w:t>
      </w:r>
      <w:r w:rsidRPr="002B05C7">
        <w:tab/>
      </w:r>
      <w:bookmarkStart w:id="1" w:name="_Hlk226714510"/>
      <w:r w:rsidRPr="002B05C7">
        <w:t>billi, skont it-talba, l-ilment jindika li fil-11 ta’ Ġunju 2025, Nikos Pappas allegatament insulta u hedded lill-ilmentatur permezz ta’ messaġġi diretti mibgħuta permezz tal-kont personali tiegħu fuq Instagram;</w:t>
      </w:r>
      <w:bookmarkEnd w:id="1"/>
    </w:p>
    <w:p w14:paraId="1EC2BB53" w14:textId="77777777" w:rsidR="0037671C" w:rsidRPr="002B05C7" w:rsidRDefault="0062648B" w:rsidP="0037671C">
      <w:pPr>
        <w:pStyle w:val="NormalHanging12a"/>
      </w:pPr>
      <w:r w:rsidRPr="002B05C7">
        <w:t>C.</w:t>
      </w:r>
      <w:r w:rsidRPr="002B05C7">
        <w:tab/>
        <w:t>billi Nikos Pappas ġie elett fil-Parlament Ewropew fl-elezzjonijiet Ewropej ta’ Ġunju 2024, u kien Membru tal-Parlament Ewropew meta saru l-allegati reati; billi, skont it-talba, l-ilment kontrih imur lura għas-16 ta’ Lulju 2025;</w:t>
      </w:r>
    </w:p>
    <w:p w14:paraId="2F9928CF" w14:textId="77777777" w:rsidR="0037671C" w:rsidRPr="002B05C7" w:rsidRDefault="0062648B" w:rsidP="0037671C">
      <w:pPr>
        <w:pStyle w:val="NormalHanging12a"/>
      </w:pPr>
      <w:r w:rsidRPr="002B05C7">
        <w:lastRenderedPageBreak/>
        <w:t>D.</w:t>
      </w:r>
      <w:r w:rsidRPr="002B05C7">
        <w:tab/>
        <w:t>billi l-allegat reat ma jikkostitwix opinjoni espressa jew vot mitfugħ minnu fil-qadi ta’ dmirijietu skont it-tifsira tal-Artikolu 8 tal-Protokoll Nru 7 dwar il-Privileġġi u l-Immunitajiet tal-Unjoni Ewropea, u t-talba sussegwenti għat-tneħħija tal-immunità ta’ Nikos Pappas mhijiex relatata ma’ dawn;</w:t>
      </w:r>
    </w:p>
    <w:p w14:paraId="21BF55E2" w14:textId="77777777" w:rsidR="0037671C" w:rsidRPr="002B05C7" w:rsidRDefault="0062648B" w:rsidP="0037671C">
      <w:pPr>
        <w:pStyle w:val="NormalHanging12a"/>
      </w:pPr>
      <w:r w:rsidRPr="002B05C7">
        <w:t>E.</w:t>
      </w:r>
      <w:r w:rsidRPr="002B05C7">
        <w:tab/>
        <w:t>billi l-Artikolu 9, l-ewwel paragrafu, il-punt (a), tal-Protokoll Nru 7 dwar il-Privileġġi u l-Immunitajiet tal-Unjoni Ewropea jipprevedi li, waqt is-sessjonijiet tal-Parlament Ewropew, il-Membri tal-Parlament Ewropew għandhom igawdu, fit-territorju tal-Istat tagħhom stess, l-immunitajiet mogħtija lil membri tal-parlament tagħhom;</w:t>
      </w:r>
    </w:p>
    <w:p w14:paraId="444E79EC" w14:textId="77777777" w:rsidR="0037671C" w:rsidRPr="002B05C7" w:rsidRDefault="0062648B" w:rsidP="0037671C">
      <w:pPr>
        <w:pStyle w:val="NormalHanging12a"/>
      </w:pPr>
      <w:r w:rsidRPr="002B05C7">
        <w:t>F.</w:t>
      </w:r>
      <w:r w:rsidRPr="002B05C7">
        <w:tab/>
        <w:t>billi, skont l-Artikolu 62 tal-Kostituzzjoni tar-Repubblika Ellenika, l-ebda Membru Parlamentari ma jista’, matul il-mandat tiegħu, jiġi mħarrek, arrestat, inkarċerat jew soġġett għal miżuri oħra li jinvolvu ċ-ċaħda tal-libertà mingħajr l-awtorizzazzjoni tal-Kamra tad-Deputati;</w:t>
      </w:r>
    </w:p>
    <w:p w14:paraId="11A81CC4" w14:textId="77777777" w:rsidR="0037671C" w:rsidRPr="002B05C7" w:rsidRDefault="0062648B" w:rsidP="0037671C">
      <w:pPr>
        <w:pStyle w:val="NormalHanging12a"/>
      </w:pPr>
      <w:r w:rsidRPr="002B05C7">
        <w:t>G.</w:t>
      </w:r>
      <w:r w:rsidRPr="002B05C7">
        <w:tab/>
        <w:t>billi l-għan tal-immunità prevista fil-Protokoll Nru 7 dwar il-Privileġġi u l-Immunitajiet tal-Unjoni Ewropea huwa li tipproteġi lill-Parlament u lill-Membri tiegħu minn proċedimenti legali fir-rigward ta’ attivitajiet imwettqa fil-qadi tad-dmirijiet parlamentari u li ma jistgħux jiġu separati minn dawk id-dmirijiet;</w:t>
      </w:r>
    </w:p>
    <w:p w14:paraId="7964505C" w14:textId="77777777" w:rsidR="0037671C" w:rsidRPr="002B05C7" w:rsidRDefault="0062648B" w:rsidP="0037671C">
      <w:pPr>
        <w:pStyle w:val="NormalHanging12a"/>
      </w:pPr>
      <w:r w:rsidRPr="002B05C7">
        <w:t>H.</w:t>
      </w:r>
      <w:r w:rsidRPr="002B05C7">
        <w:tab/>
        <w:t xml:space="preserve">billi, skont l-Artikolu 5(2) tar-Regoli ta’ Proċedura, l-immunità </w:t>
      </w:r>
      <w:r w:rsidRPr="002B05C7">
        <w:t>parlamentari mhijiex privileġġ personali ta’ Membru imma garanzija tal-indipendenza tal-Parlament kollu kemm hu u tal-Membri tiegħu;</w:t>
      </w:r>
    </w:p>
    <w:p w14:paraId="186BCC5D" w14:textId="77777777" w:rsidR="0037671C" w:rsidRPr="002B05C7" w:rsidRDefault="0062648B" w:rsidP="0037671C">
      <w:pPr>
        <w:pStyle w:val="NormalHanging12a"/>
      </w:pPr>
      <w:r w:rsidRPr="002B05C7">
        <w:t>I.</w:t>
      </w:r>
      <w:r w:rsidRPr="002B05C7">
        <w:tab/>
        <w:t xml:space="preserve">billi, f’dan il-każ, il-Parlament ma sab l-ebda evidenza ta’ </w:t>
      </w:r>
      <w:r w:rsidRPr="002B05C7">
        <w:rPr>
          <w:i/>
        </w:rPr>
        <w:t>fumus persecutionis</w:t>
      </w:r>
      <w:r w:rsidRPr="002B05C7">
        <w:t>, jiġifieri elementi fattwali li jindikaw li l-proċedimenti legali sottostanti inkwistjoni kellhom l-intenzjoni li jimminaw l-attività politika tal-Membru fil-kapaċità tiegħu bħala Membru tal-Parlament Ewropew;</w:t>
      </w:r>
    </w:p>
    <w:p w14:paraId="7A8BD7D6" w14:textId="77777777" w:rsidR="0037671C" w:rsidRPr="002B05C7" w:rsidRDefault="0062648B" w:rsidP="0037671C">
      <w:pPr>
        <w:pStyle w:val="NormalHanging12a"/>
      </w:pPr>
      <w:r w:rsidRPr="002B05C7">
        <w:t>J.</w:t>
      </w:r>
      <w:r w:rsidRPr="002B05C7">
        <w:tab/>
        <w:t>billi l-Parlament ma jistax jieħu r-rwol ta’ qorti u, fil-kuntest ta’ proċedura għat-tneħħija tal-immunità, il-Membru ma jistax jitqies bħala akkużat</w:t>
      </w:r>
      <w:r w:rsidRPr="002B05C7">
        <w:rPr>
          <w:vertAlign w:val="superscript"/>
        </w:rPr>
        <w:footnoteReference w:id="2"/>
      </w:r>
      <w:r w:rsidRPr="002B05C7">
        <w:t>;</w:t>
      </w:r>
    </w:p>
    <w:p w14:paraId="61E41497" w14:textId="77777777" w:rsidR="0037671C" w:rsidRPr="002B05C7" w:rsidRDefault="0062648B" w:rsidP="0037671C">
      <w:pPr>
        <w:pStyle w:val="NormalHanging12a"/>
      </w:pPr>
      <w:r w:rsidRPr="002B05C7">
        <w:t>1.</w:t>
      </w:r>
      <w:r w:rsidRPr="002B05C7">
        <w:tab/>
        <w:t>Jiddeċiedi li jneħħi l-immunità ta’ Nikos Pappas;</w:t>
      </w:r>
    </w:p>
    <w:p w14:paraId="05F6DBC5" w14:textId="77777777" w:rsidR="0037671C" w:rsidRPr="002B05C7" w:rsidRDefault="0062648B" w:rsidP="00DC7727">
      <w:pPr>
        <w:pStyle w:val="NormalHanging12a"/>
      </w:pPr>
      <w:r w:rsidRPr="002B05C7">
        <w:t>2.</w:t>
      </w:r>
      <w:r w:rsidRPr="002B05C7">
        <w:tab/>
        <w:t>Jagħti istruzzjonijiet lill-President tiegħu biex tgħaddi minnufih din id-deċiżjoni u r-rapport tal-kumitat responsabbli tiegħu lill-awtoritajiet kompetenti tar-Repubblika Ellenika u lil Nikos Pappas.</w:t>
      </w:r>
    </w:p>
    <w:p w14:paraId="6A59D228" w14:textId="77777777" w:rsidR="00782E54" w:rsidRPr="002B05C7" w:rsidRDefault="00782E54" w:rsidP="00DC7727">
      <w:pPr>
        <w:sectPr w:rsidR="00782E54" w:rsidRPr="002B05C7" w:rsidSect="002B05C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noEndnote/>
          <w:titlePg/>
        </w:sectPr>
      </w:pPr>
    </w:p>
    <w:p w14:paraId="12E02E36" w14:textId="3C3C326E" w:rsidR="00DC7727" w:rsidRPr="002B05C7" w:rsidRDefault="0062648B" w:rsidP="00DC7727">
      <w:pPr>
        <w:pStyle w:val="PageHeading"/>
      </w:pPr>
      <w:bookmarkStart w:id="2" w:name="ProcPageRR"/>
      <w:bookmarkStart w:id="3" w:name="_Toc229556172"/>
      <w:r w:rsidRPr="002B05C7">
        <w:lastRenderedPageBreak/>
        <w:t>INFORMAZZJONI DWAR L-ADOZZJONI</w:t>
      </w:r>
      <w:r>
        <w:br/>
      </w:r>
      <w:r w:rsidRPr="002B05C7">
        <w:t>MILL-KUMITAT RESPONSABBLI</w:t>
      </w:r>
      <w:bookmarkEnd w:id="3"/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AD0639" w:rsidRPr="002B05C7" w14:paraId="25CD2BEE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D5993C0" w14:textId="77777777" w:rsidR="00DC7727" w:rsidRPr="002B05C7" w:rsidRDefault="0062648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2B05C7">
              <w:rPr>
                <w:b/>
                <w:color w:val="000000"/>
                <w:sz w:val="20"/>
              </w:rPr>
              <w:t>Data tal-adozzjoni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0860731" w14:textId="77777777" w:rsidR="00DC7727" w:rsidRPr="002B05C7" w:rsidRDefault="0062648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2B05C7">
              <w:rPr>
                <w:color w:val="000000"/>
                <w:sz w:val="20"/>
              </w:rPr>
              <w:t>5.5.2026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0CE9F7F" w14:textId="77777777" w:rsidR="00DC7727" w:rsidRPr="002B05C7" w:rsidRDefault="00DC772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1C9838F" w14:textId="77777777" w:rsidR="00DC7727" w:rsidRPr="002B05C7" w:rsidRDefault="00DC772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AC8D62D" w14:textId="77777777" w:rsidR="00DC7727" w:rsidRPr="002B05C7" w:rsidRDefault="00DC772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AD0639" w:rsidRPr="002B05C7" w14:paraId="0EEF1283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B1B0A0C" w14:textId="77777777" w:rsidR="00DC7727" w:rsidRPr="002B05C7" w:rsidRDefault="0062648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2B05C7">
              <w:rPr>
                <w:b/>
                <w:color w:val="000000"/>
                <w:sz w:val="20"/>
              </w:rPr>
              <w:t>Riżultat tal-votazzjoni finali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75D5E3A" w14:textId="77777777" w:rsidR="00DC7727" w:rsidRPr="002B05C7" w:rsidRDefault="0062648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2B05C7">
              <w:rPr>
                <w:color w:val="000000"/>
                <w:sz w:val="20"/>
              </w:rPr>
              <w:t>+:</w:t>
            </w:r>
          </w:p>
          <w:p w14:paraId="03F4B82E" w14:textId="77777777" w:rsidR="00DC7727" w:rsidRPr="002B05C7" w:rsidRDefault="0062648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2B05C7">
              <w:rPr>
                <w:color w:val="000000"/>
                <w:sz w:val="20"/>
              </w:rPr>
              <w:t>–:</w:t>
            </w:r>
          </w:p>
          <w:p w14:paraId="5E4A7FC5" w14:textId="77777777" w:rsidR="00DC7727" w:rsidRPr="002B05C7" w:rsidRDefault="0062648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2B05C7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B149835" w14:textId="77777777" w:rsidR="00DC7727" w:rsidRPr="002B05C7" w:rsidRDefault="0062648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2B05C7">
              <w:rPr>
                <w:color w:val="000000"/>
                <w:sz w:val="20"/>
              </w:rPr>
              <w:t>21</w:t>
            </w:r>
          </w:p>
          <w:p w14:paraId="10201BD3" w14:textId="77777777" w:rsidR="00DC7727" w:rsidRPr="002B05C7" w:rsidRDefault="0062648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2B05C7">
              <w:rPr>
                <w:color w:val="000000"/>
                <w:sz w:val="20"/>
              </w:rPr>
              <w:t>0</w:t>
            </w:r>
          </w:p>
          <w:p w14:paraId="3AD816CA" w14:textId="77777777" w:rsidR="00DC7727" w:rsidRPr="002B05C7" w:rsidRDefault="0062648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2B05C7">
              <w:rPr>
                <w:color w:val="000000"/>
                <w:sz w:val="20"/>
              </w:rPr>
              <w:t>0</w:t>
            </w:r>
          </w:p>
        </w:tc>
      </w:tr>
    </w:tbl>
    <w:p w14:paraId="04A5D7E0" w14:textId="77777777" w:rsidR="00DC7727" w:rsidRPr="002B05C7" w:rsidRDefault="00DC7727"/>
    <w:bookmarkEnd w:id="2"/>
    <w:p w14:paraId="69576D43" w14:textId="77777777" w:rsidR="00782E54" w:rsidRPr="002B05C7" w:rsidRDefault="00782E54" w:rsidP="00DC7727"/>
    <w:sectPr w:rsidR="00782E54" w:rsidRPr="002B05C7" w:rsidSect="00DC7727">
      <w:pgSz w:w="11894" w:h="15840"/>
      <w:pgMar w:top="1700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D81B5" w14:textId="77777777" w:rsidR="0062648B" w:rsidRPr="002B05C7" w:rsidRDefault="0062648B">
      <w:r w:rsidRPr="002B05C7">
        <w:separator/>
      </w:r>
    </w:p>
  </w:endnote>
  <w:endnote w:type="continuationSeparator" w:id="0">
    <w:p w14:paraId="24E18582" w14:textId="77777777" w:rsidR="0062648B" w:rsidRPr="002B05C7" w:rsidRDefault="0062648B">
      <w:r w:rsidRPr="002B05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A9FAE" w14:textId="77777777" w:rsidR="002B05C7" w:rsidRPr="002B05C7" w:rsidRDefault="002B05C7" w:rsidP="002B05C7">
    <w:pPr>
      <w:pStyle w:val="EPFooter"/>
    </w:pPr>
    <w:r w:rsidRPr="002B05C7">
      <w:t>PE</w:t>
    </w:r>
    <w:r w:rsidRPr="002B05C7">
      <w:rPr>
        <w:rStyle w:val="HideTWBExt"/>
      </w:rPr>
      <w:t>&lt;NoPE&gt;</w:t>
    </w:r>
    <w:r w:rsidRPr="002B05C7">
      <w:t>786.974</w:t>
    </w:r>
    <w:r w:rsidRPr="002B05C7">
      <w:rPr>
        <w:rStyle w:val="HideTWBExt"/>
      </w:rPr>
      <w:t>&lt;/NoPE&gt;&lt;Version&gt;</w:t>
    </w:r>
    <w:r w:rsidRPr="002B05C7">
      <w:t>v03-00</w:t>
    </w:r>
    <w:r w:rsidRPr="002B05C7">
      <w:rPr>
        <w:rStyle w:val="HideTWBExt"/>
      </w:rPr>
      <w:t>&lt;/Version&gt;</w:t>
    </w:r>
    <w:r w:rsidRPr="002B05C7">
      <w:tab/>
    </w:r>
    <w:r w:rsidRPr="002B05C7">
      <w:fldChar w:fldCharType="begin"/>
    </w:r>
    <w:r w:rsidRPr="002B05C7">
      <w:instrText xml:space="preserve"> PAGE  \* MERGEFORMAT </w:instrText>
    </w:r>
    <w:r w:rsidRPr="002B05C7">
      <w:fldChar w:fldCharType="separate"/>
    </w:r>
    <w:r w:rsidRPr="002B05C7">
      <w:rPr>
        <w:noProof/>
      </w:rPr>
      <w:t>1</w:t>
    </w:r>
    <w:r w:rsidRPr="002B05C7">
      <w:fldChar w:fldCharType="end"/>
    </w:r>
    <w:r w:rsidRPr="002B05C7">
      <w:t>/</w:t>
    </w:r>
    <w:fldSimple w:instr=" NUMPAGES  \* MERGEFORMAT ">
      <w:r w:rsidRPr="002B05C7">
        <w:rPr>
          <w:noProof/>
        </w:rPr>
        <w:t>1</w:t>
      </w:r>
    </w:fldSimple>
    <w:r w:rsidRPr="002B05C7">
      <w:tab/>
    </w:r>
    <w:r w:rsidRPr="002B05C7">
      <w:rPr>
        <w:rStyle w:val="HideTWBExt"/>
      </w:rPr>
      <w:t>&lt;PathFdR&gt;</w:t>
    </w:r>
    <w:r w:rsidRPr="002B05C7">
      <w:t>RR\1343292MT.docx</w:t>
    </w:r>
    <w:r w:rsidRPr="002B05C7">
      <w:rPr>
        <w:rStyle w:val="HideTWBExt"/>
      </w:rPr>
      <w:t>&lt;/PathFdR&gt;</w:t>
    </w:r>
  </w:p>
  <w:p w14:paraId="142AB270" w14:textId="2306ACB2" w:rsidR="0023430B" w:rsidRPr="002B05C7" w:rsidRDefault="002B05C7" w:rsidP="002B05C7">
    <w:pPr>
      <w:pStyle w:val="EPFooter2"/>
    </w:pPr>
    <w:r w:rsidRPr="002B05C7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068FC" w14:textId="77777777" w:rsidR="002B05C7" w:rsidRPr="002B05C7" w:rsidRDefault="002B05C7" w:rsidP="002B05C7">
    <w:pPr>
      <w:pStyle w:val="EPFooter"/>
    </w:pPr>
    <w:r w:rsidRPr="002B05C7">
      <w:rPr>
        <w:rStyle w:val="HideTWBExt"/>
      </w:rPr>
      <w:t>&lt;PathFdR&gt;</w:t>
    </w:r>
    <w:r w:rsidRPr="002B05C7">
      <w:t>RR\1343292MT.docx</w:t>
    </w:r>
    <w:r w:rsidRPr="002B05C7">
      <w:rPr>
        <w:rStyle w:val="HideTWBExt"/>
      </w:rPr>
      <w:t>&lt;/PathFdR&gt;</w:t>
    </w:r>
    <w:r w:rsidRPr="002B05C7">
      <w:tab/>
    </w:r>
    <w:r w:rsidRPr="002B05C7">
      <w:fldChar w:fldCharType="begin"/>
    </w:r>
    <w:r w:rsidRPr="002B05C7">
      <w:instrText xml:space="preserve"> PAGE  \* MERGEFORMAT </w:instrText>
    </w:r>
    <w:r w:rsidRPr="002B05C7">
      <w:fldChar w:fldCharType="separate"/>
    </w:r>
    <w:r w:rsidRPr="002B05C7">
      <w:rPr>
        <w:noProof/>
      </w:rPr>
      <w:t>1</w:t>
    </w:r>
    <w:r w:rsidRPr="002B05C7">
      <w:fldChar w:fldCharType="end"/>
    </w:r>
    <w:r w:rsidRPr="002B05C7">
      <w:t>/</w:t>
    </w:r>
    <w:fldSimple w:instr=" NUMPAGES  \* MERGEFORMAT ">
      <w:r w:rsidRPr="002B05C7">
        <w:rPr>
          <w:noProof/>
        </w:rPr>
        <w:t>1</w:t>
      </w:r>
    </w:fldSimple>
    <w:r w:rsidRPr="002B05C7">
      <w:tab/>
      <w:t>PE</w:t>
    </w:r>
    <w:r w:rsidRPr="002B05C7">
      <w:rPr>
        <w:rStyle w:val="HideTWBExt"/>
      </w:rPr>
      <w:t>&lt;NoPE&gt;</w:t>
    </w:r>
    <w:r w:rsidRPr="002B05C7">
      <w:t>786.974</w:t>
    </w:r>
    <w:r w:rsidRPr="002B05C7">
      <w:rPr>
        <w:rStyle w:val="HideTWBExt"/>
      </w:rPr>
      <w:t>&lt;/NoPE&gt;&lt;Version&gt;</w:t>
    </w:r>
    <w:r w:rsidRPr="002B05C7">
      <w:t>v03-00</w:t>
    </w:r>
    <w:r w:rsidRPr="002B05C7">
      <w:rPr>
        <w:rStyle w:val="HideTWBExt"/>
      </w:rPr>
      <w:t>&lt;/Version&gt;</w:t>
    </w:r>
  </w:p>
  <w:p w14:paraId="2FFDE78C" w14:textId="658E82B7" w:rsidR="0023430B" w:rsidRPr="002B05C7" w:rsidRDefault="002B05C7" w:rsidP="002B05C7">
    <w:pPr>
      <w:pStyle w:val="EPFooter2"/>
    </w:pPr>
    <w:r w:rsidRPr="002B05C7">
      <w:tab/>
    </w:r>
    <w:r w:rsidRPr="002B05C7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852EC" w14:textId="77777777" w:rsidR="002B05C7" w:rsidRPr="002B05C7" w:rsidRDefault="002B05C7" w:rsidP="002B05C7">
    <w:pPr>
      <w:pStyle w:val="EPFooter"/>
    </w:pPr>
    <w:r w:rsidRPr="002B05C7">
      <w:rPr>
        <w:rStyle w:val="HideTWBExt"/>
      </w:rPr>
      <w:t>&lt;PathFdR&gt;</w:t>
    </w:r>
    <w:r w:rsidRPr="002B05C7">
      <w:t>RR\1343292MT.docx</w:t>
    </w:r>
    <w:r w:rsidRPr="002B05C7">
      <w:rPr>
        <w:rStyle w:val="HideTWBExt"/>
      </w:rPr>
      <w:t>&lt;/PathFdR&gt;</w:t>
    </w:r>
    <w:r w:rsidRPr="002B05C7">
      <w:tab/>
    </w:r>
    <w:r w:rsidRPr="002B05C7">
      <w:tab/>
      <w:t>PE</w:t>
    </w:r>
    <w:r w:rsidRPr="002B05C7">
      <w:rPr>
        <w:rStyle w:val="HideTWBExt"/>
      </w:rPr>
      <w:t>&lt;NoPE&gt;</w:t>
    </w:r>
    <w:r w:rsidRPr="002B05C7">
      <w:t>786.974</w:t>
    </w:r>
    <w:r w:rsidRPr="002B05C7">
      <w:rPr>
        <w:rStyle w:val="HideTWBExt"/>
      </w:rPr>
      <w:t>&lt;/NoPE&gt;&lt;Version&gt;</w:t>
    </w:r>
    <w:r w:rsidRPr="002B05C7">
      <w:t>v03-00</w:t>
    </w:r>
    <w:r w:rsidRPr="002B05C7">
      <w:rPr>
        <w:rStyle w:val="HideTWBExt"/>
      </w:rPr>
      <w:t>&lt;/Version&gt;</w:t>
    </w:r>
  </w:p>
  <w:p w14:paraId="549F1CFA" w14:textId="280BD377" w:rsidR="0023430B" w:rsidRPr="002B05C7" w:rsidRDefault="002B05C7" w:rsidP="002B05C7">
    <w:pPr>
      <w:pStyle w:val="EPFooter2"/>
    </w:pPr>
    <w:r w:rsidRPr="002B05C7">
      <w:t>MT</w:t>
    </w:r>
    <w:r w:rsidRPr="002B05C7">
      <w:tab/>
    </w:r>
    <w:r w:rsidRPr="002B05C7">
      <w:rPr>
        <w:b w:val="0"/>
        <w:i/>
        <w:color w:val="C0C0C0"/>
        <w:sz w:val="22"/>
      </w:rPr>
      <w:t>Magħquda fid-diversità</w:t>
    </w:r>
    <w:r w:rsidRPr="002B05C7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0DCCD" w14:textId="77777777" w:rsidR="007A3F74" w:rsidRPr="002B05C7" w:rsidRDefault="0062648B">
      <w:r w:rsidRPr="002B05C7">
        <w:separator/>
      </w:r>
    </w:p>
  </w:footnote>
  <w:footnote w:type="continuationSeparator" w:id="0">
    <w:p w14:paraId="75474A12" w14:textId="77777777" w:rsidR="007A3F74" w:rsidRPr="002B05C7" w:rsidRDefault="0062648B">
      <w:r w:rsidRPr="002B05C7">
        <w:continuationSeparator/>
      </w:r>
    </w:p>
  </w:footnote>
  <w:footnote w:id="1">
    <w:p w14:paraId="2119C538" w14:textId="77777777" w:rsidR="0037671C" w:rsidRPr="002B05C7" w:rsidRDefault="0062648B" w:rsidP="0037671C">
      <w:pPr>
        <w:pStyle w:val="FootnoteText"/>
      </w:pPr>
      <w:r w:rsidRPr="002B05C7">
        <w:rPr>
          <w:rStyle w:val="FootnoteReference"/>
        </w:rPr>
        <w:footnoteRef/>
      </w:r>
      <w:r w:rsidRPr="002B05C7">
        <w:rPr>
          <w:rStyle w:val="FootnoteReference"/>
        </w:rPr>
        <w:t xml:space="preserve"> </w:t>
      </w:r>
      <w:r w:rsidRPr="002B05C7">
        <w:t xml:space="preserve">Is-sentenza tal-Qorti tal-Ġustizzja tal-21 ta’ Ottubru 2008, </w:t>
      </w:r>
      <w:r w:rsidRPr="002B05C7">
        <w:rPr>
          <w:i/>
        </w:rPr>
        <w:t>Marra</w:t>
      </w:r>
      <w:r w:rsidRPr="002B05C7">
        <w:t xml:space="preserve"> vs </w:t>
      </w:r>
      <w:r w:rsidRPr="002B05C7">
        <w:rPr>
          <w:i/>
        </w:rPr>
        <w:t>De Gregorio u Clemente</w:t>
      </w:r>
      <w:r w:rsidRPr="002B05C7">
        <w:t xml:space="preserve">, C 200/07 u C-201/07, ECLI:EU:C:2008:579; is-sentenza tal-Qorti Ġenerali tad-19 ta’ Marzu 2010, </w:t>
      </w:r>
      <w:r w:rsidRPr="002B05C7">
        <w:rPr>
          <w:i/>
        </w:rPr>
        <w:t>Gollnisch</w:t>
      </w:r>
      <w:r w:rsidRPr="002B05C7">
        <w:t xml:space="preserve"> vs </w:t>
      </w:r>
      <w:r w:rsidRPr="002B05C7">
        <w:rPr>
          <w:i/>
        </w:rPr>
        <w:t>il-Parlament</w:t>
      </w:r>
      <w:r w:rsidRPr="002B05C7">
        <w:t xml:space="preserve">, T-42/06, ECLI:EU:T:2010:102; is-sentenza tal-Qorti tal-Ġustizzja tas-6 ta’ Settembru 2011, </w:t>
      </w:r>
      <w:r w:rsidRPr="002B05C7">
        <w:rPr>
          <w:i/>
        </w:rPr>
        <w:t>Patriciello</w:t>
      </w:r>
      <w:r w:rsidRPr="002B05C7">
        <w:t xml:space="preserve">, C 163/10, ECLI: EU:C:2011:543; is-sentenza tal-Qorti Ġenerali tas-17 ta’ Jannar 2013, </w:t>
      </w:r>
      <w:r w:rsidRPr="002B05C7">
        <w:rPr>
          <w:i/>
        </w:rPr>
        <w:t>Gollnisch</w:t>
      </w:r>
      <w:r w:rsidRPr="002B05C7">
        <w:t xml:space="preserve"> vs </w:t>
      </w:r>
      <w:r w:rsidRPr="002B05C7">
        <w:rPr>
          <w:i/>
        </w:rPr>
        <w:t>il-Parlament</w:t>
      </w:r>
      <w:r w:rsidRPr="002B05C7">
        <w:t>, T-346/11 u T-347/11, ECLI:EU:T:2013:23; is-sentenza tal-Qorti tal-Ġustizzja tad</w:t>
      </w:r>
      <w:r w:rsidRPr="002B05C7">
        <w:t xml:space="preserve">-19 ta’ Diċembru 2019, </w:t>
      </w:r>
      <w:r w:rsidRPr="002B05C7">
        <w:rPr>
          <w:i/>
        </w:rPr>
        <w:t>Junqueras Vies</w:t>
      </w:r>
      <w:r w:rsidRPr="002B05C7">
        <w:t>, C-502/19, ECLI:EU:C:2019:1115.</w:t>
      </w:r>
    </w:p>
  </w:footnote>
  <w:footnote w:id="2">
    <w:p w14:paraId="74AFB7BA" w14:textId="77777777" w:rsidR="0037671C" w:rsidRPr="002B05C7" w:rsidRDefault="0062648B" w:rsidP="0037671C">
      <w:pPr>
        <w:pStyle w:val="FootnoteText"/>
      </w:pPr>
      <w:r w:rsidRPr="002B05C7">
        <w:rPr>
          <w:rStyle w:val="FootnoteReference"/>
        </w:rPr>
        <w:footnoteRef/>
      </w:r>
      <w:r w:rsidRPr="002B05C7">
        <w:rPr>
          <w:rStyle w:val="FootnoteReference"/>
        </w:rPr>
        <w:t xml:space="preserve"> </w:t>
      </w:r>
      <w:r w:rsidRPr="002B05C7">
        <w:t xml:space="preserve">Is-sentenza tal-Qorti Ġenerali tat-30 ta’ April 2019, </w:t>
      </w:r>
      <w:r w:rsidRPr="002B05C7">
        <w:rPr>
          <w:i/>
        </w:rPr>
        <w:t>Briois</w:t>
      </w:r>
      <w:r w:rsidRPr="002B05C7">
        <w:t xml:space="preserve"> vs </w:t>
      </w:r>
      <w:r w:rsidRPr="002B05C7">
        <w:rPr>
          <w:i/>
        </w:rPr>
        <w:t>il-Parlament</w:t>
      </w:r>
      <w:r w:rsidRPr="002B05C7"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FDA84" w14:textId="77777777" w:rsidR="00835F53" w:rsidRDefault="00835F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3A83E" w14:textId="77777777" w:rsidR="00835F53" w:rsidRDefault="00835F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C2E66" w14:textId="77777777" w:rsidR="00835F53" w:rsidRDefault="00835F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6049966">
    <w:abstractNumId w:val="9"/>
  </w:num>
  <w:num w:numId="2" w16cid:durableId="500123677">
    <w:abstractNumId w:val="9"/>
  </w:num>
  <w:num w:numId="3" w16cid:durableId="1251350794">
    <w:abstractNumId w:val="7"/>
  </w:num>
  <w:num w:numId="4" w16cid:durableId="538204988">
    <w:abstractNumId w:val="7"/>
  </w:num>
  <w:num w:numId="5" w16cid:durableId="75397706">
    <w:abstractNumId w:val="6"/>
  </w:num>
  <w:num w:numId="6" w16cid:durableId="1763794196">
    <w:abstractNumId w:val="6"/>
  </w:num>
  <w:num w:numId="7" w16cid:durableId="1933928331">
    <w:abstractNumId w:val="5"/>
  </w:num>
  <w:num w:numId="8" w16cid:durableId="1153915050">
    <w:abstractNumId w:val="5"/>
  </w:num>
  <w:num w:numId="9" w16cid:durableId="518348470">
    <w:abstractNumId w:val="4"/>
  </w:num>
  <w:num w:numId="10" w16cid:durableId="916595541">
    <w:abstractNumId w:val="4"/>
  </w:num>
  <w:num w:numId="11" w16cid:durableId="356584343">
    <w:abstractNumId w:val="8"/>
  </w:num>
  <w:num w:numId="12" w16cid:durableId="1006860297">
    <w:abstractNumId w:val="8"/>
  </w:num>
  <w:num w:numId="13" w16cid:durableId="2122459182">
    <w:abstractNumId w:val="3"/>
  </w:num>
  <w:num w:numId="14" w16cid:durableId="995376107">
    <w:abstractNumId w:val="3"/>
  </w:num>
  <w:num w:numId="15" w16cid:durableId="777532011">
    <w:abstractNumId w:val="2"/>
  </w:num>
  <w:num w:numId="16" w16cid:durableId="1760180310">
    <w:abstractNumId w:val="2"/>
  </w:num>
  <w:num w:numId="17" w16cid:durableId="650838489">
    <w:abstractNumId w:val="1"/>
  </w:num>
  <w:num w:numId="18" w16cid:durableId="1290627998">
    <w:abstractNumId w:val="1"/>
  </w:num>
  <w:num w:numId="19" w16cid:durableId="1948807813">
    <w:abstractNumId w:val="0"/>
  </w:num>
  <w:num w:numId="20" w16cid:durableId="668680220">
    <w:abstractNumId w:val="0"/>
  </w:num>
  <w:num w:numId="21" w16cid:durableId="1836257524">
    <w:abstractNumId w:val="9"/>
  </w:num>
  <w:num w:numId="22" w16cid:durableId="1973629948">
    <w:abstractNumId w:val="7"/>
  </w:num>
  <w:num w:numId="23" w16cid:durableId="993527861">
    <w:abstractNumId w:val="6"/>
  </w:num>
  <w:num w:numId="24" w16cid:durableId="1841920576">
    <w:abstractNumId w:val="5"/>
  </w:num>
  <w:num w:numId="25" w16cid:durableId="1499228666">
    <w:abstractNumId w:val="4"/>
  </w:num>
  <w:num w:numId="26" w16cid:durableId="438914760">
    <w:abstractNumId w:val="8"/>
  </w:num>
  <w:num w:numId="27" w16cid:durableId="1546600766">
    <w:abstractNumId w:val="3"/>
  </w:num>
  <w:num w:numId="28" w16cid:durableId="1523980013">
    <w:abstractNumId w:val="2"/>
  </w:num>
  <w:num w:numId="29" w16cid:durableId="729578024">
    <w:abstractNumId w:val="1"/>
  </w:num>
  <w:num w:numId="30" w16cid:durableId="812868156">
    <w:abstractNumId w:val="0"/>
  </w:num>
  <w:num w:numId="31" w16cid:durableId="1722942012">
    <w:abstractNumId w:val="9"/>
  </w:num>
  <w:num w:numId="32" w16cid:durableId="610166904">
    <w:abstractNumId w:val="7"/>
  </w:num>
  <w:num w:numId="33" w16cid:durableId="471598544">
    <w:abstractNumId w:val="6"/>
  </w:num>
  <w:num w:numId="34" w16cid:durableId="703290029">
    <w:abstractNumId w:val="5"/>
  </w:num>
  <w:num w:numId="35" w16cid:durableId="196478196">
    <w:abstractNumId w:val="4"/>
  </w:num>
  <w:num w:numId="36" w16cid:durableId="457837999">
    <w:abstractNumId w:val="8"/>
  </w:num>
  <w:num w:numId="37" w16cid:durableId="1081296137">
    <w:abstractNumId w:val="3"/>
  </w:num>
  <w:num w:numId="38" w16cid:durableId="580678148">
    <w:abstractNumId w:val="2"/>
  </w:num>
  <w:num w:numId="39" w16cid:durableId="30228065">
    <w:abstractNumId w:val="1"/>
  </w:num>
  <w:num w:numId="40" w16cid:durableId="1066031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RTMNU" w:val=" 1"/>
    <w:docVar w:name="DOCDT" w:val="06/05/2026"/>
    <w:docVar w:name="EPPOMNU" w:val=" 1"/>
    <w:docVar w:name="HEARDMNU" w:val=" 1"/>
    <w:docVar w:name="JUDGMNU@" w:val=" 2"/>
    <w:docVar w:name="LastEditedSection" w:val=" 1"/>
    <w:docVar w:name="PLENARYDT" w:val="10/04/2026"/>
    <w:docVar w:name="REQUESTDT" w:val="10/04/2026"/>
    <w:docVar w:name="strDocTypeID" w:val="PR_IMM_Waiver"/>
    <w:docVar w:name="strSubDir" w:val="786"/>
    <w:docVar w:name="TXTAUTHOR" w:val="Marcin Sypniewski"/>
    <w:docVar w:name="TXTLANGUE" w:val="EN"/>
    <w:docVar w:name="TXTLANGUEMIN" w:val="en"/>
    <w:docVar w:name="TXTNAME" w:val="Nikos Pappas"/>
    <w:docVar w:name="TXTNRIMM" w:val="2025/2234"/>
    <w:docVar w:name="TXTNRPE" w:val="786.974"/>
    <w:docVar w:name="TXTPEorAP" w:val="PE"/>
    <w:docVar w:name="TXTROUTE" w:val="RR\786.974EN.docx"/>
    <w:docVar w:name="TXTVERSION" w:val="03-00"/>
    <w:docVar w:name="WAIVEMNU" w:val=" 1"/>
  </w:docVars>
  <w:rsids>
    <w:rsidRoot w:val="007A3F74"/>
    <w:rsid w:val="00044B9B"/>
    <w:rsid w:val="00060E63"/>
    <w:rsid w:val="0006105E"/>
    <w:rsid w:val="00080B89"/>
    <w:rsid w:val="000C0CAA"/>
    <w:rsid w:val="000E36C4"/>
    <w:rsid w:val="000F22E6"/>
    <w:rsid w:val="000F57CC"/>
    <w:rsid w:val="00107BF5"/>
    <w:rsid w:val="00114131"/>
    <w:rsid w:val="00135BE0"/>
    <w:rsid w:val="00142D49"/>
    <w:rsid w:val="001523F3"/>
    <w:rsid w:val="001529BD"/>
    <w:rsid w:val="00172971"/>
    <w:rsid w:val="001D549A"/>
    <w:rsid w:val="001F52C3"/>
    <w:rsid w:val="001F5613"/>
    <w:rsid w:val="00205304"/>
    <w:rsid w:val="00211AA7"/>
    <w:rsid w:val="00215FF9"/>
    <w:rsid w:val="0023430B"/>
    <w:rsid w:val="002442B3"/>
    <w:rsid w:val="00250733"/>
    <w:rsid w:val="00252E1D"/>
    <w:rsid w:val="00273EFB"/>
    <w:rsid w:val="00285706"/>
    <w:rsid w:val="002915E6"/>
    <w:rsid w:val="0029288E"/>
    <w:rsid w:val="00296EB6"/>
    <w:rsid w:val="002B05C7"/>
    <w:rsid w:val="002B1B80"/>
    <w:rsid w:val="002F5F7C"/>
    <w:rsid w:val="00326E87"/>
    <w:rsid w:val="0035402F"/>
    <w:rsid w:val="0035595E"/>
    <w:rsid w:val="0037671C"/>
    <w:rsid w:val="00392A3D"/>
    <w:rsid w:val="003B1888"/>
    <w:rsid w:val="003D30B4"/>
    <w:rsid w:val="003E24B5"/>
    <w:rsid w:val="00414AA0"/>
    <w:rsid w:val="00431EC1"/>
    <w:rsid w:val="004433B2"/>
    <w:rsid w:val="0044752A"/>
    <w:rsid w:val="004502C8"/>
    <w:rsid w:val="0045635E"/>
    <w:rsid w:val="00493F90"/>
    <w:rsid w:val="004B2372"/>
    <w:rsid w:val="004E7774"/>
    <w:rsid w:val="00503AC2"/>
    <w:rsid w:val="005922F7"/>
    <w:rsid w:val="005B5955"/>
    <w:rsid w:val="0062648B"/>
    <w:rsid w:val="00627F06"/>
    <w:rsid w:val="00633DF2"/>
    <w:rsid w:val="00681E33"/>
    <w:rsid w:val="006A1780"/>
    <w:rsid w:val="006C038C"/>
    <w:rsid w:val="006D6F36"/>
    <w:rsid w:val="00736D0A"/>
    <w:rsid w:val="007470A8"/>
    <w:rsid w:val="00752B65"/>
    <w:rsid w:val="00753DFC"/>
    <w:rsid w:val="007613CD"/>
    <w:rsid w:val="0076428C"/>
    <w:rsid w:val="00771E7F"/>
    <w:rsid w:val="00780317"/>
    <w:rsid w:val="0078039D"/>
    <w:rsid w:val="00782E54"/>
    <w:rsid w:val="00785C52"/>
    <w:rsid w:val="00797CAE"/>
    <w:rsid w:val="007A3F74"/>
    <w:rsid w:val="007A7BF5"/>
    <w:rsid w:val="007C040A"/>
    <w:rsid w:val="007D49EE"/>
    <w:rsid w:val="007E434A"/>
    <w:rsid w:val="007F4D6A"/>
    <w:rsid w:val="00835F53"/>
    <w:rsid w:val="008376BE"/>
    <w:rsid w:val="008436E0"/>
    <w:rsid w:val="00851E2C"/>
    <w:rsid w:val="00867D72"/>
    <w:rsid w:val="00872381"/>
    <w:rsid w:val="008D1236"/>
    <w:rsid w:val="008D1C36"/>
    <w:rsid w:val="008E6FB9"/>
    <w:rsid w:val="008F39C8"/>
    <w:rsid w:val="0091636F"/>
    <w:rsid w:val="009442F2"/>
    <w:rsid w:val="0094666F"/>
    <w:rsid w:val="009915DD"/>
    <w:rsid w:val="009A4162"/>
    <w:rsid w:val="009B47E5"/>
    <w:rsid w:val="009D54A6"/>
    <w:rsid w:val="009E4C4E"/>
    <w:rsid w:val="009E7AD9"/>
    <w:rsid w:val="009F5083"/>
    <w:rsid w:val="009F55EA"/>
    <w:rsid w:val="00A33B09"/>
    <w:rsid w:val="00A45926"/>
    <w:rsid w:val="00A63BDB"/>
    <w:rsid w:val="00A87FB0"/>
    <w:rsid w:val="00AA7D88"/>
    <w:rsid w:val="00AB1E20"/>
    <w:rsid w:val="00AB3EA7"/>
    <w:rsid w:val="00AD0639"/>
    <w:rsid w:val="00B24A96"/>
    <w:rsid w:val="00B37A07"/>
    <w:rsid w:val="00B61BA7"/>
    <w:rsid w:val="00B76A78"/>
    <w:rsid w:val="00B81D30"/>
    <w:rsid w:val="00BB307A"/>
    <w:rsid w:val="00BD02C3"/>
    <w:rsid w:val="00BD34CF"/>
    <w:rsid w:val="00BE1054"/>
    <w:rsid w:val="00C33434"/>
    <w:rsid w:val="00C42BD9"/>
    <w:rsid w:val="00C66DE6"/>
    <w:rsid w:val="00C85D0F"/>
    <w:rsid w:val="00CB158E"/>
    <w:rsid w:val="00CC662F"/>
    <w:rsid w:val="00CC6730"/>
    <w:rsid w:val="00CD25E0"/>
    <w:rsid w:val="00CE5349"/>
    <w:rsid w:val="00CF16EE"/>
    <w:rsid w:val="00D1021A"/>
    <w:rsid w:val="00D25B0A"/>
    <w:rsid w:val="00D8214F"/>
    <w:rsid w:val="00DA032C"/>
    <w:rsid w:val="00DA14FB"/>
    <w:rsid w:val="00DA67D6"/>
    <w:rsid w:val="00DB1E47"/>
    <w:rsid w:val="00DC7727"/>
    <w:rsid w:val="00DD480D"/>
    <w:rsid w:val="00DF74F0"/>
    <w:rsid w:val="00E114BC"/>
    <w:rsid w:val="00EC401F"/>
    <w:rsid w:val="00ED1601"/>
    <w:rsid w:val="00EE1CD1"/>
    <w:rsid w:val="00EE79E0"/>
    <w:rsid w:val="00F032EE"/>
    <w:rsid w:val="00F03A29"/>
    <w:rsid w:val="00F05AB2"/>
    <w:rsid w:val="00F22E87"/>
    <w:rsid w:val="00F335B2"/>
    <w:rsid w:val="00F452C6"/>
    <w:rsid w:val="00F81900"/>
    <w:rsid w:val="00F857A1"/>
    <w:rsid w:val="00FA4CD8"/>
    <w:rsid w:val="00FB5B0C"/>
    <w:rsid w:val="00FD1F04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EACFEC"/>
  <w15:chartTrackingRefBased/>
  <w15:docId w15:val="{E7429305-94F2-4A62-8EA0-08C07A9A3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4D6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"/>
    <w:next w:val="Normal"/>
    <w:autoRedefine/>
    <w:uiPriority w:val="39"/>
    <w:rsid w:val="00326E87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DF74F0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060E63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DocType24a">
    <w:name w:val="CoverDocType24a"/>
    <w:basedOn w:val="Normal"/>
    <w:rsid w:val="00060E6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9E7AD9"/>
    <w:pPr>
      <w:tabs>
        <w:tab w:val="center" w:pos="4513"/>
        <w:tab w:val="right" w:pos="9026"/>
      </w:tabs>
    </w:pPr>
  </w:style>
  <w:style w:type="paragraph" w:customStyle="1" w:styleId="Confidential">
    <w:name w:val="Confidential"/>
    <w:basedOn w:val="Normal"/>
    <w:rsid w:val="00142D49"/>
    <w:pPr>
      <w:spacing w:before="120" w:after="120"/>
      <w:jc w:val="center"/>
    </w:pPr>
    <w:rPr>
      <w:rFonts w:ascii="Arial" w:hAnsi="Arial"/>
      <w:caps/>
    </w:rPr>
  </w:style>
  <w:style w:type="table" w:styleId="TableGrid">
    <w:name w:val="Table Grid"/>
    <w:basedOn w:val="TableNormal"/>
    <w:rsid w:val="00215F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215FF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215FF9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7613C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DF74F0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F74F0"/>
    <w:pPr>
      <w:jc w:val="right"/>
    </w:pPr>
  </w:style>
  <w:style w:type="paragraph" w:customStyle="1" w:styleId="EPFooter">
    <w:name w:val="EPFooter"/>
    <w:basedOn w:val="Normal"/>
    <w:rsid w:val="00060E6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9E7AD9"/>
    <w:rPr>
      <w:sz w:val="24"/>
    </w:rPr>
  </w:style>
  <w:style w:type="paragraph" w:customStyle="1" w:styleId="EPComma">
    <w:name w:val="EPComma"/>
    <w:basedOn w:val="Normal"/>
    <w:rsid w:val="00FD1F04"/>
    <w:pPr>
      <w:spacing w:before="480" w:after="240"/>
    </w:pPr>
  </w:style>
  <w:style w:type="paragraph" w:styleId="FootnoteText">
    <w:name w:val="footnote text"/>
    <w:basedOn w:val="Normal"/>
    <w:link w:val="FootnoteTextChar"/>
    <w:unhideWhenUsed/>
    <w:rsid w:val="007470A8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7470A8"/>
  </w:style>
  <w:style w:type="character" w:styleId="FootnoteReference">
    <w:name w:val="footnote reference"/>
    <w:basedOn w:val="DefaultParagraphFont"/>
    <w:unhideWhenUsed/>
    <w:rsid w:val="007470A8"/>
    <w:rPr>
      <w:vertAlign w:val="superscript"/>
    </w:rPr>
  </w:style>
  <w:style w:type="paragraph" w:styleId="Footer">
    <w:name w:val="footer"/>
    <w:basedOn w:val="Normal"/>
    <w:link w:val="FooterChar"/>
    <w:semiHidden/>
    <w:rsid w:val="00CD25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CD25E0"/>
    <w:rPr>
      <w:sz w:val="24"/>
    </w:rPr>
  </w:style>
  <w:style w:type="paragraph" w:styleId="Revision">
    <w:name w:val="Revision"/>
    <w:hidden/>
    <w:uiPriority w:val="99"/>
    <w:semiHidden/>
    <w:rsid w:val="00B61BA7"/>
    <w:rPr>
      <w:sz w:val="24"/>
    </w:rPr>
  </w:style>
  <w:style w:type="character" w:styleId="CommentReference">
    <w:name w:val="annotation reference"/>
    <w:basedOn w:val="DefaultParagraphFont"/>
    <w:rsid w:val="00414AA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14AA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14AA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14A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14AA0"/>
    <w:rPr>
      <w:b/>
      <w:bCs/>
    </w:rPr>
  </w:style>
  <w:style w:type="character" w:styleId="Hyperlink">
    <w:name w:val="Hyperlink"/>
    <w:basedOn w:val="DefaultParagraphFont"/>
    <w:rsid w:val="00414A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4A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B24A96"/>
    <w:rPr>
      <w:color w:val="954F72" w:themeColor="followedHyperlink"/>
      <w:u w:val="single"/>
    </w:rPr>
  </w:style>
  <w:style w:type="paragraph" w:customStyle="1" w:styleId="CoverReference">
    <w:name w:val="CoverReference"/>
    <w:basedOn w:val="Normal"/>
    <w:rsid w:val="001D549A"/>
    <w:pPr>
      <w:spacing w:before="1080"/>
      <w:jc w:val="right"/>
    </w:pPr>
    <w:rPr>
      <w:rFonts w:ascii="Arial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638</Words>
  <Characters>4434</Characters>
  <Application>Microsoft Office Word</Application>
  <DocSecurity>0</DocSecurity>
  <Lines>105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PR_IMM_Waiver</vt:lpstr>
    </vt:vector>
  </TitlesOfParts>
  <Company/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PR_IMM_Waiver</dc:title>
  <dc:creator>ZAHARIE Ana Maria</dc:creator>
  <cp:lastModifiedBy>CAMILLERI Etleva</cp:lastModifiedBy>
  <cp:revision>2</cp:revision>
  <cp:lastPrinted>2026-04-14T09:48:00Z</cp:lastPrinted>
  <dcterms:created xsi:type="dcterms:W3CDTF">2026-05-13T07:16:00Z</dcterms:created>
  <dcterms:modified xsi:type="dcterms:W3CDTF">2026-05-13T07:16:00Z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1343292</vt:lpwstr>
  </property>
  <property fmtid="{D5CDD505-2E9C-101B-9397-08002B2CF9AE}" pid="4" name="&lt;Model&gt;">
    <vt:lpwstr>PR_IMM_Waiver</vt:lpwstr>
  </property>
  <property fmtid="{D5CDD505-2E9C-101B-9397-08002B2CF9AE}" pid="5" name="&lt;ModelCod&gt;">
    <vt:lpwstr>\\eiciLUXpr1\pdocep$\DocEP\DOCS\General\PR\PR_NonLeg\IMM\PR_IMM_Waiver.dotx(26/05/2023 17:52:03)</vt:lpwstr>
  </property>
  <property fmtid="{D5CDD505-2E9C-101B-9397-08002B2CF9AE}" pid="6" name="&lt;ModelTra&gt;">
    <vt:lpwstr>\\eiciLUXpr1\pdocep$\DocEP\TRANSFIL\EN\PR_IMM_Waiver.EN(05/08/2025 16:25:00)</vt:lpwstr>
  </property>
  <property fmtid="{D5CDD505-2E9C-101B-9397-08002B2CF9AE}" pid="7" name="&lt;Type&gt;">
    <vt:lpwstr>RR</vt:lpwstr>
  </property>
  <property fmtid="{D5CDD505-2E9C-101B-9397-08002B2CF9AE}" pid="8" name="Bookout">
    <vt:lpwstr>OK - 2026/05/13 09:15</vt:lpwstr>
  </property>
  <property fmtid="{D5CDD505-2E9C-101B-9397-08002B2CF9AE}" pid="9" name="Created with">
    <vt:lpwstr>10.2.1 Build [20260301]</vt:lpwstr>
  </property>
  <property fmtid="{D5CDD505-2E9C-101B-9397-08002B2CF9AE}" pid="10" name="FooterPath">
    <vt:lpwstr>RR\1343292MT.docx</vt:lpwstr>
  </property>
  <property fmtid="{D5CDD505-2E9C-101B-9397-08002B2CF9AE}" pid="11" name="LastEdited with">
    <vt:lpwstr>10.3.0 Build [20260401]</vt:lpwstr>
  </property>
  <property fmtid="{D5CDD505-2E9C-101B-9397-08002B2CF9AE}" pid="12" name="OriLang">
    <vt:lpwstr>EN</vt:lpwstr>
  </property>
  <property fmtid="{D5CDD505-2E9C-101B-9397-08002B2CF9AE}" pid="13" name="PE number">
    <vt:lpwstr>786.974</vt:lpwstr>
  </property>
  <property fmtid="{D5CDD505-2E9C-101B-9397-08002B2CF9AE}" pid="14" name="RegistreCheck">
    <vt:lpwstr>OK</vt:lpwstr>
  </property>
  <property fmtid="{D5CDD505-2E9C-101B-9397-08002B2CF9AE}" pid="15" name="SDLStudio">
    <vt:lpwstr/>
  </property>
  <property fmtid="{D5CDD505-2E9C-101B-9397-08002B2CF9AE}" pid="16" name="SendToEpades">
    <vt:lpwstr/>
  </property>
</Properties>
</file>