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F16EE" w:rsidRPr="00150CE5" w14:paraId="5155D312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777BCE" w14:textId="77777777" w:rsidR="00CF16EE" w:rsidRPr="00150CE5" w:rsidRDefault="007A3F74" w:rsidP="00C85D0F">
            <w:pPr>
              <w:pStyle w:val="EPName"/>
            </w:pPr>
            <w:r w:rsidRPr="00150CE5">
              <w:t>Parlament Europejski</w:t>
            </w:r>
          </w:p>
          <w:p w14:paraId="62D57263" w14:textId="1191277C" w:rsidR="00CF16EE" w:rsidRPr="00150CE5" w:rsidRDefault="007470A8" w:rsidP="00C85D0F">
            <w:pPr>
              <w:pStyle w:val="EPTerm"/>
            </w:pPr>
            <w:r w:rsidRPr="00150CE5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1923707" w14:textId="77777777" w:rsidR="00CF16EE" w:rsidRPr="00150CE5" w:rsidRDefault="00CF16EE" w:rsidP="00C85D0F">
            <w:pPr>
              <w:pStyle w:val="EPLogo"/>
            </w:pPr>
            <w:r w:rsidRPr="00150CE5">
              <w:rPr>
                <w:noProof/>
              </w:rPr>
              <w:drawing>
                <wp:inline distT="0" distB="0" distL="0" distR="0" wp14:anchorId="0E45DA15" wp14:editId="28CC1E0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8F36F9" w14:textId="77777777" w:rsidR="00215FF9" w:rsidRPr="00150CE5" w:rsidRDefault="00215FF9" w:rsidP="00215FF9">
      <w:pPr>
        <w:pStyle w:val="LineTop"/>
      </w:pPr>
    </w:p>
    <w:p w14:paraId="653CDBB3" w14:textId="572C0593" w:rsidR="00215FF9" w:rsidRPr="00150CE5" w:rsidRDefault="001D549A" w:rsidP="00215FF9">
      <w:pPr>
        <w:pStyle w:val="EPBody"/>
      </w:pPr>
      <w:r w:rsidRPr="00150CE5">
        <w:t>Dokument z posiedzenia</w:t>
      </w:r>
    </w:p>
    <w:p w14:paraId="6AC55BC9" w14:textId="77777777" w:rsidR="00215FF9" w:rsidRPr="00150CE5" w:rsidRDefault="00215FF9" w:rsidP="00215FF9">
      <w:pPr>
        <w:pStyle w:val="LineBottom"/>
      </w:pPr>
    </w:p>
    <w:p w14:paraId="3FC44D51" w14:textId="593397DB" w:rsidR="005922F7" w:rsidRPr="00150CE5" w:rsidRDefault="001D549A" w:rsidP="001D549A">
      <w:pPr>
        <w:pStyle w:val="CoverReference"/>
      </w:pPr>
      <w:r w:rsidRPr="00150CE5">
        <w:rPr>
          <w:rStyle w:val="HideTWBExt"/>
        </w:rPr>
        <w:t>&lt;NoDocSe&gt;</w:t>
      </w:r>
      <w:r w:rsidRPr="00150CE5">
        <w:t>A10-0128/2026</w:t>
      </w:r>
      <w:r w:rsidRPr="00150CE5">
        <w:rPr>
          <w:rStyle w:val="HideTWBExt"/>
        </w:rPr>
        <w:t>&lt;/NoDocSe&gt;</w:t>
      </w:r>
    </w:p>
    <w:p w14:paraId="68D6E421" w14:textId="3474272B" w:rsidR="005922F7" w:rsidRPr="00150CE5" w:rsidRDefault="005922F7" w:rsidP="005922F7">
      <w:pPr>
        <w:pStyle w:val="CoverDate"/>
      </w:pPr>
      <w:r w:rsidRPr="00150CE5">
        <w:rPr>
          <w:rStyle w:val="HideTWBExt"/>
        </w:rPr>
        <w:t>&lt;Date&gt;</w:t>
      </w:r>
      <w:r w:rsidRPr="00150CE5">
        <w:rPr>
          <w:rStyle w:val="HideTWBInt"/>
        </w:rPr>
        <w:t>{06/05/2026}</w:t>
      </w:r>
      <w:r w:rsidRPr="00150CE5">
        <w:t>6.5.2026</w:t>
      </w:r>
      <w:r w:rsidRPr="00150CE5">
        <w:rPr>
          <w:rStyle w:val="HideTWBExt"/>
        </w:rPr>
        <w:t>&lt;/Date&gt;</w:t>
      </w:r>
    </w:p>
    <w:p w14:paraId="16FABFAD" w14:textId="603C76ED" w:rsidR="00142D49" w:rsidRPr="00150CE5" w:rsidRDefault="00142D49">
      <w:pPr>
        <w:pStyle w:val="CoverDocType24a"/>
      </w:pPr>
      <w:r w:rsidRPr="00150CE5">
        <w:rPr>
          <w:rStyle w:val="HideTWBExt"/>
          <w:b w:val="0"/>
        </w:rPr>
        <w:t>&lt;TitreType&gt;</w:t>
      </w:r>
      <w:r w:rsidRPr="00150CE5">
        <w:t>SPRAWOZDANIE</w:t>
      </w:r>
      <w:r w:rsidRPr="00150CE5">
        <w:rPr>
          <w:rStyle w:val="HideTWBExt"/>
          <w:b w:val="0"/>
        </w:rPr>
        <w:t>&lt;/TitreType&gt;</w:t>
      </w:r>
    </w:p>
    <w:p w14:paraId="2C9802BA" w14:textId="287BD81D" w:rsidR="00142D49" w:rsidRPr="00150CE5" w:rsidRDefault="00142D49">
      <w:pPr>
        <w:pStyle w:val="CoverNormal"/>
      </w:pPr>
      <w:r w:rsidRPr="00150CE5">
        <w:rPr>
          <w:rStyle w:val="HideTWBExt"/>
        </w:rPr>
        <w:t>&lt;Titre&gt;</w:t>
      </w:r>
      <w:r w:rsidRPr="00150CE5">
        <w:t>w sprawie wniosku o uchylenie immunitetu Nikosa Pappasa</w:t>
      </w:r>
      <w:r w:rsidRPr="00150CE5">
        <w:rPr>
          <w:rStyle w:val="HideTWBExt"/>
        </w:rPr>
        <w:t>&lt;/Titre&gt;</w:t>
      </w:r>
    </w:p>
    <w:p w14:paraId="5EAD59DB" w14:textId="321EA79A" w:rsidR="00142D49" w:rsidRPr="00150CE5" w:rsidRDefault="00142D49">
      <w:pPr>
        <w:pStyle w:val="CoverNormal24a"/>
      </w:pPr>
      <w:r w:rsidRPr="00150CE5">
        <w:rPr>
          <w:rStyle w:val="HideTWBExt"/>
        </w:rPr>
        <w:t>&lt;DocRef&gt;</w:t>
      </w:r>
      <w:r w:rsidRPr="00150CE5">
        <w:t>(2025/2234(IMM))</w:t>
      </w:r>
      <w:r w:rsidRPr="00150CE5">
        <w:rPr>
          <w:rStyle w:val="HideTWBExt"/>
        </w:rPr>
        <w:t>&lt;/DocRef&gt;</w:t>
      </w:r>
    </w:p>
    <w:p w14:paraId="3B5D20EB" w14:textId="77777777" w:rsidR="00142D49" w:rsidRPr="00150CE5" w:rsidRDefault="00142D49">
      <w:pPr>
        <w:pStyle w:val="CoverNormal24a"/>
      </w:pPr>
      <w:r w:rsidRPr="00150CE5">
        <w:rPr>
          <w:rStyle w:val="HideTWBExt"/>
        </w:rPr>
        <w:t>&lt;Commission&gt;</w:t>
      </w:r>
      <w:r w:rsidRPr="00150CE5">
        <w:rPr>
          <w:rStyle w:val="HideTWBInt"/>
        </w:rPr>
        <w:t>{JURI}</w:t>
      </w:r>
      <w:r w:rsidRPr="00150CE5">
        <w:t>Komisja Prawna</w:t>
      </w:r>
      <w:r w:rsidRPr="00150CE5">
        <w:rPr>
          <w:rStyle w:val="HideTWBExt"/>
        </w:rPr>
        <w:t>&lt;/Commission&gt;</w:t>
      </w:r>
    </w:p>
    <w:p w14:paraId="7EC4A298" w14:textId="551C218A" w:rsidR="00142D49" w:rsidRPr="00150CE5" w:rsidRDefault="007A3F74">
      <w:pPr>
        <w:pStyle w:val="CoverNormal24a"/>
      </w:pPr>
      <w:r w:rsidRPr="00150CE5">
        <w:t xml:space="preserve">Sprawozdawca: </w:t>
      </w:r>
      <w:r w:rsidRPr="00150CE5">
        <w:rPr>
          <w:rStyle w:val="HideTWBExt"/>
        </w:rPr>
        <w:t>&lt;Depute&gt;</w:t>
      </w:r>
      <w:r w:rsidRPr="00150CE5">
        <w:t>Marcin Sypniewski</w:t>
      </w:r>
      <w:r w:rsidRPr="00150CE5">
        <w:rPr>
          <w:rStyle w:val="HideTWBExt"/>
        </w:rPr>
        <w:t>&lt;/Depute&gt;</w:t>
      </w:r>
    </w:p>
    <w:p w14:paraId="5ABFE5AB" w14:textId="77777777" w:rsidR="00142D49" w:rsidRPr="00150CE5" w:rsidRDefault="00142D49" w:rsidP="00DF74F0">
      <w:pPr>
        <w:widowControl/>
        <w:tabs>
          <w:tab w:val="center" w:pos="4677"/>
        </w:tabs>
      </w:pPr>
      <w:r w:rsidRPr="00150CE5">
        <w:br w:type="page"/>
      </w:r>
      <w:r w:rsidRPr="00150CE5">
        <w:lastRenderedPageBreak/>
        <w:t>PR_IMM_Waiver</w:t>
      </w:r>
    </w:p>
    <w:p w14:paraId="0EDAA9FD" w14:textId="77777777" w:rsidR="00142D49" w:rsidRPr="00150CE5" w:rsidRDefault="007A3F74">
      <w:pPr>
        <w:pStyle w:val="TOCHeading"/>
      </w:pPr>
      <w:r w:rsidRPr="00150CE5">
        <w:t>SPIS TREŚCI</w:t>
      </w:r>
    </w:p>
    <w:p w14:paraId="75B812B8" w14:textId="77777777" w:rsidR="00142D49" w:rsidRPr="00150CE5" w:rsidRDefault="007A3F74">
      <w:pPr>
        <w:pStyle w:val="TOCPage"/>
      </w:pPr>
      <w:r w:rsidRPr="00150CE5">
        <w:t>Strona</w:t>
      </w:r>
    </w:p>
    <w:p w14:paraId="1828333B" w14:textId="6362201C" w:rsidR="003F10A1" w:rsidRDefault="00142D4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150CE5">
        <w:fldChar w:fldCharType="begin"/>
      </w:r>
      <w:r w:rsidRPr="00150CE5">
        <w:instrText xml:space="preserve"> TOC \t "PageHeading</w:instrText>
      </w:r>
      <w:r w:rsidR="00211AA7" w:rsidRPr="00150CE5">
        <w:instrText>;</w:instrText>
      </w:r>
      <w:r w:rsidRPr="00150CE5">
        <w:instrText xml:space="preserve">1" </w:instrText>
      </w:r>
      <w:r w:rsidRPr="00150CE5">
        <w:fldChar w:fldCharType="separate"/>
      </w:r>
      <w:r w:rsidR="003F10A1">
        <w:rPr>
          <w:noProof/>
        </w:rPr>
        <w:t>PROJEKT DECYZJI PARLAMENTU EUROPEJSKIEGO</w:t>
      </w:r>
      <w:r w:rsidR="003F10A1">
        <w:rPr>
          <w:noProof/>
        </w:rPr>
        <w:tab/>
      </w:r>
      <w:r w:rsidR="003F10A1">
        <w:rPr>
          <w:noProof/>
        </w:rPr>
        <w:fldChar w:fldCharType="begin"/>
      </w:r>
      <w:r w:rsidR="003F10A1">
        <w:rPr>
          <w:noProof/>
        </w:rPr>
        <w:instrText xml:space="preserve"> PAGEREF _Toc229556288 \h </w:instrText>
      </w:r>
      <w:r w:rsidR="003F10A1">
        <w:rPr>
          <w:noProof/>
        </w:rPr>
      </w:r>
      <w:r w:rsidR="003F10A1">
        <w:rPr>
          <w:noProof/>
        </w:rPr>
        <w:fldChar w:fldCharType="separate"/>
      </w:r>
      <w:r w:rsidR="003F10A1">
        <w:rPr>
          <w:noProof/>
        </w:rPr>
        <w:t>3</w:t>
      </w:r>
      <w:r w:rsidR="003F10A1">
        <w:rPr>
          <w:noProof/>
        </w:rPr>
        <w:fldChar w:fldCharType="end"/>
      </w:r>
    </w:p>
    <w:p w14:paraId="59422983" w14:textId="52417A4B" w:rsidR="003F10A1" w:rsidRDefault="003F10A1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INFORMACJE O PRZYJĘCIU PRZEZ KOMISJĘ PRZEDMIOTOWO WŁAŚCIWĄ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_Toc229556289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3BE4AFC5" w14:textId="5A3F6094" w:rsidR="0006105E" w:rsidRPr="00150CE5" w:rsidRDefault="00142D49" w:rsidP="00273EFB">
      <w:r w:rsidRPr="00150CE5">
        <w:fldChar w:fldCharType="end"/>
      </w:r>
    </w:p>
    <w:p w14:paraId="4F37EBBC" w14:textId="77777777" w:rsidR="00142D49" w:rsidRPr="00150CE5" w:rsidRDefault="00142D49">
      <w:pPr>
        <w:pStyle w:val="PageHeading"/>
      </w:pPr>
      <w:r w:rsidRPr="00150CE5">
        <w:br w:type="page"/>
      </w:r>
      <w:bookmarkStart w:id="0" w:name="_Toc229556288"/>
      <w:r w:rsidRPr="00150CE5">
        <w:t>PROJEKT DECYZJI PARLAMENTU EUROPEJSKIEGO</w:t>
      </w:r>
      <w:bookmarkEnd w:id="0"/>
    </w:p>
    <w:p w14:paraId="2F5B7CF7" w14:textId="5D109B55" w:rsidR="00142D49" w:rsidRPr="00150CE5" w:rsidRDefault="007A3F74">
      <w:pPr>
        <w:pStyle w:val="NormalBold"/>
      </w:pPr>
      <w:r w:rsidRPr="00150CE5">
        <w:t>w sprawie wniosku o uchylenie immunitetu Nikosa Pappasa</w:t>
      </w:r>
    </w:p>
    <w:p w14:paraId="63D5D842" w14:textId="6123E44B" w:rsidR="00142D49" w:rsidRPr="00150CE5" w:rsidRDefault="007A3F74" w:rsidP="00FD1F04">
      <w:pPr>
        <w:pStyle w:val="NormalBold"/>
      </w:pPr>
      <w:r w:rsidRPr="00150CE5">
        <w:t>(2025/2234 (IMM))</w:t>
      </w:r>
    </w:p>
    <w:p w14:paraId="1DD65596" w14:textId="77777777" w:rsidR="00142D49" w:rsidRPr="00150CE5" w:rsidRDefault="007A3F74" w:rsidP="00FD1F04">
      <w:pPr>
        <w:pStyle w:val="EPComma"/>
      </w:pPr>
      <w:r w:rsidRPr="00150CE5">
        <w:rPr>
          <w:i/>
          <w:iCs/>
        </w:rPr>
        <w:t>Parlament Europejski,</w:t>
      </w:r>
    </w:p>
    <w:p w14:paraId="7E256B95" w14:textId="11420E73" w:rsidR="0037671C" w:rsidRPr="00150CE5" w:rsidRDefault="00142D49" w:rsidP="0037671C">
      <w:pPr>
        <w:pStyle w:val="NormalHanging12a"/>
      </w:pPr>
      <w:r w:rsidRPr="00150CE5">
        <w:t>–</w:t>
      </w:r>
      <w:r w:rsidRPr="00150CE5">
        <w:tab/>
        <w:t>uwzględniając wniosek o uchylenie immunitetu Nikosa Pappasa otrzymany pismem z 7</w:t>
      </w:r>
      <w:r w:rsidR="003F10A1">
        <w:t> </w:t>
      </w:r>
      <w:r w:rsidRPr="00150CE5">
        <w:t>października 2025 r. od Zastępcy Prokuratora Generalnego przy Sądzie Najwyższym Republiki Greckiej, przekazującym wniosek złożony przez prokuratora przy sądzie pierwszej instancji w Atenach w związku z postępowaniem karnym, które ma zostać wszczęte przeciwko niemu, i ogłoszony w Parlamencie 12 listopada 2025 r.,</w:t>
      </w:r>
    </w:p>
    <w:p w14:paraId="7C9D3E1E" w14:textId="5271D5BE" w:rsidR="0037671C" w:rsidRPr="00150CE5" w:rsidRDefault="0037671C" w:rsidP="0037671C">
      <w:pPr>
        <w:pStyle w:val="NormalHanging12a"/>
      </w:pPr>
      <w:r w:rsidRPr="00150CE5">
        <w:t>–</w:t>
      </w:r>
      <w:r w:rsidRPr="00150CE5">
        <w:tab/>
        <w:t xml:space="preserve">po wysłuchaniu wyjaśnień Nikosa Pappasa 15 kwietnia 2026 r., zgodnie z art. 9 ust. 6 Regulaminu, </w:t>
      </w:r>
    </w:p>
    <w:p w14:paraId="37650301" w14:textId="4B03F936" w:rsidR="0037671C" w:rsidRPr="00150CE5" w:rsidRDefault="0037671C" w:rsidP="0037671C">
      <w:pPr>
        <w:pStyle w:val="NormalHanging12a"/>
      </w:pPr>
      <w:r w:rsidRPr="00150CE5">
        <w:t>–</w:t>
      </w:r>
      <w:r w:rsidRPr="00150CE5">
        <w:tab/>
        <w:t>uwzględniając art. 8 i 9 Protokołu nr 7 w sprawie przywilejów i immunitetów Unii Europejskiej, jak również art. 6 ust. 2 aktu z 20 września 1976 r. dotyczącego wyborów przedstawicieli do Parlamentu Europejskiego w powszechnych wyborach bezpośrednich,</w:t>
      </w:r>
    </w:p>
    <w:p w14:paraId="39310BD0" w14:textId="5E34B9FD" w:rsidR="0037671C" w:rsidRPr="00150CE5" w:rsidRDefault="0037671C" w:rsidP="0037671C">
      <w:pPr>
        <w:pStyle w:val="NormalHanging12a"/>
      </w:pPr>
      <w:r w:rsidRPr="00150CE5">
        <w:t>–</w:t>
      </w:r>
      <w:r w:rsidRPr="00150CE5">
        <w:tab/>
        <w:t>uwzględniając wyroki wydane przez Trybunał Sprawiedliwości Unii Europejskiej w dniach 21 października 2008 r., 19 marca 2010 r., 6 września 2011 r., 17 stycznia 2013</w:t>
      </w:r>
      <w:r w:rsidR="003F10A1">
        <w:t> </w:t>
      </w:r>
      <w:r w:rsidRPr="00150CE5">
        <w:t>r. i 19 grudnia 2019 r.</w:t>
      </w:r>
      <w:r w:rsidRPr="00150CE5">
        <w:rPr>
          <w:vertAlign w:val="superscript"/>
        </w:rPr>
        <w:footnoteReference w:id="1"/>
      </w:r>
      <w:r w:rsidRPr="00150CE5">
        <w:t>,</w:t>
      </w:r>
    </w:p>
    <w:p w14:paraId="299F0B39" w14:textId="77777777" w:rsidR="0037671C" w:rsidRPr="00150CE5" w:rsidRDefault="0037671C" w:rsidP="0037671C">
      <w:pPr>
        <w:pStyle w:val="NormalHanging12a"/>
      </w:pPr>
      <w:r w:rsidRPr="00150CE5">
        <w:t>–</w:t>
      </w:r>
      <w:r w:rsidRPr="00150CE5">
        <w:tab/>
        <w:t>uwzględniając art. 5 ust. 2, art. 6 ust. 1 oraz art. 9 Regulaminu,</w:t>
      </w:r>
    </w:p>
    <w:p w14:paraId="557E4952" w14:textId="0A28F335" w:rsidR="0037671C" w:rsidRPr="00150CE5" w:rsidRDefault="0037671C" w:rsidP="0037671C">
      <w:pPr>
        <w:pStyle w:val="NormalHanging12a"/>
      </w:pPr>
      <w:r w:rsidRPr="00150CE5">
        <w:t>–</w:t>
      </w:r>
      <w:r w:rsidRPr="00150CE5">
        <w:tab/>
        <w:t>uwzględniając sprawozdanie Komisji Prawnej (A10-0128/2026),</w:t>
      </w:r>
    </w:p>
    <w:p w14:paraId="68CFB0CB" w14:textId="3D6AE6F9" w:rsidR="0037671C" w:rsidRPr="00150CE5" w:rsidRDefault="0037671C" w:rsidP="0037671C">
      <w:pPr>
        <w:pStyle w:val="NormalHanging12a"/>
        <w:rPr>
          <w:bCs/>
          <w:iCs/>
        </w:rPr>
      </w:pPr>
      <w:r w:rsidRPr="00150CE5">
        <w:t>A.</w:t>
      </w:r>
      <w:r w:rsidRPr="00150CE5">
        <w:tab/>
        <w:t>mając na uwadze, że Zastępca Prokuratora Generalnego przy Sądzie Najwyższym Grecji przekazał wniosek prokuratora Sądu Pierwszej Instancji w Atenach o uchylenie immunitetu Nikosa Pappasa, posła do Parlamentu Europejskiego wybranego w Grecji, w związku z zarzutami zniewag w internecie i gróźb karalnych, czyli czynów określonych w art. 94, art. 361 ust. 1 zdania pierwsze i drugie oraz art. 333 ust. 1 zdanie pierwsze greckiego kodeksu karnego;</w:t>
      </w:r>
    </w:p>
    <w:p w14:paraId="02BE4C11" w14:textId="70EB4AE5" w:rsidR="0037671C" w:rsidRPr="00150CE5" w:rsidRDefault="0037671C" w:rsidP="0037671C">
      <w:pPr>
        <w:pStyle w:val="NormalHanging12a"/>
      </w:pPr>
      <w:r w:rsidRPr="00150CE5">
        <w:t>B.</w:t>
      </w:r>
      <w:r w:rsidRPr="00150CE5">
        <w:tab/>
      </w:r>
      <w:bookmarkStart w:id="1" w:name="_Hlk226714510"/>
      <w:r w:rsidRPr="00150CE5">
        <w:t>mając na uwadze, że zgodnie z wnioskiem w zgłoszeniu wskazano, że 11 czerwca 2025</w:t>
      </w:r>
      <w:r w:rsidR="003F10A1">
        <w:t> </w:t>
      </w:r>
      <w:r w:rsidRPr="00150CE5">
        <w:t>r. Nikos Pappas miał znieważyć wnoszącego zgłoszenie i zagrozić mu bezpośrednimi w wiadomościach wysyłanych z jego osobistego konta na Instagramie;</w:t>
      </w:r>
      <w:bookmarkEnd w:id="1"/>
    </w:p>
    <w:p w14:paraId="5978E65D" w14:textId="1BA2FFB1" w:rsidR="0037671C" w:rsidRPr="00150CE5" w:rsidRDefault="0037671C" w:rsidP="0037671C">
      <w:pPr>
        <w:pStyle w:val="NormalHanging12a"/>
      </w:pPr>
      <w:r w:rsidRPr="00150CE5">
        <w:t>C.</w:t>
      </w:r>
      <w:r w:rsidRPr="00150CE5">
        <w:tab/>
        <w:t>mając na uwadze, że Nikos Pappas został wybrany do Parlamentu Europejskiego w wyborach europejskich w czerwcu 2024 r. i w czasie popełniania zarzucanych czynów był posłem do Parlamentu Europejskiego; mając na uwadze, że zgodnie z wnioskiem zgłoszenie przeciwko niemu wpłynęło 16 lipca 2025 r.;</w:t>
      </w:r>
    </w:p>
    <w:p w14:paraId="0DD18B5E" w14:textId="367AEC1B" w:rsidR="0037671C" w:rsidRPr="00150CE5" w:rsidRDefault="0037671C" w:rsidP="0037671C">
      <w:pPr>
        <w:pStyle w:val="NormalHanging12a"/>
      </w:pPr>
      <w:r w:rsidRPr="00150CE5">
        <w:t>D.</w:t>
      </w:r>
      <w:r w:rsidRPr="00150CE5">
        <w:tab/>
        <w:t>mając na uwadze, że zarzucany czyn i późniejszy wniosek o uchylenie immunitetu nie dotyczą opinii wyrażonej przez Nikosa Pappasa ani stanowiska zajętego przez niego w głosowaniu w czasie wykonywania obowiązków służbowych w rozumieniu art. 8 Protokołu nr 7 w sprawie przywilejów i immunitetów Unii Europejskiej;</w:t>
      </w:r>
    </w:p>
    <w:p w14:paraId="3ADC4328" w14:textId="77777777" w:rsidR="0037671C" w:rsidRPr="00150CE5" w:rsidRDefault="0037671C" w:rsidP="0037671C">
      <w:pPr>
        <w:pStyle w:val="NormalHanging12a"/>
      </w:pPr>
      <w:r w:rsidRPr="00150CE5">
        <w:t>E.</w:t>
      </w:r>
      <w:r w:rsidRPr="00150CE5">
        <w:tab/>
        <w:t>mając na uwadze, że zgodnie z art. 9 akapit pierwszy lit. a) Protokołu nr 7 w sprawie przywilejów i immunitetów Unii Europejskiej podczas sesji Parlamentu Europejskiego posłowie do Parlamentu Europejskiego korzystają na terytorium swoich państw z immunitetów przyznawanych członkom parlamentu ich państwa;</w:t>
      </w:r>
    </w:p>
    <w:p w14:paraId="2F091D3D" w14:textId="77777777" w:rsidR="0037671C" w:rsidRPr="00150CE5" w:rsidRDefault="0037671C" w:rsidP="0037671C">
      <w:pPr>
        <w:pStyle w:val="NormalHanging12a"/>
      </w:pPr>
      <w:r w:rsidRPr="00150CE5">
        <w:t>F.</w:t>
      </w:r>
      <w:r w:rsidRPr="00150CE5">
        <w:tab/>
        <w:t>mając na uwadze, że zgodnie z art. 62 konstytucji Republiki Greckiej w czasie trwania mandatu poselskiego posła nie można ścigać, aresztować, uwięzić ani poddać innym środkom polegającym na pozbawieniu wolności bez zgody izby deputowanych;</w:t>
      </w:r>
    </w:p>
    <w:p w14:paraId="0BB3807C" w14:textId="77777777" w:rsidR="0037671C" w:rsidRPr="00150CE5" w:rsidRDefault="0037671C" w:rsidP="0037671C">
      <w:pPr>
        <w:pStyle w:val="NormalHanging12a"/>
      </w:pPr>
      <w:r w:rsidRPr="00150CE5">
        <w:t>G.</w:t>
      </w:r>
      <w:r w:rsidRPr="00150CE5">
        <w:tab/>
        <w:t>mając na uwadze, że immunitet przewidziany w Protokole nr 7 w sprawie przywilejów i immunitetów Unii Europejskiej ma chronić Parlament i posłów do niego przed postępowaniami sądowymi w związku z działaniami podejmowanymi w ramach wykonywania obowiązków parlamentarnych i niemożliwych do oddzielenia od tych obowiązków;</w:t>
      </w:r>
    </w:p>
    <w:p w14:paraId="0054C7ED" w14:textId="77777777" w:rsidR="0037671C" w:rsidRPr="00150CE5" w:rsidRDefault="0037671C" w:rsidP="0037671C">
      <w:pPr>
        <w:pStyle w:val="NormalHanging12a"/>
      </w:pPr>
      <w:r w:rsidRPr="00150CE5">
        <w:t>H.</w:t>
      </w:r>
      <w:r w:rsidRPr="00150CE5">
        <w:tab/>
        <w:t>mając na uwadze, że zgodnie z art. 5 ust. 2 Regulaminu immunitet parlamentarny nie jest osobistym przywilejem posła, lecz gwarancją niezależności Parlamentu jako całości oraz jego posłów;</w:t>
      </w:r>
    </w:p>
    <w:p w14:paraId="4F868F63" w14:textId="44FB52B8" w:rsidR="0037671C" w:rsidRPr="00150CE5" w:rsidRDefault="0037671C" w:rsidP="0037671C">
      <w:pPr>
        <w:pStyle w:val="NormalHanging12a"/>
      </w:pPr>
      <w:r w:rsidRPr="00150CE5">
        <w:t>I.</w:t>
      </w:r>
      <w:r w:rsidRPr="00150CE5">
        <w:tab/>
        <w:t>mając na uwadze, że Parlament nie znalazł w tej sprawie dowodów wskazujących na zaistnienie fumus persecutionis, czyli okoliczności wskazujących na leżący u podstaw postępowania sądowego zamiar zaszkodzenia działalności politycznej posła jako deputowanego do Parlamentu Europejskiego;</w:t>
      </w:r>
    </w:p>
    <w:p w14:paraId="78379CF5" w14:textId="0D4B2BE0" w:rsidR="0037671C" w:rsidRPr="00150CE5" w:rsidRDefault="0037671C" w:rsidP="0037671C">
      <w:pPr>
        <w:pStyle w:val="NormalHanging12a"/>
      </w:pPr>
      <w:r w:rsidRPr="00150CE5">
        <w:t>J.</w:t>
      </w:r>
      <w:r w:rsidRPr="00150CE5">
        <w:tab/>
        <w:t>mając na uwadze, że w kontekście procedury uchylenia immunitetu Parlamentu nie można uznawać za sąd, a posła – za oskarżonego</w:t>
      </w:r>
      <w:r w:rsidRPr="00150CE5">
        <w:rPr>
          <w:vertAlign w:val="superscript"/>
        </w:rPr>
        <w:footnoteReference w:id="2"/>
      </w:r>
      <w:r w:rsidRPr="00150CE5">
        <w:t>;</w:t>
      </w:r>
    </w:p>
    <w:p w14:paraId="088D62FC" w14:textId="59764213" w:rsidR="0037671C" w:rsidRPr="00150CE5" w:rsidRDefault="0037671C" w:rsidP="0037671C">
      <w:pPr>
        <w:pStyle w:val="NormalHanging12a"/>
      </w:pPr>
      <w:r w:rsidRPr="00150CE5">
        <w:t>1.</w:t>
      </w:r>
      <w:r w:rsidRPr="00150CE5">
        <w:tab/>
        <w:t>postanawia uchylić immunitet Nikosa Pappasa;</w:t>
      </w:r>
    </w:p>
    <w:p w14:paraId="31CD54D1" w14:textId="1329B52B" w:rsidR="0037671C" w:rsidRPr="00150CE5" w:rsidRDefault="0037671C" w:rsidP="00DC7727">
      <w:pPr>
        <w:pStyle w:val="NormalHanging12a"/>
      </w:pPr>
      <w:r w:rsidRPr="00150CE5">
        <w:t>2.</w:t>
      </w:r>
      <w:r w:rsidRPr="00150CE5">
        <w:tab/>
        <w:t>zobowiązuje swoją przewodniczącą do niezwłocznego przekazania niniejszej decyzji oraz sprawozdania właściwej komisji właściwym władzom Republiki Greckiej i Nikosowi Pappasowi.</w:t>
      </w:r>
    </w:p>
    <w:p w14:paraId="74C74EDC" w14:textId="77777777" w:rsidR="00782E54" w:rsidRPr="00150CE5" w:rsidRDefault="00782E54" w:rsidP="00DC7727">
      <w:pPr>
        <w:sectPr w:rsidR="00782E54" w:rsidRPr="00150CE5" w:rsidSect="00150CE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  <w:titlePg/>
        </w:sectPr>
      </w:pPr>
    </w:p>
    <w:p w14:paraId="1F1AF801" w14:textId="2C0D647B" w:rsidR="00DC7727" w:rsidRPr="00150CE5" w:rsidRDefault="00DC7727" w:rsidP="00DC7727">
      <w:pPr>
        <w:pStyle w:val="PageHeading"/>
      </w:pPr>
      <w:bookmarkStart w:id="2" w:name="ProcPageRR"/>
      <w:bookmarkStart w:id="3" w:name="_Toc229556289"/>
      <w:r w:rsidRPr="00150CE5">
        <w:t>INFORMACJE O PRZYJĘCIU PRZEZ</w:t>
      </w:r>
      <w:r w:rsidR="003F10A1">
        <w:br/>
      </w:r>
      <w:r w:rsidRPr="00150CE5">
        <w:t>KOMISJĘ PRZEDMIOTOWO WŁAŚCIWĄ</w:t>
      </w:r>
      <w:bookmarkEnd w:id="3"/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DC7727" w:rsidRPr="00150CE5" w14:paraId="158DC7FA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8A905EB" w14:textId="77777777" w:rsidR="00DC7727" w:rsidRPr="00150CE5" w:rsidRDefault="00DC772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150CE5">
              <w:rPr>
                <w:b/>
                <w:color w:val="000000"/>
                <w:sz w:val="20"/>
              </w:rPr>
              <w:t>Data przyjęcia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754F41E" w14:textId="77777777" w:rsidR="00DC7727" w:rsidRPr="00150CE5" w:rsidRDefault="00DC77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50CE5">
              <w:rPr>
                <w:color w:val="000000"/>
                <w:sz w:val="20"/>
              </w:rPr>
              <w:t>5.5.2026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1260461" w14:textId="77777777" w:rsidR="00DC7727" w:rsidRPr="00150CE5" w:rsidRDefault="00DC772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A82E324" w14:textId="77777777" w:rsidR="00DC7727" w:rsidRPr="00150CE5" w:rsidRDefault="00DC772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A50B71E" w14:textId="77777777" w:rsidR="00DC7727" w:rsidRPr="00150CE5" w:rsidRDefault="00DC772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DC7727" w:rsidRPr="00150CE5" w14:paraId="2E3F46EC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B3D7FA2" w14:textId="77777777" w:rsidR="00DC7727" w:rsidRPr="00150CE5" w:rsidRDefault="00DC772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150CE5">
              <w:rPr>
                <w:b/>
                <w:color w:val="000000"/>
                <w:sz w:val="20"/>
              </w:rPr>
              <w:t>Wynik głosowania końcowego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1566470" w14:textId="77777777" w:rsidR="00DC7727" w:rsidRPr="00150CE5" w:rsidRDefault="00DC77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50CE5">
              <w:rPr>
                <w:color w:val="000000"/>
                <w:sz w:val="20"/>
              </w:rPr>
              <w:t>+:</w:t>
            </w:r>
          </w:p>
          <w:p w14:paraId="6A57D674" w14:textId="77777777" w:rsidR="00DC7727" w:rsidRPr="00150CE5" w:rsidRDefault="00DC77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50CE5">
              <w:rPr>
                <w:color w:val="000000"/>
                <w:sz w:val="20"/>
              </w:rPr>
              <w:t>–:</w:t>
            </w:r>
          </w:p>
          <w:p w14:paraId="46CB2211" w14:textId="77777777" w:rsidR="00DC7727" w:rsidRPr="00150CE5" w:rsidRDefault="00DC77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50CE5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9E6CA20" w14:textId="77777777" w:rsidR="00DC7727" w:rsidRPr="00150CE5" w:rsidRDefault="00DC77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50CE5">
              <w:rPr>
                <w:color w:val="000000"/>
                <w:sz w:val="20"/>
              </w:rPr>
              <w:t>21</w:t>
            </w:r>
          </w:p>
          <w:p w14:paraId="25E539AB" w14:textId="77777777" w:rsidR="00DC7727" w:rsidRPr="00150CE5" w:rsidRDefault="00DC77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50CE5">
              <w:rPr>
                <w:color w:val="000000"/>
                <w:sz w:val="20"/>
              </w:rPr>
              <w:t>0</w:t>
            </w:r>
          </w:p>
          <w:p w14:paraId="65E21B54" w14:textId="77777777" w:rsidR="00DC7727" w:rsidRPr="00150CE5" w:rsidRDefault="00DC77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50CE5">
              <w:rPr>
                <w:color w:val="000000"/>
                <w:sz w:val="20"/>
              </w:rPr>
              <w:t>0</w:t>
            </w:r>
          </w:p>
        </w:tc>
      </w:tr>
    </w:tbl>
    <w:p w14:paraId="4C90AAAB" w14:textId="77777777" w:rsidR="00DC7727" w:rsidRPr="00150CE5" w:rsidRDefault="00DC7727"/>
    <w:bookmarkEnd w:id="2"/>
    <w:p w14:paraId="18A8CC2A" w14:textId="12C99D43" w:rsidR="00782E54" w:rsidRPr="00150CE5" w:rsidRDefault="00782E54" w:rsidP="00DC7727"/>
    <w:sectPr w:rsidR="00782E54" w:rsidRPr="00150CE5" w:rsidSect="00DC7727">
      <w:pgSz w:w="11894" w:h="15840"/>
      <w:pgMar w:top="1700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22D59" w14:textId="77777777" w:rsidR="007A3F74" w:rsidRPr="00150CE5" w:rsidRDefault="007A3F74">
      <w:r w:rsidRPr="00150CE5">
        <w:separator/>
      </w:r>
    </w:p>
  </w:endnote>
  <w:endnote w:type="continuationSeparator" w:id="0">
    <w:p w14:paraId="610AD7B1" w14:textId="77777777" w:rsidR="007A3F74" w:rsidRPr="00150CE5" w:rsidRDefault="007A3F74">
      <w:r w:rsidRPr="00150C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D7EA" w14:textId="77777777" w:rsidR="00150CE5" w:rsidRPr="00150CE5" w:rsidRDefault="00150CE5" w:rsidP="00150CE5">
    <w:pPr>
      <w:pStyle w:val="EPFooter"/>
    </w:pPr>
    <w:r w:rsidRPr="00150CE5">
      <w:t>PE</w:t>
    </w:r>
    <w:r w:rsidRPr="00150CE5">
      <w:rPr>
        <w:rStyle w:val="HideTWBExt"/>
      </w:rPr>
      <w:t>&lt;NoPE&gt;</w:t>
    </w:r>
    <w:r w:rsidRPr="00150CE5">
      <w:t>786.974</w:t>
    </w:r>
    <w:r w:rsidRPr="00150CE5">
      <w:rPr>
        <w:rStyle w:val="HideTWBExt"/>
      </w:rPr>
      <w:t>&lt;/NoPE&gt;&lt;Version&gt;</w:t>
    </w:r>
    <w:r w:rsidRPr="00150CE5">
      <w:t>v03-00</w:t>
    </w:r>
    <w:r w:rsidRPr="00150CE5">
      <w:rPr>
        <w:rStyle w:val="HideTWBExt"/>
      </w:rPr>
      <w:t>&lt;/Version&gt;</w:t>
    </w:r>
    <w:r w:rsidRPr="00150CE5">
      <w:tab/>
    </w:r>
    <w:r w:rsidRPr="00150CE5">
      <w:fldChar w:fldCharType="begin"/>
    </w:r>
    <w:r w:rsidRPr="00150CE5">
      <w:instrText xml:space="preserve"> PAGE  \* MERGEFORMAT </w:instrText>
    </w:r>
    <w:r w:rsidRPr="00150CE5">
      <w:fldChar w:fldCharType="separate"/>
    </w:r>
    <w:r w:rsidRPr="00150CE5">
      <w:rPr>
        <w:noProof/>
      </w:rPr>
      <w:t>4</w:t>
    </w:r>
    <w:r w:rsidRPr="00150CE5">
      <w:fldChar w:fldCharType="end"/>
    </w:r>
    <w:r w:rsidRPr="00150CE5">
      <w:t>/</w:t>
    </w:r>
    <w:fldSimple w:instr=" NUMPAGES  \* MERGEFORMAT ">
      <w:r w:rsidRPr="00150CE5">
        <w:rPr>
          <w:noProof/>
        </w:rPr>
        <w:t>5</w:t>
      </w:r>
    </w:fldSimple>
    <w:r w:rsidRPr="00150CE5">
      <w:tab/>
    </w:r>
    <w:r w:rsidRPr="00150CE5">
      <w:rPr>
        <w:rStyle w:val="HideTWBExt"/>
      </w:rPr>
      <w:t>&lt;PathFdR&gt;</w:t>
    </w:r>
    <w:r w:rsidRPr="00150CE5">
      <w:t>RR\1343292PL.docx</w:t>
    </w:r>
    <w:r w:rsidRPr="00150CE5">
      <w:rPr>
        <w:rStyle w:val="HideTWBExt"/>
      </w:rPr>
      <w:t>&lt;/PathFdR&gt;</w:t>
    </w:r>
  </w:p>
  <w:p w14:paraId="658457CE" w14:textId="49F12738" w:rsidR="0023430B" w:rsidRPr="00150CE5" w:rsidRDefault="00150CE5" w:rsidP="00150CE5">
    <w:pPr>
      <w:pStyle w:val="EPFooter2"/>
    </w:pPr>
    <w:r w:rsidRPr="00150CE5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42B28" w14:textId="77777777" w:rsidR="00150CE5" w:rsidRPr="00150CE5" w:rsidRDefault="00150CE5" w:rsidP="00150CE5">
    <w:pPr>
      <w:pStyle w:val="EPFooter"/>
    </w:pPr>
    <w:r w:rsidRPr="00150CE5">
      <w:rPr>
        <w:rStyle w:val="HideTWBExt"/>
      </w:rPr>
      <w:t>&lt;PathFdR&gt;</w:t>
    </w:r>
    <w:r w:rsidRPr="00150CE5">
      <w:t>RR\1343292PL.docx</w:t>
    </w:r>
    <w:r w:rsidRPr="00150CE5">
      <w:rPr>
        <w:rStyle w:val="HideTWBExt"/>
      </w:rPr>
      <w:t>&lt;/PathFdR&gt;</w:t>
    </w:r>
    <w:r w:rsidRPr="00150CE5">
      <w:tab/>
    </w:r>
    <w:r w:rsidRPr="00150CE5">
      <w:fldChar w:fldCharType="begin"/>
    </w:r>
    <w:r w:rsidRPr="00150CE5">
      <w:instrText xml:space="preserve"> PAGE  \* MERGEFORMAT </w:instrText>
    </w:r>
    <w:r w:rsidRPr="00150CE5">
      <w:fldChar w:fldCharType="separate"/>
    </w:r>
    <w:r w:rsidRPr="00150CE5">
      <w:rPr>
        <w:noProof/>
      </w:rPr>
      <w:t>5</w:t>
    </w:r>
    <w:r w:rsidRPr="00150CE5">
      <w:fldChar w:fldCharType="end"/>
    </w:r>
    <w:r w:rsidRPr="00150CE5">
      <w:t>/</w:t>
    </w:r>
    <w:fldSimple w:instr=" NUMPAGES  \* MERGEFORMAT ">
      <w:r w:rsidRPr="00150CE5">
        <w:rPr>
          <w:noProof/>
        </w:rPr>
        <w:t>5</w:t>
      </w:r>
    </w:fldSimple>
    <w:r w:rsidRPr="00150CE5">
      <w:tab/>
      <w:t>PE</w:t>
    </w:r>
    <w:r w:rsidRPr="00150CE5">
      <w:rPr>
        <w:rStyle w:val="HideTWBExt"/>
      </w:rPr>
      <w:t>&lt;NoPE&gt;</w:t>
    </w:r>
    <w:r w:rsidRPr="00150CE5">
      <w:t>786.974</w:t>
    </w:r>
    <w:r w:rsidRPr="00150CE5">
      <w:rPr>
        <w:rStyle w:val="HideTWBExt"/>
      </w:rPr>
      <w:t>&lt;/NoPE&gt;&lt;Version&gt;</w:t>
    </w:r>
    <w:r w:rsidRPr="00150CE5">
      <w:t>v03-00</w:t>
    </w:r>
    <w:r w:rsidRPr="00150CE5">
      <w:rPr>
        <w:rStyle w:val="HideTWBExt"/>
      </w:rPr>
      <w:t>&lt;/Version&gt;</w:t>
    </w:r>
  </w:p>
  <w:p w14:paraId="2AEFD817" w14:textId="3DE5C1D9" w:rsidR="0023430B" w:rsidRPr="00150CE5" w:rsidRDefault="00150CE5" w:rsidP="00150CE5">
    <w:pPr>
      <w:pStyle w:val="EPFooter2"/>
    </w:pPr>
    <w:r w:rsidRPr="00150CE5">
      <w:tab/>
    </w:r>
    <w:r w:rsidRPr="00150CE5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5F9C7" w14:textId="77777777" w:rsidR="00150CE5" w:rsidRPr="00150CE5" w:rsidRDefault="00150CE5" w:rsidP="00150CE5">
    <w:pPr>
      <w:pStyle w:val="EPFooter"/>
    </w:pPr>
    <w:r w:rsidRPr="00150CE5">
      <w:rPr>
        <w:rStyle w:val="HideTWBExt"/>
      </w:rPr>
      <w:t>&lt;PathFdR&gt;</w:t>
    </w:r>
    <w:r w:rsidRPr="00150CE5">
      <w:t>RR\1343292PL.docx</w:t>
    </w:r>
    <w:r w:rsidRPr="00150CE5">
      <w:rPr>
        <w:rStyle w:val="HideTWBExt"/>
      </w:rPr>
      <w:t>&lt;/PathFdR&gt;</w:t>
    </w:r>
    <w:r w:rsidRPr="00150CE5">
      <w:tab/>
    </w:r>
    <w:r w:rsidRPr="00150CE5">
      <w:tab/>
      <w:t>PE</w:t>
    </w:r>
    <w:r w:rsidRPr="00150CE5">
      <w:rPr>
        <w:rStyle w:val="HideTWBExt"/>
      </w:rPr>
      <w:t>&lt;NoPE&gt;</w:t>
    </w:r>
    <w:r w:rsidRPr="00150CE5">
      <w:t>786.974</w:t>
    </w:r>
    <w:r w:rsidRPr="00150CE5">
      <w:rPr>
        <w:rStyle w:val="HideTWBExt"/>
      </w:rPr>
      <w:t>&lt;/NoPE&gt;&lt;Version&gt;</w:t>
    </w:r>
    <w:r w:rsidRPr="00150CE5">
      <w:t>v03-00</w:t>
    </w:r>
    <w:r w:rsidRPr="00150CE5">
      <w:rPr>
        <w:rStyle w:val="HideTWBExt"/>
      </w:rPr>
      <w:t>&lt;/Version&gt;</w:t>
    </w:r>
  </w:p>
  <w:p w14:paraId="335F31F2" w14:textId="6570758E" w:rsidR="0023430B" w:rsidRPr="00150CE5" w:rsidRDefault="00150CE5" w:rsidP="00150CE5">
    <w:pPr>
      <w:pStyle w:val="EPFooter2"/>
    </w:pPr>
    <w:r w:rsidRPr="00150CE5">
      <w:t>PL</w:t>
    </w:r>
    <w:r w:rsidRPr="00150CE5">
      <w:tab/>
    </w:r>
    <w:r w:rsidRPr="00150CE5">
      <w:rPr>
        <w:b w:val="0"/>
        <w:i/>
        <w:color w:val="C0C0C0"/>
        <w:sz w:val="22"/>
      </w:rPr>
      <w:t>Zjednoczona w różnorodności</w:t>
    </w:r>
    <w:r w:rsidRPr="00150CE5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F6929" w14:textId="77777777" w:rsidR="007A3F74" w:rsidRPr="00150CE5" w:rsidRDefault="007A3F74">
      <w:r w:rsidRPr="00150CE5">
        <w:separator/>
      </w:r>
    </w:p>
  </w:footnote>
  <w:footnote w:type="continuationSeparator" w:id="0">
    <w:p w14:paraId="7CCCF422" w14:textId="77777777" w:rsidR="007A3F74" w:rsidRPr="00150CE5" w:rsidRDefault="007A3F74">
      <w:r w:rsidRPr="00150CE5">
        <w:continuationSeparator/>
      </w:r>
    </w:p>
  </w:footnote>
  <w:footnote w:id="1">
    <w:p w14:paraId="63EA19DC" w14:textId="4F68C1F5" w:rsidR="0037671C" w:rsidRPr="00150CE5" w:rsidRDefault="0037671C" w:rsidP="0037671C">
      <w:pPr>
        <w:pStyle w:val="FootnoteText"/>
      </w:pPr>
      <w:r w:rsidRPr="00150CE5">
        <w:rPr>
          <w:rStyle w:val="FootnoteReference"/>
        </w:rPr>
        <w:footnoteRef/>
      </w:r>
      <w:r w:rsidRPr="00150CE5">
        <w:rPr>
          <w:rStyle w:val="FootnoteReference"/>
        </w:rPr>
        <w:t xml:space="preserve"> </w:t>
      </w:r>
      <w:r w:rsidRPr="00150CE5">
        <w:t>Wyrok Trybunału Sprawiedliwości z dnia 21 października 2008 r., Marra/De Gregorio i Clemente, C-200/07 i C-201/07, ECLI:EU:C:2008:579; wyrok Sądu z dnia 19 marca 2010 r., Gollnisch/Parlament, T-42/06, ECLI:EU:T:2010:102; wyrok Trybunału Sprawiedliwości z dnia 6 września 2011 r., Patriciello, C-163/10, ECLI: EU:C:2011:543; wyrok Sądu z dnia 17 stycznia 2013 r., Gollnisch/Parlament, T-346/11 i T-347/11, ECLI:EU:T:2013:23; wyrok Trybunału Sprawiedliwości z dnia 19 grudnia 2019 r., Junqueras Vies, C-502/19, ECLI:EU:C:2019:1115.</w:t>
      </w:r>
    </w:p>
  </w:footnote>
  <w:footnote w:id="2">
    <w:p w14:paraId="26EEF05B" w14:textId="77777777" w:rsidR="0037671C" w:rsidRPr="00150CE5" w:rsidRDefault="0037671C" w:rsidP="0037671C">
      <w:pPr>
        <w:pStyle w:val="FootnoteText"/>
      </w:pPr>
      <w:r w:rsidRPr="00150CE5">
        <w:rPr>
          <w:rStyle w:val="FootnoteReference"/>
        </w:rPr>
        <w:footnoteRef/>
      </w:r>
      <w:r w:rsidRPr="00150CE5">
        <w:rPr>
          <w:rStyle w:val="FootnoteReference"/>
        </w:rPr>
        <w:t xml:space="preserve"> </w:t>
      </w:r>
      <w:r w:rsidRPr="00150CE5">
        <w:t>Wyrok Sądu z dnia 30 kwietnia 2019 r., Briois/Parlement,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0EA51" w14:textId="77777777" w:rsidR="003F10A1" w:rsidRDefault="003F10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71FBE" w14:textId="77777777" w:rsidR="003F10A1" w:rsidRDefault="003F10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782EF" w14:textId="77777777" w:rsidR="003F10A1" w:rsidRDefault="003F10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6049966">
    <w:abstractNumId w:val="9"/>
  </w:num>
  <w:num w:numId="2" w16cid:durableId="500123677">
    <w:abstractNumId w:val="9"/>
  </w:num>
  <w:num w:numId="3" w16cid:durableId="1251350794">
    <w:abstractNumId w:val="7"/>
  </w:num>
  <w:num w:numId="4" w16cid:durableId="538204988">
    <w:abstractNumId w:val="7"/>
  </w:num>
  <w:num w:numId="5" w16cid:durableId="75397706">
    <w:abstractNumId w:val="6"/>
  </w:num>
  <w:num w:numId="6" w16cid:durableId="1763794196">
    <w:abstractNumId w:val="6"/>
  </w:num>
  <w:num w:numId="7" w16cid:durableId="1933928331">
    <w:abstractNumId w:val="5"/>
  </w:num>
  <w:num w:numId="8" w16cid:durableId="1153915050">
    <w:abstractNumId w:val="5"/>
  </w:num>
  <w:num w:numId="9" w16cid:durableId="518348470">
    <w:abstractNumId w:val="4"/>
  </w:num>
  <w:num w:numId="10" w16cid:durableId="916595541">
    <w:abstractNumId w:val="4"/>
  </w:num>
  <w:num w:numId="11" w16cid:durableId="356584343">
    <w:abstractNumId w:val="8"/>
  </w:num>
  <w:num w:numId="12" w16cid:durableId="1006860297">
    <w:abstractNumId w:val="8"/>
  </w:num>
  <w:num w:numId="13" w16cid:durableId="2122459182">
    <w:abstractNumId w:val="3"/>
  </w:num>
  <w:num w:numId="14" w16cid:durableId="995376107">
    <w:abstractNumId w:val="3"/>
  </w:num>
  <w:num w:numId="15" w16cid:durableId="777532011">
    <w:abstractNumId w:val="2"/>
  </w:num>
  <w:num w:numId="16" w16cid:durableId="1760180310">
    <w:abstractNumId w:val="2"/>
  </w:num>
  <w:num w:numId="17" w16cid:durableId="650838489">
    <w:abstractNumId w:val="1"/>
  </w:num>
  <w:num w:numId="18" w16cid:durableId="1290627998">
    <w:abstractNumId w:val="1"/>
  </w:num>
  <w:num w:numId="19" w16cid:durableId="1948807813">
    <w:abstractNumId w:val="0"/>
  </w:num>
  <w:num w:numId="20" w16cid:durableId="668680220">
    <w:abstractNumId w:val="0"/>
  </w:num>
  <w:num w:numId="21" w16cid:durableId="1836257524">
    <w:abstractNumId w:val="9"/>
  </w:num>
  <w:num w:numId="22" w16cid:durableId="1973629948">
    <w:abstractNumId w:val="7"/>
  </w:num>
  <w:num w:numId="23" w16cid:durableId="993527861">
    <w:abstractNumId w:val="6"/>
  </w:num>
  <w:num w:numId="24" w16cid:durableId="1841920576">
    <w:abstractNumId w:val="5"/>
  </w:num>
  <w:num w:numId="25" w16cid:durableId="1499228666">
    <w:abstractNumId w:val="4"/>
  </w:num>
  <w:num w:numId="26" w16cid:durableId="438914760">
    <w:abstractNumId w:val="8"/>
  </w:num>
  <w:num w:numId="27" w16cid:durableId="1546600766">
    <w:abstractNumId w:val="3"/>
  </w:num>
  <w:num w:numId="28" w16cid:durableId="1523980013">
    <w:abstractNumId w:val="2"/>
  </w:num>
  <w:num w:numId="29" w16cid:durableId="729578024">
    <w:abstractNumId w:val="1"/>
  </w:num>
  <w:num w:numId="30" w16cid:durableId="812868156">
    <w:abstractNumId w:val="0"/>
  </w:num>
  <w:num w:numId="31" w16cid:durableId="1722942012">
    <w:abstractNumId w:val="9"/>
  </w:num>
  <w:num w:numId="32" w16cid:durableId="610166904">
    <w:abstractNumId w:val="7"/>
  </w:num>
  <w:num w:numId="33" w16cid:durableId="471598544">
    <w:abstractNumId w:val="6"/>
  </w:num>
  <w:num w:numId="34" w16cid:durableId="703290029">
    <w:abstractNumId w:val="5"/>
  </w:num>
  <w:num w:numId="35" w16cid:durableId="196478196">
    <w:abstractNumId w:val="4"/>
  </w:num>
  <w:num w:numId="36" w16cid:durableId="457837999">
    <w:abstractNumId w:val="8"/>
  </w:num>
  <w:num w:numId="37" w16cid:durableId="1081296137">
    <w:abstractNumId w:val="3"/>
  </w:num>
  <w:num w:numId="38" w16cid:durableId="580678148">
    <w:abstractNumId w:val="2"/>
  </w:num>
  <w:num w:numId="39" w16cid:durableId="30228065">
    <w:abstractNumId w:val="1"/>
  </w:num>
  <w:num w:numId="40" w16cid:durableId="1066031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RTMNU" w:val=" 1"/>
    <w:docVar w:name="DOCDT" w:val="06/05/2026"/>
    <w:docVar w:name="EPPOMNU" w:val=" 1"/>
    <w:docVar w:name="HEARDMNU" w:val=" 1"/>
    <w:docVar w:name="JUDGMNU@" w:val=" 2"/>
    <w:docVar w:name="LastEditedSection" w:val=" 1"/>
    <w:docVar w:name="PLENARYDT" w:val="10/04/2026"/>
    <w:docVar w:name="REQUESTDT" w:val="10/04/2026"/>
    <w:docVar w:name="strDocTypeID" w:val="PR_IMM_Waiver"/>
    <w:docVar w:name="strSubDir" w:val="786"/>
    <w:docVar w:name="TXTAUTHOR" w:val="Marcin Sypniewski"/>
    <w:docVar w:name="TXTLANGUE" w:val="EN"/>
    <w:docVar w:name="TXTLANGUEMIN" w:val="en"/>
    <w:docVar w:name="TXTNAME" w:val="Nikos Pappas"/>
    <w:docVar w:name="TXTNRIMM" w:val="2025/2234"/>
    <w:docVar w:name="TXTNRPE" w:val="786.974"/>
    <w:docVar w:name="TXTPEorAP" w:val="PE"/>
    <w:docVar w:name="TXTROUTE" w:val="RR\786.974EN.docx"/>
    <w:docVar w:name="TXTVERSION" w:val="03-00"/>
    <w:docVar w:name="WAIVEMNU" w:val=" 1"/>
  </w:docVars>
  <w:rsids>
    <w:rsidRoot w:val="007A3F74"/>
    <w:rsid w:val="00044B9B"/>
    <w:rsid w:val="00060E63"/>
    <w:rsid w:val="0006105E"/>
    <w:rsid w:val="00080B89"/>
    <w:rsid w:val="000C0CAA"/>
    <w:rsid w:val="000E36C4"/>
    <w:rsid w:val="000F22E6"/>
    <w:rsid w:val="000F57CC"/>
    <w:rsid w:val="00107BF5"/>
    <w:rsid w:val="00114131"/>
    <w:rsid w:val="00135BE0"/>
    <w:rsid w:val="00142D49"/>
    <w:rsid w:val="00150CE5"/>
    <w:rsid w:val="001523F3"/>
    <w:rsid w:val="001529BD"/>
    <w:rsid w:val="00172971"/>
    <w:rsid w:val="001D549A"/>
    <w:rsid w:val="001F52C3"/>
    <w:rsid w:val="001F5613"/>
    <w:rsid w:val="00205304"/>
    <w:rsid w:val="00211AA7"/>
    <w:rsid w:val="00215FF9"/>
    <w:rsid w:val="0023430B"/>
    <w:rsid w:val="002442B3"/>
    <w:rsid w:val="00250733"/>
    <w:rsid w:val="00252E1D"/>
    <w:rsid w:val="00273EFB"/>
    <w:rsid w:val="00285706"/>
    <w:rsid w:val="002915E6"/>
    <w:rsid w:val="0029288E"/>
    <w:rsid w:val="00296EB6"/>
    <w:rsid w:val="002F5F7C"/>
    <w:rsid w:val="00326E87"/>
    <w:rsid w:val="00352031"/>
    <w:rsid w:val="0035402F"/>
    <w:rsid w:val="0035595E"/>
    <w:rsid w:val="0037671C"/>
    <w:rsid w:val="00392A3D"/>
    <w:rsid w:val="003B1888"/>
    <w:rsid w:val="003D30B4"/>
    <w:rsid w:val="003E24B5"/>
    <w:rsid w:val="003F10A1"/>
    <w:rsid w:val="00414AA0"/>
    <w:rsid w:val="00431EC1"/>
    <w:rsid w:val="004433B2"/>
    <w:rsid w:val="0044752A"/>
    <w:rsid w:val="004502C8"/>
    <w:rsid w:val="0045635E"/>
    <w:rsid w:val="00493F90"/>
    <w:rsid w:val="004B2372"/>
    <w:rsid w:val="004E7774"/>
    <w:rsid w:val="00503AC2"/>
    <w:rsid w:val="005922F7"/>
    <w:rsid w:val="005B5955"/>
    <w:rsid w:val="00627F06"/>
    <w:rsid w:val="00633DF2"/>
    <w:rsid w:val="00681E33"/>
    <w:rsid w:val="006A1780"/>
    <w:rsid w:val="006C038C"/>
    <w:rsid w:val="006D6F36"/>
    <w:rsid w:val="00736D0A"/>
    <w:rsid w:val="007470A8"/>
    <w:rsid w:val="00752B65"/>
    <w:rsid w:val="00753DFC"/>
    <w:rsid w:val="007613CD"/>
    <w:rsid w:val="0076428C"/>
    <w:rsid w:val="00771E7F"/>
    <w:rsid w:val="00780317"/>
    <w:rsid w:val="0078039D"/>
    <w:rsid w:val="00782E54"/>
    <w:rsid w:val="00785C52"/>
    <w:rsid w:val="00797CAE"/>
    <w:rsid w:val="007A3F74"/>
    <w:rsid w:val="007A7BF5"/>
    <w:rsid w:val="007C040A"/>
    <w:rsid w:val="007D49EE"/>
    <w:rsid w:val="007E434A"/>
    <w:rsid w:val="007F4D6A"/>
    <w:rsid w:val="008376BE"/>
    <w:rsid w:val="008436E0"/>
    <w:rsid w:val="00851E2C"/>
    <w:rsid w:val="00867D72"/>
    <w:rsid w:val="00872381"/>
    <w:rsid w:val="008D1236"/>
    <w:rsid w:val="008D1C36"/>
    <w:rsid w:val="008E6FB9"/>
    <w:rsid w:val="008F39C8"/>
    <w:rsid w:val="0091636F"/>
    <w:rsid w:val="009442F2"/>
    <w:rsid w:val="0094666F"/>
    <w:rsid w:val="009915DD"/>
    <w:rsid w:val="009A4162"/>
    <w:rsid w:val="009B47E5"/>
    <w:rsid w:val="009D54A6"/>
    <w:rsid w:val="009E4C4E"/>
    <w:rsid w:val="009E7AD9"/>
    <w:rsid w:val="009F5083"/>
    <w:rsid w:val="009F55EA"/>
    <w:rsid w:val="00A33B09"/>
    <w:rsid w:val="00A45926"/>
    <w:rsid w:val="00A63BDB"/>
    <w:rsid w:val="00A87FB0"/>
    <w:rsid w:val="00AA7D88"/>
    <w:rsid w:val="00AB1E20"/>
    <w:rsid w:val="00AB3EA7"/>
    <w:rsid w:val="00B24A96"/>
    <w:rsid w:val="00B37A07"/>
    <w:rsid w:val="00B61BA7"/>
    <w:rsid w:val="00B76A78"/>
    <w:rsid w:val="00B81D30"/>
    <w:rsid w:val="00BB307A"/>
    <w:rsid w:val="00BD02C3"/>
    <w:rsid w:val="00BD34CF"/>
    <w:rsid w:val="00BE1054"/>
    <w:rsid w:val="00C33434"/>
    <w:rsid w:val="00C42BD9"/>
    <w:rsid w:val="00C66DE6"/>
    <w:rsid w:val="00CB158E"/>
    <w:rsid w:val="00CC662F"/>
    <w:rsid w:val="00CC6730"/>
    <w:rsid w:val="00CD25E0"/>
    <w:rsid w:val="00CE5349"/>
    <w:rsid w:val="00CF16EE"/>
    <w:rsid w:val="00D1021A"/>
    <w:rsid w:val="00D25B0A"/>
    <w:rsid w:val="00D8214F"/>
    <w:rsid w:val="00DA032C"/>
    <w:rsid w:val="00DA14FB"/>
    <w:rsid w:val="00DA67D6"/>
    <w:rsid w:val="00DB1E47"/>
    <w:rsid w:val="00DC7727"/>
    <w:rsid w:val="00DD480D"/>
    <w:rsid w:val="00DF74F0"/>
    <w:rsid w:val="00E114BC"/>
    <w:rsid w:val="00EC401F"/>
    <w:rsid w:val="00ED1601"/>
    <w:rsid w:val="00EE1CD1"/>
    <w:rsid w:val="00EE79E0"/>
    <w:rsid w:val="00F032EE"/>
    <w:rsid w:val="00F03A29"/>
    <w:rsid w:val="00F05AB2"/>
    <w:rsid w:val="00F22E87"/>
    <w:rsid w:val="00F335B2"/>
    <w:rsid w:val="00F452C6"/>
    <w:rsid w:val="00F81900"/>
    <w:rsid w:val="00F857A1"/>
    <w:rsid w:val="00FA4CD8"/>
    <w:rsid w:val="00FB5B0C"/>
    <w:rsid w:val="00FD1F04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3B8C99"/>
  <w15:chartTrackingRefBased/>
  <w15:docId w15:val="{E7429305-94F2-4A62-8EA0-08C07A9A3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4D6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"/>
    <w:next w:val="Normal"/>
    <w:autoRedefine/>
    <w:uiPriority w:val="39"/>
    <w:rsid w:val="00326E87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DF74F0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060E63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DocType24a">
    <w:name w:val="CoverDocType24a"/>
    <w:basedOn w:val="Normal"/>
    <w:rsid w:val="00060E6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9E7AD9"/>
    <w:pPr>
      <w:tabs>
        <w:tab w:val="center" w:pos="4513"/>
        <w:tab w:val="right" w:pos="9026"/>
      </w:tabs>
    </w:pPr>
  </w:style>
  <w:style w:type="paragraph" w:customStyle="1" w:styleId="Confidential">
    <w:name w:val="Confidential"/>
    <w:basedOn w:val="Normal"/>
    <w:rsid w:val="00142D49"/>
    <w:pPr>
      <w:spacing w:before="120" w:after="120"/>
      <w:jc w:val="center"/>
    </w:pPr>
    <w:rPr>
      <w:rFonts w:ascii="Arial" w:hAnsi="Arial"/>
      <w:caps/>
    </w:rPr>
  </w:style>
  <w:style w:type="table" w:styleId="TableGrid">
    <w:name w:val="Table Grid"/>
    <w:basedOn w:val="TableNormal"/>
    <w:rsid w:val="00215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215FF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215FF9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7613C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DF74F0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F74F0"/>
    <w:pPr>
      <w:jc w:val="right"/>
    </w:pPr>
  </w:style>
  <w:style w:type="paragraph" w:customStyle="1" w:styleId="EPFooter">
    <w:name w:val="EPFooter"/>
    <w:basedOn w:val="Normal"/>
    <w:rsid w:val="00060E6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9E7AD9"/>
    <w:rPr>
      <w:sz w:val="24"/>
    </w:rPr>
  </w:style>
  <w:style w:type="paragraph" w:customStyle="1" w:styleId="EPComma">
    <w:name w:val="EPComma"/>
    <w:basedOn w:val="Normal"/>
    <w:rsid w:val="00FD1F04"/>
    <w:pPr>
      <w:spacing w:before="480" w:after="240"/>
    </w:pPr>
  </w:style>
  <w:style w:type="paragraph" w:styleId="FootnoteText">
    <w:name w:val="footnote text"/>
    <w:basedOn w:val="Normal"/>
    <w:link w:val="FootnoteTextChar"/>
    <w:unhideWhenUsed/>
    <w:rsid w:val="007470A8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7470A8"/>
  </w:style>
  <w:style w:type="character" w:styleId="FootnoteReference">
    <w:name w:val="footnote reference"/>
    <w:basedOn w:val="DefaultParagraphFont"/>
    <w:unhideWhenUsed/>
    <w:rsid w:val="007470A8"/>
    <w:rPr>
      <w:vertAlign w:val="superscript"/>
    </w:rPr>
  </w:style>
  <w:style w:type="paragraph" w:styleId="Footer">
    <w:name w:val="footer"/>
    <w:basedOn w:val="Normal"/>
    <w:link w:val="FooterChar"/>
    <w:semiHidden/>
    <w:rsid w:val="00CD25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CD25E0"/>
    <w:rPr>
      <w:sz w:val="24"/>
    </w:rPr>
  </w:style>
  <w:style w:type="paragraph" w:styleId="Revision">
    <w:name w:val="Revision"/>
    <w:hidden/>
    <w:uiPriority w:val="99"/>
    <w:semiHidden/>
    <w:rsid w:val="00B61BA7"/>
    <w:rPr>
      <w:sz w:val="24"/>
    </w:rPr>
  </w:style>
  <w:style w:type="character" w:styleId="CommentReference">
    <w:name w:val="annotation reference"/>
    <w:basedOn w:val="DefaultParagraphFont"/>
    <w:rsid w:val="00414AA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14AA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14AA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14A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14AA0"/>
    <w:rPr>
      <w:b/>
      <w:bCs/>
    </w:rPr>
  </w:style>
  <w:style w:type="character" w:styleId="Hyperlink">
    <w:name w:val="Hyperlink"/>
    <w:basedOn w:val="DefaultParagraphFont"/>
    <w:rsid w:val="00414A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4A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B24A96"/>
    <w:rPr>
      <w:color w:val="954F72" w:themeColor="followedHyperlink"/>
      <w:u w:val="single"/>
    </w:rPr>
  </w:style>
  <w:style w:type="paragraph" w:customStyle="1" w:styleId="CoverReference">
    <w:name w:val="CoverReference"/>
    <w:basedOn w:val="Normal"/>
    <w:rsid w:val="001D549A"/>
    <w:pPr>
      <w:spacing w:before="1080"/>
      <w:jc w:val="right"/>
    </w:pPr>
    <w:rPr>
      <w:rFonts w:ascii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693</Words>
  <Characters>4244</Characters>
  <Application>Microsoft Office Word</Application>
  <DocSecurity>0</DocSecurity>
  <Lines>106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PR_IMM_Waiver</vt:lpstr>
    </vt:vector>
  </TitlesOfParts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PR_IMM_Waiver</dc:title>
  <dc:subject/>
  <dc:creator>ZAHARIE Ana Maria</dc:creator>
  <cp:keywords/>
  <dc:description/>
  <cp:lastModifiedBy>WIERTLEWSKA Maria</cp:lastModifiedBy>
  <cp:revision>2</cp:revision>
  <cp:lastPrinted>2026-04-14T09:48:00Z</cp:lastPrinted>
  <dcterms:created xsi:type="dcterms:W3CDTF">2026-05-13T07:17:00Z</dcterms:created>
  <dcterms:modified xsi:type="dcterms:W3CDTF">2026-05-13T07:17:00Z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Created with">
    <vt:lpwstr>10.2.1 Build [20260301]</vt:lpwstr>
  </property>
  <property fmtid="{D5CDD505-2E9C-101B-9397-08002B2CF9AE}" pid="4" name="LastEdited with">
    <vt:lpwstr>10.3.0 Build [20260401]</vt:lpwstr>
  </property>
  <property fmtid="{D5CDD505-2E9C-101B-9397-08002B2CF9AE}" pid="5" name="&lt;FdR&gt;">
    <vt:lpwstr>1343292</vt:lpwstr>
  </property>
  <property fmtid="{D5CDD505-2E9C-101B-9397-08002B2CF9AE}" pid="6" name="&lt;Type&gt;">
    <vt:lpwstr>RR</vt:lpwstr>
  </property>
  <property fmtid="{D5CDD505-2E9C-101B-9397-08002B2CF9AE}" pid="7" name="&lt;ModelCod&gt;">
    <vt:lpwstr>\\eiciLUXpr1\pdocep$\DocEP\DOCS\General\PR\PR_NonLeg\IMM\PR_IMM_Waiver.dotx(26/05/2023 17:52:03)</vt:lpwstr>
  </property>
  <property fmtid="{D5CDD505-2E9C-101B-9397-08002B2CF9AE}" pid="8" name="&lt;ModelTra&gt;">
    <vt:lpwstr>\\eiciLUXpr1\pdocep$\DocEP\TRANSFIL\EN\PR_IMM_Waiver.EN(05/08/2025 16:25:00)</vt:lpwstr>
  </property>
  <property fmtid="{D5CDD505-2E9C-101B-9397-08002B2CF9AE}" pid="9" name="&lt;Model&gt;">
    <vt:lpwstr>PR_IMM_Waiver</vt:lpwstr>
  </property>
  <property fmtid="{D5CDD505-2E9C-101B-9397-08002B2CF9AE}" pid="10" name="FooterPath">
    <vt:lpwstr>RR\1343292PL.docx</vt:lpwstr>
  </property>
  <property fmtid="{D5CDD505-2E9C-101B-9397-08002B2CF9AE}" pid="11" name="PE number">
    <vt:lpwstr>786.974</vt:lpwstr>
  </property>
  <property fmtid="{D5CDD505-2E9C-101B-9397-08002B2CF9AE}" pid="12" name="RegistreCheck">
    <vt:lpwstr>OK</vt:lpwstr>
  </property>
  <property fmtid="{D5CDD505-2E9C-101B-9397-08002B2CF9AE}" pid="13" name="SendToEpades">
    <vt:lpwstr/>
  </property>
  <property fmtid="{D5CDD505-2E9C-101B-9397-08002B2CF9AE}" pid="14" name="Bookout">
    <vt:lpwstr>OK - 2026/05/13 09:17</vt:lpwstr>
  </property>
  <property fmtid="{D5CDD505-2E9C-101B-9397-08002B2CF9AE}" pid="15" name="OriLang">
    <vt:lpwstr>EN</vt:lpwstr>
  </property>
  <property fmtid="{D5CDD505-2E9C-101B-9397-08002B2CF9AE}" pid="16" name="SDLStudio">
    <vt:lpwstr/>
  </property>
</Properties>
</file>