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7363AD" w14:paraId="5155D312" w14:textId="77777777" w:rsidTr="00C85D0F">
        <w:trPr>
          <w:trHeight w:hRule="exact" w:val="1418"/>
        </w:trPr>
        <w:tc>
          <w:tcPr>
            <w:tcW w:w="6804" w:type="dxa"/>
            <w:shd w:val="clear" w:color="auto" w:fill="auto"/>
            <w:vAlign w:val="center"/>
          </w:tcPr>
          <w:p w14:paraId="60777BCE" w14:textId="77777777" w:rsidR="00CF16EE" w:rsidRPr="007363AD" w:rsidRDefault="007A3F74" w:rsidP="00C85D0F">
            <w:pPr>
              <w:pStyle w:val="EPName"/>
            </w:pPr>
            <w:r w:rsidRPr="007363AD">
              <w:t>Parlamento Europeu</w:t>
            </w:r>
          </w:p>
          <w:p w14:paraId="62D57263" w14:textId="3323FD9D" w:rsidR="00CF16EE" w:rsidRPr="007363AD" w:rsidRDefault="007470A8" w:rsidP="00C85D0F">
            <w:pPr>
              <w:pStyle w:val="EPTerm"/>
            </w:pPr>
            <w:r w:rsidRPr="007363AD">
              <w:t>2024</w:t>
            </w:r>
            <w:r w:rsidR="00972BF5">
              <w:noBreakHyphen/>
            </w:r>
            <w:r w:rsidRPr="007363AD">
              <w:t>2029</w:t>
            </w:r>
          </w:p>
        </w:tc>
        <w:tc>
          <w:tcPr>
            <w:tcW w:w="2268" w:type="dxa"/>
            <w:shd w:val="clear" w:color="auto" w:fill="auto"/>
          </w:tcPr>
          <w:p w14:paraId="31923707" w14:textId="77777777" w:rsidR="00CF16EE" w:rsidRPr="007363AD" w:rsidRDefault="00CF16EE" w:rsidP="00C85D0F">
            <w:pPr>
              <w:pStyle w:val="EPLogo"/>
            </w:pPr>
            <w:r w:rsidRPr="007363AD">
              <w:rPr>
                <w:noProof/>
              </w:rPr>
              <w:drawing>
                <wp:inline distT="0" distB="0" distL="0" distR="0" wp14:anchorId="0E45DA15" wp14:editId="28CC1E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36F9" w14:textId="77777777" w:rsidR="00215FF9" w:rsidRPr="007363AD" w:rsidRDefault="00215FF9" w:rsidP="00215FF9">
      <w:pPr>
        <w:pStyle w:val="LineTop"/>
      </w:pPr>
    </w:p>
    <w:p w14:paraId="653CDBB3" w14:textId="572C0593" w:rsidR="00215FF9" w:rsidRPr="007363AD" w:rsidRDefault="001D549A" w:rsidP="00215FF9">
      <w:pPr>
        <w:pStyle w:val="EPBody"/>
      </w:pPr>
      <w:r w:rsidRPr="007363AD">
        <w:t>Documento de sessão</w:t>
      </w:r>
    </w:p>
    <w:p w14:paraId="6AC55BC9" w14:textId="77777777" w:rsidR="00215FF9" w:rsidRPr="007363AD" w:rsidRDefault="00215FF9" w:rsidP="00215FF9">
      <w:pPr>
        <w:pStyle w:val="LineBottom"/>
      </w:pPr>
    </w:p>
    <w:p w14:paraId="3FC44D51" w14:textId="5790A07D" w:rsidR="005922F7" w:rsidRPr="007363AD" w:rsidRDefault="001D549A" w:rsidP="001D549A">
      <w:pPr>
        <w:pStyle w:val="CoverReference"/>
      </w:pPr>
      <w:r w:rsidRPr="007363AD">
        <w:rPr>
          <w:rStyle w:val="HideTWBExt"/>
        </w:rPr>
        <w:t>&lt;NoDocSe&gt;</w:t>
      </w:r>
      <w:r w:rsidRPr="007363AD">
        <w:t>A10</w:t>
      </w:r>
      <w:r w:rsidR="00972BF5">
        <w:noBreakHyphen/>
      </w:r>
      <w:r w:rsidRPr="007363AD">
        <w:t>0128/2026</w:t>
      </w:r>
      <w:r w:rsidRPr="007363AD">
        <w:rPr>
          <w:rStyle w:val="HideTWBExt"/>
        </w:rPr>
        <w:t>&lt;/NoDocSe&gt;</w:t>
      </w:r>
    </w:p>
    <w:p w14:paraId="68D6E421" w14:textId="3474272B" w:rsidR="005922F7" w:rsidRPr="007363AD" w:rsidRDefault="005922F7" w:rsidP="005922F7">
      <w:pPr>
        <w:pStyle w:val="CoverDate"/>
      </w:pPr>
      <w:r w:rsidRPr="007363AD">
        <w:rPr>
          <w:rStyle w:val="HideTWBExt"/>
        </w:rPr>
        <w:t>&lt;Date&gt;</w:t>
      </w:r>
      <w:r w:rsidRPr="007363AD">
        <w:rPr>
          <w:rStyle w:val="HideTWBInt"/>
        </w:rPr>
        <w:t>{06/05/2026}</w:t>
      </w:r>
      <w:r w:rsidRPr="007363AD">
        <w:t>6.5.2026</w:t>
      </w:r>
      <w:r w:rsidRPr="007363AD">
        <w:rPr>
          <w:rStyle w:val="HideTWBExt"/>
        </w:rPr>
        <w:t>&lt;/Date&gt;</w:t>
      </w:r>
    </w:p>
    <w:p w14:paraId="16FABFAD" w14:textId="603C76ED" w:rsidR="00142D49" w:rsidRPr="007363AD" w:rsidRDefault="00142D49">
      <w:pPr>
        <w:pStyle w:val="CoverDocType24a"/>
      </w:pPr>
      <w:r w:rsidRPr="007363AD">
        <w:rPr>
          <w:rStyle w:val="HideTWBExt"/>
          <w:b w:val="0"/>
        </w:rPr>
        <w:t>&lt;TitreType&gt;</w:t>
      </w:r>
      <w:r w:rsidRPr="007363AD">
        <w:t>RELATÓRIO</w:t>
      </w:r>
      <w:r w:rsidRPr="007363AD">
        <w:rPr>
          <w:rStyle w:val="HideTWBExt"/>
          <w:b w:val="0"/>
        </w:rPr>
        <w:t>&lt;/TitreType&gt;</w:t>
      </w:r>
    </w:p>
    <w:p w14:paraId="2C9802BA" w14:textId="287BD81D" w:rsidR="00142D49" w:rsidRPr="007363AD" w:rsidRDefault="00142D49">
      <w:pPr>
        <w:pStyle w:val="CoverNormal"/>
      </w:pPr>
      <w:r w:rsidRPr="007363AD">
        <w:rPr>
          <w:rStyle w:val="HideTWBExt"/>
        </w:rPr>
        <w:t>&lt;Titre&gt;</w:t>
      </w:r>
      <w:r w:rsidRPr="007363AD">
        <w:t>sobre o pedido de levantamento da imunidade de Nikos Pappas</w:t>
      </w:r>
      <w:r w:rsidRPr="007363AD">
        <w:rPr>
          <w:rStyle w:val="HideTWBExt"/>
        </w:rPr>
        <w:t>&lt;/Titre&gt;</w:t>
      </w:r>
    </w:p>
    <w:p w14:paraId="5EAD59DB" w14:textId="321EA79A" w:rsidR="00142D49" w:rsidRPr="007363AD" w:rsidRDefault="00142D49">
      <w:pPr>
        <w:pStyle w:val="CoverNormal24a"/>
      </w:pPr>
      <w:r w:rsidRPr="007363AD">
        <w:rPr>
          <w:rStyle w:val="HideTWBExt"/>
        </w:rPr>
        <w:t>&lt;DocRef&gt;</w:t>
      </w:r>
      <w:r w:rsidRPr="007363AD">
        <w:t>(2025/2234(IMM))</w:t>
      </w:r>
      <w:r w:rsidRPr="007363AD">
        <w:rPr>
          <w:rStyle w:val="HideTWBExt"/>
        </w:rPr>
        <w:t>&lt;/DocRef&gt;</w:t>
      </w:r>
    </w:p>
    <w:p w14:paraId="3B5D20EB" w14:textId="77777777" w:rsidR="00142D49" w:rsidRPr="007363AD" w:rsidRDefault="00142D49">
      <w:pPr>
        <w:pStyle w:val="CoverNormal24a"/>
      </w:pPr>
      <w:r w:rsidRPr="007363AD">
        <w:rPr>
          <w:rStyle w:val="HideTWBExt"/>
        </w:rPr>
        <w:t>&lt;Commission&gt;</w:t>
      </w:r>
      <w:r w:rsidRPr="007363AD">
        <w:rPr>
          <w:rStyle w:val="HideTWBInt"/>
        </w:rPr>
        <w:t>{JURI}</w:t>
      </w:r>
      <w:r w:rsidRPr="007363AD">
        <w:t>Comissão dos Assuntos Jurídicos</w:t>
      </w:r>
      <w:r w:rsidRPr="007363AD">
        <w:rPr>
          <w:rStyle w:val="HideTWBExt"/>
        </w:rPr>
        <w:t>&lt;/Commission&gt;</w:t>
      </w:r>
    </w:p>
    <w:p w14:paraId="7EC4A298" w14:textId="551C218A" w:rsidR="00142D49" w:rsidRPr="007363AD" w:rsidRDefault="007A3F74">
      <w:pPr>
        <w:pStyle w:val="CoverNormal24a"/>
      </w:pPr>
      <w:r w:rsidRPr="007363AD">
        <w:t xml:space="preserve">Relator: </w:t>
      </w:r>
      <w:r w:rsidRPr="007363AD">
        <w:rPr>
          <w:rStyle w:val="HideTWBExt"/>
        </w:rPr>
        <w:t>&lt;Depute&gt;</w:t>
      </w:r>
      <w:r w:rsidRPr="007363AD">
        <w:t>Marcin Sypniewski</w:t>
      </w:r>
      <w:r w:rsidRPr="007363AD">
        <w:rPr>
          <w:rStyle w:val="HideTWBExt"/>
        </w:rPr>
        <w:t>&lt;/Depute&gt;</w:t>
      </w:r>
    </w:p>
    <w:p w14:paraId="5ABFE5AB" w14:textId="77777777" w:rsidR="00142D49" w:rsidRPr="007363AD" w:rsidRDefault="00142D49" w:rsidP="00DF74F0">
      <w:pPr>
        <w:widowControl/>
        <w:tabs>
          <w:tab w:val="center" w:pos="4677"/>
        </w:tabs>
      </w:pPr>
      <w:r w:rsidRPr="007363AD">
        <w:br w:type="page"/>
      </w:r>
      <w:r w:rsidRPr="007363AD">
        <w:lastRenderedPageBreak/>
        <w:t>PR_IMM_Waiver</w:t>
      </w:r>
    </w:p>
    <w:p w14:paraId="0EDAA9FD" w14:textId="77777777" w:rsidR="00142D49" w:rsidRPr="007363AD" w:rsidRDefault="007A3F74">
      <w:pPr>
        <w:pStyle w:val="TOCHeading"/>
      </w:pPr>
      <w:r w:rsidRPr="007363AD">
        <w:t>ÍNDICE</w:t>
      </w:r>
    </w:p>
    <w:p w14:paraId="75B812B8" w14:textId="77777777" w:rsidR="00142D49" w:rsidRPr="007363AD" w:rsidRDefault="007A3F74">
      <w:pPr>
        <w:pStyle w:val="TOCPage"/>
      </w:pPr>
      <w:r w:rsidRPr="007363AD">
        <w:t>Página</w:t>
      </w:r>
    </w:p>
    <w:p w14:paraId="10ED6BC5" w14:textId="2C8A9EB4" w:rsidR="00972BF5"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363AD">
        <w:fldChar w:fldCharType="begin"/>
      </w:r>
      <w:r w:rsidRPr="007363AD">
        <w:instrText xml:space="preserve"> TOC \t "PageHeading</w:instrText>
      </w:r>
      <w:r w:rsidR="00211AA7" w:rsidRPr="007363AD">
        <w:instrText>;</w:instrText>
      </w:r>
      <w:r w:rsidRPr="007363AD">
        <w:instrText xml:space="preserve">1" </w:instrText>
      </w:r>
      <w:r w:rsidRPr="007363AD">
        <w:fldChar w:fldCharType="separate"/>
      </w:r>
      <w:r w:rsidR="00972BF5">
        <w:rPr>
          <w:noProof/>
        </w:rPr>
        <w:t>PROPOSTA DE DECISÃO DO PARLAMENTO EUROPEU</w:t>
      </w:r>
      <w:r w:rsidR="00972BF5">
        <w:rPr>
          <w:noProof/>
        </w:rPr>
        <w:tab/>
      </w:r>
      <w:r w:rsidR="00972BF5">
        <w:rPr>
          <w:noProof/>
        </w:rPr>
        <w:fldChar w:fldCharType="begin"/>
      </w:r>
      <w:r w:rsidR="00972BF5">
        <w:rPr>
          <w:noProof/>
        </w:rPr>
        <w:instrText xml:space="preserve"> PAGEREF _Toc229038439 \h </w:instrText>
      </w:r>
      <w:r w:rsidR="00972BF5">
        <w:rPr>
          <w:noProof/>
        </w:rPr>
      </w:r>
      <w:r w:rsidR="00972BF5">
        <w:rPr>
          <w:noProof/>
        </w:rPr>
        <w:fldChar w:fldCharType="separate"/>
      </w:r>
      <w:r w:rsidR="00972BF5">
        <w:rPr>
          <w:noProof/>
        </w:rPr>
        <w:t>3</w:t>
      </w:r>
      <w:r w:rsidR="00972BF5">
        <w:rPr>
          <w:noProof/>
        </w:rPr>
        <w:fldChar w:fldCharType="end"/>
      </w:r>
    </w:p>
    <w:p w14:paraId="7F4C1019" w14:textId="10B7DC80" w:rsidR="00972BF5" w:rsidRDefault="00972BF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INFORMAÇÕES SOBRE A APROVAÇÃO NA COMISSÃO COMPETENTE QUANTO À MATÉRIA DE FUNDO</w:t>
      </w:r>
      <w:r>
        <w:rPr>
          <w:noProof/>
        </w:rPr>
        <w:tab/>
      </w:r>
      <w:r>
        <w:rPr>
          <w:noProof/>
        </w:rPr>
        <w:fldChar w:fldCharType="begin"/>
      </w:r>
      <w:r>
        <w:rPr>
          <w:noProof/>
        </w:rPr>
        <w:instrText xml:space="preserve"> PAGEREF _Toc229038440 \h </w:instrText>
      </w:r>
      <w:r>
        <w:rPr>
          <w:noProof/>
        </w:rPr>
      </w:r>
      <w:r>
        <w:rPr>
          <w:noProof/>
        </w:rPr>
        <w:fldChar w:fldCharType="separate"/>
      </w:r>
      <w:r>
        <w:rPr>
          <w:noProof/>
        </w:rPr>
        <w:t>5</w:t>
      </w:r>
      <w:r>
        <w:rPr>
          <w:noProof/>
        </w:rPr>
        <w:fldChar w:fldCharType="end"/>
      </w:r>
    </w:p>
    <w:p w14:paraId="3BE4AFC5" w14:textId="24127D61" w:rsidR="0006105E" w:rsidRPr="007363AD" w:rsidRDefault="00142D49" w:rsidP="00273EFB">
      <w:r w:rsidRPr="007363AD">
        <w:fldChar w:fldCharType="end"/>
      </w:r>
    </w:p>
    <w:p w14:paraId="4F37EBBC" w14:textId="77777777" w:rsidR="00142D49" w:rsidRPr="007363AD" w:rsidRDefault="00142D49">
      <w:pPr>
        <w:pStyle w:val="PageHeading"/>
      </w:pPr>
      <w:r w:rsidRPr="007363AD">
        <w:br w:type="page"/>
      </w:r>
      <w:bookmarkStart w:id="0" w:name="_Toc229038439"/>
      <w:r w:rsidRPr="007363AD">
        <w:lastRenderedPageBreak/>
        <w:t>PROPOSTA DE DECISÃO DO PARLAMENTO EUROPEU</w:t>
      </w:r>
      <w:bookmarkEnd w:id="0"/>
    </w:p>
    <w:p w14:paraId="2F5B7CF7" w14:textId="5D109B55" w:rsidR="00142D49" w:rsidRPr="007363AD" w:rsidRDefault="007A3F74">
      <w:pPr>
        <w:pStyle w:val="NormalBold"/>
      </w:pPr>
      <w:r w:rsidRPr="007363AD">
        <w:t>sobre o pedido de levantamento da imunidade de Nikos Pappas</w:t>
      </w:r>
    </w:p>
    <w:p w14:paraId="63D5D842" w14:textId="6123E44B" w:rsidR="00142D49" w:rsidRPr="007363AD" w:rsidRDefault="007A3F74" w:rsidP="00FD1F04">
      <w:pPr>
        <w:pStyle w:val="NormalBold"/>
      </w:pPr>
      <w:r w:rsidRPr="007363AD">
        <w:t>(2025/2234 (IMM))</w:t>
      </w:r>
    </w:p>
    <w:p w14:paraId="1DD65596" w14:textId="77777777" w:rsidR="00142D49" w:rsidRPr="007363AD" w:rsidRDefault="007A3F74" w:rsidP="00FD1F04">
      <w:pPr>
        <w:pStyle w:val="EPComma"/>
      </w:pPr>
      <w:r w:rsidRPr="007363AD">
        <w:rPr>
          <w:i/>
          <w:iCs/>
        </w:rPr>
        <w:t>O Parlamento Europeu,</w:t>
      </w:r>
    </w:p>
    <w:p w14:paraId="7E256B95" w14:textId="0E0776A8" w:rsidR="0037671C" w:rsidRPr="007363AD" w:rsidRDefault="00142D49" w:rsidP="0037671C">
      <w:pPr>
        <w:pStyle w:val="NormalHanging12a"/>
      </w:pPr>
      <w:r w:rsidRPr="007363AD">
        <w:t>–</w:t>
      </w:r>
      <w:r w:rsidRPr="007363AD">
        <w:tab/>
        <w:t>Tendo recebido um pedido de levantamento da imunidade de Nikos Pappas, enviado por carta de 7 de outubro de 2025, do procurador</w:t>
      </w:r>
      <w:r w:rsidR="00972BF5">
        <w:noBreakHyphen/>
      </w:r>
      <w:r w:rsidRPr="007363AD">
        <w:t>geral adjunto do Supremo Tribunal da Grécia, que transmite um pedido apresentado pelo procurador da República do Tribunal de Primeira Instância de Atenas no âmbito de uma ação penal a instaurar contra o referido deputado, o qual foi comunicado ao Parlamento em 12 de novembro de 2025,</w:t>
      </w:r>
    </w:p>
    <w:p w14:paraId="7C9D3E1E" w14:textId="5271D5BE" w:rsidR="0037671C" w:rsidRPr="007363AD" w:rsidRDefault="0037671C" w:rsidP="0037671C">
      <w:pPr>
        <w:pStyle w:val="NormalHanging12a"/>
      </w:pPr>
      <w:r w:rsidRPr="007363AD">
        <w:t>–</w:t>
      </w:r>
      <w:r w:rsidRPr="007363AD">
        <w:tab/>
        <w:t xml:space="preserve">Tendo ouvido Nikos Pappas em 15 de abril de 2026, nos termos do artigo 9.º, n.º 6, do seu Regimento, </w:t>
      </w:r>
    </w:p>
    <w:p w14:paraId="37650301" w14:textId="4B03F936" w:rsidR="0037671C" w:rsidRPr="007363AD" w:rsidRDefault="0037671C" w:rsidP="0037671C">
      <w:pPr>
        <w:pStyle w:val="NormalHanging12a"/>
      </w:pPr>
      <w:r w:rsidRPr="007363AD">
        <w:t>–</w:t>
      </w:r>
      <w:r w:rsidRPr="007363AD">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14:paraId="39310BD0" w14:textId="351FE5E8" w:rsidR="0037671C" w:rsidRPr="007363AD" w:rsidRDefault="0037671C" w:rsidP="0037671C">
      <w:pPr>
        <w:pStyle w:val="NormalHanging12a"/>
      </w:pPr>
      <w:r w:rsidRPr="007363AD">
        <w:t>–</w:t>
      </w:r>
      <w:r w:rsidRPr="007363AD">
        <w:tab/>
        <w:t>Tendo em conta os acórdãos proferidos pelo Tribunal de Justiça da União Europeia em 21 de outubro de 2008, 19 de março de 2010, 6 de setembro de 2011, 17 de janeiro de 2013 e 19 de dezembro de 2019</w:t>
      </w:r>
      <w:r w:rsidRPr="007363AD">
        <w:rPr>
          <w:vertAlign w:val="superscript"/>
        </w:rPr>
        <w:footnoteReference w:id="1"/>
      </w:r>
      <w:r w:rsidRPr="007363AD">
        <w:t>,</w:t>
      </w:r>
    </w:p>
    <w:p w14:paraId="299F0B39" w14:textId="77777777" w:rsidR="0037671C" w:rsidRPr="007363AD" w:rsidRDefault="0037671C" w:rsidP="0037671C">
      <w:pPr>
        <w:pStyle w:val="NormalHanging12a"/>
      </w:pPr>
      <w:r w:rsidRPr="007363AD">
        <w:t>–</w:t>
      </w:r>
      <w:r w:rsidRPr="007363AD">
        <w:tab/>
        <w:t>Tendo em conta o artigo 5.º, n.º 2, o artigo 6.º, n.º 1, e o artigo 9.º do seu Regimento,</w:t>
      </w:r>
    </w:p>
    <w:p w14:paraId="557E4952" w14:textId="27027410" w:rsidR="0037671C" w:rsidRPr="007363AD" w:rsidRDefault="0037671C" w:rsidP="0037671C">
      <w:pPr>
        <w:pStyle w:val="NormalHanging12a"/>
      </w:pPr>
      <w:r w:rsidRPr="007363AD">
        <w:t>–</w:t>
      </w:r>
      <w:r w:rsidRPr="007363AD">
        <w:tab/>
        <w:t>Tendo em conta o relatório da Comissão dos Assuntos Jurídicos (A10</w:t>
      </w:r>
      <w:r w:rsidR="00972BF5">
        <w:noBreakHyphen/>
      </w:r>
      <w:r w:rsidRPr="007363AD">
        <w:t>0128/2026),</w:t>
      </w:r>
    </w:p>
    <w:p w14:paraId="68CFB0CB" w14:textId="2F58B251" w:rsidR="0037671C" w:rsidRPr="007363AD" w:rsidRDefault="0037671C" w:rsidP="0037671C">
      <w:pPr>
        <w:pStyle w:val="NormalHanging12a"/>
        <w:rPr>
          <w:bCs/>
          <w:iCs/>
        </w:rPr>
      </w:pPr>
      <w:r w:rsidRPr="007363AD">
        <w:t>A.</w:t>
      </w:r>
      <w:r w:rsidRPr="007363AD">
        <w:tab/>
        <w:t>Considerando que o procurador</w:t>
      </w:r>
      <w:r w:rsidR="00972BF5">
        <w:noBreakHyphen/>
      </w:r>
      <w:r w:rsidRPr="007363AD">
        <w:t>geral adjunto do Supremo Tribunal da Grécia transmitiu um pedido do procurador da República do Tribunal de Primeira Instância de Atenas com vista ao levantamento da imunidade de Nikos Pappas, deputado ao Parlamento Europeu eleito na Grécia, relativamente a alegados insultos em linha e ameaças, constitutivos de crime ao abrigo do artigo 94.º, do artigo 361.º, n.º 1, primeiro e segundo período, e do artigo 333.º, n.º 1, primeiro período, do Código Penal grego;</w:t>
      </w:r>
    </w:p>
    <w:p w14:paraId="02BE4C11" w14:textId="086BC0AD" w:rsidR="0037671C" w:rsidRPr="007363AD" w:rsidRDefault="0037671C" w:rsidP="0037671C">
      <w:pPr>
        <w:pStyle w:val="NormalHanging12a"/>
      </w:pPr>
      <w:r w:rsidRPr="007363AD">
        <w:t>B.</w:t>
      </w:r>
      <w:r w:rsidRPr="007363AD">
        <w:tab/>
      </w:r>
      <w:bookmarkStart w:id="1" w:name="_Hlk226714510"/>
      <w:r w:rsidRPr="007363AD">
        <w:t>Considerando que, de acordo com esse pedido, na queixa foi indicado que, em 11 de junho de 2025, Nikos Pappas alegadamente insultou e ameaçou o queixoso através de mensagens diretas enviadas pela sua conta pessoal no Instagram;</w:t>
      </w:r>
      <w:bookmarkEnd w:id="1"/>
    </w:p>
    <w:p w14:paraId="5978E65D" w14:textId="1BA2FFB1" w:rsidR="0037671C" w:rsidRPr="007363AD" w:rsidRDefault="0037671C" w:rsidP="0037671C">
      <w:pPr>
        <w:pStyle w:val="NormalHanging12a"/>
      </w:pPr>
      <w:r w:rsidRPr="007363AD">
        <w:t>C.</w:t>
      </w:r>
      <w:r w:rsidRPr="007363AD">
        <w:tab/>
        <w:t xml:space="preserve">Considerando que Nikos Pappas foi eleito para o Parlamento Europeu nas eleições europeias de junho de 2024 e que era deputado ao Parlamento Europeu no momento das alegadas infrações; que, de acordo com o pedido, a queixa contra ele apresentada data </w:t>
      </w:r>
      <w:r w:rsidRPr="007363AD">
        <w:lastRenderedPageBreak/>
        <w:t>de 16 de julho de 2025;</w:t>
      </w:r>
    </w:p>
    <w:p w14:paraId="0DD18B5E" w14:textId="367AEC1B" w:rsidR="0037671C" w:rsidRPr="007363AD" w:rsidRDefault="0037671C" w:rsidP="0037671C">
      <w:pPr>
        <w:pStyle w:val="NormalHanging12a"/>
      </w:pPr>
      <w:r w:rsidRPr="007363AD">
        <w:t>D.</w:t>
      </w:r>
      <w:r w:rsidRPr="007363AD">
        <w:tab/>
        <w:t>Considerando que o alegado crime não constitui uma opinião ou um voto emitido por Nikos Pappas no exercício das suas funções, na aceção do artigo 8.º do Protocolo n.º 7 relativo aos Privilégios e Imunidades da União Europeia, nem o pedido subsequente de levantamento da imunidade de Nikos Pappas está relacionado com tal opinião ou voto;</w:t>
      </w:r>
    </w:p>
    <w:p w14:paraId="3ADC4328" w14:textId="77777777" w:rsidR="0037671C" w:rsidRPr="007363AD" w:rsidRDefault="0037671C" w:rsidP="0037671C">
      <w:pPr>
        <w:pStyle w:val="NormalHanging12a"/>
      </w:pPr>
      <w:r w:rsidRPr="007363AD">
        <w:t>E.</w:t>
      </w:r>
      <w:r w:rsidRPr="007363AD">
        <w:tab/>
        <w:t>Considerando que o artigo 9.º, primeiro parágrafo, alínea a), do Protocolo n.º 7 relativo aos Privilégios e Imunidades da União Europeia prevê que, durante as sessões do Parlamento Europeu, os deputados ao Parlamento Europeu gozam, no território nacional, das imunidades reconhecidas aos membros do Parlamento do seu país;</w:t>
      </w:r>
    </w:p>
    <w:p w14:paraId="2F091D3D" w14:textId="77777777" w:rsidR="0037671C" w:rsidRPr="007363AD" w:rsidRDefault="0037671C" w:rsidP="0037671C">
      <w:pPr>
        <w:pStyle w:val="NormalHanging12a"/>
      </w:pPr>
      <w:r w:rsidRPr="007363AD">
        <w:t>F.</w:t>
      </w:r>
      <w:r w:rsidRPr="007363AD">
        <w:tab/>
        <w:t>Considerando que, nos termos do artigo 62.º da Constituição da República Helénica, nenhum deputado pode, durante o seu mandato, ser acusado, detido, preso ou sujeito a outras medidas privativas de liberdade sem autorização da Câmara dos Deputados;</w:t>
      </w:r>
    </w:p>
    <w:p w14:paraId="0BB3807C" w14:textId="77777777" w:rsidR="0037671C" w:rsidRPr="007363AD" w:rsidRDefault="0037671C" w:rsidP="0037671C">
      <w:pPr>
        <w:pStyle w:val="NormalHanging12a"/>
      </w:pPr>
      <w:r w:rsidRPr="007363AD">
        <w:t>G.</w:t>
      </w:r>
      <w:r w:rsidRPr="007363AD">
        <w:tab/>
        <w:t>Considerando que o objetivo da imunidade prevista no Protocolo n.º 7 relativo aos Privilégios e Imunidades da União Europeia é proteger o Parlamento e os seus deputados contra processos judiciais relacionados com atividades exercidas no desempenho das suas funções parlamentares e que não podem ser separadas dessas funções;</w:t>
      </w:r>
    </w:p>
    <w:p w14:paraId="0054C7ED" w14:textId="77777777" w:rsidR="0037671C" w:rsidRPr="007363AD" w:rsidRDefault="0037671C" w:rsidP="0037671C">
      <w:pPr>
        <w:pStyle w:val="NormalHanging12a"/>
      </w:pPr>
      <w:r w:rsidRPr="007363AD">
        <w:t>H.</w:t>
      </w:r>
      <w:r w:rsidRPr="007363AD">
        <w:tab/>
        <w:t>Considerando que, nos termos do artigo 5.º, n.º 2, do seu Regimento, a imunidade parlamentar não é um privilégio pessoal de um deputado, mas uma garantia da independência do Parlamento como um todo e dos seus membros;</w:t>
      </w:r>
    </w:p>
    <w:p w14:paraId="4F868F63" w14:textId="44FB52B8" w:rsidR="0037671C" w:rsidRPr="007363AD" w:rsidRDefault="0037671C" w:rsidP="0037671C">
      <w:pPr>
        <w:pStyle w:val="NormalHanging12a"/>
      </w:pPr>
      <w:r w:rsidRPr="007363AD">
        <w:t>I.</w:t>
      </w:r>
      <w:r w:rsidRPr="007363AD">
        <w:tab/>
        <w:t xml:space="preserve">Considerando que, no caso em apreço, o Parlamento não encontrou indícios de </w:t>
      </w:r>
      <w:r w:rsidRPr="007363AD">
        <w:rPr>
          <w:i/>
          <w:iCs/>
        </w:rPr>
        <w:t>fumus persecutionis</w:t>
      </w:r>
      <w:r w:rsidRPr="007363AD">
        <w:t>, ou seja, elementos de facto que indiquem que o processo judicial em causa foi instaurado com a intenção de prejudicar a atividade política do deputado na sua qualidade de deputado ao Parlamento Europeu;</w:t>
      </w:r>
    </w:p>
    <w:p w14:paraId="78379CF5" w14:textId="0D4B2BE0" w:rsidR="0037671C" w:rsidRPr="007363AD" w:rsidRDefault="0037671C" w:rsidP="0037671C">
      <w:pPr>
        <w:pStyle w:val="NormalHanging12a"/>
      </w:pPr>
      <w:r w:rsidRPr="007363AD">
        <w:t>J.</w:t>
      </w:r>
      <w:r w:rsidRPr="007363AD">
        <w:tab/>
        <w:t>Considerando, por um lado, que o Parlamento não pode ser equiparado a um tribunal e que, por outro, o deputado, no contexto de um processo de levantamento da imunidade, não pode ser considerado «arguido»</w:t>
      </w:r>
      <w:r w:rsidRPr="007363AD">
        <w:rPr>
          <w:vertAlign w:val="superscript"/>
        </w:rPr>
        <w:footnoteReference w:id="2"/>
      </w:r>
      <w:r w:rsidRPr="007363AD">
        <w:t>;</w:t>
      </w:r>
    </w:p>
    <w:p w14:paraId="088D62FC" w14:textId="59764213" w:rsidR="0037671C" w:rsidRPr="007363AD" w:rsidRDefault="0037671C" w:rsidP="0037671C">
      <w:pPr>
        <w:pStyle w:val="NormalHanging12a"/>
      </w:pPr>
      <w:r w:rsidRPr="007363AD">
        <w:t>1.</w:t>
      </w:r>
      <w:r w:rsidRPr="007363AD">
        <w:tab/>
        <w:t>Decide levantar a imunidade de Nikos Pappas;</w:t>
      </w:r>
    </w:p>
    <w:p w14:paraId="31CD54D1" w14:textId="1329B52B" w:rsidR="0037671C" w:rsidRPr="007363AD" w:rsidRDefault="0037671C" w:rsidP="00DC7727">
      <w:pPr>
        <w:pStyle w:val="NormalHanging12a"/>
      </w:pPr>
      <w:r w:rsidRPr="007363AD">
        <w:t>2.</w:t>
      </w:r>
      <w:r w:rsidRPr="007363AD">
        <w:tab/>
        <w:t>Encarrega a sua Presidente de transmitir de imediato a presente decisão, bem como o relatório da sua comissão responsável, às autoridades competentes da República Helénica e a Nikos Pappas.</w:t>
      </w:r>
    </w:p>
    <w:p w14:paraId="74C74EDC" w14:textId="77777777" w:rsidR="00782E54" w:rsidRPr="007363AD" w:rsidRDefault="00782E54" w:rsidP="00DC7727">
      <w:pPr>
        <w:sectPr w:rsidR="00782E54" w:rsidRPr="007363AD" w:rsidSect="007363A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F1AF801" w14:textId="5BA2D5CD" w:rsidR="00DC7727" w:rsidRPr="007363AD" w:rsidRDefault="00DC7727" w:rsidP="00DC7727">
      <w:pPr>
        <w:pStyle w:val="PageHeading"/>
      </w:pPr>
      <w:bookmarkStart w:id="2" w:name="ProcPageRR"/>
      <w:bookmarkStart w:id="3" w:name="_Toc229038440"/>
      <w:r w:rsidRPr="007363AD">
        <w:lastRenderedPageBreak/>
        <w:t>INFORMAÇÕES SOBRE A APROVAÇÃO</w:t>
      </w:r>
      <w:r w:rsidRPr="007363AD">
        <w:br/>
        <w:t>NA COMISSÃO COMPETENTE QUANTO À MATÉRIA DE FUNDO</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C7727" w:rsidRPr="007363AD" w14:paraId="158DC7F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A905EB" w14:textId="77777777" w:rsidR="00DC7727" w:rsidRPr="007363AD" w:rsidRDefault="00DC7727">
            <w:pPr>
              <w:autoSpaceDE w:val="0"/>
              <w:autoSpaceDN w:val="0"/>
              <w:adjustRightInd w:val="0"/>
              <w:rPr>
                <w:b/>
                <w:bCs/>
                <w:color w:val="000000"/>
                <w:sz w:val="20"/>
              </w:rPr>
            </w:pPr>
            <w:r w:rsidRPr="007363AD">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54F41E" w14:textId="77777777" w:rsidR="00DC7727" w:rsidRPr="007363AD" w:rsidRDefault="00DC7727">
            <w:pPr>
              <w:autoSpaceDE w:val="0"/>
              <w:autoSpaceDN w:val="0"/>
              <w:adjustRightInd w:val="0"/>
              <w:rPr>
                <w:color w:val="000000"/>
                <w:sz w:val="20"/>
              </w:rPr>
            </w:pPr>
            <w:r w:rsidRPr="007363A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260461" w14:textId="77777777" w:rsidR="00DC7727" w:rsidRPr="007363AD"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82E324" w14:textId="77777777" w:rsidR="00DC7727" w:rsidRPr="007363AD"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50B71E" w14:textId="77777777" w:rsidR="00DC7727" w:rsidRPr="007363AD" w:rsidRDefault="00DC7727">
            <w:pPr>
              <w:autoSpaceDE w:val="0"/>
              <w:autoSpaceDN w:val="0"/>
              <w:adjustRightInd w:val="0"/>
              <w:rPr>
                <w:rFonts w:ascii="sans-serif" w:hAnsi="sans-serif" w:cs="sans-serif"/>
                <w:color w:val="000000"/>
              </w:rPr>
            </w:pPr>
          </w:p>
        </w:tc>
      </w:tr>
      <w:tr w:rsidR="00DC7727" w:rsidRPr="007363AD" w14:paraId="2E3F46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3D7FA2" w14:textId="77777777" w:rsidR="00DC7727" w:rsidRPr="007363AD" w:rsidRDefault="00DC7727">
            <w:pPr>
              <w:autoSpaceDE w:val="0"/>
              <w:autoSpaceDN w:val="0"/>
              <w:adjustRightInd w:val="0"/>
              <w:rPr>
                <w:b/>
                <w:bCs/>
                <w:color w:val="000000"/>
                <w:sz w:val="20"/>
              </w:rPr>
            </w:pPr>
            <w:r w:rsidRPr="007363AD">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566470" w14:textId="77777777" w:rsidR="00DC7727" w:rsidRPr="007363AD" w:rsidRDefault="00DC7727">
            <w:pPr>
              <w:autoSpaceDE w:val="0"/>
              <w:autoSpaceDN w:val="0"/>
              <w:adjustRightInd w:val="0"/>
              <w:rPr>
                <w:color w:val="000000"/>
                <w:sz w:val="20"/>
              </w:rPr>
            </w:pPr>
            <w:r w:rsidRPr="007363AD">
              <w:rPr>
                <w:color w:val="000000"/>
                <w:sz w:val="20"/>
              </w:rPr>
              <w:t>+:</w:t>
            </w:r>
          </w:p>
          <w:p w14:paraId="6A57D674" w14:textId="77777777" w:rsidR="00DC7727" w:rsidRPr="007363AD" w:rsidRDefault="00DC7727">
            <w:pPr>
              <w:autoSpaceDE w:val="0"/>
              <w:autoSpaceDN w:val="0"/>
              <w:adjustRightInd w:val="0"/>
              <w:rPr>
                <w:color w:val="000000"/>
                <w:sz w:val="20"/>
              </w:rPr>
            </w:pPr>
            <w:r w:rsidRPr="007363AD">
              <w:rPr>
                <w:color w:val="000000"/>
                <w:sz w:val="20"/>
              </w:rPr>
              <w:t>–:</w:t>
            </w:r>
          </w:p>
          <w:p w14:paraId="46CB2211" w14:textId="77777777" w:rsidR="00DC7727" w:rsidRPr="007363AD" w:rsidRDefault="00DC7727">
            <w:pPr>
              <w:autoSpaceDE w:val="0"/>
              <w:autoSpaceDN w:val="0"/>
              <w:adjustRightInd w:val="0"/>
              <w:rPr>
                <w:color w:val="000000"/>
                <w:sz w:val="20"/>
              </w:rPr>
            </w:pPr>
            <w:r w:rsidRPr="007363A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E6CA20" w14:textId="77777777" w:rsidR="00DC7727" w:rsidRPr="007363AD" w:rsidRDefault="00DC7727">
            <w:pPr>
              <w:autoSpaceDE w:val="0"/>
              <w:autoSpaceDN w:val="0"/>
              <w:adjustRightInd w:val="0"/>
              <w:rPr>
                <w:color w:val="000000"/>
                <w:sz w:val="20"/>
              </w:rPr>
            </w:pPr>
            <w:r w:rsidRPr="007363AD">
              <w:rPr>
                <w:color w:val="000000"/>
                <w:sz w:val="20"/>
              </w:rPr>
              <w:t>21</w:t>
            </w:r>
          </w:p>
          <w:p w14:paraId="25E539AB" w14:textId="77777777" w:rsidR="00DC7727" w:rsidRPr="007363AD" w:rsidRDefault="00DC7727">
            <w:pPr>
              <w:autoSpaceDE w:val="0"/>
              <w:autoSpaceDN w:val="0"/>
              <w:adjustRightInd w:val="0"/>
              <w:rPr>
                <w:color w:val="000000"/>
                <w:sz w:val="20"/>
              </w:rPr>
            </w:pPr>
            <w:r w:rsidRPr="007363AD">
              <w:rPr>
                <w:color w:val="000000"/>
                <w:sz w:val="20"/>
              </w:rPr>
              <w:t>0</w:t>
            </w:r>
          </w:p>
          <w:p w14:paraId="65E21B54" w14:textId="77777777" w:rsidR="00DC7727" w:rsidRPr="007363AD" w:rsidRDefault="00DC7727">
            <w:pPr>
              <w:autoSpaceDE w:val="0"/>
              <w:autoSpaceDN w:val="0"/>
              <w:adjustRightInd w:val="0"/>
              <w:rPr>
                <w:color w:val="000000"/>
                <w:sz w:val="20"/>
              </w:rPr>
            </w:pPr>
            <w:r w:rsidRPr="007363AD">
              <w:rPr>
                <w:color w:val="000000"/>
                <w:sz w:val="20"/>
              </w:rPr>
              <w:t>0</w:t>
            </w:r>
          </w:p>
        </w:tc>
      </w:tr>
    </w:tbl>
    <w:p w14:paraId="4C90AAAB" w14:textId="77777777" w:rsidR="00DC7727" w:rsidRPr="007363AD" w:rsidRDefault="00DC7727"/>
    <w:bookmarkEnd w:id="2"/>
    <w:p w14:paraId="18A8CC2A" w14:textId="12C99D43" w:rsidR="00782E54" w:rsidRPr="007363AD" w:rsidRDefault="00782E54" w:rsidP="00DC7727"/>
    <w:sectPr w:rsidR="00782E54" w:rsidRPr="007363AD" w:rsidSect="00DC772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D59" w14:textId="77777777" w:rsidR="007A3F74" w:rsidRPr="007363AD" w:rsidRDefault="007A3F74">
      <w:r w:rsidRPr="007363AD">
        <w:separator/>
      </w:r>
    </w:p>
  </w:endnote>
  <w:endnote w:type="continuationSeparator" w:id="0">
    <w:p w14:paraId="610AD7B1" w14:textId="77777777" w:rsidR="007A3F74" w:rsidRPr="007363AD" w:rsidRDefault="007A3F74">
      <w:r w:rsidRPr="00736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26402" w14:textId="6DA23A88" w:rsidR="007363AD" w:rsidRPr="007363AD" w:rsidRDefault="007363AD" w:rsidP="007363AD">
    <w:pPr>
      <w:pStyle w:val="EPFooter"/>
    </w:pPr>
    <w:r w:rsidRPr="007363AD">
      <w:t>PE</w:t>
    </w:r>
    <w:r w:rsidRPr="007363AD">
      <w:rPr>
        <w:rStyle w:val="HideTWBExt"/>
      </w:rPr>
      <w:t>&lt;NoPE&gt;</w:t>
    </w:r>
    <w:r w:rsidRPr="007363AD">
      <w:t>786.974</w:t>
    </w:r>
    <w:r w:rsidRPr="007363AD">
      <w:rPr>
        <w:rStyle w:val="HideTWBExt"/>
      </w:rPr>
      <w:t>&lt;/NoPE&gt;&lt;Version&gt;</w:t>
    </w:r>
    <w:r w:rsidRPr="007363AD">
      <w:t>v03</w:t>
    </w:r>
    <w:r w:rsidR="00972BF5">
      <w:noBreakHyphen/>
    </w:r>
    <w:r w:rsidRPr="007363AD">
      <w:t>00</w:t>
    </w:r>
    <w:r w:rsidRPr="007363AD">
      <w:rPr>
        <w:rStyle w:val="HideTWBExt"/>
      </w:rPr>
      <w:t>&lt;/Version&gt;</w:t>
    </w:r>
    <w:r w:rsidRPr="007363AD">
      <w:tab/>
    </w:r>
    <w:r w:rsidRPr="007363AD">
      <w:fldChar w:fldCharType="begin"/>
    </w:r>
    <w:r w:rsidRPr="007363AD">
      <w:instrText xml:space="preserve"> PAGE  \* MERGEFORMAT </w:instrText>
    </w:r>
    <w:r w:rsidRPr="007363AD">
      <w:fldChar w:fldCharType="separate"/>
    </w:r>
    <w:r w:rsidRPr="007363AD">
      <w:rPr>
        <w:noProof/>
      </w:rPr>
      <w:t>4</w:t>
    </w:r>
    <w:r w:rsidRPr="007363AD">
      <w:fldChar w:fldCharType="end"/>
    </w:r>
    <w:r w:rsidRPr="007363AD">
      <w:t>/</w:t>
    </w:r>
    <w:fldSimple w:instr=" NUMPAGES  \* MERGEFORMAT ">
      <w:r w:rsidRPr="007363AD">
        <w:rPr>
          <w:noProof/>
        </w:rPr>
        <w:t>5</w:t>
      </w:r>
    </w:fldSimple>
    <w:r w:rsidRPr="007363AD">
      <w:tab/>
    </w:r>
    <w:r w:rsidRPr="007363AD">
      <w:rPr>
        <w:rStyle w:val="HideTWBExt"/>
      </w:rPr>
      <w:t>&lt;PathFdR&gt;</w:t>
    </w:r>
    <w:r w:rsidRPr="007363AD">
      <w:t>RR\1343292PT.docx</w:t>
    </w:r>
    <w:r w:rsidRPr="007363AD">
      <w:rPr>
        <w:rStyle w:val="HideTWBExt"/>
      </w:rPr>
      <w:t>&lt;/PathFdR&gt;</w:t>
    </w:r>
  </w:p>
  <w:p w14:paraId="658457CE" w14:textId="6926B5DC" w:rsidR="0023430B" w:rsidRPr="007363AD" w:rsidRDefault="007363AD" w:rsidP="007363AD">
    <w:pPr>
      <w:pStyle w:val="EPFooter2"/>
    </w:pPr>
    <w:r w:rsidRPr="007363AD">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99129" w14:textId="0749B71D" w:rsidR="007363AD" w:rsidRPr="007363AD" w:rsidRDefault="007363AD" w:rsidP="007363AD">
    <w:pPr>
      <w:pStyle w:val="EPFooter"/>
    </w:pPr>
    <w:r w:rsidRPr="007363AD">
      <w:rPr>
        <w:rStyle w:val="HideTWBExt"/>
      </w:rPr>
      <w:t>&lt;PathFdR&gt;</w:t>
    </w:r>
    <w:r w:rsidRPr="007363AD">
      <w:t>RR\1343292PT.docx</w:t>
    </w:r>
    <w:r w:rsidRPr="007363AD">
      <w:rPr>
        <w:rStyle w:val="HideTWBExt"/>
      </w:rPr>
      <w:t>&lt;/PathFdR&gt;</w:t>
    </w:r>
    <w:r w:rsidRPr="007363AD">
      <w:tab/>
    </w:r>
    <w:r w:rsidRPr="007363AD">
      <w:fldChar w:fldCharType="begin"/>
    </w:r>
    <w:r w:rsidRPr="007363AD">
      <w:instrText xml:space="preserve"> PAGE  \* MERGEFORMAT </w:instrText>
    </w:r>
    <w:r w:rsidRPr="007363AD">
      <w:fldChar w:fldCharType="separate"/>
    </w:r>
    <w:r w:rsidRPr="007363AD">
      <w:rPr>
        <w:noProof/>
      </w:rPr>
      <w:t>5</w:t>
    </w:r>
    <w:r w:rsidRPr="007363AD">
      <w:fldChar w:fldCharType="end"/>
    </w:r>
    <w:r w:rsidRPr="007363AD">
      <w:t>/</w:t>
    </w:r>
    <w:fldSimple w:instr=" NUMPAGES  \* MERGEFORMAT ">
      <w:r w:rsidRPr="007363AD">
        <w:rPr>
          <w:noProof/>
        </w:rPr>
        <w:t>5</w:t>
      </w:r>
    </w:fldSimple>
    <w:r w:rsidRPr="007363AD">
      <w:tab/>
      <w:t>PE</w:t>
    </w:r>
    <w:r w:rsidRPr="007363AD">
      <w:rPr>
        <w:rStyle w:val="HideTWBExt"/>
      </w:rPr>
      <w:t>&lt;NoPE&gt;</w:t>
    </w:r>
    <w:r w:rsidRPr="007363AD">
      <w:t>786.974</w:t>
    </w:r>
    <w:r w:rsidRPr="007363AD">
      <w:rPr>
        <w:rStyle w:val="HideTWBExt"/>
      </w:rPr>
      <w:t>&lt;/NoPE&gt;&lt;Version&gt;</w:t>
    </w:r>
    <w:r w:rsidRPr="007363AD">
      <w:t>v03</w:t>
    </w:r>
    <w:r w:rsidR="00972BF5">
      <w:noBreakHyphen/>
    </w:r>
    <w:r w:rsidRPr="007363AD">
      <w:t>00</w:t>
    </w:r>
    <w:r w:rsidRPr="007363AD">
      <w:rPr>
        <w:rStyle w:val="HideTWBExt"/>
      </w:rPr>
      <w:t>&lt;/Version&gt;</w:t>
    </w:r>
  </w:p>
  <w:p w14:paraId="2AEFD817" w14:textId="286C087A" w:rsidR="0023430B" w:rsidRPr="007363AD" w:rsidRDefault="007363AD" w:rsidP="007363AD">
    <w:pPr>
      <w:pStyle w:val="EPFooter2"/>
    </w:pPr>
    <w:r w:rsidRPr="007363AD">
      <w:tab/>
    </w:r>
    <w:r w:rsidRPr="007363AD">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F0BE" w14:textId="25BA72FF" w:rsidR="007363AD" w:rsidRPr="007363AD" w:rsidRDefault="007363AD" w:rsidP="007363AD">
    <w:pPr>
      <w:pStyle w:val="EPFooter"/>
    </w:pPr>
    <w:r w:rsidRPr="007363AD">
      <w:rPr>
        <w:rStyle w:val="HideTWBExt"/>
      </w:rPr>
      <w:t>&lt;PathFdR&gt;</w:t>
    </w:r>
    <w:r w:rsidRPr="007363AD">
      <w:t>RR\1343292PT.docx</w:t>
    </w:r>
    <w:r w:rsidRPr="007363AD">
      <w:rPr>
        <w:rStyle w:val="HideTWBExt"/>
      </w:rPr>
      <w:t>&lt;/PathFdR&gt;</w:t>
    </w:r>
    <w:r w:rsidRPr="007363AD">
      <w:tab/>
    </w:r>
    <w:r w:rsidRPr="007363AD">
      <w:tab/>
      <w:t>PE</w:t>
    </w:r>
    <w:r w:rsidRPr="007363AD">
      <w:rPr>
        <w:rStyle w:val="HideTWBExt"/>
      </w:rPr>
      <w:t>&lt;NoPE&gt;</w:t>
    </w:r>
    <w:r w:rsidRPr="007363AD">
      <w:t>786.974</w:t>
    </w:r>
    <w:r w:rsidRPr="007363AD">
      <w:rPr>
        <w:rStyle w:val="HideTWBExt"/>
      </w:rPr>
      <w:t>&lt;/NoPE&gt;&lt;Version&gt;</w:t>
    </w:r>
    <w:r w:rsidRPr="007363AD">
      <w:t>v03</w:t>
    </w:r>
    <w:r w:rsidR="00972BF5">
      <w:noBreakHyphen/>
    </w:r>
    <w:r w:rsidRPr="007363AD">
      <w:t>00</w:t>
    </w:r>
    <w:r w:rsidRPr="007363AD">
      <w:rPr>
        <w:rStyle w:val="HideTWBExt"/>
      </w:rPr>
      <w:t>&lt;/Version&gt;</w:t>
    </w:r>
  </w:p>
  <w:p w14:paraId="335F31F2" w14:textId="33F752F0" w:rsidR="0023430B" w:rsidRPr="007363AD" w:rsidRDefault="007363AD" w:rsidP="007363AD">
    <w:pPr>
      <w:pStyle w:val="EPFooter2"/>
    </w:pPr>
    <w:r w:rsidRPr="007363AD">
      <w:t>PT</w:t>
    </w:r>
    <w:r w:rsidRPr="007363AD">
      <w:tab/>
    </w:r>
    <w:r w:rsidRPr="007363AD">
      <w:rPr>
        <w:b w:val="0"/>
        <w:i/>
        <w:color w:val="C0C0C0"/>
        <w:sz w:val="22"/>
      </w:rPr>
      <w:t>Unida na diversidade</w:t>
    </w:r>
    <w:r w:rsidRPr="007363AD">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6929" w14:textId="77777777" w:rsidR="007A3F74" w:rsidRPr="007363AD" w:rsidRDefault="007A3F74">
      <w:r w:rsidRPr="007363AD">
        <w:separator/>
      </w:r>
    </w:p>
  </w:footnote>
  <w:footnote w:type="continuationSeparator" w:id="0">
    <w:p w14:paraId="7CCCF422" w14:textId="77777777" w:rsidR="007A3F74" w:rsidRPr="007363AD" w:rsidRDefault="007A3F74">
      <w:r w:rsidRPr="007363AD">
        <w:continuationSeparator/>
      </w:r>
    </w:p>
  </w:footnote>
  <w:footnote w:id="1">
    <w:p w14:paraId="63EA19DC" w14:textId="66F490FB" w:rsidR="0037671C" w:rsidRPr="007363AD" w:rsidRDefault="0037671C" w:rsidP="0037671C">
      <w:pPr>
        <w:pStyle w:val="FootnoteText"/>
      </w:pPr>
      <w:r w:rsidRPr="007363AD">
        <w:rPr>
          <w:rStyle w:val="FootnoteReference"/>
        </w:rPr>
        <w:footnoteRef/>
      </w:r>
      <w:r w:rsidRPr="007363AD">
        <w:rPr>
          <w:rStyle w:val="FootnoteReference"/>
        </w:rPr>
        <w:t xml:space="preserve"> </w:t>
      </w:r>
      <w:r w:rsidRPr="007363AD">
        <w:t>Acórdão do Tribunal de Justiça, de 21 de outubro de 2008, Marra/De Gregorio e Clemente, C</w:t>
      </w:r>
      <w:r w:rsidR="00972BF5">
        <w:noBreakHyphen/>
      </w:r>
      <w:r w:rsidRPr="007363AD">
        <w:t>200/07 e C</w:t>
      </w:r>
      <w:r w:rsidR="00972BF5">
        <w:noBreakHyphen/>
      </w:r>
      <w:r w:rsidRPr="007363AD">
        <w:t>201/07, ECLI:EU:C:2008:579; Acórdão do Tribunal Geral de 19 de março de 2010, Gollnisch/Parlamento Europeu, T</w:t>
      </w:r>
      <w:r w:rsidR="00972BF5">
        <w:noBreakHyphen/>
      </w:r>
      <w:r w:rsidRPr="007363AD">
        <w:t>42/06, ECLI:EU:T:2010:102; Acórdão do Tribunal de Justiça de 6 de setembro de 2011, Patriciello, C</w:t>
      </w:r>
      <w:r w:rsidR="00972BF5">
        <w:noBreakHyphen/>
      </w:r>
      <w:r w:rsidRPr="007363AD">
        <w:t>163/10, ECLI: EU:C:2011:543; Acórdão do Tribunal Geral de 17 de janeiro de 2013, Gollnisch/Parlamento Europeu, T</w:t>
      </w:r>
      <w:r w:rsidR="00972BF5">
        <w:noBreakHyphen/>
      </w:r>
      <w:r w:rsidRPr="007363AD">
        <w:t>346/11 e T</w:t>
      </w:r>
      <w:r w:rsidR="00972BF5">
        <w:noBreakHyphen/>
      </w:r>
      <w:r w:rsidRPr="007363AD">
        <w:t>347/11, ECLI:EU:T:2013:23; Acórdão do Tribunal de Justiça de 19 de dezembro de 2019, Junqueras Vies, C</w:t>
      </w:r>
      <w:r w:rsidR="00972BF5">
        <w:noBreakHyphen/>
      </w:r>
      <w:r w:rsidRPr="007363AD">
        <w:t>502/19, ECLI:EU:C:2019:1115.</w:t>
      </w:r>
    </w:p>
  </w:footnote>
  <w:footnote w:id="2">
    <w:p w14:paraId="26EEF05B" w14:textId="51B1FCB3" w:rsidR="0037671C" w:rsidRPr="007363AD" w:rsidRDefault="0037671C" w:rsidP="0037671C">
      <w:pPr>
        <w:pStyle w:val="FootnoteText"/>
      </w:pPr>
      <w:r w:rsidRPr="007363AD">
        <w:rPr>
          <w:rStyle w:val="FootnoteReference"/>
        </w:rPr>
        <w:footnoteRef/>
      </w:r>
      <w:r w:rsidRPr="007363AD">
        <w:rPr>
          <w:rStyle w:val="FootnoteReference"/>
        </w:rPr>
        <w:t xml:space="preserve"> </w:t>
      </w:r>
      <w:r w:rsidRPr="007363AD">
        <w:t>Acórdão do Tribunal Geral de 30 de abril de 2019, Briois/Parlamento Europeu, T</w:t>
      </w:r>
      <w:r w:rsidR="00972BF5">
        <w:noBreakHyphen/>
      </w:r>
      <w:r w:rsidRPr="007363AD">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E34E" w14:textId="77777777" w:rsidR="00972BF5" w:rsidRDefault="00972B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4D89" w14:textId="77777777" w:rsidR="00972BF5" w:rsidRDefault="00972B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44FF" w14:textId="77777777" w:rsidR="00972BF5" w:rsidRDefault="00972B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786"/>
    <w:docVar w:name="TXTAUTHOR" w:val="Marcin Sypniewski"/>
    <w:docVar w:name="TXTLANGUE" w:val="EN"/>
    <w:docVar w:name="TXTLANGUEMIN" w:val="en"/>
    <w:docVar w:name="TXTNAME" w:val="Nikos Pappas"/>
    <w:docVar w:name="TXTNRIMM" w:val="2025/2234"/>
    <w:docVar w:name="TXTNRPE" w:val="786.974"/>
    <w:docVar w:name="TXTPEorAP" w:val="PE"/>
    <w:docVar w:name="TXTROUTE" w:val="RR\786.974EN.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5304"/>
    <w:rsid w:val="00211AA7"/>
    <w:rsid w:val="00215FF9"/>
    <w:rsid w:val="0023430B"/>
    <w:rsid w:val="002442B3"/>
    <w:rsid w:val="00250733"/>
    <w:rsid w:val="00252E1D"/>
    <w:rsid w:val="00273EFB"/>
    <w:rsid w:val="00285706"/>
    <w:rsid w:val="002915E6"/>
    <w:rsid w:val="0029288E"/>
    <w:rsid w:val="00296EB6"/>
    <w:rsid w:val="002C0160"/>
    <w:rsid w:val="002F5F7C"/>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B2372"/>
    <w:rsid w:val="004E7774"/>
    <w:rsid w:val="00503AC2"/>
    <w:rsid w:val="005922F7"/>
    <w:rsid w:val="005B5955"/>
    <w:rsid w:val="00627F06"/>
    <w:rsid w:val="00633DF2"/>
    <w:rsid w:val="00681E33"/>
    <w:rsid w:val="006A1780"/>
    <w:rsid w:val="006C038C"/>
    <w:rsid w:val="006D6F36"/>
    <w:rsid w:val="007363AD"/>
    <w:rsid w:val="00736D0A"/>
    <w:rsid w:val="007470A8"/>
    <w:rsid w:val="00752B65"/>
    <w:rsid w:val="00753DFC"/>
    <w:rsid w:val="007613CD"/>
    <w:rsid w:val="0076428C"/>
    <w:rsid w:val="00771E7F"/>
    <w:rsid w:val="00780317"/>
    <w:rsid w:val="0078039D"/>
    <w:rsid w:val="00782E54"/>
    <w:rsid w:val="00785C52"/>
    <w:rsid w:val="00797CAE"/>
    <w:rsid w:val="007A3F74"/>
    <w:rsid w:val="007A7BF5"/>
    <w:rsid w:val="007C040A"/>
    <w:rsid w:val="007D49EE"/>
    <w:rsid w:val="007E434A"/>
    <w:rsid w:val="007F4D6A"/>
    <w:rsid w:val="008376BE"/>
    <w:rsid w:val="008436E0"/>
    <w:rsid w:val="00851E2C"/>
    <w:rsid w:val="00867D72"/>
    <w:rsid w:val="00872381"/>
    <w:rsid w:val="008D1236"/>
    <w:rsid w:val="008D1C36"/>
    <w:rsid w:val="008E6FB9"/>
    <w:rsid w:val="008F39C8"/>
    <w:rsid w:val="0091636F"/>
    <w:rsid w:val="009442F2"/>
    <w:rsid w:val="0094666F"/>
    <w:rsid w:val="00972BF5"/>
    <w:rsid w:val="009915DD"/>
    <w:rsid w:val="009A4162"/>
    <w:rsid w:val="009B47E5"/>
    <w:rsid w:val="009D54A6"/>
    <w:rsid w:val="009E4C4E"/>
    <w:rsid w:val="009E7AD9"/>
    <w:rsid w:val="009F5083"/>
    <w:rsid w:val="009F55EA"/>
    <w:rsid w:val="00A33B09"/>
    <w:rsid w:val="00A45926"/>
    <w:rsid w:val="00A63BDB"/>
    <w:rsid w:val="00A87FB0"/>
    <w:rsid w:val="00AA7D88"/>
    <w:rsid w:val="00AB1E20"/>
    <w:rsid w:val="00AB3EA7"/>
    <w:rsid w:val="00B24A96"/>
    <w:rsid w:val="00B37A07"/>
    <w:rsid w:val="00B61BA7"/>
    <w:rsid w:val="00B76A78"/>
    <w:rsid w:val="00B81D30"/>
    <w:rsid w:val="00BB307A"/>
    <w:rsid w:val="00BD02C3"/>
    <w:rsid w:val="00BD34CF"/>
    <w:rsid w:val="00BE1054"/>
    <w:rsid w:val="00C33434"/>
    <w:rsid w:val="00C42BD9"/>
    <w:rsid w:val="00C66DE6"/>
    <w:rsid w:val="00CB158E"/>
    <w:rsid w:val="00CC662F"/>
    <w:rsid w:val="00CC6730"/>
    <w:rsid w:val="00CD25E0"/>
    <w:rsid w:val="00CE5349"/>
    <w:rsid w:val="00CF16EE"/>
    <w:rsid w:val="00D1021A"/>
    <w:rsid w:val="00D25B0A"/>
    <w:rsid w:val="00D8214F"/>
    <w:rsid w:val="00DA032C"/>
    <w:rsid w:val="00DA14FB"/>
    <w:rsid w:val="00DA67D6"/>
    <w:rsid w:val="00DB1E47"/>
    <w:rsid w:val="00DC7727"/>
    <w:rsid w:val="00DD480D"/>
    <w:rsid w:val="00DF74F0"/>
    <w:rsid w:val="00E114BC"/>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8C99"/>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7198">
      <w:bodyDiv w:val="1"/>
      <w:marLeft w:val="0"/>
      <w:marRight w:val="0"/>
      <w:marTop w:val="0"/>
      <w:marBottom w:val="0"/>
      <w:divBdr>
        <w:top w:val="none" w:sz="0" w:space="0" w:color="auto"/>
        <w:left w:val="none" w:sz="0" w:space="0" w:color="auto"/>
        <w:bottom w:val="none" w:sz="0" w:space="0" w:color="auto"/>
        <w:right w:val="none" w:sz="0" w:space="0" w:color="auto"/>
      </w:divBdr>
    </w:div>
    <w:div w:id="481653856">
      <w:bodyDiv w:val="1"/>
      <w:marLeft w:val="0"/>
      <w:marRight w:val="0"/>
      <w:marTop w:val="0"/>
      <w:marBottom w:val="0"/>
      <w:divBdr>
        <w:top w:val="none" w:sz="0" w:space="0" w:color="auto"/>
        <w:left w:val="none" w:sz="0" w:space="0" w:color="auto"/>
        <w:bottom w:val="none" w:sz="0" w:space="0" w:color="auto"/>
        <w:right w:val="none" w:sz="0" w:space="0" w:color="auto"/>
      </w:divBdr>
    </w:div>
    <w:div w:id="1088574406">
      <w:bodyDiv w:val="1"/>
      <w:marLeft w:val="0"/>
      <w:marRight w:val="0"/>
      <w:marTop w:val="0"/>
      <w:marBottom w:val="0"/>
      <w:divBdr>
        <w:top w:val="none" w:sz="0" w:space="0" w:color="auto"/>
        <w:left w:val="none" w:sz="0" w:space="0" w:color="auto"/>
        <w:bottom w:val="none" w:sz="0" w:space="0" w:color="auto"/>
        <w:right w:val="none" w:sz="0" w:space="0" w:color="auto"/>
      </w:divBdr>
    </w:div>
    <w:div w:id="1534423808">
      <w:bodyDiv w:val="1"/>
      <w:marLeft w:val="0"/>
      <w:marRight w:val="0"/>
      <w:marTop w:val="0"/>
      <w:marBottom w:val="0"/>
      <w:divBdr>
        <w:top w:val="none" w:sz="0" w:space="0" w:color="auto"/>
        <w:left w:val="none" w:sz="0" w:space="0" w:color="auto"/>
        <w:bottom w:val="none" w:sz="0" w:space="0" w:color="auto"/>
        <w:right w:val="none" w:sz="0" w:space="0" w:color="auto"/>
      </w:divBdr>
    </w:div>
    <w:div w:id="17138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863</Words>
  <Characters>4430</Characters>
  <Application>Microsoft Office Word</Application>
  <DocSecurity>0</DocSecurity>
  <Lines>108</Lines>
  <Paragraphs>58</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ZAHARIE Ana Maria</dc:creator>
  <cp:keywords/>
  <dc:description/>
  <cp:lastModifiedBy>PEREIRA Dulce</cp:lastModifiedBy>
  <cp:revision>2</cp:revision>
  <cp:lastPrinted>2026-04-14T09:48:00Z</cp:lastPrinted>
  <dcterms:created xsi:type="dcterms:W3CDTF">2026-05-07T07:27:00Z</dcterms:created>
  <dcterms:modified xsi:type="dcterms:W3CDTF">2026-05-07T07:27:00Z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\\eiciLUXpr1\pdocep$\DocEP\TRANSFIL\EN\PR_IMM_Waiver.EN(05/08/2025 16:25:00)</vt:lpwstr>
  </property>
  <property fmtid="{D5CDD505-2E9C-101B-9397-08002B2CF9AE}" pid="9" name="&lt;Model&gt;">
    <vt:lpwstr>PR_IMM_Waiver</vt:lpwstr>
  </property>
  <property fmtid="{D5CDD505-2E9C-101B-9397-08002B2CF9AE}" pid="10" name="FooterPath">
    <vt:lpwstr>RR\1343292PT.docx</vt:lpwstr>
  </property>
  <property fmtid="{D5CDD505-2E9C-101B-9397-08002B2CF9AE}" pid="11" name="PE number">
    <vt:lpwstr>786.974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- 2026/05/07 09:27</vt:lpwstr>
  </property>
  <property fmtid="{D5CDD505-2E9C-101B-9397-08002B2CF9AE}" pid="15" name="OriLang">
    <vt:lpwstr>EN</vt:lpwstr>
  </property>
  <property fmtid="{D5CDD505-2E9C-101B-9397-08002B2CF9AE}" pid="16" name="SDLStudio">
    <vt:lpwstr/>
  </property>
</Properties>
</file>