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A2526" w:rsidRPr="00DA5FBD" w14:paraId="219717F1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5E5C68" w14:textId="77777777" w:rsidR="00CF16EE" w:rsidRPr="00DA5FBD" w:rsidRDefault="00BD6E5B" w:rsidP="00C85D0F">
            <w:pPr>
              <w:pStyle w:val="EPName"/>
            </w:pPr>
            <w:r w:rsidRPr="00DA5FBD">
              <w:t>Európsky parlament</w:t>
            </w:r>
          </w:p>
          <w:p w14:paraId="350BF40C" w14:textId="77777777" w:rsidR="00CF16EE" w:rsidRPr="00DA5FBD" w:rsidRDefault="00BD6E5B" w:rsidP="00C85D0F">
            <w:pPr>
              <w:pStyle w:val="EPTerm"/>
            </w:pPr>
            <w:r w:rsidRPr="00DA5FBD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69E4A5A" w14:textId="77777777" w:rsidR="00CF16EE" w:rsidRPr="00DA5FBD" w:rsidRDefault="00BD6E5B" w:rsidP="00C85D0F">
            <w:pPr>
              <w:pStyle w:val="EPLogo"/>
            </w:pPr>
            <w:r w:rsidRPr="00DA5FBD">
              <w:rPr>
                <w:noProof/>
              </w:rPr>
              <w:drawing>
                <wp:inline distT="0" distB="0" distL="0" distR="0" wp14:anchorId="7F3F8BBC" wp14:editId="43E096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7E49B3" w14:textId="77777777" w:rsidR="00215FF9" w:rsidRPr="00DA5FBD" w:rsidRDefault="00215FF9" w:rsidP="00215FF9">
      <w:pPr>
        <w:pStyle w:val="LineTop"/>
      </w:pPr>
    </w:p>
    <w:p w14:paraId="53DE2700" w14:textId="77777777" w:rsidR="00215FF9" w:rsidRPr="00DA5FBD" w:rsidRDefault="00BD6E5B" w:rsidP="00215FF9">
      <w:pPr>
        <w:pStyle w:val="EPBody"/>
      </w:pPr>
      <w:r w:rsidRPr="00DA5FBD">
        <w:t>Dokument na rokovanie</w:t>
      </w:r>
    </w:p>
    <w:p w14:paraId="0C8B1613" w14:textId="77777777" w:rsidR="00215FF9" w:rsidRPr="00DA5FBD" w:rsidRDefault="00215FF9" w:rsidP="00215FF9">
      <w:pPr>
        <w:pStyle w:val="LineBottom"/>
      </w:pPr>
    </w:p>
    <w:p w14:paraId="4EDAA008" w14:textId="77777777" w:rsidR="005922F7" w:rsidRPr="00DA5FBD" w:rsidRDefault="00BD6E5B" w:rsidP="001D549A">
      <w:pPr>
        <w:pStyle w:val="CoverReference"/>
      </w:pPr>
      <w:r w:rsidRPr="00DA5FBD">
        <w:rPr>
          <w:rStyle w:val="HideTWBExt"/>
        </w:rPr>
        <w:t>&lt;NoDocSe&gt;</w:t>
      </w:r>
      <w:r w:rsidRPr="00DA5FBD">
        <w:t>A10-0128/2026</w:t>
      </w:r>
      <w:r w:rsidRPr="00DA5FBD">
        <w:rPr>
          <w:rStyle w:val="HideTWBExt"/>
        </w:rPr>
        <w:t>&lt;/NoDocSe&gt;</w:t>
      </w:r>
    </w:p>
    <w:p w14:paraId="343A3789" w14:textId="77777777" w:rsidR="005922F7" w:rsidRPr="00DA5FBD" w:rsidRDefault="00BD6E5B" w:rsidP="005922F7">
      <w:pPr>
        <w:pStyle w:val="CoverDate"/>
      </w:pPr>
      <w:r w:rsidRPr="00DA5FBD">
        <w:rPr>
          <w:rStyle w:val="HideTWBExt"/>
        </w:rPr>
        <w:t>&lt;Date&gt;</w:t>
      </w:r>
      <w:r w:rsidRPr="00DA5FBD">
        <w:rPr>
          <w:rStyle w:val="HideTWBInt"/>
          <w:color w:val="auto"/>
        </w:rPr>
        <w:t>{06/05/2026}</w:t>
      </w:r>
      <w:r w:rsidRPr="00DA5FBD">
        <w:t>6.5.2026</w:t>
      </w:r>
      <w:r w:rsidRPr="00DA5FBD">
        <w:rPr>
          <w:rStyle w:val="HideTWBExt"/>
        </w:rPr>
        <w:t>&lt;/Date&gt;</w:t>
      </w:r>
    </w:p>
    <w:p w14:paraId="38715A70" w14:textId="77777777" w:rsidR="00142D49" w:rsidRPr="00DA5FBD" w:rsidRDefault="00BD6E5B">
      <w:pPr>
        <w:pStyle w:val="CoverDocType24a"/>
      </w:pPr>
      <w:r w:rsidRPr="00DA5FBD">
        <w:rPr>
          <w:rStyle w:val="HideTWBExt"/>
          <w:b w:val="0"/>
        </w:rPr>
        <w:t>&lt;TitreType&gt;</w:t>
      </w:r>
      <w:r w:rsidRPr="00DA5FBD">
        <w:t>SPRÁVA</w:t>
      </w:r>
      <w:r w:rsidRPr="00DA5FBD">
        <w:rPr>
          <w:rStyle w:val="HideTWBExt"/>
          <w:b w:val="0"/>
        </w:rPr>
        <w:t>&lt;/TitreType&gt;</w:t>
      </w:r>
    </w:p>
    <w:p w14:paraId="6FA74217" w14:textId="77777777" w:rsidR="00142D49" w:rsidRPr="00DA5FBD" w:rsidRDefault="00BD6E5B">
      <w:pPr>
        <w:pStyle w:val="CoverNormal"/>
      </w:pPr>
      <w:r w:rsidRPr="00DA5FBD">
        <w:rPr>
          <w:rStyle w:val="HideTWBExt"/>
        </w:rPr>
        <w:t>&lt;Titre&gt;</w:t>
      </w:r>
      <w:r w:rsidRPr="00DA5FBD">
        <w:t>o žiadosti o zbavenie Nikosa Pappasa imunity</w:t>
      </w:r>
      <w:r w:rsidRPr="00DA5FBD">
        <w:rPr>
          <w:rStyle w:val="HideTWBExt"/>
        </w:rPr>
        <w:t>&lt;/Titre&gt;</w:t>
      </w:r>
    </w:p>
    <w:p w14:paraId="7E9F7087" w14:textId="77777777" w:rsidR="00142D49" w:rsidRPr="00DA5FBD" w:rsidRDefault="00BD6E5B">
      <w:pPr>
        <w:pStyle w:val="CoverNormal24a"/>
      </w:pPr>
      <w:r w:rsidRPr="00DA5FBD">
        <w:rPr>
          <w:rStyle w:val="HideTWBExt"/>
        </w:rPr>
        <w:t>&lt;DocRef&gt;</w:t>
      </w:r>
      <w:r w:rsidRPr="00DA5FBD">
        <w:t>(2025/2234(IMM))</w:t>
      </w:r>
      <w:r w:rsidRPr="00DA5FBD">
        <w:rPr>
          <w:rStyle w:val="HideTWBExt"/>
        </w:rPr>
        <w:t>&lt;/DocRef&gt;</w:t>
      </w:r>
    </w:p>
    <w:p w14:paraId="45ACD4C4" w14:textId="77777777" w:rsidR="00142D49" w:rsidRPr="00DA5FBD" w:rsidRDefault="00BD6E5B">
      <w:pPr>
        <w:pStyle w:val="CoverNormal24a"/>
      </w:pPr>
      <w:r w:rsidRPr="00DA5FBD">
        <w:rPr>
          <w:rStyle w:val="HideTWBExt"/>
        </w:rPr>
        <w:t>&lt;Commission&gt;</w:t>
      </w:r>
      <w:r w:rsidRPr="00DA5FBD">
        <w:rPr>
          <w:rStyle w:val="HideTWBInt"/>
          <w:color w:val="auto"/>
        </w:rPr>
        <w:t>{JURI}</w:t>
      </w:r>
      <w:r w:rsidRPr="00DA5FBD">
        <w:t>Výbor pre právne veci</w:t>
      </w:r>
      <w:r w:rsidRPr="00DA5FBD">
        <w:rPr>
          <w:rStyle w:val="HideTWBExt"/>
        </w:rPr>
        <w:t>&lt;/Commission&gt;</w:t>
      </w:r>
    </w:p>
    <w:p w14:paraId="126B486F" w14:textId="77777777" w:rsidR="00142D49" w:rsidRPr="00DA5FBD" w:rsidRDefault="00BD6E5B">
      <w:pPr>
        <w:pStyle w:val="CoverNormal24a"/>
      </w:pPr>
      <w:r w:rsidRPr="00DA5FBD">
        <w:t xml:space="preserve">Spravodajca: </w:t>
      </w:r>
      <w:r w:rsidRPr="00DA5FBD">
        <w:rPr>
          <w:rStyle w:val="HideTWBExt"/>
        </w:rPr>
        <w:t>&lt;Depute&gt;</w:t>
      </w:r>
      <w:r w:rsidRPr="00DA5FBD">
        <w:t>Marcin Sypniewski</w:t>
      </w:r>
      <w:r w:rsidRPr="00DA5FBD">
        <w:rPr>
          <w:rStyle w:val="HideTWBExt"/>
        </w:rPr>
        <w:t>&lt;/Depute&gt;</w:t>
      </w:r>
    </w:p>
    <w:p w14:paraId="38C68D03" w14:textId="77777777" w:rsidR="00142D49" w:rsidRPr="00DA5FBD" w:rsidRDefault="00BD6E5B" w:rsidP="00DF74F0">
      <w:pPr>
        <w:widowControl/>
        <w:tabs>
          <w:tab w:val="center" w:pos="4677"/>
        </w:tabs>
      </w:pPr>
      <w:r w:rsidRPr="00DA5FBD">
        <w:br w:type="page"/>
      </w:r>
      <w:r w:rsidRPr="00DA5FBD">
        <w:lastRenderedPageBreak/>
        <w:t>PR_IMM_Waiver</w:t>
      </w:r>
    </w:p>
    <w:p w14:paraId="341C78E4" w14:textId="77777777" w:rsidR="00142D49" w:rsidRPr="00DA5FBD" w:rsidRDefault="00BD6E5B">
      <w:pPr>
        <w:pStyle w:val="TOCHeading"/>
      </w:pPr>
      <w:r w:rsidRPr="00DA5FBD">
        <w:t>OBSAH</w:t>
      </w:r>
    </w:p>
    <w:p w14:paraId="4356A3A3" w14:textId="77777777" w:rsidR="00142D49" w:rsidRPr="00DA5FBD" w:rsidRDefault="00BD6E5B">
      <w:pPr>
        <w:pStyle w:val="TOCPage"/>
      </w:pPr>
      <w:r w:rsidRPr="00DA5FBD">
        <w:t>strana</w:t>
      </w:r>
    </w:p>
    <w:p w14:paraId="496F2269" w14:textId="44639AA8" w:rsidR="00BD6E5B" w:rsidRDefault="00BD6E5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DA5FBD">
        <w:fldChar w:fldCharType="begin"/>
      </w:r>
      <w:r w:rsidRPr="00DA5FBD">
        <w:instrText xml:space="preserve"> TOC \t "PageHeading</w:instrText>
      </w:r>
      <w:r w:rsidR="00211AA7" w:rsidRPr="00DA5FBD">
        <w:instrText>;</w:instrText>
      </w:r>
      <w:r w:rsidRPr="00DA5FBD">
        <w:instrText xml:space="preserve">1" </w:instrText>
      </w:r>
      <w:r w:rsidRPr="00DA5FBD">
        <w:fldChar w:fldCharType="separate"/>
      </w:r>
      <w:r>
        <w:rPr>
          <w:noProof/>
        </w:rPr>
        <w:t>NÁVRH ROZHODNUTIA EURÓPSKEHO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_Toc229566577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787FEE5" w14:textId="3B8C4E6C" w:rsidR="00BD6E5B" w:rsidRDefault="00BD6E5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INFORMÁCIE O PRIJATÍ GESTORSKÝM VÝBOROM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_Toc229566578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28EE05F3" w14:textId="474A6E7C" w:rsidR="0006105E" w:rsidRPr="00DA5FBD" w:rsidRDefault="00BD6E5B" w:rsidP="00273EFB">
      <w:r w:rsidRPr="00DA5FBD">
        <w:fldChar w:fldCharType="end"/>
      </w:r>
    </w:p>
    <w:p w14:paraId="4E670070" w14:textId="77777777" w:rsidR="00142D49" w:rsidRPr="00DA5FBD" w:rsidRDefault="00BD6E5B">
      <w:pPr>
        <w:pStyle w:val="PageHeading"/>
      </w:pPr>
      <w:r w:rsidRPr="00DA5FBD">
        <w:br w:type="page"/>
      </w:r>
      <w:bookmarkStart w:id="0" w:name="_Toc229566577"/>
      <w:r w:rsidRPr="00DA5FBD">
        <w:t>NÁVRH ROZHODNUTIA EURÓPSKEHO PARLAMENTU</w:t>
      </w:r>
      <w:bookmarkEnd w:id="0"/>
    </w:p>
    <w:p w14:paraId="60889543" w14:textId="77777777" w:rsidR="00142D49" w:rsidRPr="00DA5FBD" w:rsidRDefault="00BD6E5B">
      <w:pPr>
        <w:pStyle w:val="NormalBold"/>
      </w:pPr>
      <w:r w:rsidRPr="00DA5FBD">
        <w:t>o žiadosti o zbavenie Nikosa Pappasa imunity</w:t>
      </w:r>
    </w:p>
    <w:p w14:paraId="72D31D9A" w14:textId="77777777" w:rsidR="00142D49" w:rsidRPr="00DA5FBD" w:rsidRDefault="00BD6E5B" w:rsidP="00FD1F04">
      <w:pPr>
        <w:pStyle w:val="NormalBold"/>
      </w:pPr>
      <w:r w:rsidRPr="00DA5FBD">
        <w:t>(2025/2234 (IMM))</w:t>
      </w:r>
    </w:p>
    <w:p w14:paraId="28239D39" w14:textId="77777777" w:rsidR="00142D49" w:rsidRPr="00DA5FBD" w:rsidRDefault="00BD6E5B" w:rsidP="00FD1F04">
      <w:pPr>
        <w:pStyle w:val="EPComma"/>
      </w:pPr>
      <w:r w:rsidRPr="00DA5FBD">
        <w:rPr>
          <w:i/>
          <w:iCs/>
        </w:rPr>
        <w:t>Európsky parlament</w:t>
      </w:r>
      <w:r w:rsidRPr="00DA5FBD">
        <w:t>,</w:t>
      </w:r>
    </w:p>
    <w:p w14:paraId="79536C58" w14:textId="77777777" w:rsidR="0037671C" w:rsidRPr="00DA5FBD" w:rsidRDefault="00BD6E5B" w:rsidP="0037671C">
      <w:pPr>
        <w:pStyle w:val="NormalHanging12a"/>
      </w:pPr>
      <w:r w:rsidRPr="00DA5FBD">
        <w:t>–</w:t>
      </w:r>
      <w:r w:rsidRPr="00DA5FBD">
        <w:tab/>
        <w:t>so zreteľom na žiadosť o zbavenie Nikosa Pappasa imunity, ktorá bola doručená listom generálnej prokuratúry Najvyššieho súdu Grécka zo 7. októbra 2025, ktorým bola postúpená žiadosť predložená prokurátorom na súde prvého stupňa v Aténach v súvislosti s trestným konaním, ktoré sa má proti nemu začať, a ktorá bola oznámená na plenárnej schôdzi 12. novembra 2025,</w:t>
      </w:r>
    </w:p>
    <w:p w14:paraId="1070679B" w14:textId="77777777" w:rsidR="0037671C" w:rsidRPr="00DA5FBD" w:rsidRDefault="00BD6E5B" w:rsidP="0037671C">
      <w:pPr>
        <w:pStyle w:val="NormalHanging12a"/>
      </w:pPr>
      <w:r w:rsidRPr="00DA5FBD">
        <w:t>–</w:t>
      </w:r>
      <w:r w:rsidRPr="00DA5FBD">
        <w:tab/>
        <w:t xml:space="preserve">po vypočutí Nikosa Pappasa 15. apríla 2026 v súlade s článkom 9 ods. 6 rokovacieho poriadku, </w:t>
      </w:r>
    </w:p>
    <w:p w14:paraId="43434DB2" w14:textId="77777777" w:rsidR="0037671C" w:rsidRPr="00DA5FBD" w:rsidRDefault="00BD6E5B" w:rsidP="0037671C">
      <w:pPr>
        <w:pStyle w:val="NormalHanging12a"/>
      </w:pPr>
      <w:r w:rsidRPr="00DA5FBD">
        <w:t>–</w:t>
      </w:r>
      <w:r w:rsidRPr="00DA5FBD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08087BD6" w14:textId="77777777" w:rsidR="0037671C" w:rsidRPr="00DA5FBD" w:rsidRDefault="00BD6E5B" w:rsidP="0037671C">
      <w:pPr>
        <w:pStyle w:val="NormalHanging12a"/>
      </w:pPr>
      <w:r w:rsidRPr="00DA5FBD">
        <w:t>–</w:t>
      </w:r>
      <w:r w:rsidRPr="00DA5FBD">
        <w:tab/>
        <w:t>so zreteľom na rozsudky Súdneho dvora Európskej únie z 21. októbra 2008, 19. marca 2010, 6. septembra 2011, 17. januára 2013 a 19. decembra 2019</w:t>
      </w:r>
      <w:r w:rsidRPr="00DA5FBD">
        <w:rPr>
          <w:vertAlign w:val="superscript"/>
        </w:rPr>
        <w:footnoteReference w:id="1"/>
      </w:r>
      <w:r w:rsidRPr="00DA5FBD">
        <w:t>,</w:t>
      </w:r>
    </w:p>
    <w:p w14:paraId="48836FDF" w14:textId="77777777" w:rsidR="0037671C" w:rsidRPr="00DA5FBD" w:rsidRDefault="00BD6E5B" w:rsidP="0037671C">
      <w:pPr>
        <w:pStyle w:val="NormalHanging12a"/>
      </w:pPr>
      <w:r w:rsidRPr="00DA5FBD">
        <w:t>–</w:t>
      </w:r>
      <w:r w:rsidRPr="00DA5FBD">
        <w:tab/>
        <w:t>so zreteľom na článok 5 ods. 2, článok 6 ods. 1 a článok 9 rokovacieho poriadku,</w:t>
      </w:r>
    </w:p>
    <w:p w14:paraId="7567A183" w14:textId="77777777" w:rsidR="0037671C" w:rsidRPr="00DA5FBD" w:rsidRDefault="00BD6E5B" w:rsidP="0037671C">
      <w:pPr>
        <w:pStyle w:val="NormalHanging12a"/>
      </w:pPr>
      <w:r w:rsidRPr="00DA5FBD">
        <w:t>–</w:t>
      </w:r>
      <w:r w:rsidRPr="00DA5FBD">
        <w:tab/>
        <w:t>so zreteľom na správu Výboru pre právne veci (A10-0128/2026),</w:t>
      </w:r>
    </w:p>
    <w:p w14:paraId="23AC2730" w14:textId="77777777" w:rsidR="0037671C" w:rsidRPr="00DA5FBD" w:rsidRDefault="00BD6E5B" w:rsidP="0037671C">
      <w:pPr>
        <w:pStyle w:val="NormalHanging12a"/>
        <w:rPr>
          <w:bCs/>
          <w:iCs/>
        </w:rPr>
      </w:pPr>
      <w:r w:rsidRPr="00DA5FBD">
        <w:t>A.</w:t>
      </w:r>
      <w:r w:rsidRPr="00DA5FBD">
        <w:tab/>
        <w:t>keďže zástupca generálneho prokurátora Najvyššieho súdu Grécka postúpil žiadosť prokurátora na súde prvého stupňa v Aténach o zbavenie imunity Nikosa Pappasa, poslanca Európskeho parlamentu zvoleného v Grécku, v súvislosti s údajnými urážkami na internete a hrozbami, ktoré predstavujú trestné činy podľa článku 94, článku 361 ods. 1 prvej a druhej vety a článku 333 ods. 1 prvej vety gréckeho trestného zákonníka;</w:t>
      </w:r>
    </w:p>
    <w:p w14:paraId="1E681503" w14:textId="77777777" w:rsidR="0037671C" w:rsidRPr="00DA5FBD" w:rsidRDefault="00BD6E5B" w:rsidP="0037671C">
      <w:pPr>
        <w:pStyle w:val="NormalHanging12a"/>
      </w:pPr>
      <w:r w:rsidRPr="00DA5FBD">
        <w:t>B.</w:t>
      </w:r>
      <w:r w:rsidRPr="00DA5FBD">
        <w:tab/>
      </w:r>
      <w:bookmarkStart w:id="1" w:name="_Hlk226714510"/>
      <w:r w:rsidRPr="00DA5FBD">
        <w:t>keďže podľa žiadosti sa v sťažnosti uvádza, že 11. júna 2025 Nikos Pappas údajne urážal sťažovateľa a vyhrážal sa mu v priamych správach zaslaných z jeho osobného účtu na Instagrame;</w:t>
      </w:r>
      <w:bookmarkEnd w:id="1"/>
    </w:p>
    <w:p w14:paraId="19FACCE3" w14:textId="77777777" w:rsidR="0037671C" w:rsidRPr="00DA5FBD" w:rsidRDefault="00BD6E5B" w:rsidP="0037671C">
      <w:pPr>
        <w:pStyle w:val="NormalHanging12a"/>
      </w:pPr>
      <w:r w:rsidRPr="00DA5FBD">
        <w:t>C.</w:t>
      </w:r>
      <w:r w:rsidRPr="00DA5FBD">
        <w:tab/>
        <w:t>keďže Nikos Pappas bol zvolený do Európskeho parlamentu v európskych voľbách v júni 2024 a v čase údajných trestných činov bol poslancom Európskeho parlamentu; keďže podľa žiadosti sťažnosť proti nemu je zo 16. júla 2025;</w:t>
      </w:r>
    </w:p>
    <w:p w14:paraId="4592EE2A" w14:textId="77777777" w:rsidR="0037671C" w:rsidRPr="00DA5FBD" w:rsidRDefault="00BD6E5B" w:rsidP="0037671C">
      <w:pPr>
        <w:pStyle w:val="NormalHanging12a"/>
      </w:pPr>
      <w:r w:rsidRPr="00DA5FBD">
        <w:t>D.</w:t>
      </w:r>
      <w:r w:rsidRPr="00DA5FBD">
        <w:tab/>
        <w:t>keďže údajný trestný čin neprestavuje vyjadrený názor ani hlasovanie Nikosa Pappasa pri výkone jeho úloh v zmysle článku 8 Protokolu č. 7 o výsadách a imunitách Európskej únie, a teda ani z toho vyplývajúca žiadosť o zbavenie Nikosa Pappasa imunity s tým nesúvisí;</w:t>
      </w:r>
    </w:p>
    <w:p w14:paraId="30C7A8F6" w14:textId="77777777" w:rsidR="0037671C" w:rsidRPr="00DA5FBD" w:rsidRDefault="00BD6E5B" w:rsidP="0037671C">
      <w:pPr>
        <w:pStyle w:val="NormalHanging12a"/>
      </w:pPr>
      <w:r w:rsidRPr="00DA5FBD">
        <w:t>E.</w:t>
      </w:r>
      <w:r w:rsidRPr="00DA5FBD">
        <w:tab/>
        <w:t>keďže v článku 9 prvom odseku písm. a) Protokolu č. 7 o výsadách a imunitách Európskej únie sa stanovuje, že v priebehu zasadania Európskeho parlamentu požívajú poslanci Európskeho parlamentu na území svojho vlastného štátu imunitu priznanú poslancom ich parlamentu;</w:t>
      </w:r>
    </w:p>
    <w:p w14:paraId="76A9A7D3" w14:textId="77777777" w:rsidR="0037671C" w:rsidRPr="00DA5FBD" w:rsidRDefault="00BD6E5B" w:rsidP="0037671C">
      <w:pPr>
        <w:pStyle w:val="NormalHanging12a"/>
      </w:pPr>
      <w:r w:rsidRPr="00DA5FBD">
        <w:t>F.</w:t>
      </w:r>
      <w:r w:rsidRPr="00DA5FBD">
        <w:tab/>
        <w:t>keďže v súlade s článkom 62 Ústavy Helénskej republiky nemôže byť žiaden poslanec počas svojho mandátu stíhaný, zatknutý, uväznený alebo podliehať iným opatreniam zahŕňajúcim pozbavenie osobnej slobody bez povolenia poslaneckej snemovne;</w:t>
      </w:r>
    </w:p>
    <w:p w14:paraId="65984E46" w14:textId="77777777" w:rsidR="0037671C" w:rsidRPr="00DA5FBD" w:rsidRDefault="00BD6E5B" w:rsidP="0037671C">
      <w:pPr>
        <w:pStyle w:val="NormalHanging12a"/>
      </w:pPr>
      <w:r w:rsidRPr="00DA5FBD">
        <w:t>G.</w:t>
      </w:r>
      <w:r w:rsidRPr="00DA5FBD">
        <w:tab/>
        <w:t>keďže účelom imunity podľa Protokolu č. 7 o výsadách a imunitách Európskej únie je chrániť Parlament a jeho poslancov pred súdnymi konaniami v súvislosti s činnosťami vykonávanými pri plnení poslaneckých povinností, ktoré nemožno oddeliť od týchto povinností;</w:t>
      </w:r>
    </w:p>
    <w:p w14:paraId="1EFFC0C1" w14:textId="77777777" w:rsidR="0037671C" w:rsidRPr="00DA5FBD" w:rsidRDefault="00BD6E5B" w:rsidP="0037671C">
      <w:pPr>
        <w:pStyle w:val="NormalHanging12a"/>
      </w:pPr>
      <w:r w:rsidRPr="00DA5FBD">
        <w:t>H.</w:t>
      </w:r>
      <w:r w:rsidRPr="00DA5FBD">
        <w:tab/>
        <w:t xml:space="preserve">keďže v súlade s článkom 5 ods. 2 </w:t>
      </w:r>
      <w:r w:rsidRPr="00DA5FBD">
        <w:t>rokovacieho poriadku poslanecká imunita nie je osobná výsada poslanca, ale záruka nezávislosti Parlamentu ako celku a jeho poslancov;</w:t>
      </w:r>
    </w:p>
    <w:p w14:paraId="5492601D" w14:textId="77777777" w:rsidR="0037671C" w:rsidRPr="00DA5FBD" w:rsidRDefault="00BD6E5B" w:rsidP="0037671C">
      <w:pPr>
        <w:pStyle w:val="NormalHanging12a"/>
      </w:pPr>
      <w:r w:rsidRPr="00DA5FBD">
        <w:t>I.</w:t>
      </w:r>
      <w:r w:rsidRPr="00DA5FBD">
        <w:tab/>
        <w:t xml:space="preserve">keďže v tomto prípade Parlament nenašiel žiadny dôkaz </w:t>
      </w:r>
      <w:r w:rsidRPr="00DA5FBD">
        <w:rPr>
          <w:i/>
          <w:iCs/>
        </w:rPr>
        <w:t>fumus persecutionis</w:t>
      </w:r>
      <w:r w:rsidRPr="00DA5FBD">
        <w:t>, t. j. žiadne skutkové okolnosti, ktoré by naznačovali, že toto súdne vyšetrovanie sa začalo s úmyslom poškodiť politickú činnosť danej osoby ako poslanca Európskeho parlamentu;</w:t>
      </w:r>
    </w:p>
    <w:p w14:paraId="0E7E14A0" w14:textId="77777777" w:rsidR="0037671C" w:rsidRPr="00DA5FBD" w:rsidRDefault="00BD6E5B" w:rsidP="0037671C">
      <w:pPr>
        <w:pStyle w:val="NormalHanging12a"/>
      </w:pPr>
      <w:r w:rsidRPr="00DA5FBD">
        <w:t>J.</w:t>
      </w:r>
      <w:r w:rsidRPr="00DA5FBD">
        <w:tab/>
        <w:t>keďže na jednej strane Parlament nemožno považovať za súd a na druhej strane poslanec nemôže byť v súvislosti s postupom zbavenia imunity považovaný za „obvineného“</w:t>
      </w:r>
      <w:r w:rsidRPr="00DA5FBD">
        <w:rPr>
          <w:vertAlign w:val="superscript"/>
        </w:rPr>
        <w:footnoteReference w:id="2"/>
      </w:r>
      <w:r w:rsidRPr="00DA5FBD">
        <w:t>;</w:t>
      </w:r>
    </w:p>
    <w:p w14:paraId="15E9FAAC" w14:textId="77777777" w:rsidR="0037671C" w:rsidRPr="00DA5FBD" w:rsidRDefault="00BD6E5B" w:rsidP="0037671C">
      <w:pPr>
        <w:pStyle w:val="NormalHanging12a"/>
      </w:pPr>
      <w:r w:rsidRPr="00DA5FBD">
        <w:t>1.</w:t>
      </w:r>
      <w:r w:rsidRPr="00DA5FBD">
        <w:tab/>
        <w:t>rozhodol zbaviť Nikosa Pappasa imunity;</w:t>
      </w:r>
    </w:p>
    <w:p w14:paraId="4C4242F8" w14:textId="77777777" w:rsidR="0037671C" w:rsidRPr="00DA5FBD" w:rsidRDefault="00BD6E5B" w:rsidP="00DC7727">
      <w:pPr>
        <w:pStyle w:val="NormalHanging12a"/>
      </w:pPr>
      <w:r w:rsidRPr="00DA5FBD">
        <w:t>2.</w:t>
      </w:r>
      <w:r w:rsidRPr="00DA5FBD">
        <w:tab/>
        <w:t>poveruje svoju predsedníčku, aby bezodkladne postúpila toto rozhodnutie a správu gestorského výboru príslušným orgánom Helénskej republiky a Nikosovi Pappasovi.</w:t>
      </w:r>
    </w:p>
    <w:p w14:paraId="250FFD8F" w14:textId="77777777" w:rsidR="00782E54" w:rsidRPr="00DA5FBD" w:rsidRDefault="00782E54" w:rsidP="00DC7727">
      <w:pPr>
        <w:sectPr w:rsidR="00782E54" w:rsidRPr="00DA5FBD" w:rsidSect="00DA5F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717F2C24" w14:textId="77777777" w:rsidR="00DC7727" w:rsidRPr="00DA5FBD" w:rsidRDefault="00BD6E5B" w:rsidP="00DC7727">
      <w:pPr>
        <w:pStyle w:val="PageHeading"/>
      </w:pPr>
      <w:bookmarkStart w:id="2" w:name="ProcPageRR"/>
      <w:bookmarkStart w:id="3" w:name="_Toc229566578"/>
      <w:r w:rsidRPr="00DA5FBD">
        <w:t>INFORMÁCIE O PRIJATÍ</w:t>
      </w:r>
      <w:r w:rsidRPr="00DA5FBD">
        <w:br/>
      </w:r>
      <w:r w:rsidRPr="00DA5FBD">
        <w:t>GESTORSKÝM VÝBOROM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1A2526" w:rsidRPr="00DA5FBD" w14:paraId="775B362D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CD4F13" w14:textId="77777777" w:rsidR="00DC7727" w:rsidRPr="00DA5FBD" w:rsidRDefault="00BD6E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A5FBD">
              <w:rPr>
                <w:b/>
                <w:color w:val="000000"/>
                <w:sz w:val="20"/>
              </w:rPr>
              <w:t>Dátum prijatia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D5F5840" w14:textId="77777777" w:rsidR="00DC7727" w:rsidRPr="00DA5FBD" w:rsidRDefault="00BD6E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A5FBD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DC992F9" w14:textId="77777777" w:rsidR="00DC7727" w:rsidRPr="00DA5FBD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91840E2" w14:textId="77777777" w:rsidR="00DC7727" w:rsidRPr="00DA5FBD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27E038E" w14:textId="77777777" w:rsidR="00DC7727" w:rsidRPr="00DA5FBD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1A2526" w:rsidRPr="00DA5FBD" w14:paraId="1C9BA321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13A4327" w14:textId="77777777" w:rsidR="00DC7727" w:rsidRPr="00DA5FBD" w:rsidRDefault="00BD6E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A5FBD">
              <w:rPr>
                <w:b/>
                <w:color w:val="000000"/>
                <w:sz w:val="20"/>
              </w:rPr>
              <w:t>Výsledok záverečného hlasovania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32EEABD" w14:textId="77777777" w:rsidR="00DC7727" w:rsidRPr="00DA5FBD" w:rsidRDefault="00BD6E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A5FBD">
              <w:rPr>
                <w:color w:val="000000"/>
                <w:sz w:val="20"/>
              </w:rPr>
              <w:t>+:</w:t>
            </w:r>
          </w:p>
          <w:p w14:paraId="29F017A6" w14:textId="77777777" w:rsidR="00DC7727" w:rsidRPr="00DA5FBD" w:rsidRDefault="00BD6E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A5FBD">
              <w:rPr>
                <w:color w:val="000000"/>
                <w:sz w:val="20"/>
              </w:rPr>
              <w:t>–:</w:t>
            </w:r>
          </w:p>
          <w:p w14:paraId="7AC8091D" w14:textId="77777777" w:rsidR="00DC7727" w:rsidRPr="00DA5FBD" w:rsidRDefault="00BD6E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A5FBD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712A2DE" w14:textId="77777777" w:rsidR="00DC7727" w:rsidRPr="00DA5FBD" w:rsidRDefault="00BD6E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A5FBD">
              <w:rPr>
                <w:color w:val="000000"/>
                <w:sz w:val="20"/>
              </w:rPr>
              <w:t>21</w:t>
            </w:r>
          </w:p>
          <w:p w14:paraId="50FF1483" w14:textId="77777777" w:rsidR="00DC7727" w:rsidRPr="00DA5FBD" w:rsidRDefault="00BD6E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A5FBD">
              <w:rPr>
                <w:color w:val="000000"/>
                <w:sz w:val="20"/>
              </w:rPr>
              <w:t>0</w:t>
            </w:r>
          </w:p>
          <w:p w14:paraId="64C2B4B6" w14:textId="77777777" w:rsidR="00DC7727" w:rsidRPr="00DA5FBD" w:rsidRDefault="00BD6E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A5FBD">
              <w:rPr>
                <w:color w:val="000000"/>
                <w:sz w:val="20"/>
              </w:rPr>
              <w:t>0</w:t>
            </w:r>
          </w:p>
        </w:tc>
      </w:tr>
    </w:tbl>
    <w:p w14:paraId="19CDE9E1" w14:textId="77777777" w:rsidR="00DC7727" w:rsidRPr="00DA5FBD" w:rsidRDefault="00DC7727"/>
    <w:bookmarkEnd w:id="2"/>
    <w:p w14:paraId="0B921BC2" w14:textId="77777777" w:rsidR="00782E54" w:rsidRPr="00DA5FBD" w:rsidRDefault="00782E54" w:rsidP="00DC7727"/>
    <w:sectPr w:rsidR="00782E54" w:rsidRPr="00DA5FBD" w:rsidSect="00DC7727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CDECA" w14:textId="77777777" w:rsidR="00BD6E5B" w:rsidRPr="00DA5FBD" w:rsidRDefault="00BD6E5B">
      <w:r w:rsidRPr="00DA5FBD">
        <w:separator/>
      </w:r>
    </w:p>
  </w:endnote>
  <w:endnote w:type="continuationSeparator" w:id="0">
    <w:p w14:paraId="12911E02" w14:textId="77777777" w:rsidR="00BD6E5B" w:rsidRPr="00DA5FBD" w:rsidRDefault="00BD6E5B">
      <w:r w:rsidRPr="00DA5F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49C04" w14:textId="77777777" w:rsidR="00DA5FBD" w:rsidRPr="00DA5FBD" w:rsidRDefault="00DA5FBD" w:rsidP="00DA5FBD">
    <w:pPr>
      <w:pStyle w:val="EPFooter"/>
    </w:pPr>
    <w:r w:rsidRPr="00DA5FBD">
      <w:t>PE</w:t>
    </w:r>
    <w:r w:rsidRPr="00DA5FBD">
      <w:rPr>
        <w:rStyle w:val="HideTWBExt"/>
      </w:rPr>
      <w:t>&lt;NoPE&gt;</w:t>
    </w:r>
    <w:r w:rsidRPr="00DA5FBD">
      <w:t>786.974</w:t>
    </w:r>
    <w:r w:rsidRPr="00DA5FBD">
      <w:rPr>
        <w:rStyle w:val="HideTWBExt"/>
      </w:rPr>
      <w:t>&lt;/NoPE&gt;&lt;Version&gt;</w:t>
    </w:r>
    <w:r w:rsidRPr="00DA5FBD">
      <w:t>v03-00</w:t>
    </w:r>
    <w:r w:rsidRPr="00DA5FBD">
      <w:rPr>
        <w:rStyle w:val="HideTWBExt"/>
      </w:rPr>
      <w:t>&lt;/Version&gt;</w:t>
    </w:r>
    <w:r w:rsidRPr="00DA5FBD">
      <w:tab/>
    </w:r>
    <w:r w:rsidRPr="00DA5FBD">
      <w:fldChar w:fldCharType="begin"/>
    </w:r>
    <w:r w:rsidRPr="00DA5FBD">
      <w:instrText xml:space="preserve"> PAGE  \* MERGEFORMAT </w:instrText>
    </w:r>
    <w:r w:rsidRPr="00DA5FBD">
      <w:fldChar w:fldCharType="separate"/>
    </w:r>
    <w:r w:rsidRPr="00DA5FBD">
      <w:rPr>
        <w:noProof/>
      </w:rPr>
      <w:t>4</w:t>
    </w:r>
    <w:r w:rsidRPr="00DA5FBD">
      <w:fldChar w:fldCharType="end"/>
    </w:r>
    <w:r w:rsidRPr="00DA5FBD">
      <w:t>/</w:t>
    </w:r>
    <w:fldSimple w:instr=" NUMPAGES  \* MERGEFORMAT ">
      <w:r w:rsidRPr="00DA5FBD">
        <w:rPr>
          <w:noProof/>
        </w:rPr>
        <w:t>5</w:t>
      </w:r>
    </w:fldSimple>
    <w:r w:rsidRPr="00DA5FBD">
      <w:tab/>
    </w:r>
    <w:r w:rsidRPr="00DA5FBD">
      <w:rPr>
        <w:rStyle w:val="HideTWBExt"/>
      </w:rPr>
      <w:t>&lt;PathFdR&gt;</w:t>
    </w:r>
    <w:r w:rsidRPr="00DA5FBD">
      <w:t>RR\1343292SK.docx</w:t>
    </w:r>
    <w:r w:rsidRPr="00DA5FBD">
      <w:rPr>
        <w:rStyle w:val="HideTWBExt"/>
      </w:rPr>
      <w:t>&lt;/PathFdR&gt;</w:t>
    </w:r>
  </w:p>
  <w:p w14:paraId="027B713D" w14:textId="733180B7" w:rsidR="0023430B" w:rsidRPr="00DA5FBD" w:rsidRDefault="00DA5FBD" w:rsidP="00DA5FBD">
    <w:pPr>
      <w:pStyle w:val="EPFooter2"/>
    </w:pPr>
    <w:r w:rsidRPr="00DA5FBD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5FE6" w14:textId="77777777" w:rsidR="00DA5FBD" w:rsidRPr="00DA5FBD" w:rsidRDefault="00DA5FBD" w:rsidP="00DA5FBD">
    <w:pPr>
      <w:pStyle w:val="EPFooter"/>
    </w:pPr>
    <w:r w:rsidRPr="00DA5FBD">
      <w:rPr>
        <w:rStyle w:val="HideTWBExt"/>
      </w:rPr>
      <w:t>&lt;PathFdR&gt;</w:t>
    </w:r>
    <w:r w:rsidRPr="00DA5FBD">
      <w:t>RR\1343292SK.docx</w:t>
    </w:r>
    <w:r w:rsidRPr="00DA5FBD">
      <w:rPr>
        <w:rStyle w:val="HideTWBExt"/>
      </w:rPr>
      <w:t>&lt;/PathFdR&gt;</w:t>
    </w:r>
    <w:r w:rsidRPr="00DA5FBD">
      <w:tab/>
    </w:r>
    <w:r w:rsidRPr="00DA5FBD">
      <w:fldChar w:fldCharType="begin"/>
    </w:r>
    <w:r w:rsidRPr="00DA5FBD">
      <w:instrText xml:space="preserve"> PAGE  \* MERGEFORMAT </w:instrText>
    </w:r>
    <w:r w:rsidRPr="00DA5FBD">
      <w:fldChar w:fldCharType="separate"/>
    </w:r>
    <w:r w:rsidRPr="00DA5FBD">
      <w:rPr>
        <w:noProof/>
      </w:rPr>
      <w:t>5</w:t>
    </w:r>
    <w:r w:rsidRPr="00DA5FBD">
      <w:fldChar w:fldCharType="end"/>
    </w:r>
    <w:r w:rsidRPr="00DA5FBD">
      <w:t>/</w:t>
    </w:r>
    <w:fldSimple w:instr=" NUMPAGES  \* MERGEFORMAT ">
      <w:r w:rsidRPr="00DA5FBD">
        <w:rPr>
          <w:noProof/>
        </w:rPr>
        <w:t>5</w:t>
      </w:r>
    </w:fldSimple>
    <w:r w:rsidRPr="00DA5FBD">
      <w:tab/>
      <w:t>PE</w:t>
    </w:r>
    <w:r w:rsidRPr="00DA5FBD">
      <w:rPr>
        <w:rStyle w:val="HideTWBExt"/>
      </w:rPr>
      <w:t>&lt;NoPE&gt;</w:t>
    </w:r>
    <w:r w:rsidRPr="00DA5FBD">
      <w:t>786.974</w:t>
    </w:r>
    <w:r w:rsidRPr="00DA5FBD">
      <w:rPr>
        <w:rStyle w:val="HideTWBExt"/>
      </w:rPr>
      <w:t>&lt;/NoPE&gt;&lt;Version&gt;</w:t>
    </w:r>
    <w:r w:rsidRPr="00DA5FBD">
      <w:t>v03-00</w:t>
    </w:r>
    <w:r w:rsidRPr="00DA5FBD">
      <w:rPr>
        <w:rStyle w:val="HideTWBExt"/>
      </w:rPr>
      <w:t>&lt;/Version&gt;</w:t>
    </w:r>
  </w:p>
  <w:p w14:paraId="3AB91631" w14:textId="7F701919" w:rsidR="0023430B" w:rsidRPr="00DA5FBD" w:rsidRDefault="00DA5FBD" w:rsidP="00DA5FBD">
    <w:pPr>
      <w:pStyle w:val="EPFooter2"/>
    </w:pPr>
    <w:r w:rsidRPr="00DA5FBD">
      <w:tab/>
    </w:r>
    <w:r w:rsidRPr="00DA5FBD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929E1" w14:textId="77777777" w:rsidR="00DA5FBD" w:rsidRPr="00DA5FBD" w:rsidRDefault="00DA5FBD" w:rsidP="00DA5FBD">
    <w:pPr>
      <w:pStyle w:val="EPFooter"/>
    </w:pPr>
    <w:r w:rsidRPr="00DA5FBD">
      <w:rPr>
        <w:rStyle w:val="HideTWBExt"/>
      </w:rPr>
      <w:t>&lt;PathFdR&gt;</w:t>
    </w:r>
    <w:r w:rsidRPr="00DA5FBD">
      <w:t>RR\1343292SK.docx</w:t>
    </w:r>
    <w:r w:rsidRPr="00DA5FBD">
      <w:rPr>
        <w:rStyle w:val="HideTWBExt"/>
      </w:rPr>
      <w:t>&lt;/PathFdR&gt;</w:t>
    </w:r>
    <w:r w:rsidRPr="00DA5FBD">
      <w:tab/>
    </w:r>
    <w:r w:rsidRPr="00DA5FBD">
      <w:tab/>
      <w:t>PE</w:t>
    </w:r>
    <w:r w:rsidRPr="00DA5FBD">
      <w:rPr>
        <w:rStyle w:val="HideTWBExt"/>
      </w:rPr>
      <w:t>&lt;NoPE&gt;</w:t>
    </w:r>
    <w:r w:rsidRPr="00DA5FBD">
      <w:t>786.974</w:t>
    </w:r>
    <w:r w:rsidRPr="00DA5FBD">
      <w:rPr>
        <w:rStyle w:val="HideTWBExt"/>
      </w:rPr>
      <w:t>&lt;/NoPE&gt;&lt;Version&gt;</w:t>
    </w:r>
    <w:r w:rsidRPr="00DA5FBD">
      <w:t>v03-00</w:t>
    </w:r>
    <w:r w:rsidRPr="00DA5FBD">
      <w:rPr>
        <w:rStyle w:val="HideTWBExt"/>
      </w:rPr>
      <w:t>&lt;/Version&gt;</w:t>
    </w:r>
  </w:p>
  <w:p w14:paraId="4213996E" w14:textId="54306131" w:rsidR="0023430B" w:rsidRPr="00DA5FBD" w:rsidRDefault="00DA5FBD" w:rsidP="00DA5FBD">
    <w:pPr>
      <w:pStyle w:val="EPFooter2"/>
    </w:pPr>
    <w:r w:rsidRPr="00DA5FBD">
      <w:t>SK</w:t>
    </w:r>
    <w:r w:rsidRPr="00DA5FBD">
      <w:tab/>
    </w:r>
    <w:r w:rsidRPr="00DA5FBD">
      <w:rPr>
        <w:b w:val="0"/>
        <w:i/>
        <w:color w:val="C0C0C0"/>
        <w:sz w:val="22"/>
      </w:rPr>
      <w:t>Zjednotení v rozmanitosti</w:t>
    </w:r>
    <w:r w:rsidRPr="00DA5FBD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E1B4C" w14:textId="77777777" w:rsidR="007A3F74" w:rsidRPr="00DA5FBD" w:rsidRDefault="00BD6E5B">
      <w:r w:rsidRPr="00DA5FBD">
        <w:separator/>
      </w:r>
    </w:p>
  </w:footnote>
  <w:footnote w:type="continuationSeparator" w:id="0">
    <w:p w14:paraId="489E359B" w14:textId="77777777" w:rsidR="007A3F74" w:rsidRPr="00DA5FBD" w:rsidRDefault="00BD6E5B">
      <w:r w:rsidRPr="00DA5FBD">
        <w:continuationSeparator/>
      </w:r>
    </w:p>
  </w:footnote>
  <w:footnote w:id="1">
    <w:p w14:paraId="18161380" w14:textId="77777777" w:rsidR="0037671C" w:rsidRPr="00DA5FBD" w:rsidRDefault="00BD6E5B" w:rsidP="0037671C">
      <w:pPr>
        <w:pStyle w:val="FootnoteText"/>
      </w:pPr>
      <w:r w:rsidRPr="00DA5FBD">
        <w:rPr>
          <w:rStyle w:val="FootnoteReference"/>
        </w:rPr>
        <w:footnoteRef/>
      </w:r>
      <w:r w:rsidRPr="00DA5FBD">
        <w:rPr>
          <w:rStyle w:val="FootnoteReference"/>
        </w:rPr>
        <w:t xml:space="preserve"> </w:t>
      </w:r>
      <w:r w:rsidRPr="00DA5FBD">
        <w:t xml:space="preserve">Rozsudok Súdneho dvora z 21. októbra 2008, Marra/De Gregorio a Clemente, C-200/07 a C-201/07, ECLI:EU:C:2008:579; rozsudok Všeobecného súdu z 19. </w:t>
      </w:r>
      <w:r w:rsidRPr="00DA5FBD">
        <w:t>marca 2010, Gollnisch/Parlament, T-42/06, ECLI:EU:T:2010:102; rozsudok Súdneho dvora zo 6. septembra 2011, Patriciello, C-163/10, ECLI: EU:C:2011:543; rozsudok Všeobecného súdu zo 17. januára 2013, Gollnisch/Parlament, T-346/11 a T-347/11, ECLI:EU:T:2013:23; rozsudok Súdneho dvora z 19. decembra 2019, Junqueras Vies, C-502/19, ECLI:EU:C:2019:1115.</w:t>
      </w:r>
    </w:p>
  </w:footnote>
  <w:footnote w:id="2">
    <w:p w14:paraId="21F6C349" w14:textId="77777777" w:rsidR="0037671C" w:rsidRPr="00DA5FBD" w:rsidRDefault="00BD6E5B" w:rsidP="0037671C">
      <w:pPr>
        <w:pStyle w:val="FootnoteText"/>
      </w:pPr>
      <w:r w:rsidRPr="00DA5FBD">
        <w:rPr>
          <w:rStyle w:val="FootnoteReference"/>
        </w:rPr>
        <w:footnoteRef/>
      </w:r>
      <w:r w:rsidRPr="00DA5FBD">
        <w:rPr>
          <w:rStyle w:val="FootnoteReference"/>
        </w:rPr>
        <w:t xml:space="preserve"> </w:t>
      </w:r>
      <w:r w:rsidRPr="00DA5FBD">
        <w:t>Rozsudok Všeobecného súdu z 30. apríla 2019,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6B3F" w14:textId="77777777" w:rsidR="00BD6E5B" w:rsidRDefault="00BD6E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7F396" w14:textId="77777777" w:rsidR="00BD6E5B" w:rsidRDefault="00BD6E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5292" w14:textId="77777777" w:rsidR="00BD6E5B" w:rsidRDefault="00BD6E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6049966">
    <w:abstractNumId w:val="9"/>
  </w:num>
  <w:num w:numId="2" w16cid:durableId="500123677">
    <w:abstractNumId w:val="9"/>
  </w:num>
  <w:num w:numId="3" w16cid:durableId="1251350794">
    <w:abstractNumId w:val="7"/>
  </w:num>
  <w:num w:numId="4" w16cid:durableId="538204988">
    <w:abstractNumId w:val="7"/>
  </w:num>
  <w:num w:numId="5" w16cid:durableId="75397706">
    <w:abstractNumId w:val="6"/>
  </w:num>
  <w:num w:numId="6" w16cid:durableId="1763794196">
    <w:abstractNumId w:val="6"/>
  </w:num>
  <w:num w:numId="7" w16cid:durableId="1933928331">
    <w:abstractNumId w:val="5"/>
  </w:num>
  <w:num w:numId="8" w16cid:durableId="1153915050">
    <w:abstractNumId w:val="5"/>
  </w:num>
  <w:num w:numId="9" w16cid:durableId="518348470">
    <w:abstractNumId w:val="4"/>
  </w:num>
  <w:num w:numId="10" w16cid:durableId="916595541">
    <w:abstractNumId w:val="4"/>
  </w:num>
  <w:num w:numId="11" w16cid:durableId="356584343">
    <w:abstractNumId w:val="8"/>
  </w:num>
  <w:num w:numId="12" w16cid:durableId="1006860297">
    <w:abstractNumId w:val="8"/>
  </w:num>
  <w:num w:numId="13" w16cid:durableId="2122459182">
    <w:abstractNumId w:val="3"/>
  </w:num>
  <w:num w:numId="14" w16cid:durableId="995376107">
    <w:abstractNumId w:val="3"/>
  </w:num>
  <w:num w:numId="15" w16cid:durableId="777532011">
    <w:abstractNumId w:val="2"/>
  </w:num>
  <w:num w:numId="16" w16cid:durableId="1760180310">
    <w:abstractNumId w:val="2"/>
  </w:num>
  <w:num w:numId="17" w16cid:durableId="650838489">
    <w:abstractNumId w:val="1"/>
  </w:num>
  <w:num w:numId="18" w16cid:durableId="1290627998">
    <w:abstractNumId w:val="1"/>
  </w:num>
  <w:num w:numId="19" w16cid:durableId="1948807813">
    <w:abstractNumId w:val="0"/>
  </w:num>
  <w:num w:numId="20" w16cid:durableId="668680220">
    <w:abstractNumId w:val="0"/>
  </w:num>
  <w:num w:numId="21" w16cid:durableId="1836257524">
    <w:abstractNumId w:val="9"/>
  </w:num>
  <w:num w:numId="22" w16cid:durableId="1973629948">
    <w:abstractNumId w:val="7"/>
  </w:num>
  <w:num w:numId="23" w16cid:durableId="993527861">
    <w:abstractNumId w:val="6"/>
  </w:num>
  <w:num w:numId="24" w16cid:durableId="1841920576">
    <w:abstractNumId w:val="5"/>
  </w:num>
  <w:num w:numId="25" w16cid:durableId="1499228666">
    <w:abstractNumId w:val="4"/>
  </w:num>
  <w:num w:numId="26" w16cid:durableId="438914760">
    <w:abstractNumId w:val="8"/>
  </w:num>
  <w:num w:numId="27" w16cid:durableId="1546600766">
    <w:abstractNumId w:val="3"/>
  </w:num>
  <w:num w:numId="28" w16cid:durableId="1523980013">
    <w:abstractNumId w:val="2"/>
  </w:num>
  <w:num w:numId="29" w16cid:durableId="729578024">
    <w:abstractNumId w:val="1"/>
  </w:num>
  <w:num w:numId="30" w16cid:durableId="812868156">
    <w:abstractNumId w:val="0"/>
  </w:num>
  <w:num w:numId="31" w16cid:durableId="1722942012">
    <w:abstractNumId w:val="9"/>
  </w:num>
  <w:num w:numId="32" w16cid:durableId="610166904">
    <w:abstractNumId w:val="7"/>
  </w:num>
  <w:num w:numId="33" w16cid:durableId="471598544">
    <w:abstractNumId w:val="6"/>
  </w:num>
  <w:num w:numId="34" w16cid:durableId="703290029">
    <w:abstractNumId w:val="5"/>
  </w:num>
  <w:num w:numId="35" w16cid:durableId="196478196">
    <w:abstractNumId w:val="4"/>
  </w:num>
  <w:num w:numId="36" w16cid:durableId="457837999">
    <w:abstractNumId w:val="8"/>
  </w:num>
  <w:num w:numId="37" w16cid:durableId="1081296137">
    <w:abstractNumId w:val="3"/>
  </w:num>
  <w:num w:numId="38" w16cid:durableId="580678148">
    <w:abstractNumId w:val="2"/>
  </w:num>
  <w:num w:numId="39" w16cid:durableId="30228065">
    <w:abstractNumId w:val="1"/>
  </w:num>
  <w:num w:numId="40" w16cid:durableId="106603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06/05/2026"/>
    <w:docVar w:name="EPPOMNU" w:val=" 1"/>
    <w:docVar w:name="HEARDMNU" w:val=" 1"/>
    <w:docVar w:name="JUDGMNU@" w:val=" 2"/>
    <w:docVar w:name="LastEditedSection" w:val=" 1"/>
    <w:docVar w:name="PLENARYDT" w:val="10/04/2026"/>
    <w:docVar w:name="REQUESTDT" w:val="10/04/2026"/>
    <w:docVar w:name="strDocTypeID" w:val="PR_IMM_Waiver"/>
    <w:docVar w:name="strSubDir" w:val="786"/>
    <w:docVar w:name="TXTAUTHOR" w:val="Marcin Sypniewski"/>
    <w:docVar w:name="TXTLANGUE" w:val="EN"/>
    <w:docVar w:name="TXTLANGUEMIN" w:val="en"/>
    <w:docVar w:name="TXTNAME" w:val="Nikos Pappas"/>
    <w:docVar w:name="TXTNRIMM" w:val="2025/2234"/>
    <w:docVar w:name="TXTNRPE" w:val="786.974"/>
    <w:docVar w:name="TXTPEorAP" w:val="PE"/>
    <w:docVar w:name="TXTROUTE" w:val="RR\786.974EN.docx"/>
    <w:docVar w:name="TXTVERSION" w:val="03-00"/>
    <w:docVar w:name="WAIVEMNU" w:val=" 1"/>
  </w:docVars>
  <w:rsids>
    <w:rsidRoot w:val="007A3F74"/>
    <w:rsid w:val="00044B9B"/>
    <w:rsid w:val="00060E63"/>
    <w:rsid w:val="0006105E"/>
    <w:rsid w:val="00080B89"/>
    <w:rsid w:val="000C0CAA"/>
    <w:rsid w:val="000E36C4"/>
    <w:rsid w:val="000F22E6"/>
    <w:rsid w:val="000F57CC"/>
    <w:rsid w:val="00107BF5"/>
    <w:rsid w:val="00114131"/>
    <w:rsid w:val="00135BE0"/>
    <w:rsid w:val="00142D49"/>
    <w:rsid w:val="001523F3"/>
    <w:rsid w:val="001529BD"/>
    <w:rsid w:val="00172971"/>
    <w:rsid w:val="001A2526"/>
    <w:rsid w:val="001D549A"/>
    <w:rsid w:val="001F52C3"/>
    <w:rsid w:val="001F5613"/>
    <w:rsid w:val="00205304"/>
    <w:rsid w:val="00211AA7"/>
    <w:rsid w:val="00215FF9"/>
    <w:rsid w:val="0023430B"/>
    <w:rsid w:val="002442B3"/>
    <w:rsid w:val="00250733"/>
    <w:rsid w:val="00252E1D"/>
    <w:rsid w:val="00273EFB"/>
    <w:rsid w:val="00285706"/>
    <w:rsid w:val="002915E6"/>
    <w:rsid w:val="0029288E"/>
    <w:rsid w:val="00296EB6"/>
    <w:rsid w:val="002F5F7C"/>
    <w:rsid w:val="00326E87"/>
    <w:rsid w:val="0035402F"/>
    <w:rsid w:val="0035595E"/>
    <w:rsid w:val="0037671C"/>
    <w:rsid w:val="00392A3D"/>
    <w:rsid w:val="003B1888"/>
    <w:rsid w:val="003D30B4"/>
    <w:rsid w:val="003E24B5"/>
    <w:rsid w:val="00414AA0"/>
    <w:rsid w:val="00431EC1"/>
    <w:rsid w:val="004433B2"/>
    <w:rsid w:val="0044752A"/>
    <w:rsid w:val="004502C8"/>
    <w:rsid w:val="0045635E"/>
    <w:rsid w:val="00493F90"/>
    <w:rsid w:val="004B2372"/>
    <w:rsid w:val="004E7774"/>
    <w:rsid w:val="00503AC2"/>
    <w:rsid w:val="005922F7"/>
    <w:rsid w:val="005B5955"/>
    <w:rsid w:val="00627F06"/>
    <w:rsid w:val="00633DF2"/>
    <w:rsid w:val="00681E33"/>
    <w:rsid w:val="006A1780"/>
    <w:rsid w:val="006C038C"/>
    <w:rsid w:val="006D6F36"/>
    <w:rsid w:val="00736D0A"/>
    <w:rsid w:val="007470A8"/>
    <w:rsid w:val="00752B65"/>
    <w:rsid w:val="00753DFC"/>
    <w:rsid w:val="007613CD"/>
    <w:rsid w:val="0076428C"/>
    <w:rsid w:val="00771E7F"/>
    <w:rsid w:val="00780317"/>
    <w:rsid w:val="0078039D"/>
    <w:rsid w:val="00782E54"/>
    <w:rsid w:val="00785C52"/>
    <w:rsid w:val="00797CAE"/>
    <w:rsid w:val="007A3F74"/>
    <w:rsid w:val="007A7BF5"/>
    <w:rsid w:val="007C040A"/>
    <w:rsid w:val="007D49EE"/>
    <w:rsid w:val="007E434A"/>
    <w:rsid w:val="007F4D6A"/>
    <w:rsid w:val="008376BE"/>
    <w:rsid w:val="008436E0"/>
    <w:rsid w:val="00851E2C"/>
    <w:rsid w:val="00867D72"/>
    <w:rsid w:val="00872381"/>
    <w:rsid w:val="008D1236"/>
    <w:rsid w:val="008D1C36"/>
    <w:rsid w:val="008E6FB9"/>
    <w:rsid w:val="008F39C8"/>
    <w:rsid w:val="0091636F"/>
    <w:rsid w:val="009442F2"/>
    <w:rsid w:val="0094666F"/>
    <w:rsid w:val="009915DD"/>
    <w:rsid w:val="009A4162"/>
    <w:rsid w:val="009B47E5"/>
    <w:rsid w:val="009D54A6"/>
    <w:rsid w:val="009E4C4E"/>
    <w:rsid w:val="009E7AD9"/>
    <w:rsid w:val="009F5083"/>
    <w:rsid w:val="009F55EA"/>
    <w:rsid w:val="00A33B09"/>
    <w:rsid w:val="00A45926"/>
    <w:rsid w:val="00A63BDB"/>
    <w:rsid w:val="00A87FB0"/>
    <w:rsid w:val="00AA7D88"/>
    <w:rsid w:val="00AB1E20"/>
    <w:rsid w:val="00AB3EA7"/>
    <w:rsid w:val="00B24A96"/>
    <w:rsid w:val="00B37A07"/>
    <w:rsid w:val="00B61BA7"/>
    <w:rsid w:val="00B76A78"/>
    <w:rsid w:val="00B81D30"/>
    <w:rsid w:val="00BB307A"/>
    <w:rsid w:val="00BD02C3"/>
    <w:rsid w:val="00BD34CF"/>
    <w:rsid w:val="00BD6E5B"/>
    <w:rsid w:val="00BE1054"/>
    <w:rsid w:val="00C33434"/>
    <w:rsid w:val="00C42BD9"/>
    <w:rsid w:val="00C66DE6"/>
    <w:rsid w:val="00C85D0F"/>
    <w:rsid w:val="00CB158E"/>
    <w:rsid w:val="00CC662F"/>
    <w:rsid w:val="00CC6730"/>
    <w:rsid w:val="00CD25E0"/>
    <w:rsid w:val="00CE5349"/>
    <w:rsid w:val="00CF16EE"/>
    <w:rsid w:val="00D1021A"/>
    <w:rsid w:val="00D25B0A"/>
    <w:rsid w:val="00D809F7"/>
    <w:rsid w:val="00D8214F"/>
    <w:rsid w:val="00DA032C"/>
    <w:rsid w:val="00DA14FB"/>
    <w:rsid w:val="00DA5FBD"/>
    <w:rsid w:val="00DA67D6"/>
    <w:rsid w:val="00DB1E47"/>
    <w:rsid w:val="00DC7727"/>
    <w:rsid w:val="00DD480D"/>
    <w:rsid w:val="00DF74F0"/>
    <w:rsid w:val="00E114BC"/>
    <w:rsid w:val="00EC401F"/>
    <w:rsid w:val="00ED1601"/>
    <w:rsid w:val="00EE1CD1"/>
    <w:rsid w:val="00EE79E0"/>
    <w:rsid w:val="00F032EE"/>
    <w:rsid w:val="00F03A29"/>
    <w:rsid w:val="00F05AB2"/>
    <w:rsid w:val="00F22E87"/>
    <w:rsid w:val="00F335B2"/>
    <w:rsid w:val="00F452C6"/>
    <w:rsid w:val="00F81900"/>
    <w:rsid w:val="00F857A1"/>
    <w:rsid w:val="00FA4CD8"/>
    <w:rsid w:val="00FB5B0C"/>
    <w:rsid w:val="00FD1F0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8A913"/>
  <w15:chartTrackingRefBased/>
  <w15:docId w15:val="{E7429305-94F2-4A62-8EA0-08C07A9A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unhideWhenUsed/>
    <w:rsid w:val="007470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470A8"/>
  </w:style>
  <w:style w:type="character" w:styleId="FootnoteReference">
    <w:name w:val="footnote reference"/>
    <w:basedOn w:val="DefaultParagraphFont"/>
    <w:unhideWhenUsed/>
    <w:rsid w:val="007470A8"/>
    <w:rPr>
      <w:vertAlign w:val="superscript"/>
    </w:rPr>
  </w:style>
  <w:style w:type="paragraph" w:styleId="Footer">
    <w:name w:val="footer"/>
    <w:basedOn w:val="Normal"/>
    <w:link w:val="FooterChar"/>
    <w:semiHidden/>
    <w:rsid w:val="00CD25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D25E0"/>
    <w:rPr>
      <w:sz w:val="24"/>
    </w:rPr>
  </w:style>
  <w:style w:type="paragraph" w:styleId="Revision">
    <w:name w:val="Revision"/>
    <w:hidden/>
    <w:uiPriority w:val="99"/>
    <w:semiHidden/>
    <w:rsid w:val="00B61BA7"/>
    <w:rPr>
      <w:sz w:val="24"/>
    </w:rPr>
  </w:style>
  <w:style w:type="character" w:styleId="CommentReference">
    <w:name w:val="annotation reference"/>
    <w:basedOn w:val="DefaultParagraphFont"/>
    <w:rsid w:val="00414A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4A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4AA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4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4AA0"/>
    <w:rPr>
      <w:b/>
      <w:bCs/>
    </w:rPr>
  </w:style>
  <w:style w:type="character" w:styleId="Hyperlink">
    <w:name w:val="Hyperlink"/>
    <w:basedOn w:val="DefaultParagraphFont"/>
    <w:rsid w:val="00414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24A96"/>
    <w:rPr>
      <w:color w:val="954F72" w:themeColor="followedHyperlink"/>
      <w:u w:val="single"/>
    </w:rPr>
  </w:style>
  <w:style w:type="paragraph" w:customStyle="1" w:styleId="CoverReference">
    <w:name w:val="CoverReference"/>
    <w:basedOn w:val="Normal"/>
    <w:rsid w:val="001D549A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665</Words>
  <Characters>3760</Characters>
  <Application>Microsoft Office Word</Application>
  <DocSecurity>0</DocSecurity>
  <Lines>98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creator>ZAHARIE Ana Maria</dc:creator>
  <cp:lastModifiedBy>TURZAKOVA Gabriela</cp:lastModifiedBy>
  <cp:revision>2</cp:revision>
  <cp:lastPrinted>2026-04-14T09:48:00Z</cp:lastPrinted>
  <dcterms:created xsi:type="dcterms:W3CDTF">2026-05-13T10:09:00Z</dcterms:created>
  <dcterms:modified xsi:type="dcterms:W3CDTF">2026-05-13T10:09:00Z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1343292</vt:lpwstr>
  </property>
  <property fmtid="{D5CDD505-2E9C-101B-9397-08002B2CF9AE}" pid="4" name="&lt;Model&gt;">
    <vt:lpwstr>PR_IMM_Waiver</vt:lpwstr>
  </property>
  <property fmtid="{D5CDD505-2E9C-101B-9397-08002B2CF9AE}" pid="5" name="&lt;ModelCod&gt;">
    <vt:lpwstr>\\eiciLUXpr1\pdocep$\DocEP\DOCS\General\PR\PR_NonLeg\IMM\PR_IMM_Waiver.dotx(26/05/2023 17:52:03)</vt:lpwstr>
  </property>
  <property fmtid="{D5CDD505-2E9C-101B-9397-08002B2CF9AE}" pid="6" name="&lt;ModelTra&gt;">
    <vt:lpwstr>\\eiciLUXpr1\pdocep$\DocEP\TRANSFIL\EN\PR_IMM_Waiver.EN(05/08/2025 16:25:00)</vt:lpwstr>
  </property>
  <property fmtid="{D5CDD505-2E9C-101B-9397-08002B2CF9AE}" pid="7" name="&lt;Type&gt;">
    <vt:lpwstr>RR</vt:lpwstr>
  </property>
  <property fmtid="{D5CDD505-2E9C-101B-9397-08002B2CF9AE}" pid="8" name="Bookout">
    <vt:lpwstr>OK - 2026/05/13 12:09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RR\1343292SK.docx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786.974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/>
  </property>
</Properties>
</file>