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16EE" w:rsidRPr="00C74F22" w14:paraId="5155D31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777BCE" w14:textId="77777777" w:rsidR="00CF16EE" w:rsidRPr="00C74F22" w:rsidRDefault="007A3F74" w:rsidP="00C85D0F">
            <w:pPr>
              <w:pStyle w:val="EPName"/>
            </w:pPr>
            <w:r w:rsidRPr="00C74F22">
              <w:t>Europaparlamentet</w:t>
            </w:r>
          </w:p>
          <w:p w14:paraId="62D57263" w14:textId="1191277C" w:rsidR="00CF16EE" w:rsidRPr="00C74F22" w:rsidRDefault="007470A8" w:rsidP="00C85D0F">
            <w:pPr>
              <w:pStyle w:val="EPTerm"/>
            </w:pPr>
            <w:r w:rsidRPr="00C74F22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1923707" w14:textId="77777777" w:rsidR="00CF16EE" w:rsidRPr="00C74F22" w:rsidRDefault="00CF16EE" w:rsidP="00C85D0F">
            <w:pPr>
              <w:pStyle w:val="EPLogo"/>
            </w:pPr>
            <w:r w:rsidRPr="00C74F22">
              <w:rPr>
                <w:noProof/>
              </w:rPr>
              <w:drawing>
                <wp:inline distT="0" distB="0" distL="0" distR="0" wp14:anchorId="0E45DA15" wp14:editId="28CC1E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8F36F9" w14:textId="77777777" w:rsidR="00215FF9" w:rsidRPr="00C74F22" w:rsidRDefault="00215FF9" w:rsidP="00215FF9">
      <w:pPr>
        <w:pStyle w:val="LineTop"/>
      </w:pPr>
    </w:p>
    <w:p w14:paraId="653CDBB3" w14:textId="572C0593" w:rsidR="00215FF9" w:rsidRPr="00C74F22" w:rsidRDefault="001D549A" w:rsidP="00215FF9">
      <w:pPr>
        <w:pStyle w:val="EPBody"/>
      </w:pPr>
      <w:r w:rsidRPr="00C74F22">
        <w:t>Plenarhandling</w:t>
      </w:r>
    </w:p>
    <w:p w14:paraId="6AC55BC9" w14:textId="77777777" w:rsidR="00215FF9" w:rsidRPr="00C74F22" w:rsidRDefault="00215FF9" w:rsidP="00215FF9">
      <w:pPr>
        <w:pStyle w:val="LineBottom"/>
      </w:pPr>
    </w:p>
    <w:p w14:paraId="3FC44D51" w14:textId="593397DB" w:rsidR="005922F7" w:rsidRPr="00C74F22" w:rsidRDefault="001D549A" w:rsidP="001D549A">
      <w:pPr>
        <w:pStyle w:val="CoverReference"/>
      </w:pPr>
      <w:r w:rsidRPr="00C74F22">
        <w:rPr>
          <w:rStyle w:val="HideTWBExt"/>
        </w:rPr>
        <w:t>&lt;NoDocSe&gt;</w:t>
      </w:r>
      <w:r w:rsidRPr="00C74F22">
        <w:t>A10-0128/2026</w:t>
      </w:r>
      <w:r w:rsidRPr="00C74F22">
        <w:rPr>
          <w:rStyle w:val="HideTWBExt"/>
        </w:rPr>
        <w:t>&lt;/NoDocSe&gt;</w:t>
      </w:r>
    </w:p>
    <w:p w14:paraId="68D6E421" w14:textId="3474272B" w:rsidR="005922F7" w:rsidRPr="00C74F22" w:rsidRDefault="005922F7" w:rsidP="005922F7">
      <w:pPr>
        <w:pStyle w:val="CoverDate"/>
      </w:pPr>
      <w:r w:rsidRPr="00C74F22">
        <w:rPr>
          <w:rStyle w:val="HideTWBExt"/>
        </w:rPr>
        <w:t>&lt;Date&gt;</w:t>
      </w:r>
      <w:r w:rsidRPr="00C74F22">
        <w:rPr>
          <w:rStyle w:val="HideTWBInt"/>
        </w:rPr>
        <w:t>{06/05/2026}</w:t>
      </w:r>
      <w:r w:rsidRPr="00C74F22">
        <w:t>6.5.2026</w:t>
      </w:r>
      <w:r w:rsidRPr="00C74F22">
        <w:rPr>
          <w:rStyle w:val="HideTWBExt"/>
        </w:rPr>
        <w:t>&lt;/Date&gt;</w:t>
      </w:r>
    </w:p>
    <w:p w14:paraId="16FABFAD" w14:textId="603C76ED" w:rsidR="00142D49" w:rsidRPr="00C74F22" w:rsidRDefault="00142D49">
      <w:pPr>
        <w:pStyle w:val="CoverDocType24a"/>
      </w:pPr>
      <w:r w:rsidRPr="00C74F22">
        <w:rPr>
          <w:rStyle w:val="HideTWBExt"/>
          <w:b w:val="0"/>
        </w:rPr>
        <w:t>&lt;TitreType&gt;</w:t>
      </w:r>
      <w:r w:rsidRPr="00C74F22">
        <w:t>BETÄNKANDE</w:t>
      </w:r>
      <w:r w:rsidRPr="00C74F22">
        <w:rPr>
          <w:rStyle w:val="HideTWBExt"/>
          <w:b w:val="0"/>
        </w:rPr>
        <w:t>&lt;/TitreType&gt;</w:t>
      </w:r>
    </w:p>
    <w:p w14:paraId="2C9802BA" w14:textId="287BD81D" w:rsidR="00142D49" w:rsidRPr="00C74F22" w:rsidRDefault="00142D49">
      <w:pPr>
        <w:pStyle w:val="CoverNormal"/>
      </w:pPr>
      <w:r w:rsidRPr="00C74F22">
        <w:rPr>
          <w:rStyle w:val="HideTWBExt"/>
        </w:rPr>
        <w:t>&lt;Titre&gt;</w:t>
      </w:r>
      <w:r w:rsidRPr="00C74F22">
        <w:t>om begäran om upphävande av Nikos Pappas immunitet</w:t>
      </w:r>
      <w:r w:rsidRPr="00C74F22">
        <w:rPr>
          <w:rStyle w:val="HideTWBExt"/>
        </w:rPr>
        <w:t>&lt;/Titre&gt;</w:t>
      </w:r>
    </w:p>
    <w:p w14:paraId="5EAD59DB" w14:textId="321EA79A" w:rsidR="00142D49" w:rsidRPr="00C74F22" w:rsidRDefault="00142D49">
      <w:pPr>
        <w:pStyle w:val="CoverNormal24a"/>
      </w:pPr>
      <w:r w:rsidRPr="00C74F22">
        <w:rPr>
          <w:rStyle w:val="HideTWBExt"/>
        </w:rPr>
        <w:t>&lt;DocRef&gt;</w:t>
      </w:r>
      <w:r w:rsidRPr="00C74F22">
        <w:t>(2025/2234(IMM))</w:t>
      </w:r>
      <w:r w:rsidRPr="00C74F22">
        <w:rPr>
          <w:rStyle w:val="HideTWBExt"/>
        </w:rPr>
        <w:t>&lt;/DocRef&gt;</w:t>
      </w:r>
    </w:p>
    <w:p w14:paraId="3B5D20EB" w14:textId="77777777" w:rsidR="00142D49" w:rsidRPr="00C74F22" w:rsidRDefault="00142D49">
      <w:pPr>
        <w:pStyle w:val="CoverNormal24a"/>
      </w:pPr>
      <w:r w:rsidRPr="00C74F22">
        <w:rPr>
          <w:rStyle w:val="HideTWBExt"/>
        </w:rPr>
        <w:t>&lt;Commission&gt;</w:t>
      </w:r>
      <w:r w:rsidRPr="00C74F22">
        <w:rPr>
          <w:rStyle w:val="HideTWBInt"/>
        </w:rPr>
        <w:t>{JURI}</w:t>
      </w:r>
      <w:r w:rsidRPr="00C74F22">
        <w:t>Utskottet för rättsliga frågor</w:t>
      </w:r>
      <w:r w:rsidRPr="00C74F22">
        <w:rPr>
          <w:rStyle w:val="HideTWBExt"/>
        </w:rPr>
        <w:t>&lt;/Commission&gt;</w:t>
      </w:r>
    </w:p>
    <w:p w14:paraId="7EC4A298" w14:textId="551C218A" w:rsidR="00142D49" w:rsidRPr="00C74F22" w:rsidRDefault="007A3F74">
      <w:pPr>
        <w:pStyle w:val="CoverNormal24a"/>
      </w:pPr>
      <w:r w:rsidRPr="00C74F22">
        <w:t xml:space="preserve">Föredragande: </w:t>
      </w:r>
      <w:r w:rsidRPr="00C74F22">
        <w:rPr>
          <w:rStyle w:val="HideTWBExt"/>
        </w:rPr>
        <w:t>&lt;Depute&gt;</w:t>
      </w:r>
      <w:r w:rsidRPr="00C74F22">
        <w:t>Marcin Sypniewski</w:t>
      </w:r>
      <w:r w:rsidRPr="00C74F22">
        <w:rPr>
          <w:rStyle w:val="HideTWBExt"/>
        </w:rPr>
        <w:t>&lt;/Depute&gt;</w:t>
      </w:r>
    </w:p>
    <w:p w14:paraId="5ABFE5AB" w14:textId="77777777" w:rsidR="00142D49" w:rsidRPr="00C74F22" w:rsidRDefault="00142D49" w:rsidP="00DF74F0">
      <w:pPr>
        <w:widowControl/>
        <w:tabs>
          <w:tab w:val="center" w:pos="4677"/>
        </w:tabs>
      </w:pPr>
      <w:r w:rsidRPr="00C74F22">
        <w:br w:type="page"/>
      </w:r>
      <w:r w:rsidRPr="00C74F22">
        <w:lastRenderedPageBreak/>
        <w:t>PR_IMM_Waiver</w:t>
      </w:r>
    </w:p>
    <w:p w14:paraId="0EDAA9FD" w14:textId="77777777" w:rsidR="00142D49" w:rsidRPr="00C74F22" w:rsidRDefault="007A3F74">
      <w:pPr>
        <w:pStyle w:val="TOCHeading"/>
      </w:pPr>
      <w:r w:rsidRPr="00C74F22">
        <w:t>INNEHÅLL</w:t>
      </w:r>
    </w:p>
    <w:p w14:paraId="75B812B8" w14:textId="77777777" w:rsidR="00142D49" w:rsidRPr="00C74F22" w:rsidRDefault="007A3F74">
      <w:pPr>
        <w:pStyle w:val="TOCPage"/>
      </w:pPr>
      <w:r w:rsidRPr="00C74F22">
        <w:t>Sida</w:t>
      </w:r>
    </w:p>
    <w:p w14:paraId="25699D68" w14:textId="333D6A38" w:rsidR="00351374" w:rsidRDefault="00142D4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C74F22">
        <w:fldChar w:fldCharType="begin"/>
      </w:r>
      <w:r w:rsidRPr="00C74F22">
        <w:instrText xml:space="preserve"> TOC \t "PageHeading</w:instrText>
      </w:r>
      <w:r w:rsidR="000C5BA7">
        <w:instrText>;</w:instrText>
      </w:r>
      <w:r w:rsidRPr="00C74F22">
        <w:instrText xml:space="preserve">1" </w:instrText>
      </w:r>
      <w:r w:rsidRPr="00C74F22">
        <w:fldChar w:fldCharType="separate"/>
      </w:r>
      <w:r w:rsidR="00351374">
        <w:rPr>
          <w:noProof/>
        </w:rPr>
        <w:t>FÖRSLAG TILL EUROPAPARLAMENTETS BESLUT</w:t>
      </w:r>
      <w:r w:rsidR="00351374">
        <w:rPr>
          <w:noProof/>
        </w:rPr>
        <w:tab/>
      </w:r>
      <w:r w:rsidR="00351374">
        <w:rPr>
          <w:noProof/>
        </w:rPr>
        <w:fldChar w:fldCharType="begin"/>
      </w:r>
      <w:r w:rsidR="00351374">
        <w:rPr>
          <w:noProof/>
        </w:rPr>
        <w:instrText xml:space="preserve"> PAGEREF _Toc229557668 \h </w:instrText>
      </w:r>
      <w:r w:rsidR="00351374">
        <w:rPr>
          <w:noProof/>
        </w:rPr>
      </w:r>
      <w:r w:rsidR="00351374">
        <w:rPr>
          <w:noProof/>
        </w:rPr>
        <w:fldChar w:fldCharType="separate"/>
      </w:r>
      <w:r w:rsidR="00351374">
        <w:rPr>
          <w:noProof/>
        </w:rPr>
        <w:t>3</w:t>
      </w:r>
      <w:r w:rsidR="00351374">
        <w:rPr>
          <w:noProof/>
        </w:rPr>
        <w:fldChar w:fldCharType="end"/>
      </w:r>
    </w:p>
    <w:p w14:paraId="5FC87758" w14:textId="3D354DE4" w:rsidR="00351374" w:rsidRDefault="0035137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INFORMATION OM ANTAGANDET I DET ANSVARIGA UTSKOTTET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_Toc229557669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BE4AFC5" w14:textId="28975FA2" w:rsidR="0006105E" w:rsidRPr="00C74F22" w:rsidRDefault="00142D49" w:rsidP="00273EFB">
      <w:r w:rsidRPr="00C74F22">
        <w:fldChar w:fldCharType="end"/>
      </w:r>
    </w:p>
    <w:p w14:paraId="4F37EBBC" w14:textId="77777777" w:rsidR="00142D49" w:rsidRPr="00C74F22" w:rsidRDefault="00142D49">
      <w:pPr>
        <w:pStyle w:val="PageHeading"/>
      </w:pPr>
      <w:r w:rsidRPr="00C74F22">
        <w:br w:type="page"/>
      </w:r>
      <w:bookmarkStart w:id="0" w:name="_Toc229557668"/>
      <w:r w:rsidRPr="00C74F22">
        <w:lastRenderedPageBreak/>
        <w:t>FÖRSLAG TILL EUROPAPARLAMENTETS BESLUT</w:t>
      </w:r>
      <w:bookmarkEnd w:id="0"/>
    </w:p>
    <w:p w14:paraId="2F5B7CF7" w14:textId="5D109B55" w:rsidR="00142D49" w:rsidRPr="00C74F22" w:rsidRDefault="007A3F74">
      <w:pPr>
        <w:pStyle w:val="NormalBold"/>
      </w:pPr>
      <w:r w:rsidRPr="00C74F22">
        <w:t>om begäran om upphävande av Nikos Pappas immunitet</w:t>
      </w:r>
    </w:p>
    <w:p w14:paraId="63D5D842" w14:textId="6123E44B" w:rsidR="00142D49" w:rsidRPr="00C74F22" w:rsidRDefault="007A3F74" w:rsidP="00FD1F04">
      <w:pPr>
        <w:pStyle w:val="NormalBold"/>
      </w:pPr>
      <w:r w:rsidRPr="00C74F22">
        <w:t>(2025/2234 (IMM))</w:t>
      </w:r>
    </w:p>
    <w:p w14:paraId="1DD65596" w14:textId="77777777" w:rsidR="00142D49" w:rsidRPr="00C74F22" w:rsidRDefault="007A3F74" w:rsidP="00FD1F04">
      <w:pPr>
        <w:pStyle w:val="EPComma"/>
      </w:pPr>
      <w:r w:rsidRPr="00C74F22">
        <w:rPr>
          <w:i/>
          <w:iCs/>
        </w:rPr>
        <w:t>Europaparlamentet fattar detta beslut</w:t>
      </w:r>
    </w:p>
    <w:p w14:paraId="7E256B95" w14:textId="62AFA96E" w:rsidR="0037671C" w:rsidRPr="00C74F22" w:rsidRDefault="00142D49" w:rsidP="0037671C">
      <w:pPr>
        <w:pStyle w:val="NormalHanging12a"/>
      </w:pPr>
      <w:r w:rsidRPr="00C74F22">
        <w:t>–</w:t>
      </w:r>
      <w:r w:rsidRPr="00C74F22">
        <w:tab/>
        <w:t>med beaktande av den begäran om upphävande av Nikos Pappas immunitet som mottogs genom en skrivelse av den 7 oktober 2025 från den biträdande riksåklagaren vid Greklands högsta domstol, med en begäran från åklagaren vid förstainstansrätten i</w:t>
      </w:r>
      <w:r w:rsidR="009207EB">
        <w:t> </w:t>
      </w:r>
      <w:r w:rsidRPr="00C74F22">
        <w:t>Aten med anledning av det väntande brottmålsförfarandet mot honom, och som tillkännagavs i kammaren den 12 november 2025,</w:t>
      </w:r>
    </w:p>
    <w:p w14:paraId="7C9D3E1E" w14:textId="5271D5BE" w:rsidR="0037671C" w:rsidRPr="00C74F22" w:rsidRDefault="0037671C" w:rsidP="0037671C">
      <w:pPr>
        <w:pStyle w:val="NormalHanging12a"/>
      </w:pPr>
      <w:r w:rsidRPr="00C74F22">
        <w:t>–</w:t>
      </w:r>
      <w:r w:rsidRPr="00C74F22">
        <w:tab/>
        <w:t xml:space="preserve">efter att ha hört Nikos Pappas den 15 april 2026 i enlighet med artikel 9.6 i arbetsordningen, </w:t>
      </w:r>
    </w:p>
    <w:p w14:paraId="37650301" w14:textId="4B03F936" w:rsidR="0037671C" w:rsidRPr="00C74F22" w:rsidRDefault="0037671C" w:rsidP="0037671C">
      <w:pPr>
        <w:pStyle w:val="NormalHanging12a"/>
      </w:pPr>
      <w:r w:rsidRPr="00C74F22">
        <w:t>–</w:t>
      </w:r>
      <w:r w:rsidRPr="00C74F22">
        <w:tab/>
        <w:t>med beaktande av artiklarna 8 och 9 i protokoll nr 7 om Europeiska unionens immunitet och privilegier och artikel 6.2 i akten av den 20 september 1976 om allmänna direkta val av ledamöter av Europaparlamentet,</w:t>
      </w:r>
    </w:p>
    <w:p w14:paraId="39310BD0" w14:textId="743264DE" w:rsidR="0037671C" w:rsidRPr="00C74F22" w:rsidRDefault="0037671C" w:rsidP="0037671C">
      <w:pPr>
        <w:pStyle w:val="NormalHanging12a"/>
      </w:pPr>
      <w:r w:rsidRPr="00C74F22">
        <w:t>–</w:t>
      </w:r>
      <w:r w:rsidRPr="00C74F22">
        <w:tab/>
        <w:t>med beaktande av Europeiska unionens domstols domar av den 21 oktober 2008, 19</w:t>
      </w:r>
      <w:r w:rsidR="009207EB">
        <w:t> </w:t>
      </w:r>
      <w:r w:rsidRPr="00C74F22">
        <w:t>mars 2010, 6 september 2011, 17 januari 2013 och 19 december 2019</w:t>
      </w:r>
      <w:r w:rsidRPr="00C74F22">
        <w:rPr>
          <w:vertAlign w:val="superscript"/>
        </w:rPr>
        <w:footnoteReference w:id="1"/>
      </w:r>
      <w:r w:rsidRPr="00C74F22">
        <w:t>,</w:t>
      </w:r>
    </w:p>
    <w:p w14:paraId="299F0B39" w14:textId="77777777" w:rsidR="0037671C" w:rsidRPr="00C74F22" w:rsidRDefault="0037671C" w:rsidP="0037671C">
      <w:pPr>
        <w:pStyle w:val="NormalHanging12a"/>
      </w:pPr>
      <w:r w:rsidRPr="00C74F22">
        <w:t>–</w:t>
      </w:r>
      <w:r w:rsidRPr="00C74F22">
        <w:tab/>
        <w:t>med beaktande av artiklarna 5.2, 6.1 och 9 i arbetsordningen,</w:t>
      </w:r>
    </w:p>
    <w:p w14:paraId="557E4952" w14:textId="0A28F335" w:rsidR="0037671C" w:rsidRPr="00C74F22" w:rsidRDefault="0037671C" w:rsidP="0037671C">
      <w:pPr>
        <w:pStyle w:val="NormalHanging12a"/>
      </w:pPr>
      <w:r w:rsidRPr="00C74F22">
        <w:t>–</w:t>
      </w:r>
      <w:r w:rsidRPr="00C74F22">
        <w:tab/>
        <w:t>med beaktande av betänkandet från utskottet för rättsliga frågor (A10-0128/2026), och av följande skäl:</w:t>
      </w:r>
    </w:p>
    <w:p w14:paraId="68CFB0CB" w14:textId="6C1FF991" w:rsidR="0037671C" w:rsidRPr="00C74F22" w:rsidRDefault="0037671C" w:rsidP="0037671C">
      <w:pPr>
        <w:pStyle w:val="NormalHanging12a"/>
        <w:rPr>
          <w:bCs/>
          <w:iCs/>
        </w:rPr>
      </w:pPr>
      <w:r w:rsidRPr="00C74F22">
        <w:t>A.</w:t>
      </w:r>
      <w:r w:rsidRPr="00C74F22">
        <w:tab/>
        <w:t>Den biträdande riksåklagaren vid Greklands högsta domstol har översänt en begäran från åklagaren vid förstainstansrätten i Aten om upphävande av immuniteten för Nikos</w:t>
      </w:r>
      <w:r w:rsidR="00351374">
        <w:t> </w:t>
      </w:r>
      <w:r w:rsidRPr="00C74F22">
        <w:t>Pappas, ledamot av Europaparlamentet vald i Grekland, i samband med påstådda förolämpningar via internet samt hot, som utgör brott enligt artiklarna 94, 361.1 första och andra meningarna och 333.1 första meningen i den grekiska strafflagen.</w:t>
      </w:r>
    </w:p>
    <w:p w14:paraId="02BE4C11" w14:textId="086BC0AD" w:rsidR="0037671C" w:rsidRPr="00C74F22" w:rsidRDefault="0037671C" w:rsidP="0037671C">
      <w:pPr>
        <w:pStyle w:val="NormalHanging12a"/>
      </w:pPr>
      <w:r w:rsidRPr="00C74F22">
        <w:t>B.</w:t>
      </w:r>
      <w:r w:rsidRPr="00C74F22">
        <w:tab/>
      </w:r>
      <w:bookmarkStart w:id="1" w:name="_Hlk226714510"/>
      <w:r w:rsidRPr="00C74F22">
        <w:t>Enligt begäran framgår det av stämningsansökan att Nikos Pappas den 11 juni 2025 ska ha förolämpat och hotat målsäganden genom direkta meddelanden skickade via hans personliga konto på Instagram.</w:t>
      </w:r>
      <w:bookmarkEnd w:id="1"/>
    </w:p>
    <w:p w14:paraId="5978E65D" w14:textId="1BA2FFB1" w:rsidR="0037671C" w:rsidRPr="00C74F22" w:rsidRDefault="0037671C" w:rsidP="0037671C">
      <w:pPr>
        <w:pStyle w:val="NormalHanging12a"/>
      </w:pPr>
      <w:r w:rsidRPr="00C74F22">
        <w:t>C.</w:t>
      </w:r>
      <w:r w:rsidRPr="00C74F22">
        <w:tab/>
        <w:t>Nikos Pappas valdes in i Europaparlamentet i EU-valet i juni 2024 och var inte ledamot av Europaparlamentet vid tidpunkten för de påstådda lagöverträdelserna. Enligt begäran är stämningsansökan mot honom från den 16 juli 2025.</w:t>
      </w:r>
    </w:p>
    <w:p w14:paraId="0DD18B5E" w14:textId="367AEC1B" w:rsidR="0037671C" w:rsidRPr="00C74F22" w:rsidRDefault="0037671C" w:rsidP="0037671C">
      <w:pPr>
        <w:pStyle w:val="NormalHanging12a"/>
      </w:pPr>
      <w:r w:rsidRPr="00C74F22">
        <w:t>D.</w:t>
      </w:r>
      <w:r w:rsidRPr="00C74F22">
        <w:tab/>
        <w:t xml:space="preserve">Det påstådda brottet och den efterföljande begäran om upphävande av Nikos Pappas immunitet har inget samband med yttranden som Nikos Pappas gjort eller röster som </w:t>
      </w:r>
      <w:r w:rsidRPr="00C74F22">
        <w:lastRenderedPageBreak/>
        <w:t>han avlagt under utövandet av sitt ämbete i den mening som avses i artikel 8 i protokoll nr 7 om Europeiska unionens immunitet och privilegier.</w:t>
      </w:r>
    </w:p>
    <w:p w14:paraId="3ADC4328" w14:textId="77777777" w:rsidR="0037671C" w:rsidRPr="00C74F22" w:rsidRDefault="0037671C" w:rsidP="0037671C">
      <w:pPr>
        <w:pStyle w:val="NormalHanging12a"/>
      </w:pPr>
      <w:r w:rsidRPr="00C74F22">
        <w:t>E.</w:t>
      </w:r>
      <w:r w:rsidRPr="00C74F22">
        <w:tab/>
        <w:t>I artikel 9 första stycket a i protokoll nr 7 om Europeiska unionens immunitet och privilegier anges att Europaparlamentets ledamöter under Europaparlamentets sessioner, vad avser deras egen stats territorium, ska åtnjuta den immunitet som beviljas parlamentsledamöter i deras land.</w:t>
      </w:r>
    </w:p>
    <w:p w14:paraId="2F091D3D" w14:textId="77777777" w:rsidR="0037671C" w:rsidRPr="00C74F22" w:rsidRDefault="0037671C" w:rsidP="0037671C">
      <w:pPr>
        <w:pStyle w:val="NormalHanging12a"/>
      </w:pPr>
      <w:r w:rsidRPr="00C74F22">
        <w:t>F.</w:t>
      </w:r>
      <w:r w:rsidRPr="00C74F22">
        <w:tab/>
        <w:t>Enligt artikel 62 i Greklands konstitution får en parlamentsledamot under hela sin mandatperiod inte åtalas, gripas, fängslas eller på annat sätt frihetsberövas utan godkännande av kammaren.</w:t>
      </w:r>
    </w:p>
    <w:p w14:paraId="0BB3807C" w14:textId="77777777" w:rsidR="0037671C" w:rsidRPr="00C74F22" w:rsidRDefault="0037671C" w:rsidP="0037671C">
      <w:pPr>
        <w:pStyle w:val="NormalHanging12a"/>
      </w:pPr>
      <w:r w:rsidRPr="00C74F22">
        <w:t>G.</w:t>
      </w:r>
      <w:r w:rsidRPr="00C74F22">
        <w:tab/>
        <w:t>Syftet med den immunitet som föreskrivs i protokoll nr 7 om Europeiska unionens immunitet och privilegier är att skydda parlamentet och dess ledamöter mot rättsliga förfaranden i samband med verksamhet som utförs under utövandet av ämbetet som parlamentsledamot och som inte kan skiljas från detta.</w:t>
      </w:r>
    </w:p>
    <w:p w14:paraId="0054C7ED" w14:textId="77777777" w:rsidR="0037671C" w:rsidRPr="00C74F22" w:rsidRDefault="0037671C" w:rsidP="0037671C">
      <w:pPr>
        <w:pStyle w:val="NormalHanging12a"/>
      </w:pPr>
      <w:r w:rsidRPr="00C74F22">
        <w:t>H.</w:t>
      </w:r>
      <w:r w:rsidRPr="00C74F22">
        <w:tab/>
        <w:t>Enligt artikel 5.2 i arbetsordningen är parlamentarisk immunitet inte en ledamots personliga privilegium, utan en garanti för hela parlamentets och dess ledamöters oberoende.</w:t>
      </w:r>
    </w:p>
    <w:p w14:paraId="4F868F63" w14:textId="44FB52B8" w:rsidR="0037671C" w:rsidRPr="00C74F22" w:rsidRDefault="0037671C" w:rsidP="0037671C">
      <w:pPr>
        <w:pStyle w:val="NormalHanging12a"/>
      </w:pPr>
      <w:r w:rsidRPr="00C74F22">
        <w:t>I.</w:t>
      </w:r>
      <w:r w:rsidRPr="00C74F22">
        <w:tab/>
        <w:t xml:space="preserve">I detta fall har parlamentet inte funnit några belägg för </w:t>
      </w:r>
      <w:r w:rsidRPr="00C74F22">
        <w:rPr>
          <w:i/>
        </w:rPr>
        <w:t>fumus persecutionis</w:t>
      </w:r>
      <w:r w:rsidRPr="00C74F22">
        <w:t>, det vill säga faktiska omständigheter som tyder på att avsikten med det rättsliga förfarandet i fråga är att skada ledamotens politiska verksamhet i hans egenskap av ledamot av Europaparlamentet.</w:t>
      </w:r>
    </w:p>
    <w:p w14:paraId="78379CF5" w14:textId="0D4B2BE0" w:rsidR="0037671C" w:rsidRPr="00C74F22" w:rsidRDefault="0037671C" w:rsidP="0037671C">
      <w:pPr>
        <w:pStyle w:val="NormalHanging12a"/>
      </w:pPr>
      <w:r w:rsidRPr="00C74F22">
        <w:t>J.</w:t>
      </w:r>
      <w:r w:rsidRPr="00C74F22">
        <w:tab/>
        <w:t>Å ena sidan kan parlamentet inte likställas med en domstol, och å andra sidan kan parlamentsledamoten, inom ramen för ett förfarande för att upphäva immunitet, inte betraktas som ”anklagad”</w:t>
      </w:r>
      <w:r w:rsidRPr="00C74F22">
        <w:rPr>
          <w:vertAlign w:val="superscript"/>
        </w:rPr>
        <w:footnoteReference w:id="2"/>
      </w:r>
      <w:r w:rsidRPr="00C74F22">
        <w:t>.</w:t>
      </w:r>
    </w:p>
    <w:p w14:paraId="088D62FC" w14:textId="59764213" w:rsidR="0037671C" w:rsidRPr="00C74F22" w:rsidRDefault="0037671C" w:rsidP="0037671C">
      <w:pPr>
        <w:pStyle w:val="NormalHanging12a"/>
      </w:pPr>
      <w:r w:rsidRPr="00C74F22">
        <w:t>1.</w:t>
      </w:r>
      <w:r w:rsidRPr="00C74F22">
        <w:tab/>
        <w:t>Europaparlamentet beslutar att upphäva Nikos Pappas immunitet.</w:t>
      </w:r>
    </w:p>
    <w:p w14:paraId="31CD54D1" w14:textId="1329B52B" w:rsidR="0037671C" w:rsidRPr="00C74F22" w:rsidRDefault="0037671C" w:rsidP="00DC7727">
      <w:pPr>
        <w:pStyle w:val="NormalHanging12a"/>
      </w:pPr>
      <w:r w:rsidRPr="00C74F22">
        <w:t>2.</w:t>
      </w:r>
      <w:r w:rsidRPr="00C74F22">
        <w:tab/>
        <w:t>Europaparlamentet uppdrar åt talmannen att omedelbart översända detta beslut och det ansvariga utskottets betänkande till de behöriga myndigheterna i Republiken Grekland och till Nikos Pappas.</w:t>
      </w:r>
    </w:p>
    <w:p w14:paraId="74C74EDC" w14:textId="77777777" w:rsidR="00782E54" w:rsidRPr="00C74F22" w:rsidRDefault="00782E54" w:rsidP="00DC7727">
      <w:pPr>
        <w:sectPr w:rsidR="00782E54" w:rsidRPr="00C74F22" w:rsidSect="00C74F2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1F1AF801" w14:textId="5BA2D5CD" w:rsidR="00DC7727" w:rsidRPr="00C74F22" w:rsidRDefault="00DC7727" w:rsidP="00DC7727">
      <w:pPr>
        <w:pStyle w:val="PageHeading"/>
      </w:pPr>
      <w:bookmarkStart w:id="2" w:name="ProcPageRR"/>
      <w:bookmarkStart w:id="3" w:name="_Toc229557669"/>
      <w:r w:rsidRPr="00C74F22">
        <w:lastRenderedPageBreak/>
        <w:t>INFORMATION OM ANTAGANDET I DET ANSVARIGA UTSKOTTET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C7727" w:rsidRPr="00C74F22" w14:paraId="158DC7FA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8A905EB" w14:textId="77777777" w:rsidR="00DC7727" w:rsidRPr="00C74F22" w:rsidRDefault="00DC772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74F22">
              <w:rPr>
                <w:b/>
                <w:color w:val="000000"/>
                <w:sz w:val="20"/>
              </w:rPr>
              <w:t>Antagande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754F41E" w14:textId="77777777" w:rsidR="00DC7727" w:rsidRPr="00C74F22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74F22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1260461" w14:textId="77777777" w:rsidR="00DC7727" w:rsidRPr="00C74F22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A82E324" w14:textId="77777777" w:rsidR="00DC7727" w:rsidRPr="00C74F22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50B71E" w14:textId="77777777" w:rsidR="00DC7727" w:rsidRPr="00C74F22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DC7727" w:rsidRPr="00C74F22" w14:paraId="2E3F46EC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B3D7FA2" w14:textId="77777777" w:rsidR="00DC7727" w:rsidRPr="00C74F22" w:rsidRDefault="00DC772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74F22">
              <w:rPr>
                <w:b/>
                <w:color w:val="000000"/>
                <w:sz w:val="20"/>
              </w:rPr>
              <w:t>Slutomröstning: resultat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1566470" w14:textId="77777777" w:rsidR="00DC7727" w:rsidRPr="00C74F22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74F22">
              <w:rPr>
                <w:color w:val="000000"/>
                <w:sz w:val="20"/>
              </w:rPr>
              <w:t>+:</w:t>
            </w:r>
          </w:p>
          <w:p w14:paraId="6A57D674" w14:textId="77777777" w:rsidR="00DC7727" w:rsidRPr="00C74F22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74F22">
              <w:rPr>
                <w:color w:val="000000"/>
                <w:sz w:val="20"/>
              </w:rPr>
              <w:t>–:</w:t>
            </w:r>
          </w:p>
          <w:p w14:paraId="46CB2211" w14:textId="77777777" w:rsidR="00DC7727" w:rsidRPr="00C74F22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74F22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9E6CA20" w14:textId="77777777" w:rsidR="00DC7727" w:rsidRPr="00C74F22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74F22">
              <w:rPr>
                <w:color w:val="000000"/>
                <w:sz w:val="20"/>
              </w:rPr>
              <w:t>21</w:t>
            </w:r>
          </w:p>
          <w:p w14:paraId="25E539AB" w14:textId="77777777" w:rsidR="00DC7727" w:rsidRPr="00C74F22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74F22">
              <w:rPr>
                <w:color w:val="000000"/>
                <w:sz w:val="20"/>
              </w:rPr>
              <w:t>0</w:t>
            </w:r>
          </w:p>
          <w:p w14:paraId="65E21B54" w14:textId="77777777" w:rsidR="00DC7727" w:rsidRPr="00C74F22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74F22">
              <w:rPr>
                <w:color w:val="000000"/>
                <w:sz w:val="20"/>
              </w:rPr>
              <w:t>0</w:t>
            </w:r>
          </w:p>
        </w:tc>
      </w:tr>
    </w:tbl>
    <w:p w14:paraId="4C90AAAB" w14:textId="77777777" w:rsidR="00DC7727" w:rsidRPr="00C74F22" w:rsidRDefault="00DC7727"/>
    <w:bookmarkEnd w:id="2"/>
    <w:p w14:paraId="18A8CC2A" w14:textId="12C99D43" w:rsidR="00782E54" w:rsidRPr="00C74F22" w:rsidRDefault="00782E54" w:rsidP="00DC7727"/>
    <w:sectPr w:rsidR="00782E54" w:rsidRPr="00C74F22" w:rsidSect="00DC7727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22D59" w14:textId="77777777" w:rsidR="007A3F74" w:rsidRPr="00C74F22" w:rsidRDefault="007A3F74">
      <w:r w:rsidRPr="00C74F22">
        <w:separator/>
      </w:r>
    </w:p>
  </w:endnote>
  <w:endnote w:type="continuationSeparator" w:id="0">
    <w:p w14:paraId="610AD7B1" w14:textId="77777777" w:rsidR="007A3F74" w:rsidRPr="00C74F22" w:rsidRDefault="007A3F74">
      <w:r w:rsidRPr="00C74F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D456E" w14:textId="77777777" w:rsidR="00C74F22" w:rsidRPr="00C74F22" w:rsidRDefault="00C74F22" w:rsidP="00C74F22">
    <w:pPr>
      <w:pStyle w:val="EPFooter"/>
    </w:pPr>
    <w:r w:rsidRPr="00C74F22">
      <w:t>PE</w:t>
    </w:r>
    <w:r w:rsidRPr="00C74F22">
      <w:rPr>
        <w:rStyle w:val="HideTWBExt"/>
      </w:rPr>
      <w:t>&lt;NoPE&gt;</w:t>
    </w:r>
    <w:r w:rsidRPr="00C74F22">
      <w:t>786.974</w:t>
    </w:r>
    <w:r w:rsidRPr="00C74F22">
      <w:rPr>
        <w:rStyle w:val="HideTWBExt"/>
      </w:rPr>
      <w:t>&lt;/NoPE&gt;&lt;Version&gt;</w:t>
    </w:r>
    <w:r w:rsidRPr="00C74F22">
      <w:t>v03-00</w:t>
    </w:r>
    <w:r w:rsidRPr="00C74F22">
      <w:rPr>
        <w:rStyle w:val="HideTWBExt"/>
      </w:rPr>
      <w:t>&lt;/Version&gt;</w:t>
    </w:r>
    <w:r w:rsidRPr="00C74F22">
      <w:tab/>
    </w:r>
    <w:r w:rsidRPr="00C74F22">
      <w:fldChar w:fldCharType="begin"/>
    </w:r>
    <w:r w:rsidRPr="00C74F22">
      <w:instrText xml:space="preserve"> PAGE  \* MERGEFORMAT </w:instrText>
    </w:r>
    <w:r w:rsidRPr="00C74F22">
      <w:fldChar w:fldCharType="separate"/>
    </w:r>
    <w:r w:rsidRPr="00C74F22">
      <w:rPr>
        <w:noProof/>
      </w:rPr>
      <w:t>2</w:t>
    </w:r>
    <w:r w:rsidRPr="00C74F22">
      <w:fldChar w:fldCharType="end"/>
    </w:r>
    <w:r w:rsidRPr="00C74F22">
      <w:t>/</w:t>
    </w:r>
    <w:fldSimple w:instr=" NUMPAGES  \* MERGEFORMAT ">
      <w:r w:rsidRPr="00C74F22">
        <w:rPr>
          <w:noProof/>
        </w:rPr>
        <w:t>5</w:t>
      </w:r>
    </w:fldSimple>
    <w:r w:rsidRPr="00C74F22">
      <w:tab/>
    </w:r>
    <w:r w:rsidRPr="00C74F22">
      <w:rPr>
        <w:rStyle w:val="HideTWBExt"/>
      </w:rPr>
      <w:t>&lt;PathFdR&gt;</w:t>
    </w:r>
    <w:r w:rsidRPr="00C74F22">
      <w:t>RR\1343292SV.docx</w:t>
    </w:r>
    <w:r w:rsidRPr="00C74F22">
      <w:rPr>
        <w:rStyle w:val="HideTWBExt"/>
      </w:rPr>
      <w:t>&lt;/PathFdR&gt;</w:t>
    </w:r>
  </w:p>
  <w:p w14:paraId="658457CE" w14:textId="18CF5713" w:rsidR="0023430B" w:rsidRPr="00C74F22" w:rsidRDefault="00C74F22" w:rsidP="00C74F22">
    <w:pPr>
      <w:pStyle w:val="EPFooter2"/>
    </w:pPr>
    <w:r w:rsidRPr="00C74F22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A9D8" w14:textId="77777777" w:rsidR="00C74F22" w:rsidRPr="00C74F22" w:rsidRDefault="00C74F22" w:rsidP="00C74F22">
    <w:pPr>
      <w:pStyle w:val="EPFooter"/>
    </w:pPr>
    <w:r w:rsidRPr="00C74F22">
      <w:rPr>
        <w:rStyle w:val="HideTWBExt"/>
      </w:rPr>
      <w:t>&lt;PathFdR&gt;</w:t>
    </w:r>
    <w:r w:rsidRPr="00C74F22">
      <w:t>RR\1343292SV.docx</w:t>
    </w:r>
    <w:r w:rsidRPr="00C74F22">
      <w:rPr>
        <w:rStyle w:val="HideTWBExt"/>
      </w:rPr>
      <w:t>&lt;/PathFdR&gt;</w:t>
    </w:r>
    <w:r w:rsidRPr="00C74F22">
      <w:tab/>
    </w:r>
    <w:r w:rsidRPr="00C74F22">
      <w:fldChar w:fldCharType="begin"/>
    </w:r>
    <w:r w:rsidRPr="00C74F22">
      <w:instrText xml:space="preserve"> PAGE  \* MERGEFORMAT </w:instrText>
    </w:r>
    <w:r w:rsidRPr="00C74F22">
      <w:fldChar w:fldCharType="separate"/>
    </w:r>
    <w:r w:rsidRPr="00C74F22">
      <w:rPr>
        <w:noProof/>
      </w:rPr>
      <w:t>5</w:t>
    </w:r>
    <w:r w:rsidRPr="00C74F22">
      <w:fldChar w:fldCharType="end"/>
    </w:r>
    <w:r w:rsidRPr="00C74F22">
      <w:t>/</w:t>
    </w:r>
    <w:fldSimple w:instr=" NUMPAGES  \* MERGEFORMAT ">
      <w:r w:rsidRPr="00C74F22">
        <w:rPr>
          <w:noProof/>
        </w:rPr>
        <w:t>5</w:t>
      </w:r>
    </w:fldSimple>
    <w:r w:rsidRPr="00C74F22">
      <w:tab/>
      <w:t>PE</w:t>
    </w:r>
    <w:r w:rsidRPr="00C74F22">
      <w:rPr>
        <w:rStyle w:val="HideTWBExt"/>
      </w:rPr>
      <w:t>&lt;NoPE&gt;</w:t>
    </w:r>
    <w:r w:rsidRPr="00C74F22">
      <w:t>786.974</w:t>
    </w:r>
    <w:r w:rsidRPr="00C74F22">
      <w:rPr>
        <w:rStyle w:val="HideTWBExt"/>
      </w:rPr>
      <w:t>&lt;/NoPE&gt;&lt;Version&gt;</w:t>
    </w:r>
    <w:r w:rsidRPr="00C74F22">
      <w:t>v03-00</w:t>
    </w:r>
    <w:r w:rsidRPr="00C74F22">
      <w:rPr>
        <w:rStyle w:val="HideTWBExt"/>
      </w:rPr>
      <w:t>&lt;/Version&gt;</w:t>
    </w:r>
  </w:p>
  <w:p w14:paraId="2AEFD817" w14:textId="718C6C52" w:rsidR="0023430B" w:rsidRPr="00C74F22" w:rsidRDefault="00C74F22" w:rsidP="00C74F22">
    <w:pPr>
      <w:pStyle w:val="EPFooter2"/>
    </w:pPr>
    <w:r w:rsidRPr="00C74F22">
      <w:tab/>
    </w:r>
    <w:r w:rsidRPr="00C74F22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046D" w14:textId="77777777" w:rsidR="00C74F22" w:rsidRPr="00C74F22" w:rsidRDefault="00C74F22" w:rsidP="00C74F22">
    <w:pPr>
      <w:pStyle w:val="EPFooter"/>
    </w:pPr>
    <w:r w:rsidRPr="00C74F22">
      <w:rPr>
        <w:rStyle w:val="HideTWBExt"/>
      </w:rPr>
      <w:t>&lt;PathFdR&gt;</w:t>
    </w:r>
    <w:r w:rsidRPr="00C74F22">
      <w:t>RR\1343292SV.docx</w:t>
    </w:r>
    <w:r w:rsidRPr="00C74F22">
      <w:rPr>
        <w:rStyle w:val="HideTWBExt"/>
      </w:rPr>
      <w:t>&lt;/PathFdR&gt;</w:t>
    </w:r>
    <w:r w:rsidRPr="00C74F22">
      <w:tab/>
    </w:r>
    <w:r w:rsidRPr="00C74F22">
      <w:tab/>
      <w:t>PE</w:t>
    </w:r>
    <w:r w:rsidRPr="00C74F22">
      <w:rPr>
        <w:rStyle w:val="HideTWBExt"/>
      </w:rPr>
      <w:t>&lt;NoPE&gt;</w:t>
    </w:r>
    <w:r w:rsidRPr="00C74F22">
      <w:t>786.974</w:t>
    </w:r>
    <w:r w:rsidRPr="00C74F22">
      <w:rPr>
        <w:rStyle w:val="HideTWBExt"/>
      </w:rPr>
      <w:t>&lt;/NoPE&gt;&lt;Version&gt;</w:t>
    </w:r>
    <w:r w:rsidRPr="00C74F22">
      <w:t>v03-00</w:t>
    </w:r>
    <w:r w:rsidRPr="00C74F22">
      <w:rPr>
        <w:rStyle w:val="HideTWBExt"/>
      </w:rPr>
      <w:t>&lt;/Version&gt;</w:t>
    </w:r>
  </w:p>
  <w:p w14:paraId="335F31F2" w14:textId="0BF7A447" w:rsidR="0023430B" w:rsidRPr="00C74F22" w:rsidRDefault="00C74F22" w:rsidP="00C74F22">
    <w:pPr>
      <w:pStyle w:val="EPFooter2"/>
    </w:pPr>
    <w:r w:rsidRPr="00C74F22">
      <w:t>SV</w:t>
    </w:r>
    <w:r w:rsidRPr="00C74F22">
      <w:tab/>
    </w:r>
    <w:r w:rsidRPr="00C74F22">
      <w:rPr>
        <w:b w:val="0"/>
        <w:i/>
        <w:color w:val="C0C0C0"/>
        <w:sz w:val="22"/>
      </w:rPr>
      <w:t>Förenade i mångfalden</w:t>
    </w:r>
    <w:r w:rsidRPr="00C74F22">
      <w:tab/>
      <w:t>SV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F6929" w14:textId="77777777" w:rsidR="007A3F74" w:rsidRPr="00C74F22" w:rsidRDefault="007A3F74">
      <w:r w:rsidRPr="00C74F22">
        <w:separator/>
      </w:r>
    </w:p>
  </w:footnote>
  <w:footnote w:type="continuationSeparator" w:id="0">
    <w:p w14:paraId="7CCCF422" w14:textId="77777777" w:rsidR="007A3F74" w:rsidRPr="00C74F22" w:rsidRDefault="007A3F74">
      <w:r w:rsidRPr="00C74F22">
        <w:continuationSeparator/>
      </w:r>
    </w:p>
  </w:footnote>
  <w:footnote w:id="1">
    <w:p w14:paraId="63EA19DC" w14:textId="4F68C1F5" w:rsidR="0037671C" w:rsidRPr="00C74F22" w:rsidRDefault="0037671C" w:rsidP="0037671C">
      <w:pPr>
        <w:pStyle w:val="FootnoteText"/>
      </w:pPr>
      <w:r w:rsidRPr="00C74F22">
        <w:rPr>
          <w:rStyle w:val="FootnoteReference"/>
        </w:rPr>
        <w:footnoteRef/>
      </w:r>
      <w:r w:rsidRPr="00C74F22">
        <w:rPr>
          <w:rStyle w:val="FootnoteReference"/>
        </w:rPr>
        <w:t xml:space="preserve"> </w:t>
      </w:r>
      <w:r w:rsidRPr="00C74F22">
        <w:t>Domstolens dom av den 21 oktober 2008, Marra/De Gregorio och Clemente, C-200/07 och C-201/07, ECLI:EU:C:2008:579, tribunalens dom av den 19 mars 2010, Gollnisch/parlamentet, T-42/06, ECLI:EU:T:2010:102, domstolens dom av den 6 september 2011, Patriciello, C-163/10, ECLI, EU:C:2011:543; tribunalens dom av den 17 januari 2013, Gollnisch/parlamentet, T-346/11 och T-347/11, ECLI:EU:T:2013:23, domstolens dom av den 19 december 2019, Junqueras Vies, C-502/19, ECLI:EU:C:2019:1115.</w:t>
      </w:r>
    </w:p>
  </w:footnote>
  <w:footnote w:id="2">
    <w:p w14:paraId="26EEF05B" w14:textId="77777777" w:rsidR="0037671C" w:rsidRPr="00C74F22" w:rsidRDefault="0037671C" w:rsidP="0037671C">
      <w:pPr>
        <w:pStyle w:val="FootnoteText"/>
      </w:pPr>
      <w:r w:rsidRPr="00C74F22">
        <w:rPr>
          <w:rStyle w:val="FootnoteReference"/>
        </w:rPr>
        <w:footnoteRef/>
      </w:r>
      <w:r w:rsidRPr="00C74F22">
        <w:rPr>
          <w:rStyle w:val="FootnoteReference"/>
        </w:rPr>
        <w:t xml:space="preserve"> </w:t>
      </w:r>
      <w:r w:rsidRPr="00C74F22">
        <w:t>Tribunalens dom av den 30 april 2019, Briois/parlamentet,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22654" w14:textId="77777777" w:rsidR="009207EB" w:rsidRDefault="009207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A1B3" w14:textId="77777777" w:rsidR="009207EB" w:rsidRDefault="009207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B4CB" w14:textId="77777777" w:rsidR="009207EB" w:rsidRDefault="009207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6049966">
    <w:abstractNumId w:val="9"/>
  </w:num>
  <w:num w:numId="2" w16cid:durableId="500123677">
    <w:abstractNumId w:val="9"/>
  </w:num>
  <w:num w:numId="3" w16cid:durableId="1251350794">
    <w:abstractNumId w:val="7"/>
  </w:num>
  <w:num w:numId="4" w16cid:durableId="538204988">
    <w:abstractNumId w:val="7"/>
  </w:num>
  <w:num w:numId="5" w16cid:durableId="75397706">
    <w:abstractNumId w:val="6"/>
  </w:num>
  <w:num w:numId="6" w16cid:durableId="1763794196">
    <w:abstractNumId w:val="6"/>
  </w:num>
  <w:num w:numId="7" w16cid:durableId="1933928331">
    <w:abstractNumId w:val="5"/>
  </w:num>
  <w:num w:numId="8" w16cid:durableId="1153915050">
    <w:abstractNumId w:val="5"/>
  </w:num>
  <w:num w:numId="9" w16cid:durableId="518348470">
    <w:abstractNumId w:val="4"/>
  </w:num>
  <w:num w:numId="10" w16cid:durableId="916595541">
    <w:abstractNumId w:val="4"/>
  </w:num>
  <w:num w:numId="11" w16cid:durableId="356584343">
    <w:abstractNumId w:val="8"/>
  </w:num>
  <w:num w:numId="12" w16cid:durableId="1006860297">
    <w:abstractNumId w:val="8"/>
  </w:num>
  <w:num w:numId="13" w16cid:durableId="2122459182">
    <w:abstractNumId w:val="3"/>
  </w:num>
  <w:num w:numId="14" w16cid:durableId="995376107">
    <w:abstractNumId w:val="3"/>
  </w:num>
  <w:num w:numId="15" w16cid:durableId="777532011">
    <w:abstractNumId w:val="2"/>
  </w:num>
  <w:num w:numId="16" w16cid:durableId="1760180310">
    <w:abstractNumId w:val="2"/>
  </w:num>
  <w:num w:numId="17" w16cid:durableId="650838489">
    <w:abstractNumId w:val="1"/>
  </w:num>
  <w:num w:numId="18" w16cid:durableId="1290627998">
    <w:abstractNumId w:val="1"/>
  </w:num>
  <w:num w:numId="19" w16cid:durableId="1948807813">
    <w:abstractNumId w:val="0"/>
  </w:num>
  <w:num w:numId="20" w16cid:durableId="668680220">
    <w:abstractNumId w:val="0"/>
  </w:num>
  <w:num w:numId="21" w16cid:durableId="1836257524">
    <w:abstractNumId w:val="9"/>
  </w:num>
  <w:num w:numId="22" w16cid:durableId="1973629948">
    <w:abstractNumId w:val="7"/>
  </w:num>
  <w:num w:numId="23" w16cid:durableId="993527861">
    <w:abstractNumId w:val="6"/>
  </w:num>
  <w:num w:numId="24" w16cid:durableId="1841920576">
    <w:abstractNumId w:val="5"/>
  </w:num>
  <w:num w:numId="25" w16cid:durableId="1499228666">
    <w:abstractNumId w:val="4"/>
  </w:num>
  <w:num w:numId="26" w16cid:durableId="438914760">
    <w:abstractNumId w:val="8"/>
  </w:num>
  <w:num w:numId="27" w16cid:durableId="1546600766">
    <w:abstractNumId w:val="3"/>
  </w:num>
  <w:num w:numId="28" w16cid:durableId="1523980013">
    <w:abstractNumId w:val="2"/>
  </w:num>
  <w:num w:numId="29" w16cid:durableId="729578024">
    <w:abstractNumId w:val="1"/>
  </w:num>
  <w:num w:numId="30" w16cid:durableId="812868156">
    <w:abstractNumId w:val="0"/>
  </w:num>
  <w:num w:numId="31" w16cid:durableId="1722942012">
    <w:abstractNumId w:val="9"/>
  </w:num>
  <w:num w:numId="32" w16cid:durableId="610166904">
    <w:abstractNumId w:val="7"/>
  </w:num>
  <w:num w:numId="33" w16cid:durableId="471598544">
    <w:abstractNumId w:val="6"/>
  </w:num>
  <w:num w:numId="34" w16cid:durableId="703290029">
    <w:abstractNumId w:val="5"/>
  </w:num>
  <w:num w:numId="35" w16cid:durableId="196478196">
    <w:abstractNumId w:val="4"/>
  </w:num>
  <w:num w:numId="36" w16cid:durableId="457837999">
    <w:abstractNumId w:val="8"/>
  </w:num>
  <w:num w:numId="37" w16cid:durableId="1081296137">
    <w:abstractNumId w:val="3"/>
  </w:num>
  <w:num w:numId="38" w16cid:durableId="580678148">
    <w:abstractNumId w:val="2"/>
  </w:num>
  <w:num w:numId="39" w16cid:durableId="30228065">
    <w:abstractNumId w:val="1"/>
  </w:num>
  <w:num w:numId="40" w16cid:durableId="106603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06/05/2026"/>
    <w:docVar w:name="EPPOMNU" w:val=" 1"/>
    <w:docVar w:name="HEARDMNU" w:val=" 1"/>
    <w:docVar w:name="JUDGMNU@" w:val=" 2"/>
    <w:docVar w:name="LastEditedSection" w:val=" 1"/>
    <w:docVar w:name="PLENARYDT" w:val="10/04/2026"/>
    <w:docVar w:name="REQUESTDT" w:val="10/04/2026"/>
    <w:docVar w:name="strDocTypeID" w:val="PR_IMM_Waiver"/>
    <w:docVar w:name="strSubDir" w:val="786"/>
    <w:docVar w:name="TXTAUTHOR" w:val="Marcin Sypniewski"/>
    <w:docVar w:name="TXTLANGUE" w:val="SV"/>
    <w:docVar w:name="TXTLANGUEMIN" w:val="sv"/>
    <w:docVar w:name="TXTNAME" w:val="Nikos Pappas"/>
    <w:docVar w:name="TXTNRIMM" w:val="2025/2234"/>
    <w:docVar w:name="TXTNRPE" w:val="786.974"/>
    <w:docVar w:name="TXTPEorAP" w:val="PE"/>
    <w:docVar w:name="TXTROUTE" w:val="RR\1343292SV.docx"/>
    <w:docVar w:name="TXTVERSION" w:val="03-00"/>
    <w:docVar w:name="WAIVEMNU" w:val=" 1"/>
  </w:docVars>
  <w:rsids>
    <w:rsidRoot w:val="007A3F74"/>
    <w:rsid w:val="00044B9B"/>
    <w:rsid w:val="00060E63"/>
    <w:rsid w:val="0006105E"/>
    <w:rsid w:val="00080B89"/>
    <w:rsid w:val="000C0CAA"/>
    <w:rsid w:val="000C5BA7"/>
    <w:rsid w:val="000E36C4"/>
    <w:rsid w:val="000F22E6"/>
    <w:rsid w:val="000F57CC"/>
    <w:rsid w:val="00107BF5"/>
    <w:rsid w:val="00114131"/>
    <w:rsid w:val="00135BE0"/>
    <w:rsid w:val="00142D49"/>
    <w:rsid w:val="001523F3"/>
    <w:rsid w:val="001529BD"/>
    <w:rsid w:val="00172971"/>
    <w:rsid w:val="001D549A"/>
    <w:rsid w:val="001F52C3"/>
    <w:rsid w:val="001F5613"/>
    <w:rsid w:val="00205304"/>
    <w:rsid w:val="00211AA7"/>
    <w:rsid w:val="00215FF9"/>
    <w:rsid w:val="0023430B"/>
    <w:rsid w:val="002442B3"/>
    <w:rsid w:val="00250733"/>
    <w:rsid w:val="00252E1D"/>
    <w:rsid w:val="00273EFB"/>
    <w:rsid w:val="00285706"/>
    <w:rsid w:val="002915E6"/>
    <w:rsid w:val="0029288E"/>
    <w:rsid w:val="00296EB6"/>
    <w:rsid w:val="002F5F7C"/>
    <w:rsid w:val="00326E87"/>
    <w:rsid w:val="00351374"/>
    <w:rsid w:val="0035402F"/>
    <w:rsid w:val="0035595E"/>
    <w:rsid w:val="0037671C"/>
    <w:rsid w:val="00392A3D"/>
    <w:rsid w:val="003B1888"/>
    <w:rsid w:val="003D30B4"/>
    <w:rsid w:val="003E24B5"/>
    <w:rsid w:val="00414AA0"/>
    <w:rsid w:val="00431EC1"/>
    <w:rsid w:val="004433B2"/>
    <w:rsid w:val="0044752A"/>
    <w:rsid w:val="004502C8"/>
    <w:rsid w:val="0045635E"/>
    <w:rsid w:val="00493F90"/>
    <w:rsid w:val="004B2372"/>
    <w:rsid w:val="004E7774"/>
    <w:rsid w:val="00503AC2"/>
    <w:rsid w:val="005922F7"/>
    <w:rsid w:val="005B5955"/>
    <w:rsid w:val="00627F06"/>
    <w:rsid w:val="00633DF2"/>
    <w:rsid w:val="00681E33"/>
    <w:rsid w:val="006A1780"/>
    <w:rsid w:val="006C038C"/>
    <w:rsid w:val="006D6F36"/>
    <w:rsid w:val="00736D0A"/>
    <w:rsid w:val="007470A8"/>
    <w:rsid w:val="00752B65"/>
    <w:rsid w:val="00753DFC"/>
    <w:rsid w:val="007613CD"/>
    <w:rsid w:val="0076428C"/>
    <w:rsid w:val="00771E7F"/>
    <w:rsid w:val="00780317"/>
    <w:rsid w:val="0078039D"/>
    <w:rsid w:val="00782E54"/>
    <w:rsid w:val="00785C52"/>
    <w:rsid w:val="00797CAE"/>
    <w:rsid w:val="007A3F74"/>
    <w:rsid w:val="007A7BF5"/>
    <w:rsid w:val="007C040A"/>
    <w:rsid w:val="007D49EE"/>
    <w:rsid w:val="007E434A"/>
    <w:rsid w:val="007F4D6A"/>
    <w:rsid w:val="008376BE"/>
    <w:rsid w:val="008436E0"/>
    <w:rsid w:val="00851E2C"/>
    <w:rsid w:val="00867D72"/>
    <w:rsid w:val="00872381"/>
    <w:rsid w:val="008D1236"/>
    <w:rsid w:val="008D1C36"/>
    <w:rsid w:val="008E6FB9"/>
    <w:rsid w:val="008F39C8"/>
    <w:rsid w:val="0091636F"/>
    <w:rsid w:val="009207EB"/>
    <w:rsid w:val="009442F2"/>
    <w:rsid w:val="0094666F"/>
    <w:rsid w:val="009915DD"/>
    <w:rsid w:val="009A4162"/>
    <w:rsid w:val="009B47E5"/>
    <w:rsid w:val="009D54A6"/>
    <w:rsid w:val="009E4C4E"/>
    <w:rsid w:val="009E7AD9"/>
    <w:rsid w:val="009F5083"/>
    <w:rsid w:val="009F55EA"/>
    <w:rsid w:val="00A33B09"/>
    <w:rsid w:val="00A45926"/>
    <w:rsid w:val="00A63BDB"/>
    <w:rsid w:val="00A87FB0"/>
    <w:rsid w:val="00AA7D88"/>
    <w:rsid w:val="00AB1E20"/>
    <w:rsid w:val="00AB2540"/>
    <w:rsid w:val="00AB3EA7"/>
    <w:rsid w:val="00B24A96"/>
    <w:rsid w:val="00B37A07"/>
    <w:rsid w:val="00B61BA7"/>
    <w:rsid w:val="00B76A78"/>
    <w:rsid w:val="00B81D30"/>
    <w:rsid w:val="00BB307A"/>
    <w:rsid w:val="00BD02C3"/>
    <w:rsid w:val="00BD34CF"/>
    <w:rsid w:val="00BE1054"/>
    <w:rsid w:val="00C33434"/>
    <w:rsid w:val="00C42BD9"/>
    <w:rsid w:val="00C66DE6"/>
    <w:rsid w:val="00C74F22"/>
    <w:rsid w:val="00CB158E"/>
    <w:rsid w:val="00CC662F"/>
    <w:rsid w:val="00CC6730"/>
    <w:rsid w:val="00CD25E0"/>
    <w:rsid w:val="00CE5349"/>
    <w:rsid w:val="00CF16EE"/>
    <w:rsid w:val="00D1021A"/>
    <w:rsid w:val="00D25B0A"/>
    <w:rsid w:val="00D8214F"/>
    <w:rsid w:val="00DA032C"/>
    <w:rsid w:val="00DA14FB"/>
    <w:rsid w:val="00DA67D6"/>
    <w:rsid w:val="00DB1E47"/>
    <w:rsid w:val="00DC7727"/>
    <w:rsid w:val="00DD1DA8"/>
    <w:rsid w:val="00DD480D"/>
    <w:rsid w:val="00DF74F0"/>
    <w:rsid w:val="00E114BC"/>
    <w:rsid w:val="00EC401F"/>
    <w:rsid w:val="00ED1601"/>
    <w:rsid w:val="00EE1CD1"/>
    <w:rsid w:val="00EE79E0"/>
    <w:rsid w:val="00F032EE"/>
    <w:rsid w:val="00F03A29"/>
    <w:rsid w:val="00F05AB2"/>
    <w:rsid w:val="00F22E87"/>
    <w:rsid w:val="00F335B2"/>
    <w:rsid w:val="00F452C6"/>
    <w:rsid w:val="00F81900"/>
    <w:rsid w:val="00F857A1"/>
    <w:rsid w:val="00FA4CD8"/>
    <w:rsid w:val="00FB5B0C"/>
    <w:rsid w:val="00FD1F0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B8C99"/>
  <w15:chartTrackingRefBased/>
  <w15:docId w15:val="{E7429305-94F2-4A62-8EA0-08C07A9A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unhideWhenUsed/>
    <w:rsid w:val="007470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470A8"/>
  </w:style>
  <w:style w:type="character" w:styleId="FootnoteReference">
    <w:name w:val="footnote reference"/>
    <w:basedOn w:val="DefaultParagraphFont"/>
    <w:unhideWhenUsed/>
    <w:rsid w:val="007470A8"/>
    <w:rPr>
      <w:vertAlign w:val="superscript"/>
    </w:rPr>
  </w:style>
  <w:style w:type="paragraph" w:styleId="Footer">
    <w:name w:val="footer"/>
    <w:basedOn w:val="Normal"/>
    <w:link w:val="FooterChar"/>
    <w:semiHidden/>
    <w:rsid w:val="00CD25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D25E0"/>
    <w:rPr>
      <w:sz w:val="24"/>
    </w:rPr>
  </w:style>
  <w:style w:type="paragraph" w:styleId="Revision">
    <w:name w:val="Revision"/>
    <w:hidden/>
    <w:uiPriority w:val="99"/>
    <w:semiHidden/>
    <w:rsid w:val="00B61BA7"/>
    <w:rPr>
      <w:sz w:val="24"/>
    </w:rPr>
  </w:style>
  <w:style w:type="character" w:styleId="CommentReference">
    <w:name w:val="annotation reference"/>
    <w:basedOn w:val="DefaultParagraphFont"/>
    <w:rsid w:val="00414A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4A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4AA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4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4AA0"/>
    <w:rPr>
      <w:b/>
      <w:bCs/>
    </w:rPr>
  </w:style>
  <w:style w:type="character" w:styleId="Hyperlink">
    <w:name w:val="Hyperlink"/>
    <w:basedOn w:val="DefaultParagraphFont"/>
    <w:rsid w:val="00414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24A96"/>
    <w:rPr>
      <w:color w:val="954F72" w:themeColor="followedHyperlink"/>
      <w:u w:val="single"/>
    </w:rPr>
  </w:style>
  <w:style w:type="paragraph" w:customStyle="1" w:styleId="CoverReference">
    <w:name w:val="CoverReference"/>
    <w:basedOn w:val="Normal"/>
    <w:rsid w:val="001D549A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687</Words>
  <Characters>3992</Characters>
  <Application>Microsoft Office Word</Application>
  <DocSecurity>0</DocSecurity>
  <Lines>102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subject/>
  <dc:creator>ZAHARIE Ana Maria</dc:creator>
  <cp:keywords/>
  <dc:description/>
  <cp:lastModifiedBy>NETTREUS Anna</cp:lastModifiedBy>
  <cp:revision>2</cp:revision>
  <cp:lastPrinted>2026-04-14T09:48:00Z</cp:lastPrinted>
  <dcterms:created xsi:type="dcterms:W3CDTF">2026-05-13T07:42:00Z</dcterms:created>
  <dcterms:modified xsi:type="dcterms:W3CDTF">2026-05-13T07:42:00Z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1343292</vt:lpwstr>
  </property>
  <property fmtid="{D5CDD505-2E9C-101B-9397-08002B2CF9AE}" pid="6" name="&lt;Type&gt;">
    <vt:lpwstr>RR</vt:lpwstr>
  </property>
  <property fmtid="{D5CDD505-2E9C-101B-9397-08002B2CF9AE}" pid="7" name="&lt;ModelCod&gt;">
    <vt:lpwstr>\\eiciLUXpr1\pdocep$\DocEP\DOCS\General\PR\PR_NonLeg\IMM\PR_IMM_Waiver.dotx(26/05/2023 17:52:03)</vt:lpwstr>
  </property>
  <property fmtid="{D5CDD505-2E9C-101B-9397-08002B2CF9AE}" pid="8" name="&lt;ModelTra&gt;">
    <vt:lpwstr>\\eiciLUXpr1\pdocep$\DocEP\TRANSFIL\EN\PR_IMM_Waiver.EN(05/08/2025 16:25:00)</vt:lpwstr>
  </property>
  <property fmtid="{D5CDD505-2E9C-101B-9397-08002B2CF9AE}" pid="9" name="&lt;Model&gt;">
    <vt:lpwstr>PR_IMM_Waiver</vt:lpwstr>
  </property>
  <property fmtid="{D5CDD505-2E9C-101B-9397-08002B2CF9AE}" pid="10" name="FooterPath">
    <vt:lpwstr>RR\1343292SV.docx</vt:lpwstr>
  </property>
  <property fmtid="{D5CDD505-2E9C-101B-9397-08002B2CF9AE}" pid="11" name="PE number">
    <vt:lpwstr>786.974</vt:lpwstr>
  </property>
  <property fmtid="{D5CDD505-2E9C-101B-9397-08002B2CF9AE}" pid="12" name="RegistreCheck">
    <vt:lpwstr>OK</vt:lpwstr>
  </property>
  <property fmtid="{D5CDD505-2E9C-101B-9397-08002B2CF9AE}" pid="13" name="SendToEpades">
    <vt:lpwstr/>
  </property>
  <property fmtid="{D5CDD505-2E9C-101B-9397-08002B2CF9AE}" pid="14" name="Bookout">
    <vt:lpwstr>OK - 2026/05/13 09:40</vt:lpwstr>
  </property>
  <property fmtid="{D5CDD505-2E9C-101B-9397-08002B2CF9AE}" pid="15" name="OriLang">
    <vt:lpwstr>EN</vt:lpwstr>
  </property>
  <property fmtid="{D5CDD505-2E9C-101B-9397-08002B2CF9AE}" pid="16" name="SDLStudio">
    <vt:lpwstr/>
  </property>
</Properties>
</file>