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96B4F" w:rsidRPr="0062118D" w14:paraId="48E2B5E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36B833" w14:textId="77777777" w:rsidR="00E96B4F" w:rsidRPr="0062118D" w:rsidRDefault="00F1300A" w:rsidP="00C85D0F">
            <w:pPr>
              <w:pStyle w:val="EPName"/>
            </w:pPr>
            <w:r>
              <w:t>Parlament Europejski</w:t>
            </w:r>
          </w:p>
          <w:p w14:paraId="3D454D4D" w14:textId="63DEEE26" w:rsidR="00E96B4F" w:rsidRPr="0062118D" w:rsidRDefault="005216AD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6B35578" w14:textId="77777777" w:rsidR="00E96B4F" w:rsidRPr="0062118D" w:rsidRDefault="00E96B4F" w:rsidP="00C85D0F">
            <w:pPr>
              <w:pStyle w:val="EPLogo"/>
            </w:pPr>
            <w:r w:rsidRPr="0062118D">
              <w:rPr>
                <w:noProof/>
                <w:lang w:eastAsia="ja-JP"/>
              </w:rPr>
              <w:drawing>
                <wp:inline distT="0" distB="0" distL="0" distR="0" wp14:anchorId="616DFAF9" wp14:editId="534203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972E7" w14:textId="77777777" w:rsidR="00D461B7" w:rsidRPr="0062118D" w:rsidRDefault="00D461B7" w:rsidP="00D461B7">
      <w:pPr>
        <w:pStyle w:val="LineTop"/>
      </w:pPr>
    </w:p>
    <w:p w14:paraId="3469D7CB" w14:textId="14B603F5" w:rsidR="00D461B7" w:rsidRPr="003E0AC3" w:rsidRDefault="00476C35" w:rsidP="00D461B7">
      <w:pPr>
        <w:pStyle w:val="EPBody"/>
      </w:pPr>
      <w:r>
        <w:t>Dokument z posiedzenia</w:t>
      </w:r>
    </w:p>
    <w:p w14:paraId="5B885259" w14:textId="77777777" w:rsidR="00D461B7" w:rsidRPr="000C32A3" w:rsidRDefault="00D461B7" w:rsidP="00D461B7">
      <w:pPr>
        <w:pStyle w:val="LineBottom"/>
      </w:pPr>
    </w:p>
    <w:p w14:paraId="17CC04BD" w14:textId="490FAB77" w:rsidR="004D2440" w:rsidRPr="003E0AC3" w:rsidRDefault="00476C35">
      <w:pPr>
        <w:pStyle w:val="CoverReference"/>
        <w:rPr>
          <w:noProof/>
        </w:rPr>
      </w:pPr>
      <w:r w:rsidRPr="000C32A3">
        <w:rPr>
          <w:rStyle w:val="HideTWBExt"/>
        </w:rPr>
        <w:t>&lt;NoDocSe&gt;</w:t>
      </w:r>
      <w:r>
        <w:t>A10-0178/2026</w:t>
      </w:r>
      <w:r w:rsidRPr="000C32A3">
        <w:rPr>
          <w:rStyle w:val="HideTWBExt"/>
        </w:rPr>
        <w:t>&lt;/NoDocSe&gt;</w:t>
      </w:r>
    </w:p>
    <w:p w14:paraId="08DE896D" w14:textId="6A56AD9E" w:rsidR="004D2440" w:rsidRPr="003E0AC3" w:rsidRDefault="004D2440">
      <w:pPr>
        <w:pStyle w:val="CoverDate"/>
        <w:rPr>
          <w:noProof/>
        </w:rPr>
      </w:pPr>
      <w:r w:rsidRPr="000C32A3">
        <w:rPr>
          <w:rStyle w:val="HideTWBExt"/>
        </w:rPr>
        <w:t>&lt;Date&gt;</w:t>
      </w:r>
      <w:r w:rsidRPr="000C32A3">
        <w:rPr>
          <w:rStyle w:val="HideTWBInt"/>
        </w:rPr>
        <w:t>{24/06/2026}</w:t>
      </w:r>
      <w:proofErr w:type="gramStart"/>
      <w:r>
        <w:t>24.6.2026</w:t>
      </w:r>
      <w:proofErr w:type="gramEnd"/>
      <w:r w:rsidRPr="000C32A3">
        <w:rPr>
          <w:rStyle w:val="HideTWBExt"/>
        </w:rPr>
        <w:t>&lt;/Date&gt;</w:t>
      </w:r>
    </w:p>
    <w:p w14:paraId="5C4AC801" w14:textId="08BAD890" w:rsidR="004D2440" w:rsidRPr="003E0AC3" w:rsidRDefault="004D2440">
      <w:pPr>
        <w:pStyle w:val="CoverDocType24a"/>
        <w:rPr>
          <w:noProof/>
        </w:rPr>
      </w:pPr>
      <w:r w:rsidRPr="000C32A3">
        <w:rPr>
          <w:rStyle w:val="HideTWBExt"/>
          <w:b w:val="0"/>
        </w:rPr>
        <w:t>&lt;TitreType&gt;</w:t>
      </w:r>
      <w:r>
        <w:t>SPRAWOZDANIE</w:t>
      </w:r>
      <w:r w:rsidRPr="000C32A3">
        <w:rPr>
          <w:rStyle w:val="HideTWBExt"/>
          <w:b w:val="0"/>
        </w:rPr>
        <w:t>&lt;/TitreType&gt;</w:t>
      </w:r>
    </w:p>
    <w:p w14:paraId="3BE7AB0D" w14:textId="027A0513" w:rsidR="004D2440" w:rsidRPr="003E0AC3" w:rsidRDefault="004D2440">
      <w:pPr>
        <w:pStyle w:val="CoverNormal"/>
        <w:rPr>
          <w:noProof/>
        </w:rPr>
      </w:pPr>
      <w:r w:rsidRPr="000C32A3">
        <w:rPr>
          <w:rStyle w:val="HideTWBExt"/>
        </w:rPr>
        <w:t>&lt;Titre&gt;</w:t>
      </w:r>
      <w:r>
        <w:t>w sprawie wniosku dotyczącego decyzji Parlamentu Europejskiego i Rady w sprawie uruchomienia Funduszu Solidarności Unii Europejskiej w celu udzielenia pomocy Rumunii w związku z powodziami pod koniec maja 2025 r., Cyprowi – w następstwie pożarów roślinności w lipcu 2025 r. i Hiszpanii – w następstwie pożarów roślinności w sierpniu 2025 r.</w:t>
      </w:r>
      <w:r w:rsidRPr="000C32A3">
        <w:rPr>
          <w:rStyle w:val="HideTWBExt"/>
        </w:rPr>
        <w:t>&lt;/Titre&gt;</w:t>
      </w:r>
    </w:p>
    <w:p w14:paraId="4199DFA6" w14:textId="0C17147D" w:rsidR="004D2440" w:rsidRPr="003E0AC3" w:rsidRDefault="004D2440">
      <w:pPr>
        <w:pStyle w:val="CoverNormal24a"/>
        <w:rPr>
          <w:noProof/>
        </w:rPr>
      </w:pPr>
      <w:r w:rsidRPr="000C32A3">
        <w:rPr>
          <w:rStyle w:val="HideTWBExt"/>
        </w:rPr>
        <w:t>&lt;DocRef&gt;</w:t>
      </w:r>
      <w:r>
        <w:t>(</w:t>
      </w:r>
      <w:proofErr w:type="gramStart"/>
      <w:r>
        <w:t>COM(</w:t>
      </w:r>
      <w:proofErr w:type="gramEnd"/>
      <w:r>
        <w:t>2026)1002 – C10</w:t>
      </w:r>
      <w:r>
        <w:noBreakHyphen/>
        <w:t>0119/2026 – 2026/0120(BUD))</w:t>
      </w:r>
      <w:r w:rsidRPr="000C32A3">
        <w:rPr>
          <w:rStyle w:val="HideTWBExt"/>
        </w:rPr>
        <w:t>&lt;/DocRef&gt;</w:t>
      </w:r>
    </w:p>
    <w:p w14:paraId="4725B98C" w14:textId="77777777" w:rsidR="004D2440" w:rsidRPr="003E0AC3" w:rsidRDefault="004D2440">
      <w:pPr>
        <w:pStyle w:val="CoverNormal24a"/>
        <w:rPr>
          <w:noProof/>
        </w:rPr>
      </w:pPr>
      <w:r w:rsidRPr="000C32A3">
        <w:rPr>
          <w:rStyle w:val="HideTWBExt"/>
        </w:rPr>
        <w:t>&lt;Commission&gt;</w:t>
      </w:r>
      <w:r w:rsidRPr="000C32A3">
        <w:rPr>
          <w:rStyle w:val="HideTWBInt"/>
        </w:rPr>
        <w:t>{BUDG}</w:t>
      </w:r>
      <w:r>
        <w:t>Komisja Budżetowa</w:t>
      </w:r>
      <w:r w:rsidRPr="000C32A3">
        <w:rPr>
          <w:rStyle w:val="HideTWBExt"/>
        </w:rPr>
        <w:t>&lt;/Commission&gt;</w:t>
      </w:r>
    </w:p>
    <w:p w14:paraId="0D4C0C53" w14:textId="58B7ED07" w:rsidR="004D2440" w:rsidRPr="003E0AC3" w:rsidRDefault="00F1300A">
      <w:pPr>
        <w:pStyle w:val="CoverNormal24a"/>
        <w:rPr>
          <w:noProof/>
        </w:rPr>
      </w:pPr>
      <w:r>
        <w:t xml:space="preserve">Sprawozdawca: </w:t>
      </w:r>
      <w:r w:rsidRPr="000C32A3">
        <w:rPr>
          <w:rStyle w:val="HideTWBExt"/>
        </w:rPr>
        <w:t>&lt;Depute&gt;</w:t>
      </w:r>
      <w:r>
        <w:t>Bogdan Rzońca</w:t>
      </w:r>
      <w:r w:rsidRPr="000C32A3">
        <w:rPr>
          <w:rStyle w:val="HideTWBExt"/>
        </w:rPr>
        <w:t>&lt;/Depute&gt;</w:t>
      </w:r>
    </w:p>
    <w:p w14:paraId="3981852C" w14:textId="77777777" w:rsidR="0058028A" w:rsidRPr="000C32A3" w:rsidRDefault="0058028A" w:rsidP="0058028A">
      <w:pPr>
        <w:pStyle w:val="CoverNormal"/>
        <w:rPr>
          <w:noProof/>
        </w:rPr>
      </w:pPr>
    </w:p>
    <w:p w14:paraId="38DECB97" w14:textId="77777777" w:rsidR="004D2440" w:rsidRPr="003E0AC3" w:rsidRDefault="004D2440" w:rsidP="00300158">
      <w:pPr>
        <w:widowControl/>
        <w:tabs>
          <w:tab w:val="center" w:pos="4677"/>
        </w:tabs>
        <w:rPr>
          <w:noProof/>
        </w:rPr>
      </w:pPr>
      <w:r>
        <w:br w:type="page"/>
      </w:r>
      <w:proofErr w:type="spellStart"/>
      <w:r>
        <w:lastRenderedPageBreak/>
        <w:t>PR_BUD_Funds</w:t>
      </w:r>
      <w:proofErr w:type="spellEnd"/>
    </w:p>
    <w:p w14:paraId="56353B31" w14:textId="77777777" w:rsidR="004D2440" w:rsidRPr="000C32A3" w:rsidRDefault="00F1300A">
      <w:pPr>
        <w:pStyle w:val="TOCHeading"/>
        <w:rPr>
          <w:noProof/>
          <w:lang w:val="en-GB"/>
        </w:rPr>
      </w:pPr>
      <w:r w:rsidRPr="000C32A3">
        <w:rPr>
          <w:lang w:val="en-GB"/>
        </w:rPr>
        <w:t>SPIS TREŚCI</w:t>
      </w:r>
    </w:p>
    <w:p w14:paraId="532CB0C0" w14:textId="77777777" w:rsidR="004D2440" w:rsidRPr="000C32A3" w:rsidRDefault="00F1300A">
      <w:pPr>
        <w:pStyle w:val="TOCPage"/>
        <w:rPr>
          <w:noProof/>
          <w:lang w:val="en-GB"/>
        </w:rPr>
      </w:pPr>
      <w:r w:rsidRPr="000C32A3">
        <w:rPr>
          <w:lang w:val="en-GB"/>
        </w:rPr>
        <w:t>Strona</w:t>
      </w:r>
    </w:p>
    <w:p w14:paraId="0F89BE5A" w14:textId="4F50CAD5" w:rsidR="000C32A3" w:rsidRPr="000C32A3" w:rsidRDefault="004D244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62118D">
        <w:fldChar w:fldCharType="begin"/>
      </w:r>
      <w:r w:rsidRPr="000C32A3">
        <w:instrText xml:space="preserve"> TOC \t "PageHeading</w:instrText>
      </w:r>
      <w:r w:rsidR="000C32A3" w:rsidRPr="000C32A3">
        <w:instrText>;</w:instrText>
      </w:r>
      <w:r w:rsidRPr="000C32A3">
        <w:instrText xml:space="preserve">1" </w:instrText>
      </w:r>
      <w:r w:rsidRPr="0062118D">
        <w:fldChar w:fldCharType="separate"/>
      </w:r>
      <w:r w:rsidR="000C32A3">
        <w:rPr>
          <w:noProof/>
        </w:rPr>
        <w:t>PROJEKT REZOLUCJI PARLAMENTU EUROPEJSKIEGO</w:t>
      </w:r>
      <w:r w:rsidR="000C32A3">
        <w:rPr>
          <w:noProof/>
        </w:rPr>
        <w:tab/>
      </w:r>
      <w:r w:rsidR="000C32A3">
        <w:rPr>
          <w:noProof/>
        </w:rPr>
        <w:fldChar w:fldCharType="begin"/>
      </w:r>
      <w:r w:rsidR="000C32A3">
        <w:rPr>
          <w:noProof/>
        </w:rPr>
        <w:instrText xml:space="preserve"> PAGEREF _Toc233883355 \h </w:instrText>
      </w:r>
      <w:r w:rsidR="000C32A3">
        <w:rPr>
          <w:noProof/>
        </w:rPr>
      </w:r>
      <w:r w:rsidR="000C32A3">
        <w:rPr>
          <w:noProof/>
        </w:rPr>
        <w:fldChar w:fldCharType="separate"/>
      </w:r>
      <w:r w:rsidR="000C32A3">
        <w:rPr>
          <w:noProof/>
        </w:rPr>
        <w:t>3</w:t>
      </w:r>
      <w:r w:rsidR="000C32A3">
        <w:rPr>
          <w:noProof/>
        </w:rPr>
        <w:fldChar w:fldCharType="end"/>
      </w:r>
    </w:p>
    <w:p w14:paraId="325842C3" w14:textId="404FD62E" w:rsidR="000C32A3" w:rsidRPr="000C32A3" w:rsidRDefault="000C32A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_Toc233883356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7F05F1ED" w14:textId="783D89C1" w:rsidR="000C32A3" w:rsidRPr="000C32A3" w:rsidRDefault="000C32A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ZAŁĄCZNIK: WYKAZ PODMIOTÓW,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_Toc233883357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221F0F0E" w14:textId="3FE28166" w:rsidR="000C32A3" w:rsidRPr="000C32A3" w:rsidRDefault="000C32A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INFORMACJE O PRZYJĘCIU PRZEZ KOMISJĘ PRZEDMIOTOWO WŁAŚCIWĄ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_Toc233883358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1C914C9A" w14:textId="3FD02529" w:rsidR="000C32A3" w:rsidRPr="000C32A3" w:rsidRDefault="000C32A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GŁOSOWANIE KOŃCOWE W FORMIE GŁOSOWANIA IMIENNEGO W KOMISJI PRZEDMIOTOWO WŁAŚCIWEJ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_Toc233883359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14:paraId="2FCFDA66" w14:textId="0D34727C" w:rsidR="004D2440" w:rsidRPr="003E0AC3" w:rsidRDefault="004D2440" w:rsidP="006E4E08">
      <w:r w:rsidRPr="0062118D">
        <w:fldChar w:fldCharType="end"/>
      </w:r>
    </w:p>
    <w:p w14:paraId="53FA50EC" w14:textId="77777777" w:rsidR="004D2440" w:rsidRPr="003E0AC3" w:rsidRDefault="004D2440">
      <w:pPr>
        <w:pStyle w:val="PageHeading"/>
        <w:rPr>
          <w:noProof/>
        </w:rPr>
      </w:pPr>
      <w:r>
        <w:br w:type="page"/>
      </w:r>
      <w:bookmarkStart w:id="0" w:name="_Toc233883355"/>
      <w:r>
        <w:lastRenderedPageBreak/>
        <w:t>PROJEKT REZOLUCJI PARLAMENTU EUROPEJSKIEGO</w:t>
      </w:r>
      <w:bookmarkEnd w:id="0"/>
    </w:p>
    <w:p w14:paraId="16796DBC" w14:textId="77777777" w:rsidR="005216AD" w:rsidRPr="003E0AC3" w:rsidRDefault="005216AD" w:rsidP="006E4E08">
      <w:pPr>
        <w:pStyle w:val="NormalBold"/>
        <w:rPr>
          <w:noProof/>
        </w:rPr>
      </w:pPr>
      <w:r>
        <w:t>w sprawie wniosku dotyczącego decyzji Parlamentu Europejskiego i Rady w sprawie uruchomienia Funduszu Solidarności Unii Europejskiej w celu udzielenia pomocy Rumunii w związku z powodziami pod koniec maja 2025 r., Cyprowi – w następstwie pożarów roślinności w lipcu 2025 r. i Hiszpanii – w następstwie pożarów roślinności w sierpniu 2025 r.</w:t>
      </w:r>
    </w:p>
    <w:p w14:paraId="11555979" w14:textId="1E895B1F" w:rsidR="004D2440" w:rsidRPr="003E0AC3" w:rsidRDefault="00F1300A" w:rsidP="006E4E08">
      <w:pPr>
        <w:pStyle w:val="NormalBold"/>
        <w:rPr>
          <w:noProof/>
        </w:rPr>
      </w:pPr>
      <w:r>
        <w:t>(</w:t>
      </w:r>
      <w:proofErr w:type="gramStart"/>
      <w:r>
        <w:t>COM(</w:t>
      </w:r>
      <w:proofErr w:type="gramEnd"/>
      <w:r>
        <w:t>2026)1002 – C10</w:t>
      </w:r>
      <w:r>
        <w:noBreakHyphen/>
        <w:t>0119/2026 – 2026/0120(BUD))</w:t>
      </w:r>
    </w:p>
    <w:p w14:paraId="12563154" w14:textId="77777777" w:rsidR="004D2440" w:rsidRPr="003E0AC3" w:rsidRDefault="00F1300A" w:rsidP="006E4E08">
      <w:pPr>
        <w:pStyle w:val="EPComma"/>
        <w:rPr>
          <w:noProof/>
        </w:rPr>
      </w:pPr>
      <w:r>
        <w:rPr>
          <w:i/>
        </w:rPr>
        <w:t>Parlament Europejski</w:t>
      </w:r>
      <w:r>
        <w:t>,</w:t>
      </w:r>
    </w:p>
    <w:p w14:paraId="0FAF2A1A" w14:textId="67FA83EA" w:rsidR="004D2440" w:rsidRPr="003E0AC3" w:rsidRDefault="004D2440">
      <w:pPr>
        <w:pStyle w:val="NormalHanging12a"/>
        <w:rPr>
          <w:noProof/>
        </w:rPr>
      </w:pPr>
      <w:r>
        <w:t>–</w:t>
      </w:r>
      <w:r>
        <w:tab/>
        <w:t>uwzględniając wniosek Komisji przedłożony Parlamentowi Europejskiemu i Radzie (</w:t>
      </w:r>
      <w:proofErr w:type="gramStart"/>
      <w:r>
        <w:t>COM(</w:t>
      </w:r>
      <w:proofErr w:type="gramEnd"/>
      <w:r>
        <w:t>2026)1002 – C10</w:t>
      </w:r>
      <w:r>
        <w:noBreakHyphen/>
        <w:t>0119/2026),</w:t>
      </w:r>
    </w:p>
    <w:p w14:paraId="4DEEDEF7" w14:textId="4A5B1F78" w:rsidR="007F63FC" w:rsidRPr="003E0AC3" w:rsidRDefault="007F63FC" w:rsidP="007F63FC">
      <w:pPr>
        <w:pStyle w:val="NormalHanging12a"/>
        <w:rPr>
          <w:noProof/>
        </w:rPr>
      </w:pPr>
      <w:r>
        <w:t>–</w:t>
      </w:r>
      <w:r>
        <w:tab/>
        <w:t>uwzględniając rozporządzenie Rady (WE) nr 2012/2002 z dnia 11 listopada 2002 r. ustanawiające Fundusz Solidarności Unii Europejskiej</w:t>
      </w:r>
      <w:r w:rsidR="005216AD" w:rsidRPr="0062118D">
        <w:rPr>
          <w:rStyle w:val="FootnoteReference"/>
        </w:rPr>
        <w:footnoteReference w:id="1"/>
      </w:r>
      <w:r>
        <w:t>,</w:t>
      </w:r>
    </w:p>
    <w:p w14:paraId="5FEC9A6C" w14:textId="332C8E5A" w:rsidR="007F63FC" w:rsidRPr="003E0AC3" w:rsidRDefault="007F63FC" w:rsidP="007F63FC">
      <w:pPr>
        <w:pStyle w:val="NormalHanging12a"/>
        <w:rPr>
          <w:noProof/>
        </w:rPr>
      </w:pPr>
      <w:r>
        <w:t>–</w:t>
      </w:r>
      <w:r>
        <w:tab/>
        <w:t xml:space="preserve">uwzględniając rozporządzenie Rady (UE, </w:t>
      </w:r>
      <w:proofErr w:type="spellStart"/>
      <w:r>
        <w:t>Euratom</w:t>
      </w:r>
      <w:proofErr w:type="spellEnd"/>
      <w:r>
        <w:t>) 2020/2093 z dnia 17 grudnia 2020 r. określające wieloletnie ramy finansowe na lata 2021–2027</w:t>
      </w:r>
      <w:r w:rsidR="005216AD" w:rsidRPr="0062118D">
        <w:rPr>
          <w:rStyle w:val="FootnoteReference"/>
          <w:noProof/>
        </w:rPr>
        <w:footnoteReference w:id="2"/>
      </w:r>
      <w:r>
        <w:t>, w szczególności jego art. 9,</w:t>
      </w:r>
    </w:p>
    <w:p w14:paraId="1CFB7D75" w14:textId="77777777" w:rsidR="00F8610C" w:rsidRPr="003E0AC3" w:rsidRDefault="00155B2F" w:rsidP="00F8610C">
      <w:pPr>
        <w:pStyle w:val="NormalHanging12a"/>
        <w:rPr>
          <w:noProof/>
        </w:rPr>
      </w:pPr>
      <w:r>
        <w:t>–</w:t>
      </w:r>
      <w:r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</w:t>
      </w:r>
      <w:r w:rsidR="00F8610C" w:rsidRPr="0062118D">
        <w:rPr>
          <w:noProof/>
          <w:vertAlign w:val="superscript"/>
        </w:rPr>
        <w:footnoteReference w:id="3"/>
      </w:r>
      <w:r>
        <w:t xml:space="preserve">, w tym również harmonogramu wprowadzania nowych zasobów własnych, w szczególności jego pkt 10, </w:t>
      </w:r>
    </w:p>
    <w:p w14:paraId="52588F28" w14:textId="77777777" w:rsidR="00F8610C" w:rsidRPr="003E0AC3" w:rsidRDefault="00F8610C" w:rsidP="00F8610C">
      <w:pPr>
        <w:pStyle w:val="NormalHanging12a"/>
        <w:rPr>
          <w:noProof/>
        </w:rPr>
      </w:pPr>
      <w:r>
        <w:t>–</w:t>
      </w:r>
      <w:r>
        <w:tab/>
        <w:t>uwzględniając rozporządzenie Parlamentu Europejskiego i Rady (UE) 2021/1058 z dnia 24 czerwca 2021 r. w sprawie Europejskiego Funduszu Rozwoju Regionalnego i Funduszu Spójności</w:t>
      </w:r>
      <w:r w:rsidRPr="0062118D">
        <w:rPr>
          <w:noProof/>
          <w:vertAlign w:val="superscript"/>
        </w:rPr>
        <w:footnoteReference w:id="4"/>
      </w:r>
      <w:r>
        <w:t xml:space="preserve">, </w:t>
      </w:r>
    </w:p>
    <w:p w14:paraId="2A78DACF" w14:textId="77777777" w:rsidR="00F8610C" w:rsidRPr="003E0AC3" w:rsidRDefault="00F8610C" w:rsidP="00F8610C">
      <w:pPr>
        <w:pStyle w:val="NormalHanging12a"/>
        <w:rPr>
          <w:noProof/>
        </w:rPr>
      </w:pPr>
      <w:r>
        <w:t>–</w:t>
      </w:r>
      <w:r>
        <w:tab/>
        <w:t>uwzględniając rozporządzenie Parlamentu Europejskiego i Rady (UE) 2021/1057 z dnia 24 czerwca 2021 r. ustanawiające program Europejski Fundusz Społeczny Plus (ESF+)</w:t>
      </w:r>
      <w:r w:rsidRPr="0062118D">
        <w:rPr>
          <w:noProof/>
          <w:vertAlign w:val="superscript"/>
        </w:rPr>
        <w:footnoteReference w:id="5"/>
      </w:r>
      <w:r>
        <w:t xml:space="preserve">, </w:t>
      </w:r>
    </w:p>
    <w:p w14:paraId="4D4638CD" w14:textId="6C76198E" w:rsidR="00E911A1" w:rsidRPr="003E0AC3" w:rsidRDefault="00E911A1" w:rsidP="00F8610C">
      <w:pPr>
        <w:pStyle w:val="NormalHanging12a"/>
        <w:rPr>
          <w:noProof/>
        </w:rPr>
      </w:pPr>
      <w:r>
        <w:t>–</w:t>
      </w:r>
      <w:r>
        <w:tab/>
        <w:t xml:space="preserve">uwzględniając rozporządzenie Parlamentu Europejskiego i Rady (UE) 2021/2115 z dnia 2 grudnia 2021 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</w:t>
      </w:r>
      <w:r>
        <w:lastRenderedPageBreak/>
        <w:t>nr 1307/2013</w:t>
      </w:r>
      <w:r w:rsidRPr="0062118D">
        <w:rPr>
          <w:rStyle w:val="FootnoteReference"/>
          <w:noProof/>
        </w:rPr>
        <w:footnoteReference w:id="6"/>
      </w:r>
      <w:r>
        <w:t>,</w:t>
      </w:r>
    </w:p>
    <w:p w14:paraId="473E7E81" w14:textId="25C65F0E" w:rsidR="00E911A1" w:rsidRPr="003E0AC3" w:rsidRDefault="00E911A1" w:rsidP="00F8610C">
      <w:pPr>
        <w:pStyle w:val="NormalHanging12a"/>
        <w:rPr>
          <w:noProof/>
        </w:rPr>
      </w:pPr>
      <w:r>
        <w:t>–</w:t>
      </w:r>
      <w:r>
        <w:tab/>
        <w:t>uwzględniając swoją rezolucję z dnia 17 grudnia 2024 r. w sprawie wniosku dotyczącego rozporządzenia Parlamentu Europejskiego i Rady w sprawie RESTORE – regionalnego wsparcia na rzecz odbudowy w sytuacjach nadzwyczajnych, zmieniającego rozporządzenie (UE) 2021/1058 i rozporządzenia (UE) 2021/1057</w:t>
      </w:r>
      <w:r w:rsidRPr="0062118D">
        <w:rPr>
          <w:rStyle w:val="FootnoteReference"/>
          <w:noProof/>
        </w:rPr>
        <w:footnoteReference w:id="7"/>
      </w:r>
      <w:r>
        <w:t>, w szczególności załączoną do niej ocenę budżetową,</w:t>
      </w:r>
    </w:p>
    <w:p w14:paraId="4EED099E" w14:textId="4E52F669" w:rsidR="00E911A1" w:rsidRPr="003E0AC3" w:rsidRDefault="00E911A1" w:rsidP="00F8610C">
      <w:pPr>
        <w:pStyle w:val="NormalHanging12a"/>
        <w:rPr>
          <w:noProof/>
        </w:rPr>
      </w:pPr>
      <w:r>
        <w:t>–</w:t>
      </w:r>
      <w:r>
        <w:tab/>
        <w:t>uwzględniając sprawozdanie EEA nr 1/2024 – Europejska ocena ryzyka związanego z klimatem (EUCRA)</w:t>
      </w:r>
      <w:r w:rsidRPr="0062118D">
        <w:rPr>
          <w:rStyle w:val="FootnoteReference"/>
          <w:noProof/>
        </w:rPr>
        <w:footnoteReference w:id="8"/>
      </w:r>
      <w:r>
        <w:t>,</w:t>
      </w:r>
    </w:p>
    <w:p w14:paraId="68056335" w14:textId="4F5DEEB5" w:rsidR="00F8610C" w:rsidRPr="003E0AC3" w:rsidRDefault="00DD2CD6" w:rsidP="00DD2CD6">
      <w:pPr>
        <w:spacing w:after="240"/>
        <w:ind w:left="567" w:hanging="567"/>
        <w:rPr>
          <w:noProof/>
        </w:rPr>
      </w:pPr>
      <w:r>
        <w:t>A.</w:t>
      </w:r>
      <w:r>
        <w:tab/>
        <w:t xml:space="preserve">mając na uwadze, że w okresie od 26 maja do początku czerwca 2025 r. Rumunię dotknęły ulewne deszcze, które wywołały poważne powodzie w regionach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Muntenia</w:t>
      </w:r>
      <w:proofErr w:type="spellEnd"/>
      <w:r>
        <w:t xml:space="preserve"> i </w:t>
      </w:r>
      <w:proofErr w:type="spellStart"/>
      <w:r>
        <w:t>Nord</w:t>
      </w:r>
      <w:proofErr w:type="spellEnd"/>
      <w:r>
        <w:t xml:space="preserve"> Est, co spowodowało łączne bezpośrednie szkody szacowane przez Komisję na 573,59 mln EUR oraz wpłynęło na infrastrukturę krytyczną, usługi publiczne i tysiące gospodarstw domowych; mając na uwadze, że powodzie spowodowały rozległe szkody w kopalni soli w </w:t>
      </w:r>
      <w:proofErr w:type="spellStart"/>
      <w:r>
        <w:t>Praid</w:t>
      </w:r>
      <w:proofErr w:type="spellEnd"/>
      <w:r>
        <w:t xml:space="preserve"> i związanej z nią infrastrukturze hydrotechnicznej;</w:t>
      </w:r>
    </w:p>
    <w:p w14:paraId="0C67F501" w14:textId="619B71B0" w:rsidR="00F8610C" w:rsidRPr="003E0AC3" w:rsidRDefault="00DD2CD6" w:rsidP="00DD2CD6">
      <w:pPr>
        <w:spacing w:after="240"/>
        <w:ind w:left="567" w:hanging="567"/>
        <w:rPr>
          <w:noProof/>
        </w:rPr>
      </w:pPr>
      <w:r>
        <w:t>B.</w:t>
      </w:r>
      <w:r>
        <w:tab/>
        <w:t xml:space="preserve">mając na uwadze, że w lipcu 2025 r. Cypr ucierpiał w wyniku bezprecedensowych pożarów roślinności w regionach </w:t>
      </w:r>
      <w:proofErr w:type="spellStart"/>
      <w:r>
        <w:t>Limassol</w:t>
      </w:r>
      <w:proofErr w:type="spellEnd"/>
      <w:r>
        <w:t xml:space="preserve"> i Pafos w następstwie przedłużającej się suszy, ekstremalnych fal upałów i silnego wiatru, co spowodowało łączne bezpośrednie szkody szacowane przez Komisję na 252,68 mln EUR; mając na uwadze, że pożary roślinności dotknęły tysiące mieszkańców, zniszczyły blisko 900 prywatnych nieruchomości i spowodowały śmierć co najmniej dwóch osób;</w:t>
      </w:r>
    </w:p>
    <w:p w14:paraId="0B2EE2B6" w14:textId="23656846" w:rsidR="00F8610C" w:rsidRPr="003E0AC3" w:rsidRDefault="00DD2CD6" w:rsidP="00DD2CD6">
      <w:pPr>
        <w:spacing w:after="240"/>
        <w:ind w:left="567" w:hanging="567"/>
        <w:rPr>
          <w:noProof/>
        </w:rPr>
      </w:pPr>
      <w:r>
        <w:t>C.</w:t>
      </w:r>
      <w:r>
        <w:tab/>
        <w:t>mając na uwadze, że w sierpniu 2025 r. Hiszpania doświadczyła trzeciej fali poważnych pożarów roślinności, a łączne bezpośrednie szkody Komisja oszacowała na 4,32 mld EUR; mając na uwadze, że pożary dotknęły 16 wspólnot autonomicznych, doprowadziły do poważnych szkód środowiskowych, społecznych i gospodarczych oraz spowodowały śmierć co najmniej 8 osób;</w:t>
      </w:r>
    </w:p>
    <w:p w14:paraId="685EB53F" w14:textId="207A2FCE" w:rsidR="00B41EA9" w:rsidRPr="003E0AC3" w:rsidRDefault="00D31227" w:rsidP="00B41EA9">
      <w:pPr>
        <w:spacing w:after="240"/>
        <w:ind w:left="567" w:hanging="567"/>
        <w:rPr>
          <w:noProof/>
          <w:szCs w:val="24"/>
        </w:rPr>
      </w:pPr>
      <w:r>
        <w:t>D.</w:t>
      </w:r>
      <w:r>
        <w:tab/>
        <w:t>mając na uwadze, że coraz większa dotkliwość i częstotliwość powodzi i pożarów roślinności w państwach członkowskich odzwierciedla coraz szybsze skutki zmiany klimatu, co wymaga wzmożonych działań Unii w zakresie przystosowania się do zmiany klimatu, zapobiegania jej i odporności na nią;</w:t>
      </w:r>
    </w:p>
    <w:p w14:paraId="310FE877" w14:textId="77777777" w:rsidR="004E48F2" w:rsidRPr="003E0AC3" w:rsidRDefault="00DD2CD6" w:rsidP="004E48F2">
      <w:pPr>
        <w:spacing w:after="240"/>
        <w:ind w:left="567" w:hanging="567"/>
        <w:rPr>
          <w:noProof/>
        </w:rPr>
      </w:pPr>
      <w:bookmarkStart w:id="1" w:name="_Hlk230861495"/>
      <w:r>
        <w:t>1.</w:t>
      </w:r>
      <w:r>
        <w:tab/>
        <w:t>wyraża najgłębszą solidarność z wszystkimi ofiarami, ich rodzinami i wszystkimi innymi osobami dotkniętymi powodziami, które miały miejsce w Rumunii pod koniec maja i na początku czerwca 2025 r., oraz pożarami roślinności, które miały miejsce na Cyprze w lipcu 2025 r. i w Hiszpanii w sierpniu 2025 r., a także z władzami krajowymi, regionalnymi i lokalnymi zaangażowanymi w działania pomocowe;</w:t>
      </w:r>
    </w:p>
    <w:bookmarkEnd w:id="1"/>
    <w:p w14:paraId="271806A1" w14:textId="77777777" w:rsidR="004E48F2" w:rsidRPr="003E0AC3" w:rsidRDefault="00DD2CD6" w:rsidP="004E48F2">
      <w:pPr>
        <w:spacing w:after="240"/>
        <w:ind w:left="567" w:hanging="567"/>
        <w:rPr>
          <w:noProof/>
        </w:rPr>
      </w:pPr>
      <w:r>
        <w:t>2.</w:t>
      </w:r>
      <w:r>
        <w:tab/>
        <w:t xml:space="preserve">z zadowoleniem odnotowuje tę decyzję jako namacalną i widoczną formę solidarności Unii z obywatelami i regionami dotkniętymi powodziami i pożarami roślinności w </w:t>
      </w:r>
      <w:r>
        <w:lastRenderedPageBreak/>
        <w:t>Rumunii, na Cyprze i w Hiszpanii;</w:t>
      </w:r>
    </w:p>
    <w:p w14:paraId="20341525" w14:textId="77777777" w:rsidR="004F5F22" w:rsidRPr="003E0AC3" w:rsidRDefault="004F5F22" w:rsidP="004F5F22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t>3.</w:t>
      </w:r>
      <w:r>
        <w:tab/>
        <w:t>ponownie podkreśla, jak ważne jest informowanie społeczeństwa o wymiernych korzyściach płynących z Funduszu Solidarności Unii Europejskiej (FSUE), również z myślą o tym, aby nadal zwiększać wiedzę obywateli o narzędziach i programach Unii i o solidarności europejskiej w czasach kryzysu, zwłaszcza na dotkniętych obszarach;</w:t>
      </w:r>
    </w:p>
    <w:p w14:paraId="4F96094C" w14:textId="23E20892" w:rsidR="004F5F22" w:rsidRPr="003E0AC3" w:rsidRDefault="00D31227" w:rsidP="004F5F22">
      <w:pPr>
        <w:spacing w:after="240"/>
        <w:ind w:left="567" w:hanging="567"/>
        <w:rPr>
          <w:bCs/>
          <w:iCs/>
          <w:noProof/>
        </w:rPr>
      </w:pPr>
      <w:r>
        <w:t>4.</w:t>
      </w:r>
      <w:r>
        <w:tab/>
        <w:t>przypomina, że FSUE dysponuje ograniczonym budżetem i nie może być postrzegany jako jedyny instrument reagowania na poważne klęski żywiołowe; w związku z tym wzywa do oceny zdolności finansowej budżetu Unii; podkreśla potrzebę przyspieszenia i uproszczenia wszystkich procedur, aby zapewnić jak najszybsze dotarcie pomocy do dotkniętych obszarów;</w:t>
      </w:r>
    </w:p>
    <w:p w14:paraId="6A10B2AE" w14:textId="316F9AA3" w:rsidR="0063114B" w:rsidRPr="003E0AC3" w:rsidRDefault="00D31227" w:rsidP="0063114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t>5.</w:t>
      </w:r>
      <w:r>
        <w:tab/>
        <w:t>podkreśla rosnącą liczbę dotkliwych, niszczycielskich i śmiercionośnych klęsk żywiołowych w Europie oraz wzywa państwa członkowskie i Komisję do inwestowania w działania na rzecz łagodzenia zmiany klimatu i działania adaptacyjne, aby unikać ofiar śmiertelnych i strat gospodarczych; wzywa państwa członkowskie do uwzględnienia faktu, że zagrożenia klimatyczne w nieproporcjonalny sposób dotykają słabsze grupy społeczne ze względu na czynniki społeczno-gospodarcze; zauważa, że państwa członkowskie powinny priorytetowo traktować środki odbudowy w celu wsparcia ludności dotkniętej kryzysem, przede wszystkim społeczności znajdujących się w trudnej sytuacji, aby zapewnić dostęp do odpowiednich mieszkań i podstawowych usług podczas odbudowy;</w:t>
      </w:r>
      <w:r>
        <w:rPr>
          <w:b/>
          <w:i/>
        </w:rPr>
        <w:t xml:space="preserve"> </w:t>
      </w:r>
      <w:r>
        <w:t>wzywa do podjęcia wysiłków w celu zapewnienia szybkiego dotarcia pomocy z FSUE do ostatecznych odbiorców, w tym przedsiębiorstw, MŚP, rodzin i poszkodowanych obywateli, a także do odbudowy infrastruktury i naprawy szkód materialnych oraz do przeprowadzenia odpowiedniej oceny skutków i wprowadzenia odpowiednich mechanizmów kontroli;</w:t>
      </w:r>
      <w:r>
        <w:rPr>
          <w:b/>
          <w:i/>
        </w:rPr>
        <w:t xml:space="preserve"> </w:t>
      </w:r>
      <w:r>
        <w:t>podkreśla znaczenie odbudowy i wzmocnienia infrastruktury krytycznej, w tym sieci transportowych, energetycznych, zdrowotnych i komunikacyjnych oraz sieci gospodarki wodnej, aby zwiększyć odporność dotkniętych regionów i zmniejszyć ich podatności na przyszłe klęski żywiołowe;</w:t>
      </w:r>
    </w:p>
    <w:p w14:paraId="04E77416" w14:textId="6543BBB0" w:rsidR="0063114B" w:rsidRPr="003E0AC3" w:rsidRDefault="00D31227" w:rsidP="0063114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t>6.</w:t>
      </w:r>
      <w:r>
        <w:tab/>
        <w:t>podkreśla,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żywiołowym; podkreśla, że w sprawozdaniu EEA nr 1/2024 pt. „Europejska ocena ryzyka związanego z klimatem” zaznaczono, że należy podjąć działania w reakcji na zidentyfikowane w nim ryzyko; wzywa państwa członkowskie i Komisję do kontynuowania wysiłków na rzecz wzmocnienia odporności, zwiększenia gotowości i przyczynienia się do realizacji zobowiązań wynikających z porozumienia paryskiego, przy jednoczesnym zapewnieniu skutecznego zapobiegania klęskom żywiołowym, zarządzania ryzykiem i zdolności w zakresie ochrony ludności w całej Unii; podkreśla również potrzebę wdrożenia środków zapobiegawczych, nie tylko w celu ograniczenia przyszłych szkód, ale również w celu zapobieżenia zaostrzeniu warunków ryzyka w następstwie katastrof takich jak powodzie, pożary roślinności, osuwiska lub wysychanie jezior i rzek; podkreśla znaczenie odpowiedniej elastyczności między poszczególnymi programami;</w:t>
      </w:r>
      <w:bookmarkStart w:id="2" w:name="_Hlk233120310"/>
      <w:r>
        <w:t xml:space="preserve"> podkreśla, że każdej elastyczności między różnymi programami finansowania musi towarzyszyć ścisła kontrola budżetowa, aby uniknąć powielania lub marnotrawienia finansowania, </w:t>
      </w:r>
      <w:r>
        <w:lastRenderedPageBreak/>
        <w:t>oraz że musi ona być w pełni zgodna z zasadami efektywności budżetowej i ukierunkowanymi wskaźnikami wykonania;</w:t>
      </w:r>
      <w:bookmarkEnd w:id="2"/>
    </w:p>
    <w:p w14:paraId="33CB2F12" w14:textId="352C7D46" w:rsidR="004E48F2" w:rsidRPr="003E0AC3" w:rsidRDefault="00D31227" w:rsidP="004E48F2">
      <w:pPr>
        <w:spacing w:after="240"/>
        <w:ind w:left="567" w:hanging="567"/>
        <w:rPr>
          <w:noProof/>
        </w:rPr>
      </w:pPr>
      <w:r>
        <w:t>7.</w:t>
      </w:r>
      <w:r>
        <w:tab/>
        <w:t>przypomina, że RESTORE</w:t>
      </w:r>
      <w:r w:rsidR="004E48F2" w:rsidRPr="0062118D">
        <w:rPr>
          <w:rStyle w:val="FootnoteReference"/>
          <w:noProof/>
        </w:rPr>
        <w:footnoteReference w:id="9"/>
      </w:r>
      <w:r>
        <w:t xml:space="preserve"> i szczególne środki w ramach Europejskiego Funduszu Rolnego na rzecz Rozwoju Obszarów Wiejskich (EFRROW)</w:t>
      </w:r>
      <w:r w:rsidR="004E48F2" w:rsidRPr="0062118D">
        <w:rPr>
          <w:rStyle w:val="FootnoteReference"/>
          <w:noProof/>
        </w:rPr>
        <w:footnoteReference w:id="10"/>
      </w:r>
      <w:r>
        <w:t xml:space="preserve"> zapewniają dodatkową pomoc państwom członkowskim dotkniętym klęskami żywiołowymi dzięki dodatkowej elastyczności w wykorzystaniu funduszy; podkreśla, że państwa członkowskie powinny wykorzystać te możliwości;</w:t>
      </w:r>
    </w:p>
    <w:p w14:paraId="13A03256" w14:textId="06CEA3CD" w:rsidR="00B41EA9" w:rsidRPr="003E0AC3" w:rsidRDefault="00D31227" w:rsidP="00B41EA9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>
        <w:t>8.</w:t>
      </w:r>
      <w:r>
        <w:tab/>
        <w:t>przypomina, że potrzebna jest skuteczna synergia z innymi strategiami politycznymi i programami Unii, oraz podkreśla, że państwa członkowskie powinny jak najlepiej wykorzystywać możliwości finansowania, w szczególności w ramach Europejskiego Funduszu Rozwoju Regionalnego, Europejskiego Funduszu Społecznego Plus i programów rozwoju obszarów wiejskich; wzywa Komisję do pilnej oceny wszelkich uzasadnionych wniosków państw członkowskich o przekierowanie środków w ramach krajowych planów odbudowy i zwiększania odporności na pomoc w przypadku klęsk żywiołowych, zgodnie z zasadami określonymi w rozporządzeniu Parlamentu Europejskiego i Rady (UE) 2021/241</w:t>
      </w:r>
      <w:r w:rsidR="00B41EA9" w:rsidRPr="0062118D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>
        <w:t>; wzywa właściwe organy do zapewnienia odpowiedniej i niezbędnej koordynacji między szczeblem krajowym, regionalnym i lokalnym w celu zagwarantowania, że fundusze są rozdzielane w sposób przejrzysty, sprawiedliwy i wolny od arbitralności we wszystkich dotkniętych kryzysem miejscach;</w:t>
      </w:r>
    </w:p>
    <w:p w14:paraId="2D53F556" w14:textId="3163CCA5" w:rsidR="004E48F2" w:rsidRPr="003E0AC3" w:rsidRDefault="00D31227" w:rsidP="004E48F2">
      <w:pPr>
        <w:spacing w:after="240"/>
        <w:ind w:left="567" w:hanging="567"/>
        <w:rPr>
          <w:noProof/>
        </w:rPr>
      </w:pPr>
      <w:r>
        <w:t>9.</w:t>
      </w:r>
      <w:r>
        <w:tab/>
        <w:t>podkreśla, że pomoc z FSUE nie powinna być udzielana ze szkodą dla finansowania unijnego otrzymywanego przez państwa członkowskie w ramach innych strategii politycznych czy programów Unii; przypomina, że państwa członkowskie mogą przyznawać pomoc państwa zgodnie z obowiązującymi przepisami unijnymi, zwłaszcza przedsiębiorstwom rolnym, które poniosły szkody w wyniku klęsk żywiołowych;</w:t>
      </w:r>
    </w:p>
    <w:p w14:paraId="7C33A566" w14:textId="5CAEA9C9" w:rsidR="00B41EA9" w:rsidRPr="003E0AC3" w:rsidRDefault="00D31227" w:rsidP="00B41EA9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t>10.</w:t>
      </w:r>
      <w:r>
        <w:tab/>
        <w:t>przypomina o znaczeniu szybkiej i solidnej oceny szkód należycie uwzględniającej skutki gospodarcze i apeluje o wzmożenie wysiłków operacyjnych w celu skrócenia średniego czasu uruchamiania zaliczek przy jednoczesnym zapewnieniu ochrony budżetu Unii; podkreśla w związku z tym potrzebę pełnej przejrzystości, skutecznego monitorowania i kontroli ex post wykorzystania zasobów FSUE, aby zagwarantować, że fundusze unijne dotrą do dotkniętych regionów i społeczności; apeluje również, aby Komisja zbadała wszystkie możliwe sposoby na szybsze uruchamianie FSUE;</w:t>
      </w:r>
    </w:p>
    <w:p w14:paraId="6D941D2D" w14:textId="1626A8A6" w:rsidR="00B41EA9" w:rsidRPr="003E0AC3" w:rsidRDefault="00B41EA9" w:rsidP="00B41EA9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t>11.</w:t>
      </w:r>
      <w:r>
        <w:tab/>
        <w:t xml:space="preserve">podkreśla pilną potrzebę jak najszybszego uruchomienia natychmiastowej pomocy finansowej za pośrednictwem FSUE dla poszkodowanych obywateli, rodzin, przedsiębiorstw i społeczności lokalnych, by wsparcie mogło dotrzeć do Rumunii, na Cypr i do Hiszpanii w odpowiednim czasie; wzywa również Komisję do zbadania wszystkich możliwych sposobów na szybsze uruchamianie FSUE, w szczególności poprzez zmianę obecnych przepisów i przyznawanie wyższych zaliczek krajom składającym wnioski; podkreśla, jak ważne jest skrócenie czasu między złożeniem wniosku o pomoc z FSUE a podjęciem decyzji w sprawie finansowania; podkreśla </w:t>
      </w:r>
      <w:r>
        <w:lastRenderedPageBreak/>
        <w:t>potrzebę uproszczenia i przyspieszenia procedur wewnętrznych bez podważania równowagi instytucjonalnej, w szczególności praw Parlamentu Europejskiego jako jednego z organów władzy budżetowej;</w:t>
      </w:r>
    </w:p>
    <w:p w14:paraId="05E6E1E9" w14:textId="549C29E0" w:rsidR="00F8610C" w:rsidRPr="003E0AC3" w:rsidRDefault="00DD2CD6" w:rsidP="00DD2CD6">
      <w:pPr>
        <w:spacing w:after="240"/>
        <w:ind w:left="567" w:hanging="567"/>
        <w:rPr>
          <w:noProof/>
        </w:rPr>
      </w:pPr>
      <w:r>
        <w:t>12.</w:t>
      </w:r>
      <w:r>
        <w:tab/>
        <w:t>zatwierdza decyzję załączoną do niniejszej rezolucji;</w:t>
      </w:r>
    </w:p>
    <w:p w14:paraId="7FA6236B" w14:textId="05FF54B7" w:rsidR="00F8610C" w:rsidRPr="003E0AC3" w:rsidRDefault="00DD2CD6" w:rsidP="00DD2CD6">
      <w:pPr>
        <w:spacing w:after="240"/>
        <w:ind w:left="567" w:hanging="567"/>
        <w:rPr>
          <w:noProof/>
        </w:rPr>
      </w:pPr>
      <w:r>
        <w:t>13.</w:t>
      </w:r>
      <w:r>
        <w:tab/>
        <w:t xml:space="preserve">zobowiązuje swoją przewodniczącą do podpisania wraz z przewodniczącym Rady niniejszej decyzji i zapewnienia jej publikacji w </w:t>
      </w:r>
      <w:r>
        <w:rPr>
          <w:i/>
        </w:rPr>
        <w:t>Dzienniku Urzędowym Unii Europejskiej</w:t>
      </w:r>
      <w:r>
        <w:t>;</w:t>
      </w:r>
    </w:p>
    <w:p w14:paraId="3F3DCD0D" w14:textId="2F6197E5" w:rsidR="00F8610C" w:rsidRPr="003E0AC3" w:rsidRDefault="00DD2CD6" w:rsidP="00DD2CD6">
      <w:pPr>
        <w:spacing w:after="240"/>
        <w:ind w:left="567" w:hanging="567"/>
        <w:rPr>
          <w:noProof/>
        </w:rPr>
      </w:pPr>
      <w:r>
        <w:t>14.</w:t>
      </w:r>
      <w:r>
        <w:tab/>
        <w:t>zobowiązuje swoją przewodniczącą do przekazania niniejszej rezolucji wraz z załącznikiem Radzie i Komisji.</w:t>
      </w:r>
    </w:p>
    <w:p w14:paraId="65BE9689" w14:textId="77777777" w:rsidR="00F8610C" w:rsidRPr="000C32A3" w:rsidRDefault="00F8610C" w:rsidP="00F8610C">
      <w:pPr>
        <w:pStyle w:val="ListParagraph"/>
        <w:spacing w:after="240"/>
        <w:ind w:left="360" w:hanging="360"/>
        <w:jc w:val="left"/>
        <w:rPr>
          <w:rFonts w:eastAsia="Times New Roman"/>
          <w:noProof/>
        </w:rPr>
      </w:pPr>
    </w:p>
    <w:p w14:paraId="3A719C4D" w14:textId="77777777" w:rsidR="00616E75" w:rsidRPr="000C32A3" w:rsidRDefault="00616E75" w:rsidP="0052720D">
      <w:pPr>
        <w:rPr>
          <w:noProof/>
        </w:rPr>
      </w:pPr>
    </w:p>
    <w:p w14:paraId="3385F73C" w14:textId="77777777" w:rsidR="00616E75" w:rsidRPr="000C32A3" w:rsidRDefault="00616E75">
      <w:pPr>
        <w:pStyle w:val="PageHeading"/>
        <w:rPr>
          <w:noProof/>
        </w:rPr>
        <w:sectPr w:rsidR="00616E75" w:rsidRPr="000C32A3" w:rsidSect="003E0A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CC1A914" w14:textId="77777777" w:rsidR="000C32A3" w:rsidRDefault="00F1300A" w:rsidP="000C32A3">
      <w:pPr>
        <w:tabs>
          <w:tab w:val="left" w:pos="567"/>
          <w:tab w:val="left" w:pos="1134"/>
        </w:tabs>
        <w:jc w:val="center"/>
      </w:pPr>
      <w:r>
        <w:lastRenderedPageBreak/>
        <w:t xml:space="preserve">ZAŁĄCZNIK: </w:t>
      </w:r>
      <w:bookmarkStart w:id="3" w:name="3._Financing"/>
      <w:bookmarkEnd w:id="3"/>
    </w:p>
    <w:p w14:paraId="258BF634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jc w:val="center"/>
        <w:rPr>
          <w:rFonts w:eastAsia="Calibri"/>
          <w:b/>
          <w:noProof/>
          <w:szCs w:val="24"/>
        </w:rPr>
      </w:pPr>
      <w:r w:rsidRPr="000C32A3">
        <w:rPr>
          <w:b/>
        </w:rPr>
        <w:t>DECYZJA PARLAMENTU EUROPEJSKIEGO I RADY</w:t>
      </w:r>
    </w:p>
    <w:p w14:paraId="0570FC97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jc w:val="center"/>
        <w:rPr>
          <w:rFonts w:eastAsia="Calibri"/>
          <w:b/>
          <w:noProof/>
          <w:szCs w:val="24"/>
        </w:rPr>
      </w:pPr>
      <w:r w:rsidRPr="000C32A3">
        <w:rPr>
          <w:b/>
        </w:rPr>
        <w:t>w sprawie uruchomienia Funduszu Solidarności Unii Europejskiej w celu udzielenia pomocy Rumunii w związku z powodziami pod koniec maja 2025 r., Cyprowi w następstwie pożarów roślinności w lipcu 2025 r. i Hiszpanii w następstwie pożarów roślinności w sierpniu 2025 r.</w:t>
      </w:r>
    </w:p>
    <w:p w14:paraId="5A96DC35" w14:textId="77777777" w:rsidR="000C32A3" w:rsidRPr="000C32A3" w:rsidRDefault="000C32A3" w:rsidP="000C32A3">
      <w:pPr>
        <w:pStyle w:val="Institutionquiagit"/>
        <w:tabs>
          <w:tab w:val="left" w:pos="567"/>
          <w:tab w:val="left" w:pos="1134"/>
        </w:tabs>
        <w:spacing w:before="120"/>
        <w:rPr>
          <w:noProof/>
        </w:rPr>
      </w:pPr>
      <w:r w:rsidRPr="000C32A3">
        <w:t>PARLAMENT EUROPEJSKI I RADA UNII EUROPEJSKIEJ,</w:t>
      </w:r>
    </w:p>
    <w:p w14:paraId="688AD5A9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0C32A3">
        <w:t>uwzględniając Traktat o funkcjonowaniu Unii Europejskiej,</w:t>
      </w:r>
    </w:p>
    <w:p w14:paraId="3133B0A0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0C32A3">
        <w:t>uwzględniając rozporządzenie Rady (WE) nr 2012/2002 z dnia 11 listopada 2002 r. ustanawiające Fundusz Solidarności Unii Europejskiej</w:t>
      </w:r>
      <w:r w:rsidRPr="000C32A3">
        <w:rPr>
          <w:rStyle w:val="FootnoteReference"/>
          <w:noProof/>
        </w:rPr>
        <w:footnoteReference w:id="12"/>
      </w:r>
      <w:r w:rsidRPr="000C32A3">
        <w:t>, w szczególności jego art. 4 ust. 3,</w:t>
      </w:r>
    </w:p>
    <w:p w14:paraId="270BCA1C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0C32A3">
        <w:t xml:space="preserve">uwzględniając rozporządzenie Rady (UE, </w:t>
      </w:r>
      <w:proofErr w:type="spellStart"/>
      <w:r w:rsidRPr="000C32A3">
        <w:t>Euratom</w:t>
      </w:r>
      <w:proofErr w:type="spellEnd"/>
      <w:r w:rsidRPr="000C32A3">
        <w:t>) 2020/2093 z dnia 17 grudnia 2020 r. określające wieloletnie ramy finansowe na lata 2021–2027</w:t>
      </w:r>
      <w:r w:rsidRPr="000C32A3">
        <w:rPr>
          <w:rStyle w:val="FootnoteReference"/>
          <w:noProof/>
          <w:szCs w:val="24"/>
        </w:rPr>
        <w:footnoteReference w:id="13"/>
      </w:r>
      <w:r w:rsidRPr="000C32A3">
        <w:t>, w szczególności jego art. 9,</w:t>
      </w:r>
    </w:p>
    <w:p w14:paraId="0A5561CD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0C32A3">
        <w:t>uwzględniając Porozumienie międzyinstytucjonalne z dnia 16 grudnia 2020 r. między Parlamentem Europejskim, Radą Unii Europejskiej i Komisją Europejską w sprawie dyscypliny budżetowej, współpracy w kwestiach budżetowych i należytego zarządzania finansami oraz w sprawie nowych zasobów własnych, w tym również harmonogramu wprowadzania nowych zasobów własnych</w:t>
      </w:r>
      <w:r w:rsidRPr="000C32A3">
        <w:rPr>
          <w:b/>
          <w:bCs/>
          <w:noProof/>
          <w:vertAlign w:val="superscript"/>
        </w:rPr>
        <w:footnoteReference w:id="14"/>
      </w:r>
      <w:r w:rsidRPr="000C32A3">
        <w:t>, w szczególności jego pkt 10,</w:t>
      </w:r>
    </w:p>
    <w:p w14:paraId="0895AFD8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0C32A3">
        <w:t>uwzględniając wniosek Komisji Europejskiej,</w:t>
      </w:r>
    </w:p>
    <w:p w14:paraId="7187B80C" w14:textId="77777777" w:rsidR="000C32A3" w:rsidRPr="005F67E9" w:rsidRDefault="000C32A3" w:rsidP="000C32A3">
      <w:pPr>
        <w:tabs>
          <w:tab w:val="left" w:pos="567"/>
          <w:tab w:val="left" w:pos="1134"/>
        </w:tabs>
        <w:rPr>
          <w:noProof/>
        </w:rPr>
      </w:pPr>
      <w:r w:rsidRPr="005F67E9">
        <w:br w:type="page"/>
        <w:t>a także mając na uwadze, co następuje:</w:t>
      </w:r>
    </w:p>
    <w:p w14:paraId="7EACA89B" w14:textId="77777777" w:rsidR="000C32A3" w:rsidRPr="005F67E9" w:rsidRDefault="000C32A3" w:rsidP="000C32A3">
      <w:pPr>
        <w:pStyle w:val="Point0"/>
        <w:tabs>
          <w:tab w:val="left" w:pos="567"/>
          <w:tab w:val="left" w:pos="1134"/>
        </w:tabs>
        <w:ind w:left="567" w:hanging="567"/>
        <w:rPr>
          <w:noProof/>
        </w:rPr>
      </w:pPr>
      <w:r w:rsidRPr="005F67E9">
        <w:t>(1)</w:t>
      </w:r>
      <w:r w:rsidRPr="005F67E9">
        <w:tab/>
        <w:t>Fundusz Solidarności Unii Europejskiej (zwany dalej „funduszem”) ma na celu umożliwienie szybkiej, skutecznej</w:t>
      </w:r>
      <w:r>
        <w:t xml:space="preserve"> i </w:t>
      </w:r>
      <w:r w:rsidRPr="005F67E9">
        <w:t>elastycznej reakcji Unii</w:t>
      </w:r>
      <w:r>
        <w:t xml:space="preserve"> w </w:t>
      </w:r>
      <w:r w:rsidRPr="005F67E9">
        <w:t>sytuacjach nadzwyczajnych</w:t>
      </w:r>
      <w:r>
        <w:t xml:space="preserve"> w </w:t>
      </w:r>
      <w:r w:rsidRPr="005F67E9">
        <w:t>celu okazania solidarności</w:t>
      </w:r>
      <w:r>
        <w:t xml:space="preserve"> z </w:t>
      </w:r>
      <w:r w:rsidRPr="005F67E9">
        <w:t>ludnością regionów dotkniętych poważną lub regionalną klęską żywiołową lub poważnym stanem zagrożenia zdrowia publicznego.</w:t>
      </w:r>
    </w:p>
    <w:p w14:paraId="40CD3313" w14:textId="77777777" w:rsidR="000C32A3" w:rsidRPr="005F67E9" w:rsidRDefault="000C32A3" w:rsidP="000C32A3">
      <w:pPr>
        <w:pStyle w:val="Point0"/>
        <w:tabs>
          <w:tab w:val="left" w:pos="567"/>
          <w:tab w:val="left" w:pos="1134"/>
        </w:tabs>
        <w:ind w:left="567" w:hanging="567"/>
        <w:rPr>
          <w:noProof/>
        </w:rPr>
      </w:pPr>
      <w:r w:rsidRPr="005F67E9">
        <w:t>(2)</w:t>
      </w:r>
      <w:r w:rsidRPr="005F67E9">
        <w:tab/>
        <w:t>Środki funduszu nie mogą przekroczyć pułapów określonych</w:t>
      </w:r>
      <w:r>
        <w:t xml:space="preserve"> w art. </w:t>
      </w:r>
      <w:r w:rsidRPr="005F67E9">
        <w:t xml:space="preserve">9 rozporządzenia Rady (UE, </w:t>
      </w:r>
      <w:proofErr w:type="spellStart"/>
      <w:r w:rsidRPr="005F67E9">
        <w:t>Euratom</w:t>
      </w:r>
      <w:proofErr w:type="spellEnd"/>
      <w:r w:rsidRPr="005F67E9">
        <w:t xml:space="preserve">) 2020/2093, zmienionego rozporządzeniem (UE, </w:t>
      </w:r>
      <w:proofErr w:type="spellStart"/>
      <w:r w:rsidRPr="005F67E9">
        <w:t>Euratom</w:t>
      </w:r>
      <w:proofErr w:type="spellEnd"/>
      <w:r w:rsidRPr="005F67E9">
        <w:t>) 2024/765</w:t>
      </w:r>
      <w:r w:rsidRPr="005F67E9">
        <w:rPr>
          <w:b/>
          <w:bCs/>
          <w:noProof/>
          <w:vertAlign w:val="superscript"/>
        </w:rPr>
        <w:footnoteReference w:id="15"/>
      </w:r>
      <w:r w:rsidRPr="005F67E9">
        <w:t>.</w:t>
      </w:r>
    </w:p>
    <w:p w14:paraId="1B2D47FB" w14:textId="77777777" w:rsidR="000C32A3" w:rsidRPr="005F67E9" w:rsidRDefault="000C32A3" w:rsidP="000C32A3">
      <w:pPr>
        <w:spacing w:before="120" w:after="120" w:line="360" w:lineRule="auto"/>
        <w:ind w:left="567" w:hanging="567"/>
      </w:pPr>
      <w:r w:rsidRPr="005F67E9">
        <w:t>(3)</w:t>
      </w:r>
      <w:r w:rsidRPr="005F67E9">
        <w:tab/>
        <w:t>W dniu 14</w:t>
      </w:r>
      <w:r>
        <w:t> </w:t>
      </w:r>
      <w:r w:rsidRPr="005F67E9">
        <w:t>sierpnia</w:t>
      </w:r>
      <w:r>
        <w:t> </w:t>
      </w:r>
      <w:r w:rsidRPr="005F67E9">
        <w:t>2025</w:t>
      </w:r>
      <w:r>
        <w:t> </w:t>
      </w:r>
      <w:r w:rsidRPr="005F67E9">
        <w:t>r. Rumunia złożyła wniosek</w:t>
      </w:r>
      <w:r>
        <w:t xml:space="preserve"> o </w:t>
      </w:r>
      <w:r w:rsidRPr="005F67E9">
        <w:t>uruchomienie funduszu</w:t>
      </w:r>
      <w:r>
        <w:t xml:space="preserve"> w </w:t>
      </w:r>
      <w:r w:rsidRPr="005F67E9">
        <w:t>związku</w:t>
      </w:r>
      <w:r>
        <w:t xml:space="preserve"> z </w:t>
      </w:r>
      <w:r w:rsidRPr="005F67E9">
        <w:t>powodziami, do których doszło pod koniec maja</w:t>
      </w:r>
      <w:r>
        <w:t xml:space="preserve"> i </w:t>
      </w:r>
      <w:r w:rsidRPr="005F67E9">
        <w:t>na początku czerwca 2025</w:t>
      </w:r>
      <w:r>
        <w:t> </w:t>
      </w:r>
      <w:r w:rsidRPr="005F67E9">
        <w:t>r.</w:t>
      </w:r>
    </w:p>
    <w:p w14:paraId="332F2720" w14:textId="77777777" w:rsidR="000C32A3" w:rsidRPr="005F67E9" w:rsidRDefault="000C32A3" w:rsidP="000C32A3">
      <w:pPr>
        <w:spacing w:before="120" w:after="120" w:line="360" w:lineRule="auto"/>
        <w:ind w:left="567" w:hanging="567"/>
      </w:pPr>
      <w:r w:rsidRPr="005F67E9">
        <w:t>(4)</w:t>
      </w:r>
      <w:r w:rsidRPr="005F67E9">
        <w:tab/>
        <w:t>W dniu 14</w:t>
      </w:r>
      <w:r>
        <w:t> </w:t>
      </w:r>
      <w:r w:rsidRPr="005F67E9">
        <w:t>października</w:t>
      </w:r>
      <w:r>
        <w:t> </w:t>
      </w:r>
      <w:r w:rsidRPr="005F67E9">
        <w:t>2025</w:t>
      </w:r>
      <w:r>
        <w:t> </w:t>
      </w:r>
      <w:r w:rsidRPr="005F67E9">
        <w:t>r. Cypr złożył wniosek</w:t>
      </w:r>
      <w:r>
        <w:t xml:space="preserve"> o </w:t>
      </w:r>
      <w:r w:rsidRPr="005F67E9">
        <w:t>uruchomienie funduszu</w:t>
      </w:r>
      <w:r>
        <w:t xml:space="preserve"> w </w:t>
      </w:r>
      <w:r w:rsidRPr="005F67E9">
        <w:t>następstwie pożarów roślinności, do których doszło</w:t>
      </w:r>
      <w:r>
        <w:t xml:space="preserve"> w </w:t>
      </w:r>
      <w:r w:rsidRPr="005F67E9">
        <w:t>lipcu 2025</w:t>
      </w:r>
      <w:r>
        <w:t> </w:t>
      </w:r>
      <w:r w:rsidRPr="005F67E9">
        <w:t>r.</w:t>
      </w:r>
    </w:p>
    <w:p w14:paraId="32FCC048" w14:textId="77777777" w:rsidR="000C32A3" w:rsidRPr="005F67E9" w:rsidRDefault="000C32A3" w:rsidP="000C32A3">
      <w:pPr>
        <w:spacing w:before="120" w:after="120" w:line="360" w:lineRule="auto"/>
        <w:ind w:left="567" w:hanging="567"/>
      </w:pPr>
      <w:r w:rsidRPr="005F67E9">
        <w:t>(5)</w:t>
      </w:r>
      <w:r w:rsidRPr="005F67E9">
        <w:tab/>
        <w:t>W dniu 30</w:t>
      </w:r>
      <w:r>
        <w:t> </w:t>
      </w:r>
      <w:r w:rsidRPr="005F67E9">
        <w:t>października</w:t>
      </w:r>
      <w:r>
        <w:t> </w:t>
      </w:r>
      <w:r w:rsidRPr="005F67E9">
        <w:t>2025</w:t>
      </w:r>
      <w:r>
        <w:t> </w:t>
      </w:r>
      <w:r w:rsidRPr="005F67E9">
        <w:t>r. Hiszpania złożyła wniosek</w:t>
      </w:r>
      <w:r>
        <w:t xml:space="preserve"> o </w:t>
      </w:r>
      <w:r w:rsidRPr="005F67E9">
        <w:t>uruchomienie funduszu</w:t>
      </w:r>
      <w:r>
        <w:t xml:space="preserve"> w </w:t>
      </w:r>
      <w:r w:rsidRPr="005F67E9">
        <w:t>następstwie pożarów roślinności, do których doszło</w:t>
      </w:r>
      <w:r>
        <w:t xml:space="preserve"> w </w:t>
      </w:r>
      <w:r w:rsidRPr="005F67E9">
        <w:t>sierpniu 2025</w:t>
      </w:r>
      <w:r>
        <w:t> </w:t>
      </w:r>
      <w:r w:rsidRPr="005F67E9">
        <w:t>r.</w:t>
      </w:r>
    </w:p>
    <w:p w14:paraId="256952D7" w14:textId="77777777" w:rsidR="000C32A3" w:rsidRPr="005F67E9" w:rsidRDefault="000C32A3" w:rsidP="000C32A3">
      <w:pPr>
        <w:pStyle w:val="Point0"/>
        <w:ind w:left="567" w:hanging="567"/>
      </w:pPr>
      <w:r w:rsidRPr="005F67E9">
        <w:t>(6)</w:t>
      </w:r>
      <w:r w:rsidRPr="005F67E9">
        <w:tab/>
        <w:t>Wnioski te spełniają warunki przyznania wkładu finansowego</w:t>
      </w:r>
      <w:r>
        <w:t xml:space="preserve"> z </w:t>
      </w:r>
      <w:r w:rsidRPr="005F67E9">
        <w:t>funduszu zgodnie</w:t>
      </w:r>
      <w:r>
        <w:t xml:space="preserve"> z art. </w:t>
      </w:r>
      <w:r w:rsidRPr="005F67E9">
        <w:t>4</w:t>
      </w:r>
      <w:r>
        <w:t> </w:t>
      </w:r>
      <w:r w:rsidRPr="005F67E9">
        <w:t>rozporządzenia (WE)</w:t>
      </w:r>
      <w:r>
        <w:t xml:space="preserve"> nr </w:t>
      </w:r>
      <w:r w:rsidRPr="005F67E9">
        <w:t>2012/2002.</w:t>
      </w:r>
    </w:p>
    <w:p w14:paraId="549BBCEC" w14:textId="77777777" w:rsidR="000C32A3" w:rsidRPr="005F67E9" w:rsidRDefault="000C32A3" w:rsidP="000C32A3">
      <w:pPr>
        <w:pStyle w:val="Point0"/>
        <w:tabs>
          <w:tab w:val="left" w:pos="567"/>
        </w:tabs>
        <w:ind w:left="567" w:hanging="567"/>
      </w:pPr>
      <w:r w:rsidRPr="005F67E9">
        <w:t>(7)</w:t>
      </w:r>
      <w:r w:rsidRPr="005F67E9">
        <w:tab/>
        <w:t>W związku</w:t>
      </w:r>
      <w:r>
        <w:t xml:space="preserve"> z </w:t>
      </w:r>
      <w:r w:rsidRPr="005F67E9">
        <w:t>tym należy uruchomić fundusz, aby zapewnić wkład finansowy dla Rumunii, Cypru</w:t>
      </w:r>
      <w:r>
        <w:t xml:space="preserve"> i </w:t>
      </w:r>
      <w:r w:rsidRPr="005F67E9">
        <w:t>Hiszpanii.</w:t>
      </w:r>
    </w:p>
    <w:p w14:paraId="75AB9A20" w14:textId="77777777" w:rsidR="000C32A3" w:rsidRPr="005F67E9" w:rsidRDefault="000C32A3" w:rsidP="000C32A3">
      <w:pPr>
        <w:pStyle w:val="Point0"/>
        <w:tabs>
          <w:tab w:val="left" w:pos="567"/>
          <w:tab w:val="left" w:pos="1134"/>
        </w:tabs>
        <w:ind w:left="567" w:hanging="567"/>
        <w:rPr>
          <w:noProof/>
        </w:rPr>
      </w:pPr>
      <w:r w:rsidRPr="005F67E9">
        <w:t>(8)</w:t>
      </w:r>
      <w:r w:rsidRPr="005F67E9">
        <w:tab/>
        <w:t xml:space="preserve">W celu zapewnienia, aby pomoc finansowa Unii mogła zostać udostępniona jak najszybciej dotkniętym państwom </w:t>
      </w:r>
      <w:proofErr w:type="gramStart"/>
      <w:r w:rsidRPr="005F67E9">
        <w:t>członkowskim,</w:t>
      </w:r>
      <w:proofErr w:type="gramEnd"/>
      <w:r w:rsidRPr="005F67E9">
        <w:t xml:space="preserve"> oraz</w:t>
      </w:r>
      <w:r>
        <w:t xml:space="preserve"> w </w:t>
      </w:r>
      <w:r w:rsidRPr="005F67E9">
        <w:t>celu uniknięcia wszelkich opóźnień</w:t>
      </w:r>
      <w:r>
        <w:t xml:space="preserve"> w </w:t>
      </w:r>
      <w:r w:rsidRPr="005F67E9">
        <w:t>uruchomieniu Funduszu Solidarności Unii Europejskiej, niniejsza decyzja powinna wejść</w:t>
      </w:r>
      <w:r>
        <w:t xml:space="preserve"> w </w:t>
      </w:r>
      <w:r w:rsidRPr="005F67E9">
        <w:t>życie</w:t>
      </w:r>
      <w:r>
        <w:t xml:space="preserve"> w </w:t>
      </w:r>
      <w:r w:rsidRPr="005F67E9">
        <w:t>trybie pilnym</w:t>
      </w:r>
      <w:r>
        <w:t xml:space="preserve"> z </w:t>
      </w:r>
      <w:r w:rsidRPr="005F67E9">
        <w:t>dniem jej opublikowania</w:t>
      </w:r>
      <w:r>
        <w:t xml:space="preserve"> w </w:t>
      </w:r>
      <w:r w:rsidRPr="005F67E9">
        <w:rPr>
          <w:i/>
        </w:rPr>
        <w:t>Dzienniku Urzędowym Unii Europejskiej</w:t>
      </w:r>
      <w:r>
        <w:t xml:space="preserve"> i </w:t>
      </w:r>
      <w:r w:rsidRPr="005F67E9">
        <w:t>powinna być stosowana od dnia jej przyjęcia,</w:t>
      </w:r>
    </w:p>
    <w:p w14:paraId="5344A925" w14:textId="77777777" w:rsidR="000C32A3" w:rsidRPr="005F67E9" w:rsidRDefault="000C32A3" w:rsidP="000C32A3">
      <w:pPr>
        <w:pStyle w:val="Formuledadoption"/>
        <w:tabs>
          <w:tab w:val="left" w:pos="567"/>
          <w:tab w:val="left" w:pos="1134"/>
        </w:tabs>
        <w:rPr>
          <w:noProof/>
        </w:rPr>
      </w:pPr>
      <w:r w:rsidRPr="005F67E9">
        <w:t>PRZYJMUJĄ NINIEJSZĄ DECYZJĘ:</w:t>
      </w:r>
    </w:p>
    <w:p w14:paraId="0C19E376" w14:textId="77777777" w:rsidR="000C32A3" w:rsidRPr="000C32A3" w:rsidRDefault="000C32A3" w:rsidP="000C32A3">
      <w:pPr>
        <w:pStyle w:val="Titrearticle"/>
        <w:tabs>
          <w:tab w:val="left" w:pos="567"/>
          <w:tab w:val="left" w:pos="1134"/>
        </w:tabs>
        <w:spacing w:before="120"/>
        <w:rPr>
          <w:noProof/>
          <w:szCs w:val="24"/>
        </w:rPr>
      </w:pPr>
      <w:r w:rsidRPr="005F67E9">
        <w:br w:type="page"/>
      </w:r>
      <w:r w:rsidRPr="000C32A3">
        <w:rPr>
          <w:szCs w:val="24"/>
        </w:rPr>
        <w:t>Artykuł 1</w:t>
      </w:r>
    </w:p>
    <w:p w14:paraId="5837D260" w14:textId="77777777" w:rsidR="000C32A3" w:rsidRPr="000C32A3" w:rsidRDefault="000C32A3" w:rsidP="000C32A3">
      <w:pPr>
        <w:pStyle w:val="FootnoteText"/>
        <w:tabs>
          <w:tab w:val="left" w:pos="567"/>
          <w:tab w:val="left" w:pos="1134"/>
        </w:tabs>
        <w:spacing w:before="120" w:after="120" w:line="360" w:lineRule="auto"/>
        <w:rPr>
          <w:noProof/>
          <w:sz w:val="24"/>
          <w:szCs w:val="24"/>
        </w:rPr>
      </w:pPr>
      <w:r w:rsidRPr="000C32A3">
        <w:rPr>
          <w:sz w:val="24"/>
          <w:szCs w:val="24"/>
        </w:rPr>
        <w:t>W ramach budżetu ogólnego Unii na rok budżetowy 2026 uruchamia się następujące kwoty z Funduszu Solidarności Unii Europejskiej w środkach na zobowiązania i środkach na płatności w związku z klęskami żywiołowymi:</w:t>
      </w:r>
    </w:p>
    <w:p w14:paraId="708E82AA" w14:textId="77777777" w:rsidR="000C32A3" w:rsidRPr="000C32A3" w:rsidRDefault="000C32A3" w:rsidP="000C32A3">
      <w:pPr>
        <w:pStyle w:val="FootnoteText"/>
        <w:tabs>
          <w:tab w:val="left" w:pos="567"/>
          <w:tab w:val="left" w:pos="1134"/>
        </w:tabs>
        <w:spacing w:line="360" w:lineRule="auto"/>
        <w:ind w:left="567" w:hanging="567"/>
        <w:rPr>
          <w:noProof/>
          <w:sz w:val="24"/>
          <w:szCs w:val="24"/>
        </w:rPr>
      </w:pPr>
      <w:r w:rsidRPr="000C32A3">
        <w:rPr>
          <w:sz w:val="24"/>
          <w:szCs w:val="24"/>
        </w:rPr>
        <w:t>a)</w:t>
      </w:r>
      <w:r w:rsidRPr="000C32A3">
        <w:rPr>
          <w:sz w:val="24"/>
          <w:szCs w:val="24"/>
        </w:rPr>
        <w:tab/>
        <w:t>Rumunii przyznaje się kwotę 14 339 675 EUR w związku z powodziami, do których doszło pod koniec maja i na początku czerwca 2025 r.;</w:t>
      </w:r>
    </w:p>
    <w:p w14:paraId="2637B323" w14:textId="77777777" w:rsidR="000C32A3" w:rsidRPr="000C32A3" w:rsidRDefault="000C32A3" w:rsidP="000C32A3">
      <w:pPr>
        <w:pStyle w:val="FootnoteText"/>
        <w:tabs>
          <w:tab w:val="left" w:pos="567"/>
          <w:tab w:val="left" w:pos="1134"/>
        </w:tabs>
        <w:spacing w:line="360" w:lineRule="auto"/>
        <w:ind w:left="567" w:hanging="567"/>
        <w:rPr>
          <w:noProof/>
          <w:sz w:val="24"/>
          <w:szCs w:val="24"/>
        </w:rPr>
      </w:pPr>
      <w:r w:rsidRPr="000C32A3">
        <w:rPr>
          <w:sz w:val="24"/>
          <w:szCs w:val="24"/>
        </w:rPr>
        <w:t>b)</w:t>
      </w:r>
      <w:r w:rsidRPr="000C32A3">
        <w:rPr>
          <w:sz w:val="24"/>
          <w:szCs w:val="24"/>
        </w:rPr>
        <w:tab/>
        <w:t>Cyprowi przyznaje się kwotę 9 209 223 EUR w związku z pożarami roślinności, do których doszło w lipcu 2025 r.;</w:t>
      </w:r>
    </w:p>
    <w:p w14:paraId="41E01776" w14:textId="77777777" w:rsidR="000C32A3" w:rsidRPr="000C32A3" w:rsidRDefault="000C32A3" w:rsidP="000C32A3">
      <w:pPr>
        <w:pStyle w:val="FootnoteText"/>
        <w:tabs>
          <w:tab w:val="left" w:pos="567"/>
          <w:tab w:val="left" w:pos="1134"/>
        </w:tabs>
        <w:spacing w:line="360" w:lineRule="auto"/>
        <w:ind w:left="567" w:hanging="567"/>
        <w:rPr>
          <w:noProof/>
          <w:sz w:val="24"/>
          <w:szCs w:val="24"/>
        </w:rPr>
      </w:pPr>
      <w:r w:rsidRPr="000C32A3">
        <w:rPr>
          <w:sz w:val="24"/>
          <w:szCs w:val="24"/>
        </w:rPr>
        <w:t>c)</w:t>
      </w:r>
      <w:r w:rsidRPr="000C32A3">
        <w:rPr>
          <w:sz w:val="24"/>
          <w:szCs w:val="24"/>
        </w:rPr>
        <w:tab/>
        <w:t>Hiszpanii przyznaje się kwotę 120 550 858 EUR w związku z pożarami roślinności, do których doszło w sierpniu 2025 r.</w:t>
      </w:r>
    </w:p>
    <w:p w14:paraId="4CF0EA39" w14:textId="77777777" w:rsidR="000C32A3" w:rsidRPr="000C32A3" w:rsidRDefault="000C32A3" w:rsidP="000C32A3">
      <w:pPr>
        <w:keepNext/>
        <w:tabs>
          <w:tab w:val="left" w:pos="567"/>
          <w:tab w:val="left" w:pos="1134"/>
        </w:tabs>
        <w:jc w:val="center"/>
        <w:rPr>
          <w:rFonts w:eastAsia="Calibri"/>
          <w:i/>
          <w:noProof/>
          <w:szCs w:val="24"/>
        </w:rPr>
      </w:pPr>
      <w:r w:rsidRPr="000C32A3">
        <w:rPr>
          <w:i/>
          <w:szCs w:val="24"/>
        </w:rPr>
        <w:t>Artykuł 2</w:t>
      </w:r>
    </w:p>
    <w:p w14:paraId="51567D2C" w14:textId="77777777" w:rsidR="000C32A3" w:rsidRPr="000C32A3" w:rsidRDefault="000C32A3" w:rsidP="000C32A3">
      <w:pPr>
        <w:tabs>
          <w:tab w:val="left" w:pos="567"/>
          <w:tab w:val="left" w:pos="1134"/>
        </w:tabs>
        <w:spacing w:before="120" w:after="120" w:line="360" w:lineRule="auto"/>
        <w:rPr>
          <w:rFonts w:eastAsia="Calibri"/>
          <w:noProof/>
          <w:szCs w:val="24"/>
        </w:rPr>
      </w:pPr>
      <w:r w:rsidRPr="000C32A3">
        <w:rPr>
          <w:szCs w:val="24"/>
        </w:rPr>
        <w:t>Niniejsza decyzja wchodzi w życie z dniem jej opublikowania w </w:t>
      </w:r>
      <w:r w:rsidRPr="000C32A3">
        <w:rPr>
          <w:i/>
          <w:szCs w:val="24"/>
        </w:rPr>
        <w:t>Dzienniku Urzędowym Unii Europejskiej</w:t>
      </w:r>
      <w:r w:rsidRPr="000C32A3">
        <w:rPr>
          <w:szCs w:val="24"/>
        </w:rPr>
        <w:t>.</w:t>
      </w:r>
    </w:p>
    <w:p w14:paraId="7E0CF379" w14:textId="77777777" w:rsidR="000C32A3" w:rsidRPr="000C32A3" w:rsidRDefault="000C32A3" w:rsidP="000C32A3">
      <w:pPr>
        <w:spacing w:before="120" w:after="120" w:line="360" w:lineRule="auto"/>
        <w:jc w:val="both"/>
        <w:rPr>
          <w:rFonts w:eastAsia="Calibri"/>
          <w:i/>
          <w:noProof/>
          <w:szCs w:val="24"/>
        </w:rPr>
      </w:pPr>
      <w:r w:rsidRPr="000C32A3">
        <w:rPr>
          <w:szCs w:val="24"/>
        </w:rPr>
        <w:t xml:space="preserve">Stosuje się ją od </w:t>
      </w:r>
      <w:r w:rsidRPr="000C32A3">
        <w:rPr>
          <w:i/>
          <w:color w:val="FF0000"/>
          <w:szCs w:val="24"/>
        </w:rPr>
        <w:t>[dzień przyjęcia]</w:t>
      </w:r>
      <w:r w:rsidRPr="000C32A3">
        <w:rPr>
          <w:rStyle w:val="FootnoteReference"/>
          <w:rFonts w:eastAsia="Calibri"/>
          <w:i/>
          <w:noProof/>
          <w:color w:val="FF0000"/>
          <w:szCs w:val="24"/>
        </w:rPr>
        <w:footnoteReference w:customMarkFollows="1" w:id="16"/>
        <w:sym w:font="Symbol" w:char="F02A"/>
      </w:r>
      <w:r w:rsidRPr="000C32A3">
        <w:rPr>
          <w:szCs w:val="24"/>
        </w:rPr>
        <w:t>.</w:t>
      </w:r>
    </w:p>
    <w:p w14:paraId="51E557C6" w14:textId="77777777" w:rsidR="000C32A3" w:rsidRPr="000C32A3" w:rsidRDefault="000C32A3" w:rsidP="000C32A3">
      <w:pPr>
        <w:keepNext/>
        <w:spacing w:before="120" w:after="120" w:line="360" w:lineRule="auto"/>
        <w:jc w:val="both"/>
        <w:rPr>
          <w:rFonts w:eastAsia="Calibri"/>
          <w:noProof/>
          <w:szCs w:val="24"/>
        </w:rPr>
      </w:pPr>
      <w:r w:rsidRPr="000C32A3">
        <w:rPr>
          <w:szCs w:val="24"/>
        </w:rPr>
        <w:t>Sporządzono w Brukseli dnia […] r.</w:t>
      </w:r>
    </w:p>
    <w:p w14:paraId="666539A5" w14:textId="77777777" w:rsidR="000C32A3" w:rsidRPr="000C32A3" w:rsidRDefault="000C32A3" w:rsidP="000C32A3">
      <w:pPr>
        <w:keepNext/>
        <w:tabs>
          <w:tab w:val="center" w:pos="2268"/>
          <w:tab w:val="center" w:pos="7371"/>
        </w:tabs>
        <w:spacing w:before="120" w:after="120" w:line="360" w:lineRule="auto"/>
        <w:jc w:val="both"/>
        <w:rPr>
          <w:rFonts w:eastAsia="Calibri"/>
          <w:i/>
          <w:noProof/>
          <w:szCs w:val="24"/>
        </w:rPr>
      </w:pPr>
      <w:r w:rsidRPr="000C32A3">
        <w:rPr>
          <w:i/>
          <w:szCs w:val="24"/>
        </w:rPr>
        <w:tab/>
        <w:t>W imieniu Parlamentu Europejskiego</w:t>
      </w:r>
      <w:r w:rsidRPr="000C32A3">
        <w:rPr>
          <w:i/>
          <w:szCs w:val="24"/>
        </w:rPr>
        <w:tab/>
        <w:t>W imieniu Rady</w:t>
      </w:r>
    </w:p>
    <w:p w14:paraId="54614C4D" w14:textId="77777777" w:rsidR="000C32A3" w:rsidRPr="000C32A3" w:rsidRDefault="000C32A3" w:rsidP="000C32A3">
      <w:pPr>
        <w:tabs>
          <w:tab w:val="center" w:pos="2268"/>
          <w:tab w:val="center" w:pos="7371"/>
        </w:tabs>
        <w:spacing w:before="120" w:after="120" w:line="360" w:lineRule="auto"/>
        <w:rPr>
          <w:szCs w:val="24"/>
        </w:rPr>
      </w:pPr>
      <w:r w:rsidRPr="000C32A3">
        <w:rPr>
          <w:i/>
          <w:szCs w:val="24"/>
        </w:rPr>
        <w:tab/>
        <w:t>Przewodnicząca</w:t>
      </w:r>
      <w:r w:rsidRPr="000C32A3">
        <w:rPr>
          <w:i/>
          <w:szCs w:val="24"/>
        </w:rPr>
        <w:tab/>
        <w:t>Przewodniczący / Przewodnicząca</w:t>
      </w:r>
    </w:p>
    <w:p w14:paraId="33B90C40" w14:textId="2EFD7D17" w:rsidR="000C32A3" w:rsidRDefault="000C32A3">
      <w:pPr>
        <w:widowControl/>
        <w:rPr>
          <w:rFonts w:eastAsiaTheme="minorHAnsi"/>
          <w:b/>
          <w:szCs w:val="22"/>
          <w:lang w:eastAsia="pl-PL" w:bidi="pl-PL"/>
        </w:rPr>
      </w:pPr>
      <w:r>
        <w:br w:type="page"/>
      </w:r>
    </w:p>
    <w:p w14:paraId="4DB4A17D" w14:textId="77777777" w:rsidR="000C32A3" w:rsidRPr="007942D4" w:rsidRDefault="000C32A3" w:rsidP="000C32A3">
      <w:pPr>
        <w:pStyle w:val="Lignefinal"/>
        <w:spacing w:before="120"/>
      </w:pPr>
    </w:p>
    <w:p w14:paraId="1F50DA1A" w14:textId="5E1853AB" w:rsidR="008F612B" w:rsidRPr="003E0AC3" w:rsidRDefault="008F612B" w:rsidP="000C32A3">
      <w:pPr>
        <w:pStyle w:val="PageHeading"/>
        <w:rPr>
          <w:noProof/>
        </w:rPr>
      </w:pPr>
      <w:bookmarkStart w:id="4" w:name="_Toc233883356"/>
      <w:r>
        <w:t>UZASADNIENIE</w:t>
      </w:r>
      <w:bookmarkEnd w:id="4"/>
    </w:p>
    <w:p w14:paraId="7BCBCA78" w14:textId="77777777" w:rsidR="008F612B" w:rsidRPr="003E0AC3" w:rsidRDefault="008F612B" w:rsidP="008F612B">
      <w:pPr>
        <w:rPr>
          <w:kern w:val="2"/>
          <w:szCs w:val="24"/>
          <w14:ligatures w14:val="standardContextual"/>
        </w:rPr>
      </w:pPr>
      <w:r>
        <w:t>Komisja proponuje uruchomienie środków z Funduszu Solidarności Unii Europejskiej (FSUE), zgodnie z rozporządzeniem Rady (WE) nr 2012/2002, w wysokości 144 099 756 EUR w celu udzielenia pomocy Rumunii w związku z powodziami z końca maja 2025 r., a także Cyprowi i Hiszpanii w następstwie pożarów roślinności, które miały miejsce, odpowiednio, w lipcu i w sierpniu 2025 r.</w:t>
      </w:r>
    </w:p>
    <w:p w14:paraId="5423522E" w14:textId="77777777" w:rsidR="008F612B" w:rsidRPr="000C32A3" w:rsidRDefault="008F612B" w:rsidP="008F612B"/>
    <w:p w14:paraId="6A14A0D3" w14:textId="77777777" w:rsidR="008F612B" w:rsidRPr="003E0AC3" w:rsidRDefault="008F612B" w:rsidP="008F612B">
      <w:pPr>
        <w:rPr>
          <w:b/>
          <w:bCs/>
          <w:kern w:val="2"/>
          <w:szCs w:val="24"/>
          <w14:ligatures w14:val="standardContextual"/>
        </w:rPr>
      </w:pPr>
      <w:r>
        <w:rPr>
          <w:b/>
        </w:rPr>
        <w:t>Rumunia – regionalna klęska żywiołowa: powodzie, które rozpoczęły się 27 maja 2025 r.</w:t>
      </w:r>
    </w:p>
    <w:p w14:paraId="346AB0FE" w14:textId="77777777" w:rsidR="008F612B" w:rsidRPr="000C32A3" w:rsidRDefault="008F612B" w:rsidP="008F612B">
      <w:pPr>
        <w:rPr>
          <w:b/>
          <w:bCs/>
        </w:rPr>
      </w:pPr>
    </w:p>
    <w:p w14:paraId="7C14E127" w14:textId="77777777" w:rsidR="008F612B" w:rsidRPr="003E0AC3" w:rsidRDefault="008F612B" w:rsidP="008F612B">
      <w:r>
        <w:t xml:space="preserve">Od 26 maja do początku czerwca 2025 r. Rumunia doświadczyła kilku dni ulewnych deszczy, które doprowadziły do wystąpienia powodzi w regionach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Muntenia</w:t>
      </w:r>
      <w:proofErr w:type="spellEnd"/>
      <w:r>
        <w:t xml:space="preserve"> i </w:t>
      </w:r>
      <w:proofErr w:type="spellStart"/>
      <w:r>
        <w:t>Nord</w:t>
      </w:r>
      <w:proofErr w:type="spellEnd"/>
      <w:r>
        <w:t xml:space="preserve"> Est. Najpoważniejsze szkody odnotowano w kopalni soli w </w:t>
      </w:r>
      <w:proofErr w:type="spellStart"/>
      <w:r>
        <w:t>Praid</w:t>
      </w:r>
      <w:proofErr w:type="spellEnd"/>
      <w:r>
        <w:t xml:space="preserve">, gdzie woda z wezbranej rzeki </w:t>
      </w:r>
      <w:proofErr w:type="spellStart"/>
      <w:r>
        <w:t>Corund</w:t>
      </w:r>
      <w:proofErr w:type="spellEnd"/>
      <w:r>
        <w:t xml:space="preserve"> rozmyła część jej koryta, poważnie uszkodziła infrastrukturę hydrotechniczną tego obszaru i przesiąkła do kopalni. Powódź naruszyła stateczność filarów solnych i zagroziła integralności konstrukcyjnej kopalni. W innych częściach dotkniętych regionów gradobicie i silny wiatr spowodowały rozległe szkody w infrastrukturze, zakłócone zostały też usługi publiczne, a tysiące gospodarstw domowych zostało pozbawionych energii elektrycznej.</w:t>
      </w:r>
    </w:p>
    <w:p w14:paraId="480E900D" w14:textId="77777777" w:rsidR="008F612B" w:rsidRPr="000C32A3" w:rsidRDefault="008F612B" w:rsidP="008F612B"/>
    <w:p w14:paraId="71B9185D" w14:textId="77777777" w:rsidR="008F612B" w:rsidRPr="003E0AC3" w:rsidRDefault="008F612B" w:rsidP="008F612B">
      <w:pPr>
        <w:rPr>
          <w:rFonts w:eastAsiaTheme="minorHAnsi"/>
        </w:rPr>
      </w:pPr>
      <w:r>
        <w:t>Władze rumuńskie oszacowały łączną wartość szkód bezpośrednich spowodowanych klęską żywiołową na 573,59 mln EUR. Według Komisji bezpośrednie szkody wyrażone jako odsetek ważonego regionalnego PKB dotkniętych regionów wyniosły 1,8 %, co przekracza próg 1,5 % mający zastosowanie do regionalnych klęsk żywiołowych na podstawie art. 2 ust. 3 rozporządzenia w sprawie FSUE. Ta klęska żywiołowa kwalifikuje się zatem do kategorii „regionalnej klęski żywiołowej” w rozumieniu rozporządzenia.</w:t>
      </w:r>
    </w:p>
    <w:p w14:paraId="64E8993A" w14:textId="77777777" w:rsidR="008F612B" w:rsidRPr="000C32A3" w:rsidRDefault="008F612B" w:rsidP="008F612B"/>
    <w:p w14:paraId="4A4B2035" w14:textId="77777777" w:rsidR="008F612B" w:rsidRPr="003E0AC3" w:rsidRDefault="008F612B" w:rsidP="008F612B">
      <w:pPr>
        <w:rPr>
          <w:b/>
          <w:bCs/>
          <w:kern w:val="2"/>
          <w:szCs w:val="24"/>
          <w14:ligatures w14:val="standardContextual"/>
        </w:rPr>
      </w:pPr>
      <w:r>
        <w:rPr>
          <w:b/>
        </w:rPr>
        <w:t>Cypr – poważna klęska żywiołowa: pożary roślinności w lipcu 2025 r.</w:t>
      </w:r>
    </w:p>
    <w:p w14:paraId="3F1F7ECD" w14:textId="77777777" w:rsidR="008F612B" w:rsidRPr="000C32A3" w:rsidRDefault="008F612B" w:rsidP="008F612B">
      <w:pPr>
        <w:rPr>
          <w:b/>
          <w:bCs/>
        </w:rPr>
      </w:pPr>
    </w:p>
    <w:p w14:paraId="36504761" w14:textId="77777777" w:rsidR="008F612B" w:rsidRPr="003E0AC3" w:rsidRDefault="008F612B" w:rsidP="008F612B">
      <w:r>
        <w:t xml:space="preserve">Latem 2025 r. Cypr doświadczył równocześnie przedłużającej się suszy, ekstremalnych fal upałów oraz silnego wiatru, czego skutkiem były pożary roślinności na niespotykaną dotąd skalę, które miały miejsce w lipcu w regionach </w:t>
      </w:r>
      <w:proofErr w:type="spellStart"/>
      <w:r>
        <w:t>Limassol</w:t>
      </w:r>
      <w:proofErr w:type="spellEnd"/>
      <w:r>
        <w:t xml:space="preserve"> i Pafos. Pożary zmusiły tysiące mieszkańców do ewakuacji, doprowadziły do zamknięcia lub ograniczenia usług w niektórych szkołach i placówkach opieki zdrowotnej, zniszczyły blisko 900 prywatnych nieruchomości i spowodowały śmierć co najmniej dwóch osób. Władze cypryjskie zwróciły się również o wsparcie za pośrednictwem Unijnego Mechanizmu Ochrony Ludności, a Grecja przekazała w odpowiedzi naziemny moduł gaszenia pożarów lasów.</w:t>
      </w:r>
    </w:p>
    <w:p w14:paraId="40CF23F6" w14:textId="77777777" w:rsidR="008F612B" w:rsidRPr="000C32A3" w:rsidRDefault="008F612B" w:rsidP="008F612B"/>
    <w:p w14:paraId="65A37865" w14:textId="77777777" w:rsidR="008F612B" w:rsidRPr="003E0AC3" w:rsidRDefault="008F612B" w:rsidP="008F612B">
      <w:r>
        <w:t>Komisja uznała łączną wartość szkód bezpośrednich w wysokości 252,68 mln EUR za wiarygodną. Kwota ta przekracza próg mający zastosowanie do Cypru w przypadku poważnej klęski żywiołowej, odpowiadający 0,6 % DNB, który w 2025 r. wyniósł 170,05 mln EUR. Zgodnie z art. 2 ust. 2 rozporządzenia w sprawie FSUE ta klęska żywiołowa kwalifikuje się zatem do kategorii „poważnej klęski żywiołowej”.</w:t>
      </w:r>
    </w:p>
    <w:p w14:paraId="4B4EA756" w14:textId="77777777" w:rsidR="008F612B" w:rsidRPr="000C32A3" w:rsidRDefault="008F612B" w:rsidP="008F612B"/>
    <w:p w14:paraId="2376769F" w14:textId="77777777" w:rsidR="008F612B" w:rsidRPr="003E0AC3" w:rsidRDefault="008F612B" w:rsidP="008F612B">
      <w:pPr>
        <w:rPr>
          <w:b/>
          <w:bCs/>
        </w:rPr>
      </w:pPr>
      <w:r>
        <w:rPr>
          <w:b/>
        </w:rPr>
        <w:t>Hiszpania – poważna klęska żywiołowa: pożary roślinności w sierpniu 2025 r.</w:t>
      </w:r>
    </w:p>
    <w:p w14:paraId="12B16637" w14:textId="77777777" w:rsidR="008F612B" w:rsidRPr="000C32A3" w:rsidRDefault="008F612B" w:rsidP="008F612B">
      <w:pPr>
        <w:rPr>
          <w:kern w:val="2"/>
          <w14:ligatures w14:val="standardContextual"/>
        </w:rPr>
      </w:pPr>
    </w:p>
    <w:p w14:paraId="3AAB0527" w14:textId="77777777" w:rsidR="008F612B" w:rsidRPr="003E0AC3" w:rsidRDefault="008F612B" w:rsidP="008F612B">
      <w:r>
        <w:t xml:space="preserve">W sierpniu 2025 r. Hiszpania doświadczyła trzeciej i najbardziej niszczycielskiej fali poważnych pożarów roślinności po lecie naznaczonym przedłużającą się suszą, ekstremalnymi falami upałów i licznymi ogniskami pożarów. Pożary dotknęły 16 wspólnot autonomicznych, spowodowały poważne szkody środowiskowe, społeczne i gospodarcze, </w:t>
      </w:r>
      <w:r>
        <w:lastRenderedPageBreak/>
        <w:t>zniszczyły źródła utrzymania, szczególnie na obszarach wiejskich, i doprowadziły do licznych ewakuacji. Władze hiszpańskie zwróciły się również o pomoc za pośrednictwem Unijnego Mechanizmu Ochrony Ludności, a wsparcia udzieliło 9 państw członkowskich. Pożary roślinności spowodowały śmierć co najmniej 8 osób.</w:t>
      </w:r>
    </w:p>
    <w:p w14:paraId="4DF17359" w14:textId="77777777" w:rsidR="008F612B" w:rsidRPr="000C32A3" w:rsidRDefault="008F612B" w:rsidP="008F612B"/>
    <w:p w14:paraId="42E2F06D" w14:textId="77777777" w:rsidR="008F612B" w:rsidRPr="003E0AC3" w:rsidRDefault="008F612B" w:rsidP="008F612B">
      <w:r>
        <w:t>Władze Hiszpanii oszacowały łączną wartość szkód bezpośrednich na kwotę 4 318,27 mln EUR. Komisja uznała, że kwota ta przekracza próg mający zastosowanie do Hiszpanii w przypadku poważnej klęski żywiołowej, a mianowicie 3 958,44 mln EUR w 2025 r. Zgodnie z art. 2 ust. 2 rozporządzenia w sprawie FSUE ta klęska żywiołowa kwalifikuje się zatem do kategorii „poważnej klęski żywiołowej”.</w:t>
      </w:r>
    </w:p>
    <w:p w14:paraId="172E704C" w14:textId="77777777" w:rsidR="008F612B" w:rsidRPr="000C32A3" w:rsidRDefault="008F612B" w:rsidP="008F612B"/>
    <w:p w14:paraId="6B96E042" w14:textId="77777777" w:rsidR="008F612B" w:rsidRPr="003E0AC3" w:rsidRDefault="008F612B" w:rsidP="008F612B">
      <w:pPr>
        <w:rPr>
          <w:b/>
        </w:rPr>
      </w:pPr>
      <w:r>
        <w:rPr>
          <w:b/>
        </w:rPr>
        <w:t>Podsumowanie</w:t>
      </w:r>
    </w:p>
    <w:p w14:paraId="16263D37" w14:textId="77777777" w:rsidR="008F612B" w:rsidRPr="000C32A3" w:rsidRDefault="008F612B" w:rsidP="008F612B"/>
    <w:p w14:paraId="5407168F" w14:textId="77777777" w:rsidR="008F612B" w:rsidRPr="003E0AC3" w:rsidRDefault="008F612B" w:rsidP="008F612B">
      <w:pPr>
        <w:rPr>
          <w:szCs w:val="24"/>
        </w:rPr>
      </w:pPr>
      <w:r>
        <w:t>Metoda obliczania pomocy z funduszu została określona w sprawozdaniu rocznym na temat FSUE (2002–2003) i zaakceptowana przez Parlament Europejski i Radę. Wkład z FSUE nie może przekraczać szacowanych łącznych kosztów działań kwalifikowalnych. Stosując przedstawioną powyżej metodykę, Komisja oceniła pomoc w ramach FSUE w odpowiedzi na trzy wnioski złożone przez Rumunię, Cypr i Hiszpanię, w związku z czym proponuje władzy budżetowej uruchomienie następujących kwot:</w:t>
      </w:r>
    </w:p>
    <w:p w14:paraId="2EF952E7" w14:textId="77777777" w:rsidR="008F612B" w:rsidRPr="000C32A3" w:rsidRDefault="008F612B" w:rsidP="008F612B">
      <w:pPr>
        <w:pStyle w:val="ListParagraph"/>
        <w:kinsoku w:val="0"/>
        <w:overflowPunct w:val="0"/>
        <w:spacing w:before="3"/>
        <w:rPr>
          <w:sz w:val="14"/>
          <w:szCs w:val="14"/>
        </w:rPr>
      </w:pPr>
    </w:p>
    <w:tbl>
      <w:tblPr>
        <w:tblW w:w="9345" w:type="dxa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8"/>
        <w:gridCol w:w="1216"/>
        <w:gridCol w:w="1280"/>
        <w:gridCol w:w="1113"/>
        <w:gridCol w:w="1153"/>
        <w:gridCol w:w="1069"/>
        <w:gridCol w:w="1040"/>
        <w:gridCol w:w="1086"/>
      </w:tblGrid>
      <w:tr w:rsidR="008F612B" w:rsidRPr="0062118D" w14:paraId="333D9E12" w14:textId="77777777" w:rsidTr="008F612B">
        <w:trPr>
          <w:trHeight w:val="1322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E316D" w14:textId="77777777" w:rsidR="008F612B" w:rsidRPr="0062118D" w:rsidRDefault="008F612B">
            <w:pPr>
              <w:pStyle w:val="TableParagraph"/>
              <w:kinsoku w:val="0"/>
              <w:overflowPunct w:val="0"/>
              <w:ind w:left="107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Klęska żywiołowa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ADD58" w14:textId="77777777" w:rsidR="008F612B" w:rsidRPr="0062118D" w:rsidRDefault="008F612B">
            <w:pPr>
              <w:pStyle w:val="TableParagraph"/>
              <w:kinsoku w:val="0"/>
              <w:overflowPunct w:val="0"/>
              <w:ind w:left="331" w:right="177" w:hanging="13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Łączna wartość</w:t>
            </w:r>
          </w:p>
          <w:p w14:paraId="3E3A3C08" w14:textId="77777777" w:rsidR="008F612B" w:rsidRPr="0062118D" w:rsidRDefault="008F612B">
            <w:pPr>
              <w:pStyle w:val="TableParagraph"/>
              <w:kinsoku w:val="0"/>
              <w:overflowPunct w:val="0"/>
              <w:ind w:left="331" w:right="177" w:hanging="137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szkód bezpośrednich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DC82F" w14:textId="77777777" w:rsidR="008F612B" w:rsidRPr="0062118D" w:rsidRDefault="008F612B">
            <w:pPr>
              <w:pStyle w:val="TableParagraph"/>
              <w:kinsoku w:val="0"/>
              <w:overflowPunct w:val="0"/>
              <w:ind w:left="304" w:firstLine="52"/>
              <w:rPr>
                <w:b/>
                <w:bCs/>
                <w:spacing w:val="40"/>
                <w:sz w:val="18"/>
                <w:szCs w:val="18"/>
              </w:rPr>
            </w:pPr>
            <w:r>
              <w:rPr>
                <w:b/>
                <w:sz w:val="18"/>
              </w:rPr>
              <w:t>Zastosowany</w:t>
            </w:r>
          </w:p>
          <w:p w14:paraId="2095A5A4" w14:textId="77777777" w:rsidR="008F612B" w:rsidRPr="0062118D" w:rsidRDefault="008F612B">
            <w:pPr>
              <w:pStyle w:val="TableParagraph"/>
              <w:kinsoku w:val="0"/>
              <w:overflowPunct w:val="0"/>
              <w:ind w:left="304" w:firstLine="52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próg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05401" w14:textId="77777777" w:rsidR="008F612B" w:rsidRPr="003E0AC3" w:rsidRDefault="008F612B">
            <w:pPr>
              <w:pStyle w:val="TableParagraph"/>
              <w:kinsoku w:val="0"/>
              <w:overflowPunct w:val="0"/>
              <w:ind w:left="122" w:right="109" w:firstLine="3"/>
              <w:jc w:val="center"/>
              <w:rPr>
                <w:i/>
                <w:iCs/>
                <w:spacing w:val="-2"/>
                <w:sz w:val="16"/>
                <w:szCs w:val="16"/>
              </w:rPr>
            </w:pPr>
            <w:r>
              <w:rPr>
                <w:b/>
                <w:bCs/>
                <w:sz w:val="16"/>
              </w:rPr>
              <w:t>2,5 % całkowitej wartości szkód bezpośrednich</w:t>
            </w:r>
            <w:r>
              <w:rPr>
                <w:sz w:val="16"/>
              </w:rPr>
              <w:t xml:space="preserve"> </w:t>
            </w:r>
            <w:r>
              <w:rPr>
                <w:i/>
                <w:iCs/>
                <w:sz w:val="16"/>
              </w:rPr>
              <w:t>[do wysokości progu dla poważnych klęsk żywiołowych]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37285" w14:textId="77777777" w:rsidR="008F612B" w:rsidRPr="003E0AC3" w:rsidRDefault="008F612B">
            <w:pPr>
              <w:pStyle w:val="TableParagraph"/>
              <w:kinsoku w:val="0"/>
              <w:overflowPunct w:val="0"/>
              <w:ind w:left="141" w:right="129" w:firstLine="1"/>
              <w:jc w:val="center"/>
              <w:rPr>
                <w:i/>
                <w:iCs/>
                <w:spacing w:val="-2"/>
                <w:sz w:val="16"/>
                <w:szCs w:val="16"/>
              </w:rPr>
            </w:pPr>
            <w:r>
              <w:rPr>
                <w:b/>
                <w:bCs/>
                <w:sz w:val="16"/>
              </w:rPr>
              <w:t>6 % całkowitej wartości szkód bezpośrednich</w:t>
            </w:r>
            <w:r>
              <w:rPr>
                <w:sz w:val="16"/>
              </w:rPr>
              <w:t xml:space="preserve"> </w:t>
            </w:r>
            <w:r>
              <w:rPr>
                <w:i/>
                <w:iCs/>
                <w:sz w:val="16"/>
              </w:rPr>
              <w:t>[powyżej progu dla poważnych klęsk żywiołowych]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D2F16" w14:textId="77777777" w:rsidR="008F612B" w:rsidRPr="0062118D" w:rsidRDefault="008F612B">
            <w:pPr>
              <w:pStyle w:val="TableParagraph"/>
              <w:kinsoku w:val="0"/>
              <w:overflowPunct w:val="0"/>
              <w:ind w:left="202" w:right="18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Proponowana pomoc z FSUE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41F81" w14:textId="77777777" w:rsidR="008F612B" w:rsidRPr="0062118D" w:rsidRDefault="008F612B">
            <w:pPr>
              <w:pStyle w:val="TableParagraph"/>
              <w:kinsoku w:val="0"/>
              <w:overflowPunct w:val="0"/>
              <w:ind w:left="191" w:firstLine="31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Zaliczki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80C3" w14:textId="77777777" w:rsidR="008F612B" w:rsidRPr="0062118D" w:rsidRDefault="008F612B">
            <w:pPr>
              <w:pStyle w:val="TableParagraph"/>
              <w:kinsoku w:val="0"/>
              <w:overflowPunct w:val="0"/>
              <w:ind w:left="292" w:right="165" w:hanging="108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Saldo do wypłacenia</w:t>
            </w:r>
          </w:p>
        </w:tc>
      </w:tr>
      <w:tr w:rsidR="008F612B" w:rsidRPr="0062118D" w14:paraId="21628345" w14:textId="77777777" w:rsidTr="008F612B">
        <w:trPr>
          <w:trHeight w:val="275"/>
        </w:trPr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5DB39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80CDF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383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2A7D1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414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CF0D7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333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041F1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352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EB297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66" w:right="5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5FDE2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1"/>
              <w:jc w:val="center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99554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83" w:right="7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(EUR)</w:t>
            </w:r>
          </w:p>
        </w:tc>
      </w:tr>
      <w:tr w:rsidR="008F612B" w:rsidRPr="0062118D" w14:paraId="324C2CBC" w14:textId="77777777" w:rsidTr="008F612B">
        <w:trPr>
          <w:trHeight w:val="278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2BA0B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07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Rumunia – powodzie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818E2" w14:textId="77777777" w:rsidR="008F612B" w:rsidRPr="0062118D" w:rsidRDefault="008F612B">
            <w:pPr>
              <w:pStyle w:val="TableParagraph"/>
              <w:kinsoku w:val="0"/>
              <w:overflowPunct w:val="0"/>
              <w:ind w:left="287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573 587 000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4442" w14:textId="77777777" w:rsidR="008F612B" w:rsidRPr="0062118D" w:rsidRDefault="008F612B">
            <w:pPr>
              <w:pStyle w:val="TableParagraph"/>
              <w:kinsoku w:val="0"/>
              <w:overflowPunct w:val="0"/>
              <w:ind w:left="352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477 819 000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A6D9F" w14:textId="77777777" w:rsidR="008F612B" w:rsidRPr="0062118D" w:rsidRDefault="008F612B">
            <w:pPr>
              <w:pStyle w:val="TableParagraph"/>
              <w:kinsoku w:val="0"/>
              <w:overflowPunct w:val="0"/>
              <w:ind w:left="186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14 339 675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C37D7" w14:textId="77777777" w:rsidR="008F612B" w:rsidRPr="0062118D" w:rsidRDefault="008F612B">
            <w:pPr>
              <w:pStyle w:val="TableParagraph"/>
              <w:kinsoku w:val="0"/>
              <w:overflowPunct w:val="0"/>
              <w:ind w:left="11"/>
              <w:jc w:val="center"/>
              <w:rPr>
                <w:spacing w:val="-6"/>
                <w:sz w:val="18"/>
                <w:szCs w:val="18"/>
              </w:rPr>
            </w:pPr>
            <w:r>
              <w:rPr>
                <w:sz w:val="18"/>
              </w:rPr>
              <w:t>nie dotyczy</w:t>
            </w:r>
          </w:p>
        </w:tc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70D19" w14:textId="77777777" w:rsidR="008F612B" w:rsidRPr="0062118D" w:rsidRDefault="008F612B">
            <w:pPr>
              <w:pStyle w:val="TableParagraph"/>
              <w:kinsoku w:val="0"/>
              <w:overflowPunct w:val="0"/>
              <w:ind w:left="24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14 339 675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E3154" w14:textId="77777777" w:rsidR="008F612B" w:rsidRPr="0062118D" w:rsidRDefault="008F612B">
            <w:pPr>
              <w:pStyle w:val="TableParagraph"/>
              <w:kinsoku w:val="0"/>
              <w:overflowPunct w:val="0"/>
              <w:spacing w:before="100"/>
              <w:ind w:left="215" w:right="198" w:firstLine="201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nie wnioskowano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734AA" w14:textId="77777777" w:rsidR="008F612B" w:rsidRPr="0062118D" w:rsidRDefault="008F612B">
            <w:pPr>
              <w:pStyle w:val="TableParagraph"/>
              <w:kinsoku w:val="0"/>
              <w:overflowPunct w:val="0"/>
              <w:ind w:left="258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14 339 675</w:t>
            </w:r>
          </w:p>
        </w:tc>
      </w:tr>
      <w:tr w:rsidR="008F612B" w:rsidRPr="0062118D" w14:paraId="636E302F" w14:textId="77777777" w:rsidTr="008F612B">
        <w:trPr>
          <w:trHeight w:val="275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CED02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07"/>
              <w:rPr>
                <w:i/>
                <w:iCs/>
                <w:sz w:val="18"/>
                <w:szCs w:val="18"/>
              </w:rPr>
            </w:pPr>
            <w:r>
              <w:rPr>
                <w:i/>
                <w:sz w:val="18"/>
              </w:rPr>
              <w:t>regionalna klęska żywiołowa</w:t>
            </w: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D2EDC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B6C2F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2451B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1E45E" w14:textId="77777777" w:rsidR="008F612B" w:rsidRPr="0062118D" w:rsidRDefault="008F612B">
            <w:pPr>
              <w:widowControl/>
              <w:rPr>
                <w:spacing w:val="-6"/>
                <w:sz w:val="18"/>
                <w:szCs w:val="18"/>
              </w:rPr>
            </w:pPr>
          </w:p>
        </w:tc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2AF89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4D5E4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E4B5D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8F612B" w:rsidRPr="0062118D" w14:paraId="148A2B9E" w14:textId="77777777" w:rsidTr="008F612B">
        <w:trPr>
          <w:trHeight w:val="278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B6F97" w14:textId="77777777" w:rsidR="008F612B" w:rsidRPr="0062118D" w:rsidRDefault="008F612B">
            <w:pPr>
              <w:pStyle w:val="TableParagraph"/>
              <w:kinsoku w:val="0"/>
              <w:overflowPunct w:val="0"/>
              <w:spacing w:before="49"/>
              <w:ind w:left="107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Cypr – pożary roślinności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4B8A4" w14:textId="77777777" w:rsidR="008F612B" w:rsidRPr="0062118D" w:rsidRDefault="008F612B">
            <w:pPr>
              <w:pStyle w:val="TableParagraph"/>
              <w:kinsoku w:val="0"/>
              <w:overflowPunct w:val="0"/>
              <w:ind w:left="287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252 680 561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3BAE" w14:textId="77777777" w:rsidR="008F612B" w:rsidRPr="0062118D" w:rsidRDefault="008F612B">
            <w:pPr>
              <w:pStyle w:val="TableParagraph"/>
              <w:kinsoku w:val="0"/>
              <w:overflowPunct w:val="0"/>
              <w:ind w:left="352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170 046 000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A3C5B" w14:textId="77777777" w:rsidR="008F612B" w:rsidRPr="0062118D" w:rsidRDefault="008F612B">
            <w:pPr>
              <w:pStyle w:val="TableParagraph"/>
              <w:kinsoku w:val="0"/>
              <w:overflowPunct w:val="0"/>
              <w:ind w:left="227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4 251 150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A471A" w14:textId="77777777" w:rsidR="008F612B" w:rsidRPr="0062118D" w:rsidRDefault="008F612B">
            <w:pPr>
              <w:pStyle w:val="TableParagraph"/>
              <w:kinsoku w:val="0"/>
              <w:overflowPunct w:val="0"/>
              <w:ind w:left="244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4 958 074</w:t>
            </w:r>
          </w:p>
        </w:tc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67454" w14:textId="77777777" w:rsidR="008F612B" w:rsidRPr="0062118D" w:rsidRDefault="008F612B">
            <w:pPr>
              <w:pStyle w:val="TableParagraph"/>
              <w:kinsoku w:val="0"/>
              <w:overflowPunct w:val="0"/>
              <w:ind w:left="32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9 209 223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9AA16" w14:textId="77777777" w:rsidR="008F612B" w:rsidRPr="0062118D" w:rsidRDefault="008F612B">
            <w:pPr>
              <w:pStyle w:val="TableParagraph"/>
              <w:kinsoku w:val="0"/>
              <w:overflowPunct w:val="0"/>
              <w:ind w:left="291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2 317 465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ED33A" w14:textId="77777777" w:rsidR="008F612B" w:rsidRPr="0062118D" w:rsidRDefault="008F612B">
            <w:pPr>
              <w:pStyle w:val="TableParagraph"/>
              <w:kinsoku w:val="0"/>
              <w:overflowPunct w:val="0"/>
              <w:ind w:left="337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6 891 758</w:t>
            </w:r>
          </w:p>
        </w:tc>
      </w:tr>
      <w:tr w:rsidR="008F612B" w:rsidRPr="0062118D" w14:paraId="73DEF382" w14:textId="77777777" w:rsidTr="008F612B">
        <w:trPr>
          <w:trHeight w:val="277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8142F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07"/>
              <w:rPr>
                <w:i/>
                <w:iCs/>
                <w:sz w:val="18"/>
                <w:szCs w:val="18"/>
              </w:rPr>
            </w:pPr>
            <w:r>
              <w:rPr>
                <w:i/>
                <w:sz w:val="18"/>
              </w:rPr>
              <w:t>poważna klęska żywiołowa</w:t>
            </w: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B0301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EC1F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521EC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35192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D2B07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86EFA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658F2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8F612B" w:rsidRPr="0062118D" w14:paraId="3E520AF2" w14:textId="77777777" w:rsidTr="008F612B">
        <w:trPr>
          <w:trHeight w:val="275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0B9E3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07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Hiszpania – pożary roślinności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1674" w14:textId="77777777" w:rsidR="008F612B" w:rsidRPr="0062118D" w:rsidRDefault="008F612B">
            <w:pPr>
              <w:pStyle w:val="TableParagraph"/>
              <w:kinsoku w:val="0"/>
              <w:overflowPunct w:val="0"/>
              <w:ind w:left="167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4 318 268 632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22393" w14:textId="77777777" w:rsidR="008F612B" w:rsidRPr="0062118D" w:rsidRDefault="008F612B">
            <w:pPr>
              <w:pStyle w:val="TableParagraph"/>
              <w:kinsoku w:val="0"/>
              <w:overflowPunct w:val="0"/>
              <w:ind w:left="232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3 958 436 000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BAA86" w14:textId="77777777" w:rsidR="008F612B" w:rsidRPr="0062118D" w:rsidRDefault="008F612B">
            <w:pPr>
              <w:pStyle w:val="TableParagraph"/>
              <w:kinsoku w:val="0"/>
              <w:overflowPunct w:val="0"/>
              <w:ind w:left="186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98 960 900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9B4B8" w14:textId="77777777" w:rsidR="008F612B" w:rsidRPr="0062118D" w:rsidRDefault="008F612B">
            <w:pPr>
              <w:pStyle w:val="TableParagraph"/>
              <w:kinsoku w:val="0"/>
              <w:overflowPunct w:val="0"/>
              <w:ind w:left="206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21 589 958</w:t>
            </w:r>
          </w:p>
        </w:tc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6A8BF" w14:textId="77777777" w:rsidR="008F612B" w:rsidRPr="0062118D" w:rsidRDefault="008F612B">
            <w:pPr>
              <w:pStyle w:val="TableParagraph"/>
              <w:kinsoku w:val="0"/>
              <w:overflowPunct w:val="0"/>
              <w:ind w:left="161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120 550 858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4802E" w14:textId="77777777" w:rsidR="008F612B" w:rsidRPr="0062118D" w:rsidRDefault="008F612B">
            <w:pPr>
              <w:pStyle w:val="TableParagraph"/>
              <w:kinsoku w:val="0"/>
              <w:overflowPunct w:val="0"/>
              <w:ind w:left="212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30 137 714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218D" w14:textId="77777777" w:rsidR="008F612B" w:rsidRPr="0062118D" w:rsidRDefault="008F612B">
            <w:pPr>
              <w:pStyle w:val="TableParagraph"/>
              <w:kinsoku w:val="0"/>
              <w:overflowPunct w:val="0"/>
              <w:ind w:left="258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90 413 144</w:t>
            </w:r>
          </w:p>
        </w:tc>
      </w:tr>
      <w:tr w:rsidR="008F612B" w:rsidRPr="0062118D" w14:paraId="74463101" w14:textId="77777777" w:rsidTr="008F612B">
        <w:trPr>
          <w:trHeight w:val="278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AAEF7" w14:textId="77777777" w:rsidR="008F612B" w:rsidRPr="0062118D" w:rsidRDefault="008F612B">
            <w:pPr>
              <w:pStyle w:val="TableParagraph"/>
              <w:kinsoku w:val="0"/>
              <w:overflowPunct w:val="0"/>
              <w:spacing w:before="48"/>
              <w:ind w:left="107"/>
              <w:rPr>
                <w:i/>
                <w:iCs/>
                <w:sz w:val="18"/>
                <w:szCs w:val="18"/>
              </w:rPr>
            </w:pPr>
            <w:r>
              <w:rPr>
                <w:i/>
                <w:sz w:val="18"/>
              </w:rPr>
              <w:t>poważna klęska żywiołowa</w:t>
            </w: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73DC1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8F10C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454B2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1E38B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0BC8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7F204" w14:textId="77777777" w:rsidR="008F612B" w:rsidRPr="0062118D" w:rsidRDefault="008F612B">
            <w:pPr>
              <w:widowControl/>
              <w:rPr>
                <w:spacing w:val="-2"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C4EC1" w14:textId="77777777" w:rsidR="008F612B" w:rsidRPr="0062118D" w:rsidRDefault="008F612B">
            <w:pPr>
              <w:widowControl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8F612B" w:rsidRPr="0062118D" w14:paraId="4162D0B3" w14:textId="77777777" w:rsidTr="008F612B">
        <w:trPr>
          <w:trHeight w:val="275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2ECF9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07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OGÓŁEM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DECE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55036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1D7B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C6E1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A5B8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66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144 099 756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409D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117"/>
              <w:rPr>
                <w:spacing w:val="-2"/>
                <w:sz w:val="18"/>
                <w:szCs w:val="18"/>
              </w:rPr>
            </w:pPr>
            <w:r>
              <w:rPr>
                <w:sz w:val="18"/>
              </w:rPr>
              <w:t>32 455 179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5866D" w14:textId="77777777" w:rsidR="008F612B" w:rsidRPr="0062118D" w:rsidRDefault="008F612B">
            <w:pPr>
              <w:pStyle w:val="TableParagraph"/>
              <w:kinsoku w:val="0"/>
              <w:overflowPunct w:val="0"/>
              <w:spacing w:before="47"/>
              <w:ind w:left="83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z w:val="18"/>
              </w:rPr>
              <w:t>111 644 577</w:t>
            </w:r>
          </w:p>
        </w:tc>
      </w:tr>
    </w:tbl>
    <w:p w14:paraId="06ED3959" w14:textId="77777777" w:rsidR="008F612B" w:rsidRPr="0062118D" w:rsidRDefault="008F612B" w:rsidP="008F612B">
      <w:pPr>
        <w:pStyle w:val="NormalHanging12a"/>
        <w:rPr>
          <w:sz w:val="28"/>
          <w:szCs w:val="22"/>
        </w:rPr>
      </w:pPr>
    </w:p>
    <w:p w14:paraId="55BDC866" w14:textId="77777777" w:rsidR="008F612B" w:rsidRPr="003E0AC3" w:rsidRDefault="008F612B" w:rsidP="008F612B">
      <w:r>
        <w:t xml:space="preserve">Rozporządzenie Rady (UE, </w:t>
      </w:r>
      <w:proofErr w:type="spellStart"/>
      <w:r>
        <w:t>Euratom</w:t>
      </w:r>
      <w:proofErr w:type="spellEnd"/>
      <w:r>
        <w:t>) 2020/2093 z dnia 17 grudnia 2020 r. określające wieloletnie ramy finansowe na lata 2021–2027</w:t>
      </w:r>
      <w:r w:rsidRPr="0062118D">
        <w:rPr>
          <w:rStyle w:val="FootnoteReference"/>
        </w:rPr>
        <w:footnoteReference w:id="17"/>
      </w:r>
      <w:r>
        <w:t xml:space="preserve"> (zwane dalej „rozporządzeniem w sprawie WRF”) dopuszcza możliwość uruchomienia środków z FSUE w kontekście rezerwy na rzecz solidarności i pomocy nadzwyczajnej (SEAR). W rozporządzeniu Rady (UE, </w:t>
      </w:r>
      <w:proofErr w:type="spellStart"/>
      <w:r>
        <w:t>Euratom</w:t>
      </w:r>
      <w:proofErr w:type="spellEnd"/>
      <w:r>
        <w:t xml:space="preserve">) </w:t>
      </w:r>
      <w:r>
        <w:lastRenderedPageBreak/>
        <w:t>2024/765</w:t>
      </w:r>
      <w:r w:rsidRPr="0062118D">
        <w:rPr>
          <w:rStyle w:val="FootnoteReference"/>
        </w:rPr>
        <w:footnoteReference w:id="18"/>
      </w:r>
      <w:r>
        <w:t xml:space="preserve"> (zwanym dalej „zmienionym rozporządzeniem w sprawie WRF”) SEAR podzielono na dwa odrębne instrumenty: europejską rezerwę solidarnościową i rezerwę na pomoc nadzwyczajną.</w:t>
      </w:r>
    </w:p>
    <w:p w14:paraId="6CBDCC51" w14:textId="77777777" w:rsidR="008F612B" w:rsidRPr="003E0AC3" w:rsidRDefault="008F612B" w:rsidP="008F612B">
      <w:pPr>
        <w:rPr>
          <w:rFonts w:eastAsiaTheme="minorHAnsi"/>
        </w:rPr>
      </w:pPr>
      <w:r>
        <w:t>Na europejską rezerwę solidarnościową przeznaczona zostanie kwota 1 016 mln EUR rocznie (w cenach z 2018 r., co odpowiada 1 190,4 mln EUR w cenach z 2026 r.) na pomoc w celu reagowania w sytuacjach nadzwyczajnych objętych FSUE. W pkt 10 Porozumienia międzyinstytucjonalnego z dnia 16 grudnia 2020 r. pomiędzy Parlamentem Europejskim, Radą i Komisją w sprawie dyscypliny budżetowej, współpracy w kwestiach budżetowych i należytego zarządzania finansami oraz w sprawie nowych zasobów własnych, w tym również harmonogramu wprowadzania nowych zasobów własnych, przedstawiono warunki uruchomienia FSUE w kontekście SEAR.</w:t>
      </w:r>
    </w:p>
    <w:p w14:paraId="48542268" w14:textId="77777777" w:rsidR="008F612B" w:rsidRPr="003E0AC3" w:rsidRDefault="008F612B" w:rsidP="008F612B">
      <w:r>
        <w:t>Aby uniknąć wczesnego wyczerpania rocznego przydziału środków, art. 3 ust. 7 rozporządzenia w sprawie FSUE i art. 9 ust. 2 akapit drugi zmienionego rozporządzenia w sprawie WRF stanowią, że 25 % rocznego przydziału środków na FSUE musi pozostawać dostępne w dniu 1 października każdego roku (rezerwa na koniec roku). W 2026 r. kwota ta wynosi 297,6 mln EUR.</w:t>
      </w:r>
    </w:p>
    <w:p w14:paraId="5EB8C7AC" w14:textId="77777777" w:rsidR="008F612B" w:rsidRPr="003E0AC3" w:rsidRDefault="008F612B" w:rsidP="008F612B">
      <w:r>
        <w:t>Ponadto zgodnie z art. 4a ust. 4 rozporządzenia w sprawie FSUE w budżecie ogólnym UE na 2026 r. zapisano już kwotę 50 mln EUR (w postaci środków na zobowiązania i środków na płatności) na potrzeby wypłaty ewentualnych zaliczek. Zarówno Cypr, jak i Hiszpania zwróciły się o zaliczki w wysokości – odpowiednio – 2,32 mln EUR i 30,14 mln EUR i je otrzymały.</w:t>
      </w:r>
    </w:p>
    <w:p w14:paraId="71D0EDCB" w14:textId="77777777" w:rsidR="008F612B" w:rsidRPr="003E0AC3" w:rsidRDefault="008F612B" w:rsidP="008F612B">
      <w:r>
        <w:t>Zgodnie z art. 9 ust. 2 zmienionego rozporządzenia w sprawie WRF każda część rocznej kwoty, która nie została wykorzystana w danym roku n, może zostać wykorzystana do roku n+1. Kwotę 21,3 mln EUR przeniesiono z 2025 r. na 2026 r., z czego 20,85 mln EUR jest dostępne na wypłatę ewentualnych zaliczek.</w:t>
      </w:r>
    </w:p>
    <w:p w14:paraId="773F7C8E" w14:textId="77777777" w:rsidR="008F612B" w:rsidRPr="003E0AC3" w:rsidRDefault="008F612B" w:rsidP="008F612B">
      <w:r>
        <w:t>Podsumowując, całkowita kwota dostępna w linii rezerwy przed dniem 1 października wynosi 843,25 mln EUR (z wyłączeniem zaliczek i rezerwy na koniec roku), co jest wystarczające, aby pokryć proponowaną kwotę do uruchomienia.</w:t>
      </w:r>
    </w:p>
    <w:p w14:paraId="599A3E82" w14:textId="77777777" w:rsidR="008F612B" w:rsidRPr="000C32A3" w:rsidRDefault="008F612B" w:rsidP="008F612B">
      <w:pPr>
        <w:pStyle w:val="NormalHanging12a"/>
        <w:rPr>
          <w:sz w:val="28"/>
          <w:szCs w:val="22"/>
        </w:rPr>
      </w:pP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7"/>
        <w:gridCol w:w="1867"/>
      </w:tblGrid>
      <w:tr w:rsidR="008F612B" w:rsidRPr="0062118D" w14:paraId="3F77DF66" w14:textId="77777777" w:rsidTr="008F612B">
        <w:trPr>
          <w:trHeight w:val="470"/>
        </w:trPr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CE2DD" w14:textId="77777777" w:rsidR="008F612B" w:rsidRPr="0062118D" w:rsidRDefault="008F612B">
            <w:pPr>
              <w:pStyle w:val="TableParagraph"/>
              <w:kinsoku w:val="0"/>
              <w:overflowPunct w:val="0"/>
              <w:spacing w:before="120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Dostępne zasoby FSUE w 2026 r. (w EUR)</w:t>
            </w:r>
          </w:p>
        </w:tc>
      </w:tr>
      <w:tr w:rsidR="008F612B" w:rsidRPr="0062118D" w14:paraId="193E7CF4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21ED9" w14:textId="77777777" w:rsidR="008F612B" w:rsidRPr="0062118D" w:rsidRDefault="008F612B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>
              <w:rPr>
                <w:sz w:val="20"/>
              </w:rPr>
              <w:t>Całkowity roczny przydział środków w 2026 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66005" w14:textId="77777777" w:rsidR="008F612B" w:rsidRPr="0062118D" w:rsidRDefault="008F612B">
            <w:pPr>
              <w:pStyle w:val="TableParagraph"/>
              <w:kinsoku w:val="0"/>
              <w:overflowPunct w:val="0"/>
              <w:ind w:right="94"/>
              <w:jc w:val="right"/>
              <w:rPr>
                <w:spacing w:val="-2"/>
                <w:sz w:val="20"/>
                <w:szCs w:val="20"/>
              </w:rPr>
            </w:pPr>
            <w:r>
              <w:rPr>
                <w:sz w:val="20"/>
              </w:rPr>
              <w:t>1 190 405 931</w:t>
            </w:r>
          </w:p>
        </w:tc>
      </w:tr>
      <w:tr w:rsidR="008F612B" w:rsidRPr="0062118D" w14:paraId="5A06A4CD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C6E04" w14:textId="77777777" w:rsidR="008F612B" w:rsidRPr="003E0AC3" w:rsidRDefault="008F612B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>
              <w:rPr>
                <w:sz w:val="20"/>
              </w:rPr>
              <w:t>Kwota przeniesiona z 2025 r., w tym niewykorzystane zaliczki (+)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54CF8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spacing w:val="-2"/>
                <w:sz w:val="20"/>
                <w:szCs w:val="20"/>
              </w:rPr>
            </w:pPr>
            <w:r>
              <w:rPr>
                <w:sz w:val="20"/>
              </w:rPr>
              <w:t>21 304 355</w:t>
            </w:r>
          </w:p>
        </w:tc>
      </w:tr>
      <w:tr w:rsidR="008F612B" w:rsidRPr="0062118D" w14:paraId="219E7073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3D17" w14:textId="77777777" w:rsidR="008F612B" w:rsidRPr="003E0AC3" w:rsidRDefault="008F612B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>
              <w:rPr>
                <w:sz w:val="20"/>
              </w:rPr>
              <w:t>Rezerwa na koniec roku, dostępna po dniu 1 października (-)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D756B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spacing w:val="-2"/>
                <w:sz w:val="20"/>
                <w:szCs w:val="20"/>
              </w:rPr>
            </w:pPr>
            <w:r>
              <w:rPr>
                <w:sz w:val="20"/>
              </w:rPr>
              <w:t>297 601 483</w:t>
            </w:r>
          </w:p>
        </w:tc>
      </w:tr>
      <w:tr w:rsidR="008F612B" w:rsidRPr="0062118D" w14:paraId="23DAA0A1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CB8CD" w14:textId="77777777" w:rsidR="008F612B" w:rsidRPr="003E0AC3" w:rsidRDefault="008F612B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>
              <w:rPr>
                <w:sz w:val="20"/>
              </w:rPr>
              <w:t>Całkowita kwota obecnie dostępna przed dniem 1 października, w tym: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A862F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spacing w:val="-2"/>
                <w:sz w:val="20"/>
                <w:szCs w:val="20"/>
              </w:rPr>
            </w:pPr>
            <w:r>
              <w:rPr>
                <w:sz w:val="20"/>
              </w:rPr>
              <w:t>914 108 803</w:t>
            </w:r>
          </w:p>
        </w:tc>
      </w:tr>
      <w:tr w:rsidR="008F612B" w:rsidRPr="0062118D" w14:paraId="36A43F47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0F504" w14:textId="77777777" w:rsidR="008F612B" w:rsidRPr="003E0AC3" w:rsidRDefault="008F612B">
            <w:pPr>
              <w:pStyle w:val="TableParagraph"/>
              <w:tabs>
                <w:tab w:val="left" w:pos="802"/>
              </w:tabs>
              <w:kinsoku w:val="0"/>
              <w:overflowPunct w:val="0"/>
              <w:spacing w:before="60" w:line="210" w:lineRule="exact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</w:rPr>
              <w:t>Kwota do wykorzystania na ewentualne zaliczki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5A97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spacing w:val="-2"/>
                <w:sz w:val="20"/>
                <w:szCs w:val="20"/>
              </w:rPr>
            </w:pPr>
            <w:r>
              <w:rPr>
                <w:sz w:val="20"/>
              </w:rPr>
              <w:t>70 854 849</w:t>
            </w:r>
          </w:p>
        </w:tc>
      </w:tr>
      <w:tr w:rsidR="008F612B" w:rsidRPr="0062118D" w14:paraId="0AF0DD5E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C5A43" w14:textId="77777777" w:rsidR="008F612B" w:rsidRPr="003E0AC3" w:rsidRDefault="008F612B">
            <w:pPr>
              <w:pStyle w:val="TableParagraph"/>
              <w:tabs>
                <w:tab w:val="left" w:pos="802"/>
              </w:tabs>
              <w:kinsoku w:val="0"/>
              <w:overflowPunct w:val="0"/>
              <w:spacing w:before="60" w:line="210" w:lineRule="exact"/>
              <w:ind w:left="720" w:hanging="360"/>
              <w:rPr>
                <w:sz w:val="20"/>
                <w:szCs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Kwota dostępna na potrzeby obecnej decyzji o uruchomieniu</w:t>
            </w:r>
            <w:r w:rsidRPr="0062118D">
              <w:rPr>
                <w:rStyle w:val="FootnoteReference"/>
                <w:sz w:val="20"/>
                <w:szCs w:val="20"/>
              </w:rPr>
              <w:footnoteReference w:id="19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FA385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b/>
                <w:bCs/>
                <w:spacing w:val="-2"/>
                <w:sz w:val="20"/>
                <w:szCs w:val="20"/>
              </w:rPr>
            </w:pPr>
            <w:r>
              <w:rPr>
                <w:b/>
                <w:sz w:val="20"/>
              </w:rPr>
              <w:t>843 253 954</w:t>
            </w:r>
          </w:p>
        </w:tc>
      </w:tr>
      <w:tr w:rsidR="008F612B" w:rsidRPr="0062118D" w14:paraId="32C02BEF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90D87" w14:textId="77777777" w:rsidR="008F612B" w:rsidRPr="003E0AC3" w:rsidRDefault="008F612B">
            <w:pPr>
              <w:pStyle w:val="TableParagraph"/>
              <w:kinsoku w:val="0"/>
              <w:overflowPunct w:val="0"/>
              <w:ind w:left="720" w:hanging="360"/>
              <w:rPr>
                <w:b/>
                <w:bCs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b/>
                <w:sz w:val="20"/>
              </w:rPr>
              <w:t>Kwota, którą proponuje się uruchomić, wyłącznie saldo do zapłaty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8DE97" w14:textId="77777777" w:rsidR="008F612B" w:rsidRPr="0062118D" w:rsidRDefault="008F612B">
            <w:pPr>
              <w:pStyle w:val="TableParagraph"/>
              <w:kinsoku w:val="0"/>
              <w:overflowPunct w:val="0"/>
              <w:ind w:right="93"/>
              <w:jc w:val="right"/>
              <w:rPr>
                <w:b/>
                <w:bCs/>
                <w:spacing w:val="-2"/>
                <w:sz w:val="20"/>
                <w:szCs w:val="20"/>
              </w:rPr>
            </w:pPr>
            <w:r>
              <w:rPr>
                <w:b/>
                <w:sz w:val="20"/>
              </w:rPr>
              <w:t>111 644 577</w:t>
            </w:r>
          </w:p>
        </w:tc>
      </w:tr>
      <w:tr w:rsidR="008F612B" w:rsidRPr="0062118D" w14:paraId="26E5ED7E" w14:textId="77777777" w:rsidTr="008F612B">
        <w:trPr>
          <w:trHeight w:val="289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4AF1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AE3C" w14:textId="77777777" w:rsidR="008F612B" w:rsidRPr="0062118D" w:rsidRDefault="008F612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  <w:tr w:rsidR="008F612B" w:rsidRPr="0062118D" w14:paraId="313BE918" w14:textId="77777777" w:rsidTr="008F612B">
        <w:trPr>
          <w:trHeight w:val="290"/>
        </w:trPr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CF5E" w14:textId="77777777" w:rsidR="008F612B" w:rsidRPr="003E0AC3" w:rsidRDefault="008F612B">
            <w:pPr>
              <w:pStyle w:val="TableParagraph"/>
              <w:kinsoku w:val="0"/>
              <w:overflowPunct w:val="0"/>
              <w:ind w:left="107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</w:rPr>
              <w:t>Pozostała kwota na przyszłe wnioski, w tym zaliczki i rezerwa na koniec roku</w:t>
            </w:r>
            <w:r w:rsidRPr="0062118D">
              <w:rPr>
                <w:rStyle w:val="FootnoteReference"/>
                <w:b/>
                <w:bCs/>
                <w:sz w:val="20"/>
                <w:szCs w:val="20"/>
              </w:rPr>
              <w:footnoteReference w:id="20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43CC3" w14:textId="77777777" w:rsidR="008F612B" w:rsidRPr="0062118D" w:rsidRDefault="008F612B">
            <w:pPr>
              <w:pStyle w:val="TableParagraph"/>
              <w:kinsoku w:val="0"/>
              <w:overflowPunct w:val="0"/>
              <w:ind w:right="94"/>
              <w:jc w:val="right"/>
              <w:rPr>
                <w:b/>
                <w:bCs/>
                <w:spacing w:val="-2"/>
                <w:sz w:val="20"/>
                <w:szCs w:val="20"/>
              </w:rPr>
            </w:pPr>
            <w:r>
              <w:rPr>
                <w:b/>
                <w:sz w:val="20"/>
              </w:rPr>
              <w:t>1 100 065 709</w:t>
            </w:r>
          </w:p>
        </w:tc>
      </w:tr>
    </w:tbl>
    <w:p w14:paraId="626A18E8" w14:textId="77777777" w:rsidR="008F612B" w:rsidRPr="0062118D" w:rsidRDefault="008F612B" w:rsidP="008F612B">
      <w:pPr>
        <w:pStyle w:val="NormalHanging12a"/>
        <w:rPr>
          <w:sz w:val="28"/>
          <w:szCs w:val="22"/>
        </w:rPr>
      </w:pPr>
    </w:p>
    <w:p w14:paraId="1B4A584C" w14:textId="77777777" w:rsidR="008F612B" w:rsidRPr="003E0AC3" w:rsidRDefault="008F612B" w:rsidP="008F612B">
      <w:pPr>
        <w:rPr>
          <w:b/>
          <w:bCs/>
          <w:i/>
          <w:iCs/>
        </w:rPr>
      </w:pPr>
      <w:r>
        <w:rPr>
          <w:b/>
          <w:i/>
        </w:rPr>
        <w:t xml:space="preserve">Sprawozdawca popiera szybkie przyjęcie wniosku Komisji dotyczącego decyzji załączonego do niniejszego sprawozdania oraz szybkie uruchomienie odpowiedniej pomocy finansowej, na znak europejskiej solidarności z Rumunią, Cyprem i Hiszpanią. </w:t>
      </w:r>
    </w:p>
    <w:p w14:paraId="0E2A1130" w14:textId="77777777" w:rsidR="008F612B" w:rsidRPr="000C32A3" w:rsidRDefault="008F612B" w:rsidP="008F612B">
      <w:pPr>
        <w:rPr>
          <w:b/>
          <w:bCs/>
          <w:i/>
          <w:iCs/>
        </w:rPr>
      </w:pPr>
    </w:p>
    <w:p w14:paraId="7EE20D0A" w14:textId="77777777" w:rsidR="008F612B" w:rsidRPr="003E0AC3" w:rsidRDefault="008F612B" w:rsidP="008F612B">
      <w:pPr>
        <w:rPr>
          <w:b/>
          <w:bCs/>
          <w:i/>
          <w:iCs/>
        </w:rPr>
      </w:pPr>
      <w:r>
        <w:rPr>
          <w:b/>
          <w:i/>
        </w:rPr>
        <w:t>Sprawozdawca apeluje do Komisji o szczególnie pilne przekazanie tego wkładu finansowego.</w:t>
      </w:r>
    </w:p>
    <w:p w14:paraId="411B3816" w14:textId="77777777" w:rsidR="008F612B" w:rsidRPr="000C32A3" w:rsidRDefault="008F612B" w:rsidP="008F612B">
      <w:pPr>
        <w:pStyle w:val="NormalHanging12a"/>
        <w:rPr>
          <w:sz w:val="28"/>
          <w:szCs w:val="22"/>
        </w:rPr>
      </w:pPr>
    </w:p>
    <w:p w14:paraId="189745D3" w14:textId="77777777" w:rsidR="008F612B" w:rsidRPr="000C32A3" w:rsidRDefault="008F612B">
      <w:pPr>
        <w:widowControl/>
        <w:sectPr w:rsidR="008F612B" w:rsidRPr="000C32A3" w:rsidSect="003E0AC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492B835" w14:textId="7E5E5E1B" w:rsidR="008F612B" w:rsidRPr="000C32A3" w:rsidRDefault="008F612B">
      <w:pPr>
        <w:widowControl/>
      </w:pPr>
    </w:p>
    <w:p w14:paraId="46D5C128" w14:textId="2670F190" w:rsidR="008F612B" w:rsidRPr="003E0AC3" w:rsidRDefault="008F612B" w:rsidP="007041CC">
      <w:pPr>
        <w:pStyle w:val="PageHeading"/>
        <w:rPr>
          <w:noProof/>
        </w:rPr>
      </w:pPr>
      <w:bookmarkStart w:id="5" w:name="FootprintPageRR"/>
      <w:bookmarkStart w:id="6" w:name="_Toc233883357"/>
      <w:r>
        <w:t>ZAŁĄCZNIK: WYKAZ PODMIOTÓW, OD KTÓRYCH SPRAWOZDAWCA OTRZYMAŁ INFORMACJE</w:t>
      </w:r>
      <w:bookmarkEnd w:id="6"/>
    </w:p>
    <w:p w14:paraId="2C320E35" w14:textId="3012F23A" w:rsidR="008F612B" w:rsidRPr="003E0AC3" w:rsidRDefault="008F612B" w:rsidP="00B31C6A">
      <w:pPr>
        <w:pStyle w:val="Normal24a"/>
        <w:spacing w:after="240"/>
      </w:pPr>
      <w:r w:rsidRPr="000C32A3">
        <w:rPr>
          <w:rStyle w:val="HideTWBExt"/>
        </w:rPr>
        <w:t>&lt;FootprintIntro&gt;</w:t>
      </w:r>
      <w:r>
        <w:t>Sprawozdawca oświadcza na swoją wyłączną odpowiedzialność, że nie ujął w swoim sprawozdaniu żadnych informacji od przedstawicieli grup interesu objętych zakresem porozumienia międzyinstytucjonalnego w sprawie obowiązkowego rejestru służącego przejrzystości</w:t>
      </w:r>
      <w:r w:rsidRPr="0062118D">
        <w:rPr>
          <w:rStyle w:val="FootnoteReference"/>
        </w:rPr>
        <w:footnoteReference w:id="21"/>
      </w:r>
      <w:r>
        <w:t xml:space="preserve"> ani od przedstawicieli organów publicznych państw trzecich, w tym ich misji dyplomatycznych i ambasad, których należy wskazać w tym załączniku zgodnie z art. 8 załącznika I do Regulaminu.</w:t>
      </w:r>
      <w:r w:rsidRPr="000C32A3">
        <w:rPr>
          <w:rStyle w:val="HideTWBExt"/>
        </w:rPr>
        <w:t>&lt;/FootprintIntro&gt;</w:t>
      </w:r>
    </w:p>
    <w:bookmarkEnd w:id="5"/>
    <w:p w14:paraId="1C8299DB" w14:textId="59552306" w:rsidR="00476C35" w:rsidRPr="000C32A3" w:rsidRDefault="00476C35" w:rsidP="008F612B"/>
    <w:p w14:paraId="09913D64" w14:textId="77777777" w:rsidR="008F612B" w:rsidRPr="000C32A3" w:rsidRDefault="008F612B" w:rsidP="008F612B">
      <w:pPr>
        <w:sectPr w:rsidR="008F612B" w:rsidRPr="000C32A3" w:rsidSect="003E0AC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72F0DE9" w14:textId="7E35C9C6" w:rsidR="008F612B" w:rsidRPr="003E0AC3" w:rsidRDefault="008F612B" w:rsidP="008F612B">
      <w:pPr>
        <w:pStyle w:val="PageHeading"/>
      </w:pPr>
      <w:bookmarkStart w:id="7" w:name="ProcPageRR"/>
      <w:bookmarkStart w:id="8" w:name="_Toc233883358"/>
      <w:r>
        <w:lastRenderedPageBreak/>
        <w:t>INFORMACJE O PRZYJĘCIU</w:t>
      </w:r>
      <w:r>
        <w:br/>
        <w:t>PRZEZ KOMISJĘ PRZEDMIOTOWO WŁAŚCIWĄ</w:t>
      </w:r>
      <w:bookmarkEnd w:id="8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8F612B" w:rsidRPr="0062118D" w14:paraId="02CFDC72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358AF8" w14:textId="77777777" w:rsidR="008F612B" w:rsidRPr="0062118D" w:rsidRDefault="008F61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213870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23.6.2026</w:t>
            </w:r>
            <w:proofErr w:type="gramEnd"/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7F13B3" w14:textId="77777777" w:rsidR="008F612B" w:rsidRPr="0062118D" w:rsidRDefault="008F612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23B342" w14:textId="77777777" w:rsidR="008F612B" w:rsidRPr="0062118D" w:rsidRDefault="008F612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7A0E722" w14:textId="77777777" w:rsidR="008F612B" w:rsidRPr="0062118D" w:rsidRDefault="008F612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8F612B" w:rsidRPr="0062118D" w14:paraId="49707A9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48B3C3" w14:textId="77777777" w:rsidR="008F612B" w:rsidRPr="0062118D" w:rsidRDefault="008F61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F254272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4372CA88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25D0A950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FC16BD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</w:t>
            </w:r>
          </w:p>
          <w:p w14:paraId="72011EBC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  <w:p w14:paraId="3004F67A" w14:textId="77777777" w:rsidR="008F612B" w:rsidRPr="0062118D" w:rsidRDefault="008F612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14:paraId="7B1CC022" w14:textId="77777777" w:rsidR="008F612B" w:rsidRPr="003E0AC3" w:rsidRDefault="008F612B" w:rsidP="003E0AC3"/>
    <w:bookmarkEnd w:id="7"/>
    <w:p w14:paraId="114D9A42" w14:textId="77777777" w:rsidR="003E0AC3" w:rsidRDefault="003E0AC3" w:rsidP="008F612B">
      <w:pPr>
        <w:sectPr w:rsidR="003E0AC3" w:rsidSect="003E0AC3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0DF9D3F6" w14:textId="67A708D0" w:rsidR="003E0AC3" w:rsidRPr="0099178F" w:rsidRDefault="003E0AC3" w:rsidP="008B71C9">
      <w:pPr>
        <w:pStyle w:val="PageHeading"/>
      </w:pPr>
      <w:bookmarkStart w:id="9" w:name="RollCallPageRR"/>
      <w:bookmarkStart w:id="10" w:name="_Toc233883359"/>
      <w:r>
        <w:lastRenderedPageBreak/>
        <w:t>GŁOSOWANIE KOŃCOWE W FORMIE GŁOSOWANIA IMIENNEGO</w:t>
      </w:r>
      <w:r>
        <w:br/>
        <w:t>W KOMISJI PRZEDMIOTOWO WŁAŚCIWEJ</w:t>
      </w:r>
      <w:bookmarkEnd w:id="10"/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0AC3" w:rsidRPr="0062118D" w14:paraId="5D9414AA" w14:textId="77777777" w:rsidTr="00CF53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FE3F7B2" w14:textId="77777777" w:rsidR="003E0AC3" w:rsidRPr="0062118D" w:rsidRDefault="003E0AC3" w:rsidP="00CF53C7">
            <w:pPr>
              <w:pStyle w:val="RollCallVotes"/>
            </w:pPr>
            <w:r>
              <w:t>31</w:t>
            </w:r>
          </w:p>
        </w:tc>
        <w:tc>
          <w:tcPr>
            <w:tcW w:w="7371" w:type="dxa"/>
            <w:shd w:val="pct10" w:color="000000" w:fill="FFFFFF"/>
          </w:tcPr>
          <w:p w14:paraId="67A26F48" w14:textId="77777777" w:rsidR="003E0AC3" w:rsidRPr="0062118D" w:rsidRDefault="003E0AC3" w:rsidP="00CF53C7">
            <w:pPr>
              <w:pStyle w:val="RollCallSymbols14pt"/>
            </w:pPr>
            <w:r>
              <w:t>+</w:t>
            </w:r>
          </w:p>
        </w:tc>
      </w:tr>
      <w:tr w:rsidR="003E0AC3" w:rsidRPr="0062118D" w14:paraId="654156E0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14E9B319" w14:textId="77777777" w:rsidR="003E0AC3" w:rsidRPr="0062118D" w:rsidRDefault="003E0AC3" w:rsidP="00CF53C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64888ACA" w14:textId="77777777" w:rsidR="003E0AC3" w:rsidRPr="0062118D" w:rsidRDefault="003E0AC3" w:rsidP="00CF53C7">
            <w:pPr>
              <w:pStyle w:val="RollCallTable"/>
            </w:pPr>
            <w:r>
              <w:t>Tobiasz Bocheński, Arkadiusz Mularczyk, Bogdan Rzońca</w:t>
            </w:r>
          </w:p>
        </w:tc>
      </w:tr>
      <w:tr w:rsidR="003E0AC3" w:rsidRPr="0062118D" w14:paraId="7289944F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16AEB402" w14:textId="77777777" w:rsidR="003E0AC3" w:rsidRPr="0062118D" w:rsidRDefault="003E0AC3" w:rsidP="00CF53C7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473C6207" w14:textId="77777777" w:rsidR="003E0AC3" w:rsidRPr="0062118D" w:rsidRDefault="003E0AC3" w:rsidP="00CF53C7">
            <w:pPr>
              <w:pStyle w:val="RollCallTable"/>
            </w:pPr>
            <w:r>
              <w:t xml:space="preserve">Alexander </w:t>
            </w:r>
            <w:proofErr w:type="spellStart"/>
            <w:r>
              <w:t>Jungbluth</w:t>
            </w:r>
            <w:proofErr w:type="spellEnd"/>
          </w:p>
        </w:tc>
      </w:tr>
      <w:tr w:rsidR="003E0AC3" w:rsidRPr="0062118D" w14:paraId="553AA373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230B9EE0" w14:textId="77777777" w:rsidR="003E0AC3" w:rsidRPr="0062118D" w:rsidRDefault="003E0AC3" w:rsidP="00CF53C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0FDABABD" w14:textId="77777777" w:rsidR="003E0AC3" w:rsidRPr="0062118D" w:rsidRDefault="003E0AC3" w:rsidP="00CF53C7">
            <w:pPr>
              <w:pStyle w:val="RollCallTable"/>
            </w:pPr>
            <w:r>
              <w:t xml:space="preserve">Thomas </w:t>
            </w:r>
            <w:proofErr w:type="spellStart"/>
            <w:r>
              <w:t>Geisel</w:t>
            </w:r>
            <w:proofErr w:type="spellEnd"/>
          </w:p>
        </w:tc>
      </w:tr>
      <w:tr w:rsidR="003E0AC3" w:rsidRPr="0062118D" w14:paraId="4209DAE7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459D54DC" w14:textId="77777777" w:rsidR="003E0AC3" w:rsidRPr="0062118D" w:rsidRDefault="003E0AC3" w:rsidP="00CF53C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3FCD4CD8" w14:textId="77777777" w:rsidR="003E0AC3" w:rsidRPr="0062118D" w:rsidRDefault="003E0AC3" w:rsidP="00CF53C7">
            <w:pPr>
              <w:pStyle w:val="RollCallTable"/>
            </w:pPr>
            <w:r>
              <w:t xml:space="preserve">Isabel </w:t>
            </w:r>
            <w:proofErr w:type="spellStart"/>
            <w:r>
              <w:t>Benjumea</w:t>
            </w:r>
            <w:proofErr w:type="spellEnd"/>
            <w:r>
              <w:t xml:space="preserve"> </w:t>
            </w:r>
            <w:proofErr w:type="spellStart"/>
            <w:r>
              <w:t>Benjumea</w:t>
            </w:r>
            <w:proofErr w:type="spellEnd"/>
            <w:r>
              <w:t xml:space="preserve">, Michalis </w:t>
            </w:r>
            <w:proofErr w:type="spellStart"/>
            <w:r>
              <w:t>Hadjipantela</w:t>
            </w:r>
            <w:proofErr w:type="spellEnd"/>
            <w:r>
              <w:t xml:space="preserve">, Andrzej Halicki, Monika </w:t>
            </w:r>
            <w:proofErr w:type="spellStart"/>
            <w:r>
              <w:t>Hohlmeier</w:t>
            </w:r>
            <w:proofErr w:type="spellEnd"/>
            <w:r>
              <w:t xml:space="preserve">, Janusz Lewandowski, Gabriel Mato, </w:t>
            </w:r>
            <w:proofErr w:type="spellStart"/>
            <w:r>
              <w:t>Karlo</w:t>
            </w:r>
            <w:proofErr w:type="spellEnd"/>
            <w:r>
              <w:t xml:space="preserve"> </w:t>
            </w:r>
            <w:proofErr w:type="spellStart"/>
            <w:r>
              <w:t>Ressler</w:t>
            </w:r>
            <w:proofErr w:type="spellEnd"/>
            <w:r>
              <w:t xml:space="preserve">, </w:t>
            </w:r>
            <w:proofErr w:type="spellStart"/>
            <w:r>
              <w:t>Hélder</w:t>
            </w:r>
            <w:proofErr w:type="spellEnd"/>
            <w:r>
              <w:t xml:space="preserve"> </w:t>
            </w:r>
            <w:proofErr w:type="spellStart"/>
            <w:r>
              <w:t>Sousa</w:t>
            </w:r>
            <w:proofErr w:type="spellEnd"/>
            <w:r>
              <w:t xml:space="preserve"> Silva</w:t>
            </w:r>
          </w:p>
        </w:tc>
      </w:tr>
      <w:tr w:rsidR="003E0AC3" w:rsidRPr="0062118D" w14:paraId="2194AAFD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0F1FA0FE" w14:textId="77777777" w:rsidR="003E0AC3" w:rsidRPr="0062118D" w:rsidRDefault="003E0AC3" w:rsidP="00CF53C7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B6FF847" w14:textId="77777777" w:rsidR="003E0AC3" w:rsidRPr="0062118D" w:rsidRDefault="003E0AC3" w:rsidP="00CF53C7">
            <w:pPr>
              <w:pStyle w:val="RollCallTable"/>
            </w:pPr>
            <w:r>
              <w:t xml:space="preserve">Tomasz Buczek, </w:t>
            </w:r>
            <w:proofErr w:type="spellStart"/>
            <w:r>
              <w:t>Valérie</w:t>
            </w:r>
            <w:proofErr w:type="spellEnd"/>
            <w:r>
              <w:t xml:space="preserve"> </w:t>
            </w:r>
            <w:proofErr w:type="spellStart"/>
            <w:r>
              <w:t>Deloge</w:t>
            </w:r>
            <w:proofErr w:type="spellEnd"/>
            <w:r>
              <w:t xml:space="preserve">, </w:t>
            </w:r>
            <w:proofErr w:type="spellStart"/>
            <w:r>
              <w:t>Tamás</w:t>
            </w:r>
            <w:proofErr w:type="spellEnd"/>
            <w:r>
              <w:t xml:space="preserve"> </w:t>
            </w:r>
            <w:proofErr w:type="spellStart"/>
            <w:r>
              <w:t>Deutsch</w:t>
            </w:r>
            <w:proofErr w:type="spellEnd"/>
            <w:r>
              <w:t xml:space="preserve">, </w:t>
            </w:r>
            <w:proofErr w:type="spellStart"/>
            <w:r>
              <w:t>Aleksandar</w:t>
            </w:r>
            <w:proofErr w:type="spellEnd"/>
            <w:r>
              <w:t xml:space="preserve"> </w:t>
            </w:r>
            <w:proofErr w:type="spellStart"/>
            <w:r>
              <w:t>Nikolic</w:t>
            </w:r>
            <w:proofErr w:type="spellEnd"/>
            <w:r>
              <w:t xml:space="preserve">, </w:t>
            </w:r>
            <w:proofErr w:type="spellStart"/>
            <w:r>
              <w:t>Antonín</w:t>
            </w:r>
            <w:proofErr w:type="spellEnd"/>
            <w:r>
              <w:t xml:space="preserve"> </w:t>
            </w:r>
            <w:proofErr w:type="spellStart"/>
            <w:r>
              <w:t>Staněk</w:t>
            </w:r>
            <w:proofErr w:type="spellEnd"/>
          </w:p>
        </w:tc>
      </w:tr>
      <w:tr w:rsidR="003E0AC3" w:rsidRPr="000C32A3" w14:paraId="2B76018E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5F7074AA" w14:textId="77777777" w:rsidR="003E0AC3" w:rsidRPr="0062118D" w:rsidRDefault="003E0AC3" w:rsidP="00CF53C7">
            <w:pPr>
              <w:pStyle w:val="RollCallTable"/>
            </w:pPr>
            <w:proofErr w:type="spellStart"/>
            <w: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83885E8" w14:textId="77777777" w:rsidR="003E0AC3" w:rsidRPr="000C32A3" w:rsidRDefault="003E0AC3" w:rsidP="00CF53C7">
            <w:pPr>
              <w:pStyle w:val="RollCallTable"/>
              <w:rPr>
                <w:lang w:val="es-ES"/>
              </w:rPr>
            </w:pPr>
            <w:r w:rsidRPr="000C32A3">
              <w:rPr>
                <w:lang w:val="es-ES"/>
              </w:rPr>
              <w:t xml:space="preserve">Olivier </w:t>
            </w:r>
            <w:proofErr w:type="spellStart"/>
            <w:r w:rsidRPr="000C32A3">
              <w:rPr>
                <w:lang w:val="es-ES"/>
              </w:rPr>
              <w:t>Chastel</w:t>
            </w:r>
            <w:proofErr w:type="spellEnd"/>
            <w:r w:rsidRPr="000C32A3">
              <w:rPr>
                <w:lang w:val="es-ES"/>
              </w:rPr>
              <w:t xml:space="preserve">, </w:t>
            </w:r>
            <w:proofErr w:type="spellStart"/>
            <w:r w:rsidRPr="000C32A3">
              <w:rPr>
                <w:lang w:val="es-ES"/>
              </w:rPr>
              <w:t>Fabienne</w:t>
            </w:r>
            <w:proofErr w:type="spellEnd"/>
            <w:r w:rsidRPr="000C32A3">
              <w:rPr>
                <w:lang w:val="es-ES"/>
              </w:rPr>
              <w:t xml:space="preserve"> Keller, Lucia </w:t>
            </w:r>
            <w:proofErr w:type="spellStart"/>
            <w:r w:rsidRPr="000C32A3">
              <w:rPr>
                <w:lang w:val="es-ES"/>
              </w:rPr>
              <w:t>Yar</w:t>
            </w:r>
            <w:proofErr w:type="spellEnd"/>
          </w:p>
        </w:tc>
      </w:tr>
      <w:tr w:rsidR="003E0AC3" w:rsidRPr="0062118D" w14:paraId="76739AF9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69266A31" w14:textId="77777777" w:rsidR="003E0AC3" w:rsidRPr="0062118D" w:rsidRDefault="003E0AC3" w:rsidP="00CF53C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01C4D031" w14:textId="77777777" w:rsidR="003E0AC3" w:rsidRPr="0062118D" w:rsidRDefault="003E0AC3" w:rsidP="00CF53C7">
            <w:pPr>
              <w:pStyle w:val="RollCallTable"/>
            </w:pPr>
            <w:proofErr w:type="spellStart"/>
            <w:r>
              <w:t>Matthias</w:t>
            </w:r>
            <w:proofErr w:type="spellEnd"/>
            <w:r>
              <w:t xml:space="preserve"> </w:t>
            </w:r>
            <w:proofErr w:type="spellStart"/>
            <w:r>
              <w:t>Ecke</w:t>
            </w:r>
            <w:proofErr w:type="spellEnd"/>
            <w:r>
              <w:t xml:space="preserve">, </w:t>
            </w:r>
            <w:proofErr w:type="spellStart"/>
            <w:r>
              <w:t>Nikolas</w:t>
            </w:r>
            <w:proofErr w:type="spellEnd"/>
            <w:r>
              <w:t xml:space="preserve"> </w:t>
            </w:r>
            <w:proofErr w:type="spellStart"/>
            <w:r>
              <w:t>Farantouris</w:t>
            </w:r>
            <w:proofErr w:type="spellEnd"/>
            <w:r>
              <w:t>, Jean-</w:t>
            </w:r>
            <w:proofErr w:type="spellStart"/>
            <w:r>
              <w:t>Marc</w:t>
            </w:r>
            <w:proofErr w:type="spellEnd"/>
            <w:r>
              <w:t xml:space="preserve"> Germain, </w:t>
            </w:r>
            <w:proofErr w:type="spellStart"/>
            <w:r>
              <w:t>Murielle</w:t>
            </w:r>
            <w:proofErr w:type="spellEnd"/>
            <w:r>
              <w:t xml:space="preserve"> Laurent, Victor </w:t>
            </w:r>
            <w:proofErr w:type="spellStart"/>
            <w:r>
              <w:t>Negrescu</w:t>
            </w:r>
            <w:proofErr w:type="spellEnd"/>
            <w:r>
              <w:t xml:space="preserve">, </w:t>
            </w:r>
            <w:proofErr w:type="spellStart"/>
            <w:r>
              <w:t>Nils</w:t>
            </w:r>
            <w:proofErr w:type="spellEnd"/>
            <w:r>
              <w:t xml:space="preserve"> </w:t>
            </w:r>
            <w:proofErr w:type="spellStart"/>
            <w:r>
              <w:t>Ušakovs</w:t>
            </w:r>
            <w:proofErr w:type="spellEnd"/>
          </w:p>
        </w:tc>
      </w:tr>
      <w:tr w:rsidR="003E0AC3" w:rsidRPr="0062118D" w14:paraId="3D87D358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4C0D44FC" w14:textId="77777777" w:rsidR="003E0AC3" w:rsidRPr="0062118D" w:rsidRDefault="003E0AC3" w:rsidP="00CF53C7">
            <w:pPr>
              <w:pStyle w:val="RollCallTable"/>
            </w:pPr>
            <w:r>
              <w:t xml:space="preserve">The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341C5223" w14:textId="77777777" w:rsidR="003E0AC3" w:rsidRPr="0062118D" w:rsidRDefault="003E0AC3" w:rsidP="00CF53C7">
            <w:pPr>
              <w:pStyle w:val="RollCallTable"/>
            </w:pPr>
            <w:proofErr w:type="spellStart"/>
            <w:r>
              <w:t>João</w:t>
            </w:r>
            <w:proofErr w:type="spellEnd"/>
            <w:r>
              <w:t xml:space="preserve"> Oliveira</w:t>
            </w:r>
          </w:p>
        </w:tc>
      </w:tr>
      <w:tr w:rsidR="003E0AC3" w:rsidRPr="000C32A3" w14:paraId="7859FF35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1EC3AD83" w14:textId="77777777" w:rsidR="003E0AC3" w:rsidRPr="0062118D" w:rsidRDefault="003E0AC3" w:rsidP="00CF53C7">
            <w:pPr>
              <w:pStyle w:val="RollCallTable"/>
            </w:pPr>
            <w:proofErr w:type="spellStart"/>
            <w:r>
              <w:t>Verts</w:t>
            </w:r>
            <w:proofErr w:type="spellEnd"/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14:paraId="53E44C8F" w14:textId="77777777" w:rsidR="003E0AC3" w:rsidRPr="000C32A3" w:rsidRDefault="003E0AC3" w:rsidP="00CF53C7">
            <w:pPr>
              <w:pStyle w:val="RollCallTable"/>
              <w:rPr>
                <w:lang w:val="it-IT"/>
              </w:rPr>
            </w:pPr>
            <w:r w:rsidRPr="000C32A3">
              <w:rPr>
                <w:lang w:val="it-IT"/>
              </w:rPr>
              <w:t xml:space="preserve">Ignazio Roberto Marino, Rasmus </w:t>
            </w:r>
            <w:proofErr w:type="spellStart"/>
            <w:r w:rsidRPr="000C32A3">
              <w:rPr>
                <w:lang w:val="it-IT"/>
              </w:rPr>
              <w:t>Nordqvist</w:t>
            </w:r>
            <w:proofErr w:type="spellEnd"/>
            <w:r w:rsidRPr="000C32A3">
              <w:rPr>
                <w:lang w:val="it-IT"/>
              </w:rPr>
              <w:t xml:space="preserve">, Nicolae </w:t>
            </w:r>
            <w:proofErr w:type="spellStart"/>
            <w:r w:rsidRPr="000C32A3">
              <w:rPr>
                <w:lang w:val="it-IT"/>
              </w:rPr>
              <w:t>Ștefănuță</w:t>
            </w:r>
            <w:proofErr w:type="spellEnd"/>
          </w:p>
        </w:tc>
      </w:tr>
    </w:tbl>
    <w:p w14:paraId="2FA09EB9" w14:textId="77777777" w:rsidR="003E0AC3" w:rsidRPr="003E0AC3" w:rsidRDefault="003E0AC3" w:rsidP="003E0AC3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0AC3" w:rsidRPr="0062118D" w14:paraId="549175AA" w14:textId="77777777" w:rsidTr="00CF53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FF5EC75" w14:textId="77777777" w:rsidR="003E0AC3" w:rsidRPr="0062118D" w:rsidRDefault="003E0AC3" w:rsidP="00CF53C7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14:paraId="587D28C2" w14:textId="77777777" w:rsidR="003E0AC3" w:rsidRPr="0062118D" w:rsidRDefault="003E0AC3" w:rsidP="00CF53C7">
            <w:pPr>
              <w:pStyle w:val="RollCallSymbols14pt"/>
            </w:pPr>
            <w:r>
              <w:t>-</w:t>
            </w:r>
          </w:p>
        </w:tc>
      </w:tr>
      <w:tr w:rsidR="003E0AC3" w:rsidRPr="0062118D" w14:paraId="06046CE9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6B5BD6C4" w14:textId="77777777" w:rsidR="003E0AC3" w:rsidRPr="0062118D" w:rsidRDefault="003E0AC3" w:rsidP="00CF53C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3D4B1F81" w14:textId="77777777" w:rsidR="003E0AC3" w:rsidRPr="0062118D" w:rsidRDefault="003E0AC3" w:rsidP="00CF53C7">
            <w:pPr>
              <w:pStyle w:val="RollCallTable"/>
            </w:pPr>
          </w:p>
        </w:tc>
      </w:tr>
    </w:tbl>
    <w:p w14:paraId="72D2E056" w14:textId="77777777" w:rsidR="003E0AC3" w:rsidRPr="0062118D" w:rsidRDefault="003E0AC3" w:rsidP="003E0AC3"/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0AC3" w:rsidRPr="0062118D" w14:paraId="1C0196E9" w14:textId="77777777" w:rsidTr="00CF53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EF53E34" w14:textId="77777777" w:rsidR="003E0AC3" w:rsidRPr="0062118D" w:rsidRDefault="003E0AC3" w:rsidP="00CF53C7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14:paraId="41600737" w14:textId="77777777" w:rsidR="003E0AC3" w:rsidRPr="0062118D" w:rsidRDefault="003E0AC3" w:rsidP="00CF53C7">
            <w:pPr>
              <w:pStyle w:val="RollCallSymbols14pt"/>
            </w:pPr>
            <w:r>
              <w:t>0</w:t>
            </w:r>
          </w:p>
        </w:tc>
      </w:tr>
      <w:tr w:rsidR="003E0AC3" w:rsidRPr="0062118D" w14:paraId="2819A977" w14:textId="77777777" w:rsidTr="00CF53C7">
        <w:trPr>
          <w:cantSplit/>
        </w:trPr>
        <w:tc>
          <w:tcPr>
            <w:tcW w:w="1701" w:type="dxa"/>
            <w:shd w:val="clear" w:color="auto" w:fill="FFFFFF"/>
          </w:tcPr>
          <w:p w14:paraId="04071887" w14:textId="77777777" w:rsidR="003E0AC3" w:rsidRPr="0062118D" w:rsidRDefault="003E0AC3" w:rsidP="00CF53C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14:paraId="1F44A925" w14:textId="77777777" w:rsidR="003E0AC3" w:rsidRPr="0062118D" w:rsidRDefault="003E0AC3" w:rsidP="00CF53C7">
            <w:pPr>
              <w:pStyle w:val="RollCallTable"/>
            </w:pPr>
          </w:p>
        </w:tc>
      </w:tr>
    </w:tbl>
    <w:p w14:paraId="3AF7DBC9" w14:textId="77777777" w:rsidR="003E0AC3" w:rsidRDefault="003E0AC3" w:rsidP="00147FBF">
      <w:pPr>
        <w:pStyle w:val="Normal12a"/>
      </w:pPr>
    </w:p>
    <w:p w14:paraId="51B78828" w14:textId="7B71B637" w:rsidR="003E0AC3" w:rsidRDefault="003E0AC3" w:rsidP="00B735E3">
      <w:r>
        <w:t>Objaśnienie używanych znaków:</w:t>
      </w:r>
    </w:p>
    <w:p w14:paraId="08EF5415" w14:textId="4088E122" w:rsidR="003E0AC3" w:rsidRDefault="003E0AC3" w:rsidP="001C6342">
      <w:pPr>
        <w:pStyle w:val="RollCallTabs"/>
      </w:pPr>
      <w:r>
        <w:t>+</w:t>
      </w:r>
      <w:r>
        <w:tab/>
        <w:t>:</w:t>
      </w:r>
      <w:r>
        <w:tab/>
        <w:t>za</w:t>
      </w:r>
    </w:p>
    <w:p w14:paraId="60794C2B" w14:textId="3534444A" w:rsidR="003E0AC3" w:rsidRDefault="003E0AC3" w:rsidP="001C6342">
      <w:pPr>
        <w:pStyle w:val="RollCallTabs"/>
      </w:pPr>
      <w:r>
        <w:t>-</w:t>
      </w:r>
      <w:r>
        <w:tab/>
        <w:t>:</w:t>
      </w:r>
      <w:r>
        <w:tab/>
        <w:t>przeciw</w:t>
      </w:r>
    </w:p>
    <w:p w14:paraId="286C03B6" w14:textId="1825857A" w:rsidR="003E0AC3" w:rsidRDefault="003E0AC3" w:rsidP="001C6342">
      <w:pPr>
        <w:pStyle w:val="RollCallTabs"/>
      </w:pPr>
      <w:r>
        <w:t>0</w:t>
      </w:r>
      <w:r>
        <w:tab/>
        <w:t>:</w:t>
      </w:r>
      <w:r>
        <w:tab/>
        <w:t>wstrzymało się</w:t>
      </w:r>
    </w:p>
    <w:p w14:paraId="52D71AC8" w14:textId="77777777" w:rsidR="003E0AC3" w:rsidRDefault="003E0AC3" w:rsidP="00AD5932"/>
    <w:bookmarkEnd w:id="9"/>
    <w:p w14:paraId="25BE1DFD" w14:textId="5FE20DBC" w:rsidR="008F612B" w:rsidRPr="003E0AC3" w:rsidRDefault="008F612B" w:rsidP="008F612B"/>
    <w:sectPr w:rsidR="008F612B" w:rsidRPr="003E0AC3" w:rsidSect="003E0AC3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BA6B" w14:textId="77777777" w:rsidR="00F1300A" w:rsidRPr="0062118D" w:rsidRDefault="00F1300A">
      <w:r w:rsidRPr="0062118D">
        <w:separator/>
      </w:r>
    </w:p>
  </w:endnote>
  <w:endnote w:type="continuationSeparator" w:id="0">
    <w:p w14:paraId="5A9640E7" w14:textId="77777777" w:rsidR="00F1300A" w:rsidRPr="0062118D" w:rsidRDefault="00F1300A">
      <w:r w:rsidRPr="006211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AC30" w14:textId="77777777" w:rsidR="0066788A" w:rsidRPr="0062118D" w:rsidRDefault="0066788A" w:rsidP="0066788A">
    <w:pPr>
      <w:pStyle w:val="EPFooter"/>
    </w:pPr>
    <w:r w:rsidRPr="0062118D">
      <w:t>PE</w:t>
    </w:r>
    <w:r w:rsidRPr="0062118D">
      <w:rPr>
        <w:rStyle w:val="HideTWBExt"/>
      </w:rPr>
      <w:t>&lt;NoPE&gt;</w:t>
    </w:r>
    <w:r w:rsidRPr="0062118D">
      <w:t>789.090</w:t>
    </w:r>
    <w:r w:rsidRPr="0062118D">
      <w:rPr>
        <w:rStyle w:val="HideTWBExt"/>
      </w:rPr>
      <w:t>&lt;/NoPE&gt;&lt;Version&gt;</w:t>
    </w:r>
    <w:r w:rsidRPr="0062118D">
      <w:t>v02-00</w:t>
    </w:r>
    <w:r w:rsidRPr="0062118D">
      <w:rPr>
        <w:rStyle w:val="HideTWBExt"/>
      </w:rPr>
      <w:t>&lt;/Version&gt;</w:t>
    </w:r>
    <w:r w:rsidRPr="0062118D">
      <w:tab/>
    </w:r>
    <w:r w:rsidRPr="0062118D">
      <w:fldChar w:fldCharType="begin"/>
    </w:r>
    <w:r w:rsidRPr="0062118D">
      <w:instrText xml:space="preserve"> PAGE  \* MERGEFORMAT </w:instrText>
    </w:r>
    <w:r w:rsidRPr="0062118D">
      <w:fldChar w:fldCharType="separate"/>
    </w:r>
    <w:r w:rsidRPr="0062118D">
      <w:rPr>
        <w:noProof/>
      </w:rPr>
      <w:t>14</w:t>
    </w:r>
    <w:r w:rsidRPr="0062118D">
      <w:fldChar w:fldCharType="end"/>
    </w:r>
    <w:r w:rsidRPr="0062118D">
      <w:t>/</w:t>
    </w:r>
    <w:fldSimple w:instr=" NUMPAGES  \* MERGEFORMAT ">
      <w:r w:rsidRPr="0062118D">
        <w:rPr>
          <w:noProof/>
        </w:rPr>
        <w:t>14</w:t>
      </w:r>
    </w:fldSimple>
    <w:r w:rsidRPr="0062118D">
      <w:tab/>
    </w:r>
    <w:r w:rsidRPr="0062118D">
      <w:rPr>
        <w:rStyle w:val="HideTWBExt"/>
      </w:rPr>
      <w:t>&lt;PathFdR&gt;</w:t>
    </w:r>
    <w:r w:rsidRPr="0062118D">
      <w:t>RR\1346601PL.docx</w:t>
    </w:r>
    <w:r w:rsidRPr="0062118D">
      <w:rPr>
        <w:rStyle w:val="HideTWBExt"/>
      </w:rPr>
      <w:t>&lt;/PathFdR&gt;</w:t>
    </w:r>
  </w:p>
  <w:p w14:paraId="41705E62" w14:textId="472A4A8E" w:rsidR="00BB725E" w:rsidRPr="0062118D" w:rsidRDefault="0066788A" w:rsidP="0066788A">
    <w:pPr>
      <w:pStyle w:val="EPFooter2"/>
    </w:pPr>
    <w:r w:rsidRPr="0062118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FDDF" w14:textId="77777777" w:rsidR="0066788A" w:rsidRPr="0062118D" w:rsidRDefault="0066788A" w:rsidP="0066788A">
    <w:pPr>
      <w:pStyle w:val="EPFooter"/>
    </w:pPr>
    <w:r w:rsidRPr="0062118D">
      <w:rPr>
        <w:rStyle w:val="HideTWBExt"/>
      </w:rPr>
      <w:t>&lt;PathFdR&gt;</w:t>
    </w:r>
    <w:r w:rsidRPr="0062118D">
      <w:t>RR\1346601PL.docx</w:t>
    </w:r>
    <w:r w:rsidRPr="0062118D">
      <w:rPr>
        <w:rStyle w:val="HideTWBExt"/>
      </w:rPr>
      <w:t>&lt;/PathFdR&gt;</w:t>
    </w:r>
    <w:r w:rsidRPr="0062118D">
      <w:tab/>
    </w:r>
    <w:r w:rsidRPr="0062118D">
      <w:fldChar w:fldCharType="begin"/>
    </w:r>
    <w:r w:rsidRPr="0062118D">
      <w:instrText xml:space="preserve"> PAGE  \* MERGEFORMAT </w:instrText>
    </w:r>
    <w:r w:rsidRPr="0062118D">
      <w:fldChar w:fldCharType="separate"/>
    </w:r>
    <w:r w:rsidRPr="0062118D">
      <w:rPr>
        <w:noProof/>
      </w:rPr>
      <w:t>13</w:t>
    </w:r>
    <w:r w:rsidRPr="0062118D">
      <w:fldChar w:fldCharType="end"/>
    </w:r>
    <w:r w:rsidRPr="0062118D">
      <w:t>/</w:t>
    </w:r>
    <w:fldSimple w:instr=" NUMPAGES  \* MERGEFORMAT ">
      <w:r w:rsidRPr="0062118D">
        <w:rPr>
          <w:noProof/>
        </w:rPr>
        <w:t>14</w:t>
      </w:r>
    </w:fldSimple>
    <w:r w:rsidRPr="0062118D">
      <w:tab/>
      <w:t>PE</w:t>
    </w:r>
    <w:r w:rsidRPr="0062118D">
      <w:rPr>
        <w:rStyle w:val="HideTWBExt"/>
      </w:rPr>
      <w:t>&lt;NoPE&gt;</w:t>
    </w:r>
    <w:r w:rsidRPr="0062118D">
      <w:t>789.090</w:t>
    </w:r>
    <w:r w:rsidRPr="0062118D">
      <w:rPr>
        <w:rStyle w:val="HideTWBExt"/>
      </w:rPr>
      <w:t>&lt;/NoPE&gt;&lt;Version&gt;</w:t>
    </w:r>
    <w:r w:rsidRPr="0062118D">
      <w:t>v02-00</w:t>
    </w:r>
    <w:r w:rsidRPr="0062118D">
      <w:rPr>
        <w:rStyle w:val="HideTWBExt"/>
      </w:rPr>
      <w:t>&lt;/Version&gt;</w:t>
    </w:r>
  </w:p>
  <w:p w14:paraId="38280D68" w14:textId="426491EC" w:rsidR="00BB725E" w:rsidRPr="0062118D" w:rsidRDefault="0066788A" w:rsidP="0066788A">
    <w:pPr>
      <w:pStyle w:val="EPFooter2"/>
    </w:pPr>
    <w:r w:rsidRPr="0062118D">
      <w:tab/>
    </w:r>
    <w:r w:rsidRPr="0062118D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0E83" w14:textId="77777777" w:rsidR="0066788A" w:rsidRPr="0062118D" w:rsidRDefault="0066788A" w:rsidP="0066788A">
    <w:pPr>
      <w:pStyle w:val="EPFooter"/>
    </w:pPr>
    <w:r w:rsidRPr="0062118D">
      <w:rPr>
        <w:rStyle w:val="HideTWBExt"/>
      </w:rPr>
      <w:t>&lt;PathFdR&gt;</w:t>
    </w:r>
    <w:r w:rsidRPr="0062118D">
      <w:t>RR\1346601PL.docx</w:t>
    </w:r>
    <w:r w:rsidRPr="0062118D">
      <w:rPr>
        <w:rStyle w:val="HideTWBExt"/>
      </w:rPr>
      <w:t>&lt;/PathFdR&gt;</w:t>
    </w:r>
    <w:r w:rsidRPr="0062118D">
      <w:tab/>
    </w:r>
    <w:r w:rsidRPr="0062118D">
      <w:tab/>
      <w:t>PE</w:t>
    </w:r>
    <w:r w:rsidRPr="0062118D">
      <w:rPr>
        <w:rStyle w:val="HideTWBExt"/>
      </w:rPr>
      <w:t>&lt;NoPE&gt;</w:t>
    </w:r>
    <w:r w:rsidRPr="0062118D">
      <w:t>789.090</w:t>
    </w:r>
    <w:r w:rsidRPr="0062118D">
      <w:rPr>
        <w:rStyle w:val="HideTWBExt"/>
      </w:rPr>
      <w:t>&lt;/NoPE&gt;&lt;Version&gt;</w:t>
    </w:r>
    <w:r w:rsidRPr="0062118D">
      <w:t>v02-00</w:t>
    </w:r>
    <w:r w:rsidRPr="0062118D">
      <w:rPr>
        <w:rStyle w:val="HideTWBExt"/>
      </w:rPr>
      <w:t>&lt;/Version&gt;</w:t>
    </w:r>
  </w:p>
  <w:p w14:paraId="493E9B2B" w14:textId="349C23F3" w:rsidR="00BB725E" w:rsidRPr="0062118D" w:rsidRDefault="0066788A" w:rsidP="0066788A">
    <w:pPr>
      <w:pStyle w:val="EPFooter2"/>
    </w:pPr>
    <w:r w:rsidRPr="0062118D">
      <w:t>PL</w:t>
    </w:r>
    <w:r w:rsidRPr="0062118D">
      <w:tab/>
    </w:r>
    <w:r w:rsidRPr="0062118D">
      <w:rPr>
        <w:b w:val="0"/>
        <w:i/>
        <w:color w:val="C0C0C0"/>
        <w:sz w:val="22"/>
      </w:rPr>
      <w:t>Zjednoczona w różnorodności</w:t>
    </w:r>
    <w:r w:rsidRPr="0062118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D0C29" w14:textId="77777777" w:rsidR="00F1300A" w:rsidRPr="0062118D" w:rsidRDefault="00F1300A">
      <w:r w:rsidRPr="0062118D">
        <w:separator/>
      </w:r>
    </w:p>
  </w:footnote>
  <w:footnote w:type="continuationSeparator" w:id="0">
    <w:p w14:paraId="6AE5C8CC" w14:textId="77777777" w:rsidR="00F1300A" w:rsidRPr="0062118D" w:rsidRDefault="00F1300A">
      <w:r w:rsidRPr="0062118D">
        <w:continuationSeparator/>
      </w:r>
    </w:p>
  </w:footnote>
  <w:footnote w:id="1">
    <w:p w14:paraId="2F975C6A" w14:textId="38014B82" w:rsidR="005216AD" w:rsidRPr="0062118D" w:rsidRDefault="005216AD">
      <w:pPr>
        <w:pStyle w:val="FootnoteText"/>
      </w:pPr>
      <w:r>
        <w:rPr>
          <w:rStyle w:val="FootnoteReference"/>
        </w:rPr>
        <w:footnoteRef/>
      </w:r>
      <w:r>
        <w:t xml:space="preserve"> Dz.U. L 311 z 14.11.2002, s. 3, ELI: </w:t>
      </w:r>
      <w:hyperlink r:id="rId1" w:tooltip="http://data.europa.eu/eli/reg/2002/2012/oj" w:history="1">
        <w:r>
          <w:rPr>
            <w:rStyle w:val="Hyperlink"/>
          </w:rPr>
          <w:t>http://data.europa.eu/eli/reg/2002/2012/oj</w:t>
        </w:r>
      </w:hyperlink>
      <w:r>
        <w:t>.</w:t>
      </w:r>
    </w:p>
  </w:footnote>
  <w:footnote w:id="2">
    <w:p w14:paraId="1AA2D3B1" w14:textId="220641EC" w:rsidR="005216AD" w:rsidRPr="0062118D" w:rsidRDefault="005216AD">
      <w:pPr>
        <w:pStyle w:val="FootnoteText"/>
      </w:pPr>
      <w:r>
        <w:rPr>
          <w:rStyle w:val="FootnoteReference"/>
        </w:rPr>
        <w:footnoteRef/>
      </w:r>
      <w:r>
        <w:t xml:space="preserve"> Dz.U. L 433 I z 22.12.2020, s. 11, ELI: </w:t>
      </w:r>
      <w:hyperlink r:id="rId2" w:tooltip="http://data.europa.eu/eli/reg/2020/2093/oj" w:history="1">
        <w:r>
          <w:rPr>
            <w:rStyle w:val="Hyperlink"/>
          </w:rPr>
          <w:t>http://data.europa.eu/eli/reg/2020/2093/oj</w:t>
        </w:r>
      </w:hyperlink>
      <w:r>
        <w:t>.</w:t>
      </w:r>
    </w:p>
  </w:footnote>
  <w:footnote w:id="3">
    <w:p w14:paraId="2320D22D" w14:textId="7594B5A5" w:rsidR="00F8610C" w:rsidRPr="0062118D" w:rsidRDefault="00F8610C" w:rsidP="00F8610C">
      <w:pPr>
        <w:pStyle w:val="FootnoteText"/>
      </w:pPr>
      <w:r>
        <w:rPr>
          <w:rStyle w:val="FootnoteReference"/>
        </w:rPr>
        <w:footnoteRef/>
      </w:r>
      <w:r>
        <w:t xml:space="preserve"> Dz.U. L 433 I z 22.12.2020, s. 28, ELI: </w:t>
      </w:r>
      <w:hyperlink r:id="rId3" w:history="1">
        <w:r>
          <w:t>http://data.europa.eu/eli/agree_interinstit/2020/1222/oj</w:t>
        </w:r>
      </w:hyperlink>
      <w:r>
        <w:t>.</w:t>
      </w:r>
    </w:p>
  </w:footnote>
  <w:footnote w:id="4">
    <w:p w14:paraId="305B92F1" w14:textId="3450B406" w:rsidR="00F8610C" w:rsidRPr="0062118D" w:rsidRDefault="00F8610C" w:rsidP="00F8610C">
      <w:pPr>
        <w:pStyle w:val="FootnoteText"/>
      </w:pPr>
      <w:r>
        <w:rPr>
          <w:rStyle w:val="FootnoteReference"/>
        </w:rPr>
        <w:footnoteRef/>
      </w:r>
      <w:r>
        <w:t xml:space="preserve"> Dz.U. L 231 z </w:t>
      </w:r>
      <w:proofErr w:type="gramStart"/>
      <w:r>
        <w:t>30.6.2021</w:t>
      </w:r>
      <w:proofErr w:type="gramEnd"/>
      <w:r>
        <w:t xml:space="preserve">, s. 60, ELI: </w:t>
      </w:r>
      <w:hyperlink r:id="rId4" w:history="1">
        <w:r>
          <w:t>http://data.europa.eu/eli/reg/2021/1058/oj</w:t>
        </w:r>
      </w:hyperlink>
      <w:r>
        <w:t>.</w:t>
      </w:r>
    </w:p>
  </w:footnote>
  <w:footnote w:id="5">
    <w:p w14:paraId="4420F64D" w14:textId="698676C2" w:rsidR="00F8610C" w:rsidRPr="0062118D" w:rsidRDefault="00F8610C" w:rsidP="00F8610C">
      <w:pPr>
        <w:pStyle w:val="FootnoteText"/>
      </w:pPr>
      <w:r>
        <w:rPr>
          <w:rStyle w:val="FootnoteReference"/>
        </w:rPr>
        <w:footnoteRef/>
      </w:r>
      <w:r>
        <w:t xml:space="preserve"> Dz.U. L 231 z </w:t>
      </w:r>
      <w:proofErr w:type="gramStart"/>
      <w:r>
        <w:t>30.6.2021</w:t>
      </w:r>
      <w:proofErr w:type="gramEnd"/>
      <w:r>
        <w:t xml:space="preserve">, s. 21, ELI: </w:t>
      </w:r>
      <w:hyperlink r:id="rId5" w:history="1">
        <w:r>
          <w:t>http://data.europa.eu/eli/reg/2021/1057/oj</w:t>
        </w:r>
      </w:hyperlink>
      <w:r>
        <w:t>.</w:t>
      </w:r>
    </w:p>
  </w:footnote>
  <w:footnote w:id="6">
    <w:p w14:paraId="09BF4258" w14:textId="61507A71" w:rsidR="00E911A1" w:rsidRPr="0062118D" w:rsidRDefault="00E911A1">
      <w:pPr>
        <w:pStyle w:val="FootnoteText"/>
      </w:pPr>
      <w:r>
        <w:rPr>
          <w:rStyle w:val="FootnoteReference"/>
        </w:rPr>
        <w:footnoteRef/>
      </w:r>
      <w:r>
        <w:t xml:space="preserve"> Dz.U. L 435 z 6.12.2021, s. 1, ELI: </w:t>
      </w:r>
      <w:hyperlink r:id="rId6" w:tgtFrame="_blank" w:tooltip="http://data.europa.eu/eli/reg/2021/2115/oj" w:history="1">
        <w:r>
          <w:rPr>
            <w:rStyle w:val="Hyperlink"/>
          </w:rPr>
          <w:t>http://data.europa.eu/eli/reg/2021/2115/oj</w:t>
        </w:r>
      </w:hyperlink>
      <w:r>
        <w:t>.</w:t>
      </w:r>
    </w:p>
  </w:footnote>
  <w:footnote w:id="7">
    <w:p w14:paraId="45A23D54" w14:textId="1F90C15F" w:rsidR="00E911A1" w:rsidRPr="0062118D" w:rsidRDefault="00E911A1">
      <w:pPr>
        <w:pStyle w:val="FootnoteText"/>
      </w:pPr>
      <w:r>
        <w:rPr>
          <w:rStyle w:val="FootnoteReference"/>
        </w:rPr>
        <w:footnoteRef/>
      </w:r>
      <w:r>
        <w:t xml:space="preserve"> Teksty przyjęte, P10_</w:t>
      </w:r>
      <w:proofErr w:type="gramStart"/>
      <w:r>
        <w:t>TA(</w:t>
      </w:r>
      <w:proofErr w:type="gramEnd"/>
      <w:r>
        <w:t>2024)0059.</w:t>
      </w:r>
    </w:p>
  </w:footnote>
  <w:footnote w:id="8">
    <w:p w14:paraId="5FC40225" w14:textId="0F572B7D" w:rsidR="00E911A1" w:rsidRPr="0062118D" w:rsidRDefault="00E911A1">
      <w:pPr>
        <w:pStyle w:val="FootnoteText"/>
      </w:pPr>
      <w:r>
        <w:rPr>
          <w:rStyle w:val="FootnoteReference"/>
        </w:rPr>
        <w:footnoteRef/>
      </w:r>
      <w:r>
        <w:t xml:space="preserve"> https://www.eea.europa.eu/en/analysis/publications/european-climate-risk-assessment</w:t>
      </w:r>
    </w:p>
  </w:footnote>
  <w:footnote w:id="9">
    <w:p w14:paraId="088F7794" w14:textId="3C706648" w:rsidR="004E48F2" w:rsidRPr="000C32A3" w:rsidRDefault="004E48F2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C32A3">
        <w:rPr>
          <w:lang w:val="fi-FI"/>
        </w:rPr>
        <w:t xml:space="preserve"> </w:t>
      </w:r>
      <w:proofErr w:type="spellStart"/>
      <w:r w:rsidRPr="000C32A3">
        <w:rPr>
          <w:lang w:val="fi-FI"/>
        </w:rPr>
        <w:t>Dz.U</w:t>
      </w:r>
      <w:proofErr w:type="spellEnd"/>
      <w:r w:rsidRPr="000C32A3">
        <w:rPr>
          <w:lang w:val="fi-FI"/>
        </w:rPr>
        <w:t xml:space="preserve">. L, 2024/3236, 23.12.2024, ELI: </w:t>
      </w:r>
      <w:hyperlink r:id="rId7" w:tgtFrame="_blank" w:tooltip="http://data.europa.eu/eli/reg/2024/3236/oj" w:history="1">
        <w:r w:rsidRPr="000C32A3">
          <w:rPr>
            <w:rStyle w:val="Hyperlink"/>
            <w:lang w:val="fi-FI"/>
          </w:rPr>
          <w:t>http://data.europa.eu/eli/reg/2024/3236/oj</w:t>
        </w:r>
      </w:hyperlink>
      <w:r w:rsidRPr="000C32A3">
        <w:rPr>
          <w:lang w:val="fi-FI"/>
        </w:rPr>
        <w:t>.</w:t>
      </w:r>
    </w:p>
  </w:footnote>
  <w:footnote w:id="10">
    <w:p w14:paraId="478F330A" w14:textId="7C1F511C" w:rsidR="004E48F2" w:rsidRPr="000C32A3" w:rsidRDefault="004E48F2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C32A3">
        <w:rPr>
          <w:lang w:val="fi-FI"/>
        </w:rPr>
        <w:t xml:space="preserve"> </w:t>
      </w:r>
      <w:proofErr w:type="spellStart"/>
      <w:r w:rsidRPr="000C32A3">
        <w:rPr>
          <w:lang w:val="fi-FI"/>
        </w:rPr>
        <w:t>Dz.U</w:t>
      </w:r>
      <w:proofErr w:type="spellEnd"/>
      <w:r w:rsidRPr="000C32A3">
        <w:rPr>
          <w:lang w:val="fi-FI"/>
        </w:rPr>
        <w:t xml:space="preserve">. L, 2024/3242, 23.12.2024, ELI: </w:t>
      </w:r>
      <w:hyperlink r:id="rId8" w:tgtFrame="_blank" w:tooltip="http://data.europa.eu/eli/reg/2024/3242/oj" w:history="1">
        <w:r w:rsidRPr="000C32A3">
          <w:rPr>
            <w:rStyle w:val="Hyperlink"/>
            <w:lang w:val="fi-FI"/>
          </w:rPr>
          <w:t>http://data.europa.eu/eli/reg/2024/3242/oj</w:t>
        </w:r>
      </w:hyperlink>
      <w:r w:rsidRPr="000C32A3">
        <w:rPr>
          <w:lang w:val="fi-FI"/>
        </w:rPr>
        <w:t>.</w:t>
      </w:r>
    </w:p>
  </w:footnote>
  <w:footnote w:id="11">
    <w:p w14:paraId="03B7C990" w14:textId="77777777" w:rsidR="00B41EA9" w:rsidRPr="0062118D" w:rsidRDefault="00B41EA9" w:rsidP="00B41EA9">
      <w:pPr>
        <w:pStyle w:val="FootnoteText"/>
      </w:pPr>
      <w:r>
        <w:rPr>
          <w:rStyle w:val="FootnoteReference"/>
        </w:rPr>
        <w:footnoteRef/>
      </w:r>
      <w:r>
        <w:t xml:space="preserve"> Rozporządzenie Parlamentu Europejskiego i Rady (UE) 2021/241 z dnia 12 lutego 2021 r. ustanawiające Instrument na rzecz Odbudowy i Zwiększania Odporności (Dz.U. L 57 z </w:t>
      </w:r>
      <w:proofErr w:type="gramStart"/>
      <w:r>
        <w:t>18.2.2021</w:t>
      </w:r>
      <w:proofErr w:type="gramEnd"/>
      <w:r>
        <w:t>, s. 17, ELI: http://data.europa.eu/eli/reg/2021/241/oj).</w:t>
      </w:r>
    </w:p>
  </w:footnote>
  <w:footnote w:id="12">
    <w:p w14:paraId="5D17CAC4" w14:textId="77777777" w:rsidR="000C32A3" w:rsidRPr="005F67E9" w:rsidRDefault="000C32A3" w:rsidP="000C32A3">
      <w:pPr>
        <w:pStyle w:val="FootnoteText"/>
        <w:ind w:left="567" w:hanging="567"/>
      </w:pPr>
      <w:r w:rsidRPr="005F67E9">
        <w:rPr>
          <w:rStyle w:val="FootnoteReference"/>
        </w:rPr>
        <w:footnoteRef/>
      </w:r>
      <w:r w:rsidRPr="005F67E9">
        <w:tab/>
      </w:r>
      <w:r w:rsidRPr="005F67E9">
        <w:rPr>
          <w:shd w:val="clear" w:color="auto" w:fill="FFFFFF"/>
        </w:rPr>
        <w:t xml:space="preserve">Dz.U. L 311 z 14.11.2002, s. 3, ELI: </w:t>
      </w:r>
      <w:hyperlink r:id="rId9" w:history="1">
        <w:r w:rsidRPr="005F67E9">
          <w:rPr>
            <w:rStyle w:val="Hyperlink"/>
            <w:shd w:val="clear" w:color="auto" w:fill="FFFFFF"/>
          </w:rPr>
          <w:t>http://data.europa.eu/eli/reg/2002/2012/oj</w:t>
        </w:r>
      </w:hyperlink>
      <w:r w:rsidRPr="005F67E9">
        <w:rPr>
          <w:shd w:val="clear" w:color="auto" w:fill="FFFFFF"/>
        </w:rPr>
        <w:t>.</w:t>
      </w:r>
    </w:p>
  </w:footnote>
  <w:footnote w:id="13">
    <w:p w14:paraId="74CAA109" w14:textId="77777777" w:rsidR="000C32A3" w:rsidRPr="005F67E9" w:rsidRDefault="000C32A3" w:rsidP="000C32A3">
      <w:pPr>
        <w:pStyle w:val="FootnoteText"/>
        <w:ind w:left="567" w:hanging="567"/>
      </w:pPr>
      <w:r w:rsidRPr="005F67E9">
        <w:rPr>
          <w:rStyle w:val="FootnoteReference"/>
        </w:rPr>
        <w:footnoteRef/>
      </w:r>
      <w:r w:rsidRPr="005F67E9">
        <w:tab/>
        <w:t xml:space="preserve">Dz.U. L 433 I z 22.12.2020, s. 11, ELI: </w:t>
      </w:r>
      <w:hyperlink r:id="rId10" w:history="1">
        <w:r w:rsidRPr="005F67E9">
          <w:rPr>
            <w:rStyle w:val="Hyperlink"/>
          </w:rPr>
          <w:t>http://data.europa.eu/eli/reg/2020/2093/oj</w:t>
        </w:r>
      </w:hyperlink>
      <w:r w:rsidRPr="005F67E9">
        <w:t>.</w:t>
      </w:r>
    </w:p>
  </w:footnote>
  <w:footnote w:id="14">
    <w:p w14:paraId="1C90BC53" w14:textId="77777777" w:rsidR="000C32A3" w:rsidRPr="005F67E9" w:rsidRDefault="000C32A3" w:rsidP="000C32A3">
      <w:pPr>
        <w:pStyle w:val="FootnoteText"/>
        <w:ind w:left="567" w:hanging="567"/>
      </w:pPr>
      <w:r w:rsidRPr="005F67E9">
        <w:rPr>
          <w:rStyle w:val="FootnoteReference"/>
        </w:rPr>
        <w:footnoteRef/>
      </w:r>
      <w:r w:rsidRPr="005F67E9">
        <w:tab/>
        <w:t xml:space="preserve">Dz.U. L 433 I z 22.12.2020, s. 28, ELI: </w:t>
      </w:r>
      <w:hyperlink r:id="rId11" w:history="1">
        <w:r w:rsidRPr="005F67E9">
          <w:rPr>
            <w:rStyle w:val="Hyperlink"/>
          </w:rPr>
          <w:t>http://data.europa.eu/eli/reg/2020/1222/oj</w:t>
        </w:r>
      </w:hyperlink>
      <w:r w:rsidRPr="005F67E9">
        <w:t>.</w:t>
      </w:r>
    </w:p>
  </w:footnote>
  <w:footnote w:id="15">
    <w:p w14:paraId="77957EE9" w14:textId="77777777" w:rsidR="000C32A3" w:rsidRPr="005F67E9" w:rsidRDefault="000C32A3" w:rsidP="000C32A3">
      <w:pPr>
        <w:pStyle w:val="FootnoteText"/>
        <w:ind w:left="567" w:hanging="567"/>
      </w:pPr>
      <w:r w:rsidRPr="005F67E9">
        <w:rPr>
          <w:rStyle w:val="FootnoteReference"/>
        </w:rPr>
        <w:footnoteRef/>
      </w:r>
      <w:r w:rsidRPr="005F67E9">
        <w:tab/>
        <w:t xml:space="preserve">Rozporządzenie Rady (UE, </w:t>
      </w:r>
      <w:proofErr w:type="spellStart"/>
      <w:r w:rsidRPr="005F67E9">
        <w:t>Euratom</w:t>
      </w:r>
      <w:proofErr w:type="spellEnd"/>
      <w:r w:rsidRPr="005F67E9">
        <w:t xml:space="preserve">) 2024/765 z dnia 29 lutego 2024 r. w sprawie zmiany rozporządzenia (UE, </w:t>
      </w:r>
      <w:proofErr w:type="spellStart"/>
      <w:r w:rsidRPr="005F67E9">
        <w:t>Euratom</w:t>
      </w:r>
      <w:proofErr w:type="spellEnd"/>
      <w:r w:rsidRPr="005F67E9">
        <w:t xml:space="preserve">) 2020/2093 określającego wieloletnie ramy finansowe na lata 2021–2027 (Dz.U. L, 2024/765, </w:t>
      </w:r>
      <w:proofErr w:type="gramStart"/>
      <w:r w:rsidRPr="005F67E9">
        <w:t>29.2.2024</w:t>
      </w:r>
      <w:proofErr w:type="gramEnd"/>
      <w:r w:rsidRPr="005F67E9">
        <w:t>, ELI: </w:t>
      </w:r>
      <w:hyperlink r:id="rId12" w:history="1">
        <w:r w:rsidRPr="005F67E9">
          <w:rPr>
            <w:rStyle w:val="Hyperlink"/>
          </w:rPr>
          <w:t>http://data.europa.eu/eli/reg/2024/765/oj</w:t>
        </w:r>
      </w:hyperlink>
      <w:r w:rsidRPr="005F67E9">
        <w:t>).</w:t>
      </w:r>
    </w:p>
  </w:footnote>
  <w:footnote w:id="16">
    <w:p w14:paraId="3D32AAC7" w14:textId="77777777" w:rsidR="000C32A3" w:rsidRPr="000C32A3" w:rsidRDefault="000C32A3" w:rsidP="000C32A3">
      <w:pPr>
        <w:pStyle w:val="FootnoteText"/>
        <w:ind w:left="567" w:hanging="567"/>
        <w:rPr>
          <w:color w:val="FF0000"/>
          <w:sz w:val="24"/>
          <w:szCs w:val="24"/>
        </w:rPr>
      </w:pPr>
      <w:r w:rsidRPr="000C32A3">
        <w:rPr>
          <w:rStyle w:val="FootnoteReference"/>
          <w:color w:val="FF0000"/>
          <w:sz w:val="24"/>
          <w:szCs w:val="24"/>
        </w:rPr>
        <w:sym w:font="Symbol" w:char="F02A"/>
      </w:r>
      <w:r w:rsidRPr="000C32A3">
        <w:rPr>
          <w:color w:val="FF0000"/>
          <w:sz w:val="24"/>
          <w:szCs w:val="24"/>
        </w:rPr>
        <w:tab/>
      </w:r>
      <w:r w:rsidRPr="000C32A3">
        <w:rPr>
          <w:i/>
          <w:color w:val="FF0000"/>
          <w:sz w:val="24"/>
          <w:szCs w:val="24"/>
        </w:rPr>
        <w:t>Datę wprowadza Parlament przed opublikowaniem w Dz.U.</w:t>
      </w:r>
    </w:p>
  </w:footnote>
  <w:footnote w:id="17">
    <w:p w14:paraId="4C437CC8" w14:textId="77777777" w:rsidR="008F612B" w:rsidRPr="0062118D" w:rsidRDefault="008F612B" w:rsidP="008F612B">
      <w:pPr>
        <w:pStyle w:val="FootnoteText"/>
      </w:pPr>
      <w:r>
        <w:rPr>
          <w:rStyle w:val="FootnoteReference"/>
        </w:rPr>
        <w:footnoteRef/>
      </w:r>
      <w:r>
        <w:t xml:space="preserve"> Dz.U. L 433I z 22.12.2020, s. 11, ELI: http://data.europa.eu/eli/reg/2020/2093/oj.</w:t>
      </w:r>
    </w:p>
  </w:footnote>
  <w:footnote w:id="18">
    <w:p w14:paraId="5416E7DC" w14:textId="77777777" w:rsidR="008F612B" w:rsidRPr="0062118D" w:rsidRDefault="008F612B" w:rsidP="008F612B">
      <w:pPr>
        <w:pStyle w:val="FootnoteText"/>
      </w:pPr>
      <w:r>
        <w:rPr>
          <w:rStyle w:val="FootnoteReference"/>
        </w:rPr>
        <w:footnoteRef/>
      </w:r>
      <w:r>
        <w:t xml:space="preserve"> Rozporządzenie Rady (UE, </w:t>
      </w:r>
      <w:proofErr w:type="spellStart"/>
      <w:r>
        <w:t>Euratom</w:t>
      </w:r>
      <w:proofErr w:type="spellEnd"/>
      <w:r>
        <w:t xml:space="preserve">) 2024/765 z dnia 29 lutego 2024 r. zmieniające rozporządzenie (UE, </w:t>
      </w:r>
      <w:proofErr w:type="spellStart"/>
      <w:r>
        <w:t>Euratom</w:t>
      </w:r>
      <w:proofErr w:type="spellEnd"/>
      <w:r>
        <w:t>) 2020/2093 określające wieloletnie ramy finansowe na lata 2021–2027. Dz.U. C 433I z 22.12.2020, s. 28.</w:t>
      </w:r>
    </w:p>
  </w:footnote>
  <w:footnote w:id="19">
    <w:p w14:paraId="0DC9CFA5" w14:textId="77777777" w:rsidR="008F612B" w:rsidRPr="0062118D" w:rsidRDefault="008F612B" w:rsidP="008F612B">
      <w:pPr>
        <w:pStyle w:val="FootnoteText"/>
      </w:pPr>
      <w:r>
        <w:rPr>
          <w:rStyle w:val="FootnoteReference"/>
        </w:rPr>
        <w:footnoteRef/>
      </w:r>
      <w:r>
        <w:t xml:space="preserve"> Kwota 70,85 mln EUR dostępna na ewentualne zaliczki obejmuje 50 mln EUR zapisane w budżecie ogólnym na 2026 r. na zaliczki oraz 20,85 mln EUR niewykorzystanych zaliczek przeniesionych z 2025 r. na 2026 r. Z tej kwoty decyzją wykonawczą Komisji (procedura przyjęcia w toku) przyznana zostanie zaliczka dla Hiszpanii w wysokości 30,14 mln EUR.  </w:t>
      </w:r>
    </w:p>
  </w:footnote>
  <w:footnote w:id="20">
    <w:p w14:paraId="122FB5ED" w14:textId="77777777" w:rsidR="008F612B" w:rsidRPr="0062118D" w:rsidRDefault="008F612B" w:rsidP="008F612B">
      <w:pPr>
        <w:pStyle w:val="FootnoteText"/>
      </w:pPr>
      <w:r>
        <w:rPr>
          <w:rStyle w:val="FootnoteReference"/>
        </w:rPr>
        <w:footnoteRef/>
      </w:r>
      <w:r>
        <w:t xml:space="preserve"> W tym 30,14 mln EUR na zaliczkę dla Hiszpanii.</w:t>
      </w:r>
    </w:p>
  </w:footnote>
  <w:footnote w:id="21">
    <w:p w14:paraId="61E363F9" w14:textId="34D7CD17" w:rsidR="008F612B" w:rsidRPr="0062118D" w:rsidRDefault="008F612B">
      <w:pPr>
        <w:pStyle w:val="FootnoteText"/>
      </w:pPr>
      <w:r>
        <w:rPr>
          <w:rStyle w:val="FootnoteReference"/>
        </w:rPr>
        <w:footnoteRef/>
      </w:r>
      <w:r>
        <w:t xml:space="preserve"> Porozumienie międzyinstytucjonalne z dnia 20 maja 2021 r. pomiędzy Parlamentem Europejskim, Radą Unii Europejskiej i Komisją Europejską w sprawie obowiązkowego rejestru służącego przejrzystości (Dz.U. L 207 z </w:t>
      </w:r>
      <w:proofErr w:type="gramStart"/>
      <w:r>
        <w:t>11.6.2021</w:t>
      </w:r>
      <w:proofErr w:type="gramEnd"/>
      <w:r>
        <w:t xml:space="preserve">, s. 1, ELI: </w:t>
      </w:r>
      <w:hyperlink r:id="rId13" w:tooltip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6016" w14:textId="77777777" w:rsidR="000C32A3" w:rsidRDefault="000C32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ECB17" w14:textId="77777777" w:rsidR="000C32A3" w:rsidRDefault="000C32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E10E" w14:textId="77777777" w:rsidR="000C32A3" w:rsidRDefault="000C32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numFmt w:val="bullet"/>
      <w:lvlText w:val="o"/>
      <w:lvlJc w:val="left"/>
      <w:pPr>
        <w:ind w:left="803" w:hanging="356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16"/>
        <w:szCs w:val="16"/>
      </w:rPr>
    </w:lvl>
    <w:lvl w:ilvl="1">
      <w:numFmt w:val="bullet"/>
      <w:lvlText w:val="•"/>
      <w:lvlJc w:val="left"/>
      <w:pPr>
        <w:ind w:left="1455" w:hanging="356"/>
      </w:pPr>
    </w:lvl>
    <w:lvl w:ilvl="2">
      <w:numFmt w:val="bullet"/>
      <w:lvlText w:val="•"/>
      <w:lvlJc w:val="left"/>
      <w:pPr>
        <w:ind w:left="2111" w:hanging="356"/>
      </w:pPr>
    </w:lvl>
    <w:lvl w:ilvl="3">
      <w:numFmt w:val="bullet"/>
      <w:lvlText w:val="•"/>
      <w:lvlJc w:val="left"/>
      <w:pPr>
        <w:ind w:left="2767" w:hanging="356"/>
      </w:pPr>
    </w:lvl>
    <w:lvl w:ilvl="4">
      <w:numFmt w:val="bullet"/>
      <w:lvlText w:val="•"/>
      <w:lvlJc w:val="left"/>
      <w:pPr>
        <w:ind w:left="3422" w:hanging="356"/>
      </w:pPr>
    </w:lvl>
    <w:lvl w:ilvl="5">
      <w:numFmt w:val="bullet"/>
      <w:lvlText w:val="•"/>
      <w:lvlJc w:val="left"/>
      <w:pPr>
        <w:ind w:left="4078" w:hanging="356"/>
      </w:pPr>
    </w:lvl>
    <w:lvl w:ilvl="6">
      <w:numFmt w:val="bullet"/>
      <w:lvlText w:val="•"/>
      <w:lvlJc w:val="left"/>
      <w:pPr>
        <w:ind w:left="4734" w:hanging="356"/>
      </w:pPr>
    </w:lvl>
    <w:lvl w:ilvl="7">
      <w:numFmt w:val="bullet"/>
      <w:lvlText w:val="•"/>
      <w:lvlJc w:val="left"/>
      <w:pPr>
        <w:ind w:left="5389" w:hanging="356"/>
      </w:pPr>
    </w:lvl>
    <w:lvl w:ilvl="8">
      <w:numFmt w:val="bullet"/>
      <w:lvlText w:val="•"/>
      <w:lvlJc w:val="left"/>
      <w:pPr>
        <w:ind w:left="6045" w:hanging="356"/>
      </w:pPr>
    </w:lvl>
  </w:abstractNum>
  <w:abstractNum w:abstractNumId="11" w15:restartNumberingAfterBreak="0">
    <w:nsid w:val="00000403"/>
    <w:multiLevelType w:val="multilevel"/>
    <w:tmpl w:val="FFFFFFFF"/>
    <w:lvl w:ilvl="0">
      <w:numFmt w:val="bullet"/>
      <w:lvlText w:val="o"/>
      <w:lvlJc w:val="left"/>
      <w:pPr>
        <w:ind w:left="803" w:hanging="356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16"/>
        <w:szCs w:val="16"/>
      </w:rPr>
    </w:lvl>
    <w:lvl w:ilvl="1">
      <w:numFmt w:val="bullet"/>
      <w:lvlText w:val="•"/>
      <w:lvlJc w:val="left"/>
      <w:pPr>
        <w:ind w:left="1455" w:hanging="356"/>
      </w:pPr>
    </w:lvl>
    <w:lvl w:ilvl="2">
      <w:numFmt w:val="bullet"/>
      <w:lvlText w:val="•"/>
      <w:lvlJc w:val="left"/>
      <w:pPr>
        <w:ind w:left="2111" w:hanging="356"/>
      </w:pPr>
    </w:lvl>
    <w:lvl w:ilvl="3">
      <w:numFmt w:val="bullet"/>
      <w:lvlText w:val="•"/>
      <w:lvlJc w:val="left"/>
      <w:pPr>
        <w:ind w:left="2767" w:hanging="356"/>
      </w:pPr>
    </w:lvl>
    <w:lvl w:ilvl="4">
      <w:numFmt w:val="bullet"/>
      <w:lvlText w:val="•"/>
      <w:lvlJc w:val="left"/>
      <w:pPr>
        <w:ind w:left="3422" w:hanging="356"/>
      </w:pPr>
    </w:lvl>
    <w:lvl w:ilvl="5">
      <w:numFmt w:val="bullet"/>
      <w:lvlText w:val="•"/>
      <w:lvlJc w:val="left"/>
      <w:pPr>
        <w:ind w:left="4078" w:hanging="356"/>
      </w:pPr>
    </w:lvl>
    <w:lvl w:ilvl="6">
      <w:numFmt w:val="bullet"/>
      <w:lvlText w:val="•"/>
      <w:lvlJc w:val="left"/>
      <w:pPr>
        <w:ind w:left="4734" w:hanging="356"/>
      </w:pPr>
    </w:lvl>
    <w:lvl w:ilvl="7">
      <w:numFmt w:val="bullet"/>
      <w:lvlText w:val="•"/>
      <w:lvlJc w:val="left"/>
      <w:pPr>
        <w:ind w:left="5389" w:hanging="356"/>
      </w:pPr>
    </w:lvl>
    <w:lvl w:ilvl="8">
      <w:numFmt w:val="bullet"/>
      <w:lvlText w:val="•"/>
      <w:lvlJc w:val="left"/>
      <w:pPr>
        <w:ind w:left="6045" w:hanging="356"/>
      </w:pPr>
    </w:lvl>
  </w:abstractNum>
  <w:abstractNum w:abstractNumId="12" w15:restartNumberingAfterBreak="0">
    <w:nsid w:val="13C7441E"/>
    <w:multiLevelType w:val="hybridMultilevel"/>
    <w:tmpl w:val="03EA64D2"/>
    <w:lvl w:ilvl="0" w:tplc="46D0F1B2">
      <w:start w:val="1"/>
      <w:numFmt w:val="decimal"/>
      <w:lvlText w:val="%1."/>
      <w:lvlJc w:val="left"/>
      <w:pPr>
        <w:ind w:left="360" w:hanging="360"/>
      </w:pPr>
    </w:lvl>
    <w:lvl w:ilvl="1" w:tplc="D31EC10C">
      <w:start w:val="1"/>
      <w:numFmt w:val="lowerLetter"/>
      <w:lvlText w:val="%2."/>
      <w:lvlJc w:val="left"/>
      <w:pPr>
        <w:ind w:left="1080" w:hanging="360"/>
      </w:pPr>
    </w:lvl>
    <w:lvl w:ilvl="2" w:tplc="879AB4AE">
      <w:start w:val="1"/>
      <w:numFmt w:val="lowerRoman"/>
      <w:lvlText w:val="%3."/>
      <w:lvlJc w:val="right"/>
      <w:pPr>
        <w:ind w:left="1800" w:hanging="180"/>
      </w:pPr>
    </w:lvl>
    <w:lvl w:ilvl="3" w:tplc="25ACA6DC">
      <w:start w:val="1"/>
      <w:numFmt w:val="decimal"/>
      <w:lvlText w:val="%4."/>
      <w:lvlJc w:val="left"/>
      <w:pPr>
        <w:ind w:left="2520" w:hanging="360"/>
      </w:pPr>
    </w:lvl>
    <w:lvl w:ilvl="4" w:tplc="C9EE3914">
      <w:start w:val="1"/>
      <w:numFmt w:val="lowerLetter"/>
      <w:lvlText w:val="%5."/>
      <w:lvlJc w:val="left"/>
      <w:pPr>
        <w:ind w:left="3240" w:hanging="360"/>
      </w:pPr>
    </w:lvl>
    <w:lvl w:ilvl="5" w:tplc="FC4C9E1E">
      <w:start w:val="1"/>
      <w:numFmt w:val="lowerRoman"/>
      <w:lvlText w:val="%6."/>
      <w:lvlJc w:val="right"/>
      <w:pPr>
        <w:ind w:left="3960" w:hanging="180"/>
      </w:pPr>
    </w:lvl>
    <w:lvl w:ilvl="6" w:tplc="4A90D306">
      <w:start w:val="1"/>
      <w:numFmt w:val="decimal"/>
      <w:lvlText w:val="%7."/>
      <w:lvlJc w:val="left"/>
      <w:pPr>
        <w:ind w:left="4680" w:hanging="360"/>
      </w:pPr>
    </w:lvl>
    <w:lvl w:ilvl="7" w:tplc="2D847BD0">
      <w:start w:val="1"/>
      <w:numFmt w:val="lowerLetter"/>
      <w:lvlText w:val="%8."/>
      <w:lvlJc w:val="left"/>
      <w:pPr>
        <w:ind w:left="5400" w:hanging="360"/>
      </w:pPr>
    </w:lvl>
    <w:lvl w:ilvl="8" w:tplc="59AA5476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96779"/>
    <w:multiLevelType w:val="hybridMultilevel"/>
    <w:tmpl w:val="9BD01FDC"/>
    <w:lvl w:ilvl="0" w:tplc="0809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4" w15:restartNumberingAfterBreak="0">
    <w:nsid w:val="213A7131"/>
    <w:multiLevelType w:val="hybridMultilevel"/>
    <w:tmpl w:val="B6AC6B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93363"/>
    <w:multiLevelType w:val="hybridMultilevel"/>
    <w:tmpl w:val="8564B3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40BC1"/>
    <w:multiLevelType w:val="hybridMultilevel"/>
    <w:tmpl w:val="F614E888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35782707">
    <w:abstractNumId w:val="9"/>
  </w:num>
  <w:num w:numId="2" w16cid:durableId="961031178">
    <w:abstractNumId w:val="9"/>
  </w:num>
  <w:num w:numId="3" w16cid:durableId="258607875">
    <w:abstractNumId w:val="7"/>
  </w:num>
  <w:num w:numId="4" w16cid:durableId="1493985616">
    <w:abstractNumId w:val="7"/>
  </w:num>
  <w:num w:numId="5" w16cid:durableId="631521806">
    <w:abstractNumId w:val="6"/>
  </w:num>
  <w:num w:numId="6" w16cid:durableId="1315066857">
    <w:abstractNumId w:val="6"/>
  </w:num>
  <w:num w:numId="7" w16cid:durableId="1065952026">
    <w:abstractNumId w:val="5"/>
  </w:num>
  <w:num w:numId="8" w16cid:durableId="393508497">
    <w:abstractNumId w:val="5"/>
  </w:num>
  <w:num w:numId="9" w16cid:durableId="1865090955">
    <w:abstractNumId w:val="4"/>
  </w:num>
  <w:num w:numId="10" w16cid:durableId="131484135">
    <w:abstractNumId w:val="4"/>
  </w:num>
  <w:num w:numId="11" w16cid:durableId="177085516">
    <w:abstractNumId w:val="8"/>
  </w:num>
  <w:num w:numId="12" w16cid:durableId="716659030">
    <w:abstractNumId w:val="8"/>
  </w:num>
  <w:num w:numId="13" w16cid:durableId="293297161">
    <w:abstractNumId w:val="3"/>
  </w:num>
  <w:num w:numId="14" w16cid:durableId="178543392">
    <w:abstractNumId w:val="3"/>
  </w:num>
  <w:num w:numId="15" w16cid:durableId="1634093923">
    <w:abstractNumId w:val="2"/>
  </w:num>
  <w:num w:numId="16" w16cid:durableId="278686133">
    <w:abstractNumId w:val="2"/>
  </w:num>
  <w:num w:numId="17" w16cid:durableId="1519195294">
    <w:abstractNumId w:val="1"/>
  </w:num>
  <w:num w:numId="18" w16cid:durableId="1286228921">
    <w:abstractNumId w:val="1"/>
  </w:num>
  <w:num w:numId="19" w16cid:durableId="2001612759">
    <w:abstractNumId w:val="0"/>
  </w:num>
  <w:num w:numId="20" w16cid:durableId="890657444">
    <w:abstractNumId w:val="0"/>
  </w:num>
  <w:num w:numId="21" w16cid:durableId="1796018054">
    <w:abstractNumId w:val="9"/>
  </w:num>
  <w:num w:numId="22" w16cid:durableId="2094470659">
    <w:abstractNumId w:val="7"/>
  </w:num>
  <w:num w:numId="23" w16cid:durableId="22293812">
    <w:abstractNumId w:val="6"/>
  </w:num>
  <w:num w:numId="24" w16cid:durableId="334109627">
    <w:abstractNumId w:val="5"/>
  </w:num>
  <w:num w:numId="25" w16cid:durableId="1513832329">
    <w:abstractNumId w:val="4"/>
  </w:num>
  <w:num w:numId="26" w16cid:durableId="1553687648">
    <w:abstractNumId w:val="8"/>
  </w:num>
  <w:num w:numId="27" w16cid:durableId="1971590909">
    <w:abstractNumId w:val="3"/>
  </w:num>
  <w:num w:numId="28" w16cid:durableId="767695563">
    <w:abstractNumId w:val="2"/>
  </w:num>
  <w:num w:numId="29" w16cid:durableId="833181506">
    <w:abstractNumId w:val="1"/>
  </w:num>
  <w:num w:numId="30" w16cid:durableId="809901584">
    <w:abstractNumId w:val="0"/>
  </w:num>
  <w:num w:numId="31" w16cid:durableId="1329864350">
    <w:abstractNumId w:val="9"/>
  </w:num>
  <w:num w:numId="32" w16cid:durableId="665400305">
    <w:abstractNumId w:val="7"/>
  </w:num>
  <w:num w:numId="33" w16cid:durableId="1674062712">
    <w:abstractNumId w:val="6"/>
  </w:num>
  <w:num w:numId="34" w16cid:durableId="612245022">
    <w:abstractNumId w:val="5"/>
  </w:num>
  <w:num w:numId="35" w16cid:durableId="300768874">
    <w:abstractNumId w:val="4"/>
  </w:num>
  <w:num w:numId="36" w16cid:durableId="1271814849">
    <w:abstractNumId w:val="8"/>
  </w:num>
  <w:num w:numId="37" w16cid:durableId="352924701">
    <w:abstractNumId w:val="3"/>
  </w:num>
  <w:num w:numId="38" w16cid:durableId="217592436">
    <w:abstractNumId w:val="2"/>
  </w:num>
  <w:num w:numId="39" w16cid:durableId="1033268213">
    <w:abstractNumId w:val="1"/>
  </w:num>
  <w:num w:numId="40" w16cid:durableId="480192162">
    <w:abstractNumId w:val="0"/>
  </w:num>
  <w:num w:numId="41" w16cid:durableId="6438941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471566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24377640">
    <w:abstractNumId w:val="11"/>
  </w:num>
  <w:num w:numId="44" w16cid:durableId="262035814">
    <w:abstractNumId w:val="10"/>
  </w:num>
  <w:num w:numId="45" w16cid:durableId="1735274167">
    <w:abstractNumId w:val="16"/>
  </w:num>
  <w:num w:numId="46" w16cid:durableId="588195465">
    <w:abstractNumId w:val="13"/>
  </w:num>
  <w:num w:numId="47" w16cid:durableId="687948014">
    <w:abstractNumId w:val="15"/>
  </w:num>
  <w:num w:numId="48" w16cid:durableId="1842484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NTRIBUTIONMNU" w:val=" 2"/>
    <w:docVar w:name="CopyToNetwork" w:val="-1"/>
    <w:docVar w:name="DOCDT" w:val="24/06/2026"/>
    <w:docVar w:name="LastEditedSection" w:val=" 1"/>
    <w:docVar w:name="NVAR1" w:val="0"/>
    <w:docVar w:name="PARAMNU" w:val=" 1"/>
    <w:docVar w:name="strDocTypeID" w:val="PR_BUD_Funds"/>
    <w:docVar w:name="strSubDir" w:val="1346"/>
    <w:docVar w:name="TITLEMNU" w:val=" 1"/>
    <w:docVar w:name="TXTAUTHOR" w:val="TBC"/>
    <w:docVar w:name="TXTLANGUE" w:val="PL"/>
    <w:docVar w:name="TXTLANGUEMIN" w:val="pl"/>
    <w:docVar w:name="TXTNRBUD" w:val="2026/0120"/>
    <w:docVar w:name="TXTNRC" w:val="0119/2026"/>
    <w:docVar w:name="TXTNRCOM" w:val="(2026)1002"/>
    <w:docVar w:name="TXTNRPE" w:val="789.090"/>
    <w:docVar w:name="TXTPEorAP" w:val="PE"/>
    <w:docVar w:name="TXTROUTE" w:val="RR\1346601PL.docx"/>
    <w:docVar w:name="TXTVERSION" w:val="02-00"/>
  </w:docVars>
  <w:rsids>
    <w:rsidRoot w:val="00F1300A"/>
    <w:rsid w:val="000033C2"/>
    <w:rsid w:val="00033F78"/>
    <w:rsid w:val="000555E6"/>
    <w:rsid w:val="000B2B1C"/>
    <w:rsid w:val="000C32A3"/>
    <w:rsid w:val="000E2E24"/>
    <w:rsid w:val="000E4A06"/>
    <w:rsid w:val="00155B2F"/>
    <w:rsid w:val="00167F25"/>
    <w:rsid w:val="001916BF"/>
    <w:rsid w:val="00215C42"/>
    <w:rsid w:val="0022041B"/>
    <w:rsid w:val="00255E9F"/>
    <w:rsid w:val="00262472"/>
    <w:rsid w:val="002B6713"/>
    <w:rsid w:val="002C2DB2"/>
    <w:rsid w:val="002D2DBB"/>
    <w:rsid w:val="00300158"/>
    <w:rsid w:val="00310843"/>
    <w:rsid w:val="00350C25"/>
    <w:rsid w:val="00396BD0"/>
    <w:rsid w:val="003B4F3D"/>
    <w:rsid w:val="003B5885"/>
    <w:rsid w:val="003D5173"/>
    <w:rsid w:val="003E0AC3"/>
    <w:rsid w:val="003F207F"/>
    <w:rsid w:val="003F4B9D"/>
    <w:rsid w:val="00403A9C"/>
    <w:rsid w:val="00432568"/>
    <w:rsid w:val="004441D6"/>
    <w:rsid w:val="004448BE"/>
    <w:rsid w:val="00470DFE"/>
    <w:rsid w:val="00476C35"/>
    <w:rsid w:val="004A4C06"/>
    <w:rsid w:val="004D2440"/>
    <w:rsid w:val="004E48F2"/>
    <w:rsid w:val="004F5F22"/>
    <w:rsid w:val="0050453C"/>
    <w:rsid w:val="005216AD"/>
    <w:rsid w:val="0052720D"/>
    <w:rsid w:val="00533501"/>
    <w:rsid w:val="0058028A"/>
    <w:rsid w:val="00581E60"/>
    <w:rsid w:val="005A4604"/>
    <w:rsid w:val="005B0658"/>
    <w:rsid w:val="005F27D5"/>
    <w:rsid w:val="00601E96"/>
    <w:rsid w:val="00611B44"/>
    <w:rsid w:val="00616E75"/>
    <w:rsid w:val="0062118D"/>
    <w:rsid w:val="0063114B"/>
    <w:rsid w:val="0066788A"/>
    <w:rsid w:val="006E4E08"/>
    <w:rsid w:val="00703318"/>
    <w:rsid w:val="007260CD"/>
    <w:rsid w:val="00731ECF"/>
    <w:rsid w:val="00761A6D"/>
    <w:rsid w:val="00767494"/>
    <w:rsid w:val="00775C3B"/>
    <w:rsid w:val="007A1C32"/>
    <w:rsid w:val="007E6AFB"/>
    <w:rsid w:val="007F63FC"/>
    <w:rsid w:val="00823B7F"/>
    <w:rsid w:val="0082609B"/>
    <w:rsid w:val="008341D9"/>
    <w:rsid w:val="00843D7C"/>
    <w:rsid w:val="00861675"/>
    <w:rsid w:val="008A3711"/>
    <w:rsid w:val="008D7164"/>
    <w:rsid w:val="008F1614"/>
    <w:rsid w:val="008F25B2"/>
    <w:rsid w:val="008F612B"/>
    <w:rsid w:val="00917358"/>
    <w:rsid w:val="00921B78"/>
    <w:rsid w:val="00945699"/>
    <w:rsid w:val="0097776D"/>
    <w:rsid w:val="009C01D2"/>
    <w:rsid w:val="00A205D2"/>
    <w:rsid w:val="00A25417"/>
    <w:rsid w:val="00A27E62"/>
    <w:rsid w:val="00A3680A"/>
    <w:rsid w:val="00A94E4A"/>
    <w:rsid w:val="00AA24CD"/>
    <w:rsid w:val="00AE2ABE"/>
    <w:rsid w:val="00AE7EF1"/>
    <w:rsid w:val="00AF4089"/>
    <w:rsid w:val="00AF6B2F"/>
    <w:rsid w:val="00B12873"/>
    <w:rsid w:val="00B12CE5"/>
    <w:rsid w:val="00B41EA9"/>
    <w:rsid w:val="00B44310"/>
    <w:rsid w:val="00B5725D"/>
    <w:rsid w:val="00B67944"/>
    <w:rsid w:val="00BB725E"/>
    <w:rsid w:val="00BE015C"/>
    <w:rsid w:val="00C20D14"/>
    <w:rsid w:val="00C2581D"/>
    <w:rsid w:val="00C327B5"/>
    <w:rsid w:val="00C54775"/>
    <w:rsid w:val="00C75207"/>
    <w:rsid w:val="00C753BD"/>
    <w:rsid w:val="00CA4836"/>
    <w:rsid w:val="00D17520"/>
    <w:rsid w:val="00D228D3"/>
    <w:rsid w:val="00D31227"/>
    <w:rsid w:val="00D461B7"/>
    <w:rsid w:val="00D63FD3"/>
    <w:rsid w:val="00D82527"/>
    <w:rsid w:val="00DD2CD6"/>
    <w:rsid w:val="00DE1BE3"/>
    <w:rsid w:val="00DF46ED"/>
    <w:rsid w:val="00E059E2"/>
    <w:rsid w:val="00E20F2E"/>
    <w:rsid w:val="00E609EB"/>
    <w:rsid w:val="00E70719"/>
    <w:rsid w:val="00E71B80"/>
    <w:rsid w:val="00E80B57"/>
    <w:rsid w:val="00E911A1"/>
    <w:rsid w:val="00E96B4F"/>
    <w:rsid w:val="00E9757B"/>
    <w:rsid w:val="00EA10D2"/>
    <w:rsid w:val="00EA7BAF"/>
    <w:rsid w:val="00EF5487"/>
    <w:rsid w:val="00F1300A"/>
    <w:rsid w:val="00F130D9"/>
    <w:rsid w:val="00F17C55"/>
    <w:rsid w:val="00F43AED"/>
    <w:rsid w:val="00F7222A"/>
    <w:rsid w:val="00F77515"/>
    <w:rsid w:val="00F8610C"/>
    <w:rsid w:val="00F952D4"/>
    <w:rsid w:val="00FB1BE0"/>
    <w:rsid w:val="00FB2E5E"/>
    <w:rsid w:val="00FC056F"/>
    <w:rsid w:val="00FC56AB"/>
    <w:rsid w:val="00FC7626"/>
    <w:rsid w:val="00FD2050"/>
    <w:rsid w:val="00FF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119FE"/>
  <w15:chartTrackingRefBased/>
  <w15:docId w15:val="{C65C7394-E457-4082-B3F8-4E2EA7D1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semiHidden="1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4E0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AE2ABE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30015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611B4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396BD0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B5725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8F25B2"/>
    <w:pPr>
      <w:tabs>
        <w:tab w:val="center" w:pos="4513"/>
        <w:tab w:val="right" w:pos="9026"/>
      </w:tabs>
    </w:pPr>
  </w:style>
  <w:style w:type="paragraph" w:customStyle="1" w:styleId="NormalBold24a">
    <w:name w:val="NormalBold24a"/>
    <w:basedOn w:val="Normal"/>
    <w:rsid w:val="00DF46ED"/>
    <w:pPr>
      <w:spacing w:after="480"/>
    </w:pPr>
    <w:rPr>
      <w:b/>
      <w:bCs/>
    </w:rPr>
  </w:style>
  <w:style w:type="table" w:styleId="TableGrid">
    <w:name w:val="Table Grid"/>
    <w:basedOn w:val="TableNormal"/>
    <w:rsid w:val="0053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5335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5335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5335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30015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300158"/>
    <w:pPr>
      <w:jc w:val="right"/>
    </w:pPr>
  </w:style>
  <w:style w:type="paragraph" w:customStyle="1" w:styleId="EPFooter">
    <w:name w:val="EPFooter"/>
    <w:basedOn w:val="Normal"/>
    <w:rsid w:val="00611B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FC56AB"/>
  </w:style>
  <w:style w:type="character" w:customStyle="1" w:styleId="HeaderChar">
    <w:name w:val="Header Char"/>
    <w:basedOn w:val="DefaultParagraphFont"/>
    <w:link w:val="Header"/>
    <w:semiHidden/>
    <w:rsid w:val="008F25B2"/>
    <w:rPr>
      <w:sz w:val="24"/>
    </w:rPr>
  </w:style>
  <w:style w:type="paragraph" w:customStyle="1" w:styleId="EPComma">
    <w:name w:val="EPComma"/>
    <w:basedOn w:val="Normal"/>
    <w:rsid w:val="006E4E08"/>
    <w:pPr>
      <w:spacing w:before="480" w:after="240"/>
    </w:pPr>
  </w:style>
  <w:style w:type="paragraph" w:styleId="FootnoteText">
    <w:name w:val="footnote text"/>
    <w:basedOn w:val="Normal"/>
    <w:link w:val="FootnoteTextChar"/>
    <w:uiPriority w:val="99"/>
    <w:rsid w:val="005216A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16AD"/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basedOn w:val="DefaultParagraphFont"/>
    <w:uiPriority w:val="99"/>
    <w:rsid w:val="005216AD"/>
    <w:rPr>
      <w:vertAlign w:val="superscript"/>
    </w:rPr>
  </w:style>
  <w:style w:type="character" w:styleId="Hyperlink">
    <w:name w:val="Hyperlink"/>
    <w:basedOn w:val="DefaultParagraphFont"/>
    <w:uiPriority w:val="99"/>
    <w:rsid w:val="005216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6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F8610C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Default">
    <w:name w:val="Default"/>
    <w:rsid w:val="00E059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B6713"/>
    <w:pPr>
      <w:widowControl/>
      <w:autoSpaceDE w:val="0"/>
      <w:autoSpaceDN w:val="0"/>
      <w:adjustRightInd w:val="0"/>
    </w:pPr>
    <w:rPr>
      <w:szCs w:val="24"/>
    </w:rPr>
  </w:style>
  <w:style w:type="paragraph" w:styleId="Footer">
    <w:name w:val="footer"/>
    <w:basedOn w:val="Normal"/>
    <w:link w:val="FooterChar"/>
    <w:semiHidden/>
    <w:rsid w:val="00DD2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D2CD6"/>
    <w:rPr>
      <w:sz w:val="24"/>
    </w:rPr>
  </w:style>
  <w:style w:type="paragraph" w:styleId="NormalWeb">
    <w:name w:val="Normal (Web)"/>
    <w:basedOn w:val="Normal"/>
    <w:rsid w:val="00E911A1"/>
    <w:rPr>
      <w:szCs w:val="24"/>
    </w:rPr>
  </w:style>
  <w:style w:type="paragraph" w:styleId="Revision">
    <w:name w:val="Revision"/>
    <w:hidden/>
    <w:uiPriority w:val="99"/>
    <w:semiHidden/>
    <w:rsid w:val="00432568"/>
    <w:rPr>
      <w:sz w:val="24"/>
    </w:rPr>
  </w:style>
  <w:style w:type="character" w:styleId="CommentReference">
    <w:name w:val="annotation reference"/>
    <w:basedOn w:val="DefaultParagraphFont"/>
    <w:uiPriority w:val="99"/>
    <w:unhideWhenUsed/>
    <w:rsid w:val="004325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2568"/>
    <w:pPr>
      <w:widowControl/>
      <w:spacing w:before="120" w:after="120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2568"/>
    <w:rPr>
      <w:rFonts w:eastAsiaTheme="minorHAnsi"/>
      <w:lang w:eastAsia="en-US"/>
    </w:rPr>
  </w:style>
  <w:style w:type="paragraph" w:customStyle="1" w:styleId="Normal24a">
    <w:name w:val="Normal24a"/>
    <w:basedOn w:val="Normal"/>
    <w:rsid w:val="008F612B"/>
    <w:pPr>
      <w:spacing w:after="480"/>
    </w:pPr>
  </w:style>
  <w:style w:type="paragraph" w:customStyle="1" w:styleId="NormalBoldCenter">
    <w:name w:val="NormalBoldCenter"/>
    <w:basedOn w:val="Normal"/>
    <w:rsid w:val="008F612B"/>
    <w:pPr>
      <w:jc w:val="center"/>
    </w:pPr>
    <w:rPr>
      <w:b/>
    </w:rPr>
  </w:style>
  <w:style w:type="paragraph" w:customStyle="1" w:styleId="Footprint12b">
    <w:name w:val="Footprint12b"/>
    <w:basedOn w:val="Normal"/>
    <w:rsid w:val="008F612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F612B"/>
    <w:rPr>
      <w:szCs w:val="24"/>
    </w:rPr>
  </w:style>
  <w:style w:type="paragraph" w:customStyle="1" w:styleId="Normal12a">
    <w:name w:val="Normal12a"/>
    <w:basedOn w:val="Normal"/>
    <w:rsid w:val="008F612B"/>
    <w:pPr>
      <w:spacing w:after="240"/>
    </w:pPr>
  </w:style>
  <w:style w:type="paragraph" w:customStyle="1" w:styleId="RollCallVotes">
    <w:name w:val="RollCallVotes"/>
    <w:basedOn w:val="Normal"/>
    <w:rsid w:val="008F612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F612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F612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F612B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0C32A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Formuledadoption">
    <w:name w:val="Formule d'adoption"/>
    <w:basedOn w:val="Normal"/>
    <w:next w:val="Titrearticle"/>
    <w:rsid w:val="000C32A3"/>
    <w:pPr>
      <w:keepNext/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Institutionquiagit">
    <w:name w:val="Institution qui agit"/>
    <w:basedOn w:val="Normal"/>
    <w:next w:val="Normal"/>
    <w:rsid w:val="000C32A3"/>
    <w:pPr>
      <w:keepNext/>
      <w:widowControl/>
      <w:spacing w:before="60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Titrearticle">
    <w:name w:val="Titre article"/>
    <w:basedOn w:val="Normal"/>
    <w:next w:val="Normal"/>
    <w:rsid w:val="000C32A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pl-PL" w:bidi="pl-PL"/>
    </w:rPr>
  </w:style>
  <w:style w:type="paragraph" w:customStyle="1" w:styleId="Lignefinal">
    <w:name w:val="Ligne final"/>
    <w:basedOn w:val="Normal"/>
    <w:next w:val="Normal"/>
    <w:rsid w:val="000C32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42/oj" TargetMode="External"/><Relationship Id="rId13" Type="http://schemas.openxmlformats.org/officeDocument/2006/relationships/hyperlink" Target="http://data.europa.eu/eli/agree_interinstit/2021/61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12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agree_interinstit/2020/122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0/2093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02/20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3713D-57BB-4A46-8069-00837B340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4052</Words>
  <Characters>22535</Characters>
  <Application>Microsoft Office Word</Application>
  <DocSecurity>0</DocSecurity>
  <Lines>625</Lines>
  <Paragraphs>364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PR_BUD_Funds</vt:lpstr>
    </vt:vector>
  </TitlesOfParts>
  <Company/>
  <LinksUpToDate>false</LinksUpToDate>
  <CharactersWithSpaces>26223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PR_BUD_Funds</dc:title>
  <dc:subject/>
  <dc:creator>FONSECA DOS SANTOS Ines</dc:creator>
  <cp:keywords/>
  <dc:description/>
  <cp:lastModifiedBy>WOLSZCZAK Monika</cp:lastModifiedBy>
  <cp:revision>2</cp:revision>
  <cp:lastPrinted>2004-12-08T15:27:00Z</cp:lastPrinted>
  <dcterms:created xsi:type="dcterms:W3CDTF">2026-07-02T09:15:00Z</dcterms:created>
  <dcterms:modified xsi:type="dcterms:W3CDTF">2026-07-02T09:15:00Z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1346601</vt:lpwstr>
  </property>
  <property fmtid="{D5CDD505-2E9C-101B-9397-08002B2CF9AE}" pid="6" name="&lt;Type&gt;">
    <vt:lpwstr>RR</vt:lpwstr>
  </property>
  <property fmtid="{D5CDD505-2E9C-101B-9397-08002B2CF9AE}" pid="7" name="&lt;ModelCod&gt;">
    <vt:lpwstr>\\eiciBRUpr1\pdocep$\DocEP\DOCS\General\PR\PR_BUD\BUDGET\BUD\PR_BUD_Funds.dotx(05/07/2024 10:40:03)</vt:lpwstr>
  </property>
  <property fmtid="{D5CDD505-2E9C-101B-9397-08002B2CF9AE}" pid="8" name="&lt;ModelTra&gt;">
    <vt:lpwstr>\\eiciBRUpr1\pdocep$\DocEP\TRANSFIL\EN\PR_BUD_Funds.EN(03/03/2026 15:20:18)</vt:lpwstr>
  </property>
  <property fmtid="{D5CDD505-2E9C-101B-9397-08002B2CF9AE}" pid="9" name="&lt;Model&gt;">
    <vt:lpwstr>PR_BUD_Funds</vt:lpwstr>
  </property>
  <property fmtid="{D5CDD505-2E9C-101B-9397-08002B2CF9AE}" pid="10" name="FooterPath">
    <vt:lpwstr>RR\1346601PL.docx</vt:lpwstr>
  </property>
  <property fmtid="{D5CDD505-2E9C-101B-9397-08002B2CF9AE}" pid="11" name="PE number">
    <vt:lpwstr>789.090</vt:lpwstr>
  </property>
  <property fmtid="{D5CDD505-2E9C-101B-9397-08002B2CF9AE}" pid="12" name="SendToEpades">
    <vt:lpwstr/>
  </property>
  <property fmtid="{D5CDD505-2E9C-101B-9397-08002B2CF9AE}" pid="13" name="RegistreCheck">
    <vt:lpwstr>OK</vt:lpwstr>
  </property>
  <property fmtid="{D5CDD505-2E9C-101B-9397-08002B2CF9AE}" pid="14" name="OriLang">
    <vt:lpwstr>EN</vt:lpwstr>
  </property>
  <property fmtid="{D5CDD505-2E9C-101B-9397-08002B2CF9AE}" pid="15" name="SDLStudio">
    <vt:lpwstr/>
  </property>
</Properties>
</file>