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75B91" w:rsidRPr="00744AD0" w14:paraId="5DD07C2D" w14:textId="77777777" w:rsidTr="00C85D0F">
        <w:trPr>
          <w:trHeight w:hRule="exact" w:val="1418"/>
        </w:trPr>
        <w:tc>
          <w:tcPr>
            <w:tcW w:w="6804" w:type="dxa"/>
            <w:shd w:val="clear" w:color="auto" w:fill="auto"/>
            <w:vAlign w:val="center"/>
          </w:tcPr>
          <w:p w14:paraId="1BF3A742" w14:textId="77777777" w:rsidR="00775B91" w:rsidRPr="00744AD0" w:rsidRDefault="0076232F" w:rsidP="00C85D0F">
            <w:pPr>
              <w:pStyle w:val="EPName"/>
            </w:pPr>
            <w:r>
              <w:t>Parlement européen</w:t>
            </w:r>
          </w:p>
          <w:p w14:paraId="6D644BE4" w14:textId="39F01D34" w:rsidR="00775B91" w:rsidRPr="00744AD0" w:rsidRDefault="00985833" w:rsidP="00C85D0F">
            <w:pPr>
              <w:pStyle w:val="EPTerm"/>
            </w:pPr>
            <w:r>
              <w:t>2024-2029</w:t>
            </w:r>
          </w:p>
        </w:tc>
        <w:tc>
          <w:tcPr>
            <w:tcW w:w="2268" w:type="dxa"/>
            <w:shd w:val="clear" w:color="auto" w:fill="auto"/>
          </w:tcPr>
          <w:p w14:paraId="3BC05D85" w14:textId="77777777" w:rsidR="00775B91" w:rsidRPr="00744AD0" w:rsidRDefault="00775B91" w:rsidP="00C85D0F">
            <w:pPr>
              <w:pStyle w:val="EPLogo"/>
            </w:pPr>
            <w:r w:rsidRPr="00744AD0">
              <w:rPr>
                <w:noProof/>
                <w:lang w:eastAsia="ja-JP"/>
              </w:rPr>
              <w:drawing>
                <wp:inline distT="0" distB="0" distL="0" distR="0" wp14:anchorId="6D8B9DB8" wp14:editId="202E8B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38A16B" w14:textId="77777777" w:rsidR="00332734" w:rsidRPr="00744AD0" w:rsidRDefault="00332734" w:rsidP="00332734">
      <w:pPr>
        <w:pStyle w:val="LineTop"/>
      </w:pPr>
    </w:p>
    <w:p w14:paraId="71953BE4" w14:textId="3E89AC89" w:rsidR="00332734" w:rsidRPr="00744AD0" w:rsidRDefault="00985833" w:rsidP="00332734">
      <w:pPr>
        <w:pStyle w:val="EPBody"/>
      </w:pPr>
      <w:r>
        <w:t>Document de séance</w:t>
      </w:r>
    </w:p>
    <w:p w14:paraId="0527989C" w14:textId="77777777" w:rsidR="00332734" w:rsidRPr="00744AD0" w:rsidRDefault="00332734" w:rsidP="00332734">
      <w:pPr>
        <w:pStyle w:val="LineBottom"/>
      </w:pPr>
    </w:p>
    <w:p w14:paraId="5B165909" w14:textId="3E03714A" w:rsidR="00ED0821" w:rsidRPr="00744AD0" w:rsidRDefault="00985833">
      <w:pPr>
        <w:pStyle w:val="CoverReference"/>
      </w:pPr>
      <w:r>
        <w:rPr>
          <w:rStyle w:val="HideTWBExt"/>
        </w:rPr>
        <w:t>&lt;NoDocSe&gt;</w:t>
      </w:r>
      <w:r>
        <w:t>A10-0183/2026</w:t>
      </w:r>
      <w:r>
        <w:rPr>
          <w:rStyle w:val="HideTWBExt"/>
        </w:rPr>
        <w:t>&lt;/NoDocSe&gt;</w:t>
      </w:r>
    </w:p>
    <w:p w14:paraId="0362893D" w14:textId="7924D1E4" w:rsidR="00ED0821" w:rsidRPr="00744AD0" w:rsidRDefault="00ED0821">
      <w:pPr>
        <w:pStyle w:val="CoverDate"/>
      </w:pPr>
      <w:r>
        <w:rPr>
          <w:rStyle w:val="HideTWBExt"/>
        </w:rPr>
        <w:t>&lt;Date&gt;</w:t>
      </w:r>
      <w:r>
        <w:rPr>
          <w:rStyle w:val="HideTWBInt"/>
        </w:rPr>
        <w:t>{25/06/2026}</w:t>
      </w:r>
      <w:r>
        <w:t>25.6.2026</w:t>
      </w:r>
      <w:r>
        <w:rPr>
          <w:rStyle w:val="HideTWBExt"/>
        </w:rPr>
        <w:t>&lt;/Date&gt;</w:t>
      </w:r>
    </w:p>
    <w:p w14:paraId="763789E7" w14:textId="77777777" w:rsidR="00ED0821" w:rsidRPr="00744AD0" w:rsidRDefault="00ED0821">
      <w:pPr>
        <w:pStyle w:val="CoverDocType"/>
      </w:pPr>
      <w:r>
        <w:rPr>
          <w:rStyle w:val="HideTWBExt"/>
          <w:b w:val="0"/>
        </w:rPr>
        <w:t>&lt;RefProcLect&gt;</w:t>
      </w:r>
      <w:r>
        <w:t>***I</w:t>
      </w:r>
      <w:r>
        <w:rPr>
          <w:rStyle w:val="HideTWBExt"/>
          <w:b w:val="0"/>
        </w:rPr>
        <w:t>&lt;/RefProcLect&gt;</w:t>
      </w:r>
    </w:p>
    <w:p w14:paraId="4BB24B38" w14:textId="34B7EAD1" w:rsidR="00ED0821" w:rsidRPr="00744AD0" w:rsidRDefault="00ED0821">
      <w:pPr>
        <w:pStyle w:val="CoverDocType24a"/>
      </w:pPr>
      <w:r>
        <w:rPr>
          <w:rStyle w:val="HideTWBExt"/>
          <w:b w:val="0"/>
        </w:rPr>
        <w:t>&lt;TitreType&gt;</w:t>
      </w:r>
      <w:r>
        <w:t>RAPPORT</w:t>
      </w:r>
      <w:r>
        <w:rPr>
          <w:rStyle w:val="HideTWBExt"/>
          <w:b w:val="0"/>
        </w:rPr>
        <w:t>&lt;/TitreType&gt;</w:t>
      </w:r>
    </w:p>
    <w:p w14:paraId="11FC7731" w14:textId="4D7B0BE0" w:rsidR="00ED0821" w:rsidRPr="00744AD0" w:rsidRDefault="00ED0821">
      <w:pPr>
        <w:pStyle w:val="CoverNormal"/>
      </w:pPr>
      <w:r>
        <w:rPr>
          <w:rStyle w:val="HideTWBExt"/>
        </w:rPr>
        <w:t>&lt;Titre&gt;</w:t>
      </w:r>
      <w:r>
        <w:t>sur la proposition de règlement du Parlement européen et du Conseil relatif à la fourniture de services en euros numériques par les prestataires de services de paiement constitués dans des États membres dont la monnaie n’est pas l’euro et modifiant le règlement (UE) 2021/1230 du Parlement européen et du Conseil</w:t>
      </w:r>
      <w:r>
        <w:rPr>
          <w:rStyle w:val="HideTWBExt"/>
        </w:rPr>
        <w:t>&lt;/Titre&gt;</w:t>
      </w:r>
    </w:p>
    <w:p w14:paraId="1D755018" w14:textId="43C1007D" w:rsidR="00ED0821" w:rsidRPr="00744AD0" w:rsidRDefault="00ED0821">
      <w:pPr>
        <w:pStyle w:val="CoverNormal24a"/>
      </w:pPr>
      <w:r>
        <w:rPr>
          <w:rStyle w:val="HideTWBExt"/>
        </w:rPr>
        <w:t>&lt;DocRef&gt;</w:t>
      </w:r>
      <w:r>
        <w:t>(COM(2023)0368 – C9</w:t>
      </w:r>
      <w:r>
        <w:noBreakHyphen/>
        <w:t>0214/2023 – 2023/0211(COD))</w:t>
      </w:r>
      <w:r>
        <w:rPr>
          <w:rStyle w:val="HideTWBExt"/>
        </w:rPr>
        <w:t>&lt;/DocRef&gt;</w:t>
      </w:r>
    </w:p>
    <w:p w14:paraId="388E7286" w14:textId="45FF3F87" w:rsidR="00ED0821" w:rsidRPr="00744AD0" w:rsidRDefault="00ED0821">
      <w:pPr>
        <w:pStyle w:val="CoverNormal24a"/>
      </w:pPr>
      <w:r>
        <w:rPr>
          <w:rStyle w:val="HideTWBExt"/>
        </w:rPr>
        <w:t>&lt;Commission&gt;</w:t>
      </w:r>
      <w:r>
        <w:rPr>
          <w:rStyle w:val="HideTWBInt"/>
        </w:rPr>
        <w:t>{ECON}</w:t>
      </w:r>
      <w:r>
        <w:t>Commission des affaires économiques et monétaires</w:t>
      </w:r>
      <w:r>
        <w:rPr>
          <w:rStyle w:val="HideTWBExt"/>
        </w:rPr>
        <w:t>&lt;/Commission&gt;</w:t>
      </w:r>
    </w:p>
    <w:p w14:paraId="4BCC554C" w14:textId="701FEE8A" w:rsidR="00ED0821" w:rsidRPr="00F7036A" w:rsidRDefault="0076232F">
      <w:pPr>
        <w:pStyle w:val="CoverNormal24a"/>
        <w:rPr>
          <w:lang w:val="pt-PT"/>
        </w:rPr>
      </w:pPr>
      <w:r w:rsidRPr="00F7036A">
        <w:rPr>
          <w:lang w:val="pt-PT"/>
        </w:rPr>
        <w:t xml:space="preserve">Rapporteur: </w:t>
      </w:r>
      <w:r w:rsidRPr="00F7036A">
        <w:rPr>
          <w:rStyle w:val="HideTWBExt"/>
          <w:lang w:val="pt-PT"/>
        </w:rPr>
        <w:t>&lt;Depute&gt;</w:t>
      </w:r>
      <w:r w:rsidRPr="00F7036A">
        <w:rPr>
          <w:lang w:val="pt-PT"/>
        </w:rPr>
        <w:t>Fernando Navarrete Rojas</w:t>
      </w:r>
      <w:r w:rsidRPr="00F7036A">
        <w:rPr>
          <w:rStyle w:val="HideTWBExt"/>
          <w:lang w:val="pt-PT"/>
        </w:rPr>
        <w:t>&lt;/Depute&gt;</w:t>
      </w:r>
    </w:p>
    <w:p w14:paraId="4E3C626D" w14:textId="77335F95" w:rsidR="00985833" w:rsidRPr="00F7036A" w:rsidRDefault="00ED0821" w:rsidP="00894923">
      <w:pPr>
        <w:rPr>
          <w:lang w:val="pt-PT"/>
        </w:rPr>
      </w:pPr>
      <w:r w:rsidRPr="00F7036A">
        <w:rPr>
          <w:lang w:val="pt-PT"/>
        </w:rPr>
        <w:br w:type="page"/>
      </w:r>
      <w:r w:rsidR="007543D7">
        <w:lastRenderedPageBreak/>
        <w:fldChar w:fldCharType="begin"/>
      </w:r>
      <w:r w:rsidR="007543D7" w:rsidRPr="00F7036A">
        <w:rPr>
          <w:lang w:val="pt-PT"/>
        </w:rPr>
        <w:instrText xml:space="preserve"> TITLE  \* MERGEFORMAT </w:instrText>
      </w:r>
      <w:r w:rsidR="007543D7">
        <w:fldChar w:fldCharType="separate"/>
      </w:r>
      <w:r w:rsidR="00F7036A">
        <w:rPr>
          <w:lang w:val="pt-PT"/>
        </w:rPr>
        <w:t>PR_COD_1consamCom</w:t>
      </w:r>
      <w:r w:rsidR="007543D7">
        <w:fldChar w:fldCharType="end"/>
      </w:r>
    </w:p>
    <w:p w14:paraId="7D98DD70" w14:textId="77777777" w:rsidR="00985833" w:rsidRPr="00F7036A" w:rsidRDefault="00985833" w:rsidP="00894923">
      <w:pPr>
        <w:rPr>
          <w:lang w:val="pt-PT"/>
        </w:rPr>
      </w:pPr>
    </w:p>
    <w:p w14:paraId="6C741CD4" w14:textId="77777777" w:rsidR="00985833" w:rsidRPr="00F7036A" w:rsidRDefault="00985833" w:rsidP="00894923">
      <w:pPr>
        <w:rPr>
          <w:lang w:val="pt-PT"/>
        </w:rPr>
      </w:pPr>
    </w:p>
    <w:tbl>
      <w:tblPr>
        <w:tblW w:w="5811" w:type="dxa"/>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543D7" w:rsidRPr="00744AD0" w14:paraId="5F7330DF" w14:textId="77777777" w:rsidTr="007543D7">
        <w:tc>
          <w:tcPr>
            <w:tcW w:w="5811" w:type="dxa"/>
          </w:tcPr>
          <w:p w14:paraId="19AF7445" w14:textId="11F58137" w:rsidR="007543D7" w:rsidRPr="00744AD0" w:rsidRDefault="007543D7" w:rsidP="007543D7">
            <w:pPr>
              <w:pStyle w:val="Lgendetitre"/>
            </w:pPr>
            <w:r>
              <w:t>Légende des signes utilisés</w:t>
            </w:r>
          </w:p>
        </w:tc>
      </w:tr>
      <w:tr w:rsidR="007543D7" w:rsidRPr="00744AD0" w14:paraId="126B1B1C" w14:textId="77777777" w:rsidTr="007543D7">
        <w:trPr>
          <w:cantSplit/>
          <w:trHeight w:val="1807"/>
        </w:trPr>
        <w:tc>
          <w:tcPr>
            <w:tcW w:w="5811" w:type="dxa"/>
            <w:tcBorders>
              <w:bottom w:val="single" w:sz="4" w:space="0" w:color="auto"/>
            </w:tcBorders>
          </w:tcPr>
          <w:p w14:paraId="126ACBD6" w14:textId="5249ABAA" w:rsidR="007543D7" w:rsidRPr="0078703C" w:rsidRDefault="007543D7" w:rsidP="007543D7">
            <w:pPr>
              <w:pStyle w:val="Lgendesigne"/>
            </w:pPr>
            <w:r>
              <w:tab/>
              <w:t>*</w:t>
            </w:r>
            <w:r>
              <w:tab/>
              <w:t>Procédure de consultation</w:t>
            </w:r>
          </w:p>
          <w:p w14:paraId="261A94B4" w14:textId="77777777" w:rsidR="007543D7" w:rsidRPr="0078703C" w:rsidRDefault="007543D7" w:rsidP="007543D7">
            <w:pPr>
              <w:pStyle w:val="Lgendesigne"/>
            </w:pPr>
            <w:r>
              <w:tab/>
              <w:t>***</w:t>
            </w:r>
            <w:r>
              <w:tab/>
              <w:t>Procédure d’approbation</w:t>
            </w:r>
          </w:p>
          <w:p w14:paraId="64C78D90" w14:textId="77777777" w:rsidR="007543D7" w:rsidRPr="0078703C" w:rsidRDefault="007543D7" w:rsidP="007543D7">
            <w:pPr>
              <w:pStyle w:val="Lgendesigne"/>
            </w:pPr>
            <w:r>
              <w:tab/>
              <w:t>***I</w:t>
            </w:r>
            <w:r>
              <w:tab/>
              <w:t>Procédure législative ordinaire (première lecture)</w:t>
            </w:r>
          </w:p>
          <w:p w14:paraId="568EB4CA" w14:textId="77777777" w:rsidR="007543D7" w:rsidRPr="0078703C" w:rsidRDefault="007543D7" w:rsidP="007543D7">
            <w:pPr>
              <w:pStyle w:val="Lgendesigne"/>
            </w:pPr>
            <w:r>
              <w:tab/>
              <w:t>***II</w:t>
            </w:r>
            <w:r>
              <w:tab/>
              <w:t>Procédure législative ordinaire (deuxième lecture)</w:t>
            </w:r>
          </w:p>
          <w:p w14:paraId="3BBA7D4E" w14:textId="77777777" w:rsidR="007543D7" w:rsidRPr="0078703C" w:rsidRDefault="007543D7" w:rsidP="007543D7">
            <w:pPr>
              <w:pStyle w:val="Lgendesigne"/>
            </w:pPr>
            <w:r>
              <w:tab/>
              <w:t>***III</w:t>
            </w:r>
            <w:r>
              <w:tab/>
              <w:t>Procédure législative ordinaire (troisième lecture)</w:t>
            </w:r>
            <w:r>
              <w:br/>
            </w:r>
          </w:p>
          <w:p w14:paraId="7C65DD98" w14:textId="77777777" w:rsidR="007543D7" w:rsidRPr="0078703C" w:rsidRDefault="007543D7" w:rsidP="007543D7">
            <w:pPr>
              <w:pStyle w:val="Lgendestandard"/>
            </w:pPr>
            <w:r>
              <w:t>(La procédure indiquée est fondée sur la base juridique proposée par le projet d’acte.)</w:t>
            </w:r>
          </w:p>
          <w:p w14:paraId="210E51E1" w14:textId="77777777" w:rsidR="007543D7" w:rsidRPr="00744AD0" w:rsidRDefault="007543D7" w:rsidP="007543D7">
            <w:pPr>
              <w:pStyle w:val="Lgendesigne"/>
            </w:pPr>
          </w:p>
        </w:tc>
      </w:tr>
    </w:tbl>
    <w:p w14:paraId="31FBBF24" w14:textId="77777777" w:rsidR="00985833" w:rsidRPr="00744AD0" w:rsidRDefault="00985833" w:rsidP="00894923"/>
    <w:p w14:paraId="21E083E0" w14:textId="77777777" w:rsidR="00985833" w:rsidRPr="00744AD0" w:rsidRDefault="00985833" w:rsidP="00894923"/>
    <w:p w14:paraId="3D2FD9E7" w14:textId="77777777" w:rsidR="00985833" w:rsidRPr="00744AD0" w:rsidRDefault="00985833" w:rsidP="00894923"/>
    <w:p w14:paraId="6FC74F3A" w14:textId="77777777" w:rsidR="00985833" w:rsidRPr="00744AD0" w:rsidRDefault="00985833"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543D7" w:rsidRPr="00A45592" w14:paraId="19545ACD" w14:textId="77777777" w:rsidTr="002361D1">
        <w:tc>
          <w:tcPr>
            <w:tcW w:w="5811" w:type="dxa"/>
          </w:tcPr>
          <w:p w14:paraId="2AE7CA9B" w14:textId="77777777" w:rsidR="007543D7" w:rsidRPr="0078703C" w:rsidRDefault="007543D7" w:rsidP="002361D1">
            <w:pPr>
              <w:pStyle w:val="Lgendetitre"/>
            </w:pPr>
            <w:r>
              <w:t>Amendements à un projet d’acte</w:t>
            </w:r>
          </w:p>
        </w:tc>
      </w:tr>
      <w:tr w:rsidR="007543D7" w:rsidRPr="00A45592" w14:paraId="4B9E052E" w14:textId="77777777" w:rsidTr="002361D1">
        <w:tc>
          <w:tcPr>
            <w:tcW w:w="5811" w:type="dxa"/>
          </w:tcPr>
          <w:p w14:paraId="542C30AE" w14:textId="77777777" w:rsidR="007543D7" w:rsidRDefault="007543D7" w:rsidP="002361D1">
            <w:pPr>
              <w:pStyle w:val="Lgendestandard"/>
            </w:pPr>
          </w:p>
          <w:p w14:paraId="3E54649E" w14:textId="77777777" w:rsidR="007543D7" w:rsidRDefault="007543D7" w:rsidP="002361D1">
            <w:pPr>
              <w:pStyle w:val="Lgendestandard"/>
              <w:rPr>
                <w:szCs w:val="18"/>
              </w:rPr>
            </w:pPr>
            <w:r>
              <w:rPr>
                <w:b/>
              </w:rPr>
              <w:t>Amendements du Parlement présentés en deux colonnes</w:t>
            </w:r>
          </w:p>
          <w:p w14:paraId="46A4E055" w14:textId="77777777" w:rsidR="007543D7" w:rsidRDefault="007543D7" w:rsidP="002361D1">
            <w:pPr>
              <w:pStyle w:val="Lgendestandard"/>
              <w:rPr>
                <w:szCs w:val="18"/>
              </w:rPr>
            </w:pPr>
          </w:p>
          <w:p w14:paraId="3E3EFC0A" w14:textId="77777777" w:rsidR="007543D7" w:rsidRDefault="007543D7" w:rsidP="002361D1">
            <w:pPr>
              <w:pStyle w:val="Lgendestandard"/>
              <w:rPr>
                <w:szCs w:val="18"/>
              </w:rPr>
            </w:pPr>
            <w:r>
              <w:t xml:space="preserve">Les suppressions sont signalées par des </w:t>
            </w:r>
            <w:r>
              <w:rPr>
                <w:b/>
                <w:i/>
              </w:rPr>
              <w:t>italiques gras</w:t>
            </w:r>
            <w:r>
              <w:t xml:space="preserve"> dans la colonne de gauche. 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14:paraId="1157D956" w14:textId="77777777" w:rsidR="007543D7" w:rsidRPr="0078703C" w:rsidRDefault="007543D7" w:rsidP="002361D1">
            <w:pPr>
              <w:pStyle w:val="Lgendestandard"/>
            </w:pPr>
          </w:p>
          <w:p w14:paraId="72397994" w14:textId="77777777" w:rsidR="007543D7" w:rsidRDefault="007543D7" w:rsidP="002361D1">
            <w:pPr>
              <w:pStyle w:val="Lgendestandard"/>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14:paraId="21FA0B98" w14:textId="77777777" w:rsidR="007543D7" w:rsidRDefault="007543D7" w:rsidP="002361D1">
            <w:pPr>
              <w:pStyle w:val="Lgendestandard"/>
            </w:pPr>
          </w:p>
          <w:p w14:paraId="109B7E32" w14:textId="77777777" w:rsidR="007543D7" w:rsidRPr="00DF243B" w:rsidRDefault="007543D7" w:rsidP="002361D1">
            <w:pPr>
              <w:pStyle w:val="Lgendestandard"/>
              <w:rPr>
                <w:b/>
                <w:szCs w:val="18"/>
              </w:rPr>
            </w:pPr>
            <w:r>
              <w:rPr>
                <w:b/>
              </w:rPr>
              <w:t>Amendements du Parlement prenant la forme d’un texte consolidé</w:t>
            </w:r>
          </w:p>
          <w:p w14:paraId="3844EB94" w14:textId="77777777" w:rsidR="007543D7" w:rsidRDefault="007543D7" w:rsidP="002361D1">
            <w:pPr>
              <w:pStyle w:val="Lgendestandard"/>
              <w:rPr>
                <w:szCs w:val="18"/>
              </w:rPr>
            </w:pPr>
          </w:p>
          <w:p w14:paraId="470E5512" w14:textId="77777777" w:rsidR="007543D7" w:rsidRDefault="007543D7" w:rsidP="002361D1">
            <w:pPr>
              <w:pStyle w:val="Lgendestandard"/>
              <w:rPr>
                <w:szCs w:val="18"/>
              </w:rPr>
            </w:pPr>
            <w:r>
              <w:rPr>
                <w:color w:val="000000"/>
              </w:rPr>
              <w:t xml:space="preserve">Les parties de textes nouvelles sont indiquées en </w:t>
            </w:r>
            <w:r>
              <w:rPr>
                <w:b/>
                <w:i/>
                <w:color w:val="000000"/>
              </w:rPr>
              <w:t>italiques gras</w:t>
            </w:r>
            <w:r>
              <w:t xml:space="preserve">. Les parties de texte supprimées sont </w:t>
            </w:r>
            <w:r>
              <w:rPr>
                <w:color w:val="000000"/>
              </w:rPr>
              <w:t xml:space="preserve">indiquées par le symbole </w:t>
            </w:r>
            <w:r>
              <w:t xml:space="preserve">▌ ou barrées. Les remplacements sont signalés en indiquant en </w:t>
            </w:r>
            <w:r>
              <w:rPr>
                <w:b/>
                <w:i/>
              </w:rPr>
              <w:t xml:space="preserve">italiques gras </w:t>
            </w:r>
            <w:r>
              <w:t xml:space="preserve">le texte nouveau et en effaçant ou en barrant le texte remplacé. </w:t>
            </w:r>
          </w:p>
          <w:p w14:paraId="0BE2783F" w14:textId="77777777" w:rsidR="007543D7" w:rsidRPr="0078703C" w:rsidRDefault="007543D7" w:rsidP="002361D1">
            <w:pPr>
              <w:pStyle w:val="Lgendestandard"/>
            </w:pPr>
            <w:r>
              <w:t>Par exception, les modifications de nature strictement technique apportées par les services en vue de l’élaboration du texte final ne sont pas marquées.</w:t>
            </w:r>
          </w:p>
          <w:p w14:paraId="0A2BC129" w14:textId="77777777" w:rsidR="007543D7" w:rsidRPr="0078703C" w:rsidRDefault="007543D7" w:rsidP="002361D1">
            <w:pPr>
              <w:pStyle w:val="Lgendestandard"/>
            </w:pPr>
          </w:p>
        </w:tc>
      </w:tr>
    </w:tbl>
    <w:p w14:paraId="145C3E23" w14:textId="77777777" w:rsidR="00985833" w:rsidRPr="00744AD0" w:rsidRDefault="00985833" w:rsidP="00894923"/>
    <w:p w14:paraId="55077500" w14:textId="31C8877A" w:rsidR="00ED0821" w:rsidRPr="00744AD0" w:rsidRDefault="00ED0821" w:rsidP="006506C7">
      <w:pPr>
        <w:widowControl/>
        <w:tabs>
          <w:tab w:val="center" w:pos="4677"/>
        </w:tabs>
      </w:pPr>
    </w:p>
    <w:p w14:paraId="1A2065A2" w14:textId="77777777" w:rsidR="00ED0821" w:rsidRPr="00744AD0" w:rsidRDefault="00ED0821">
      <w:pPr>
        <w:pStyle w:val="TOCHeading"/>
      </w:pPr>
      <w:r>
        <w:br w:type="page"/>
      </w:r>
      <w:r>
        <w:lastRenderedPageBreak/>
        <w:t>SOMMAIRE</w:t>
      </w:r>
    </w:p>
    <w:p w14:paraId="67E7A927" w14:textId="77777777" w:rsidR="00ED0821" w:rsidRPr="00744AD0" w:rsidRDefault="0076232F">
      <w:pPr>
        <w:pStyle w:val="TOCPage"/>
      </w:pPr>
      <w:r>
        <w:t>Page</w:t>
      </w:r>
    </w:p>
    <w:p w14:paraId="31018CB6" w14:textId="1A8C4D74" w:rsidR="00F7036A" w:rsidRDefault="006506C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44AD0">
        <w:rPr>
          <w:b/>
        </w:rPr>
        <w:fldChar w:fldCharType="begin"/>
      </w:r>
      <w:r w:rsidRPr="00744AD0">
        <w:rPr>
          <w:b/>
        </w:rPr>
        <w:instrText xml:space="preserve"> TOC \t "PageHeading</w:instrText>
      </w:r>
      <w:r w:rsidR="0056397F" w:rsidRPr="00744AD0">
        <w:rPr>
          <w:b/>
        </w:rPr>
        <w:instrText>;</w:instrText>
      </w:r>
      <w:r w:rsidRPr="00744AD0">
        <w:rPr>
          <w:b/>
        </w:rPr>
        <w:instrText xml:space="preserve">1" </w:instrText>
      </w:r>
      <w:r w:rsidRPr="00744AD0">
        <w:rPr>
          <w:b/>
        </w:rPr>
        <w:fldChar w:fldCharType="separate"/>
      </w:r>
      <w:r w:rsidR="00F7036A">
        <w:rPr>
          <w:noProof/>
        </w:rPr>
        <w:t>PROJET DE RÉSOLUTION LÉGISLATIVE DU PARLEMENT EUROPÉEN</w:t>
      </w:r>
      <w:r w:rsidR="00F7036A">
        <w:rPr>
          <w:noProof/>
        </w:rPr>
        <w:tab/>
      </w:r>
      <w:r w:rsidR="00F7036A">
        <w:rPr>
          <w:noProof/>
        </w:rPr>
        <w:fldChar w:fldCharType="begin"/>
      </w:r>
      <w:r w:rsidR="00F7036A">
        <w:rPr>
          <w:noProof/>
        </w:rPr>
        <w:instrText xml:space="preserve"> PAGEREF _Toc234484094 \h </w:instrText>
      </w:r>
      <w:r w:rsidR="00F7036A">
        <w:rPr>
          <w:noProof/>
        </w:rPr>
      </w:r>
      <w:r w:rsidR="00F7036A">
        <w:rPr>
          <w:noProof/>
        </w:rPr>
        <w:fldChar w:fldCharType="separate"/>
      </w:r>
      <w:r w:rsidR="00F7036A">
        <w:rPr>
          <w:noProof/>
        </w:rPr>
        <w:t>5</w:t>
      </w:r>
      <w:r w:rsidR="00F7036A">
        <w:rPr>
          <w:noProof/>
        </w:rPr>
        <w:fldChar w:fldCharType="end"/>
      </w:r>
    </w:p>
    <w:p w14:paraId="237FE1F5" w14:textId="4EE09629" w:rsidR="00F7036A" w:rsidRDefault="00F7036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_Toc234484095 \h </w:instrText>
      </w:r>
      <w:r>
        <w:rPr>
          <w:noProof/>
        </w:rPr>
      </w:r>
      <w:r>
        <w:rPr>
          <w:noProof/>
        </w:rPr>
        <w:fldChar w:fldCharType="separate"/>
      </w:r>
      <w:r>
        <w:rPr>
          <w:noProof/>
        </w:rPr>
        <w:t>17</w:t>
      </w:r>
      <w:r>
        <w:rPr>
          <w:noProof/>
        </w:rPr>
        <w:fldChar w:fldCharType="end"/>
      </w:r>
    </w:p>
    <w:p w14:paraId="7C0C448C" w14:textId="6BA5D525" w:rsidR="00F7036A" w:rsidRDefault="00F7036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PROCÉDURE DE LA COMMISSION COMPÉTENTE AU FOND</w:t>
      </w:r>
      <w:r>
        <w:rPr>
          <w:noProof/>
        </w:rPr>
        <w:tab/>
      </w:r>
      <w:r>
        <w:rPr>
          <w:noProof/>
        </w:rPr>
        <w:fldChar w:fldCharType="begin"/>
      </w:r>
      <w:r>
        <w:rPr>
          <w:noProof/>
        </w:rPr>
        <w:instrText xml:space="preserve"> PAGEREF _Toc234484096 \h </w:instrText>
      </w:r>
      <w:r>
        <w:rPr>
          <w:noProof/>
        </w:rPr>
      </w:r>
      <w:r>
        <w:rPr>
          <w:noProof/>
        </w:rPr>
        <w:fldChar w:fldCharType="separate"/>
      </w:r>
      <w:r>
        <w:rPr>
          <w:noProof/>
        </w:rPr>
        <w:t>20</w:t>
      </w:r>
      <w:r>
        <w:rPr>
          <w:noProof/>
        </w:rPr>
        <w:fldChar w:fldCharType="end"/>
      </w:r>
    </w:p>
    <w:p w14:paraId="7DAEB92C" w14:textId="0E35FC12" w:rsidR="00F7036A" w:rsidRDefault="00F7036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_Toc234484097 \h </w:instrText>
      </w:r>
      <w:r>
        <w:rPr>
          <w:noProof/>
        </w:rPr>
      </w:r>
      <w:r>
        <w:rPr>
          <w:noProof/>
        </w:rPr>
        <w:fldChar w:fldCharType="separate"/>
      </w:r>
      <w:r>
        <w:rPr>
          <w:noProof/>
        </w:rPr>
        <w:t>21</w:t>
      </w:r>
      <w:r>
        <w:rPr>
          <w:noProof/>
        </w:rPr>
        <w:fldChar w:fldCharType="end"/>
      </w:r>
    </w:p>
    <w:p w14:paraId="2A541946" w14:textId="3302D92D" w:rsidR="00B85C30" w:rsidRPr="00744AD0" w:rsidRDefault="006506C7" w:rsidP="00B85C30">
      <w:pPr>
        <w:pStyle w:val="PageHeading"/>
      </w:pPr>
      <w:r w:rsidRPr="00744AD0">
        <w:rPr>
          <w:b w:val="0"/>
        </w:rPr>
        <w:fldChar w:fldCharType="end"/>
      </w:r>
      <w:r>
        <w:br w:type="page"/>
      </w:r>
      <w:r>
        <w:lastRenderedPageBreak/>
        <w:br w:type="page"/>
      </w:r>
      <w:bookmarkStart w:id="0" w:name="_Toc234484094"/>
      <w:r>
        <w:lastRenderedPageBreak/>
        <w:t>PROJET DE RÉSOLUTION LÉGISLATIVE DU PARLEMENT EUROPÉEN</w:t>
      </w:r>
      <w:bookmarkEnd w:id="0"/>
    </w:p>
    <w:p w14:paraId="5F5DAE40" w14:textId="5D43BAE4" w:rsidR="00B85C30" w:rsidRPr="00744AD0" w:rsidRDefault="00BA41AC" w:rsidP="00B85C30">
      <w:pPr>
        <w:pStyle w:val="NormalBold12a"/>
      </w:pPr>
      <w:r>
        <w:t>sur la proposition de règlement du Parlement européen et du Conseil relatif à la fourniture de services en euros numériques par les prestataires de services de paiement constitués dans des États membres dont la monnaie n’est pas l’euro et modifiant le règlement (UE) 2021/1230 du Parlement européen et du Conseil</w:t>
      </w:r>
      <w:r>
        <w:br/>
        <w:t>(COM(2023)0368 – C9</w:t>
      </w:r>
      <w:r>
        <w:noBreakHyphen/>
        <w:t>0214/2023 – 2023/0211(COD))</w:t>
      </w:r>
    </w:p>
    <w:p w14:paraId="27F2B939" w14:textId="77777777" w:rsidR="00B85C30" w:rsidRPr="00744AD0" w:rsidRDefault="00B85C30" w:rsidP="00B85C30">
      <w:pPr>
        <w:pStyle w:val="NormalBold"/>
      </w:pPr>
      <w:r>
        <w:t>(Procédure législative ordinaire: première lecture)</w:t>
      </w:r>
    </w:p>
    <w:p w14:paraId="25B88FBB" w14:textId="77777777" w:rsidR="00B85C30" w:rsidRPr="00744AD0" w:rsidRDefault="00B85C30" w:rsidP="00B85C30">
      <w:pPr>
        <w:pStyle w:val="EPComma"/>
      </w:pPr>
      <w:r>
        <w:rPr>
          <w:i/>
        </w:rPr>
        <w:t>Le Parlement européen</w:t>
      </w:r>
      <w:r>
        <w:t>,</w:t>
      </w:r>
    </w:p>
    <w:p w14:paraId="346ED279" w14:textId="77777777" w:rsidR="00B85C30" w:rsidRPr="00744AD0" w:rsidRDefault="00B85C30" w:rsidP="00B85C30">
      <w:pPr>
        <w:pStyle w:val="NormalHanging12a"/>
      </w:pPr>
      <w:r>
        <w:t>–</w:t>
      </w:r>
      <w:r>
        <w:tab/>
        <w:t>vu la proposition de la Commission au Parlement européen et au Conseil (COM(2023)0368),</w:t>
      </w:r>
    </w:p>
    <w:p w14:paraId="1A8D481F" w14:textId="77777777" w:rsidR="00B85C30" w:rsidRPr="00744AD0" w:rsidRDefault="00B85C30" w:rsidP="00B85C30">
      <w:pPr>
        <w:pStyle w:val="NormalHanging12a"/>
      </w:pPr>
      <w:r>
        <w:t>–</w:t>
      </w:r>
      <w:r>
        <w:tab/>
        <w:t>vu l’article 294, paragraphe 2, et l’article 114 du traité sur le fonctionnement de l’Union européenne, conformément auxquels la proposition lui a été présentée par la Commission (C9</w:t>
      </w:r>
      <w:r>
        <w:noBreakHyphen/>
        <w:t>0214/2023),</w:t>
      </w:r>
    </w:p>
    <w:p w14:paraId="391490C6" w14:textId="77777777" w:rsidR="00B85C30" w:rsidRPr="00744AD0" w:rsidRDefault="00B85C30" w:rsidP="00B85C30">
      <w:pPr>
        <w:pStyle w:val="NormalHanging12a"/>
      </w:pPr>
      <w:r>
        <w:t>–</w:t>
      </w:r>
      <w:r>
        <w:tab/>
        <w:t>vu l’article 294, paragraphe 3, du traité sur le fonctionnement de l’Union européenne,</w:t>
      </w:r>
    </w:p>
    <w:p w14:paraId="6502C8A8" w14:textId="77777777" w:rsidR="00B85C30" w:rsidRPr="00744AD0" w:rsidRDefault="00B85C30" w:rsidP="00B85C30">
      <w:pPr>
        <w:pStyle w:val="NormalHanging12a"/>
      </w:pPr>
      <w:r>
        <w:t>–</w:t>
      </w:r>
      <w:r>
        <w:tab/>
        <w:t>vu l’avis de la Banque centrale européenne du 31 octobre 2023</w:t>
      </w:r>
      <w:r w:rsidRPr="00744AD0">
        <w:rPr>
          <w:vertAlign w:val="superscript"/>
        </w:rPr>
        <w:footnoteReference w:id="1"/>
      </w:r>
      <w:r>
        <w:t>,</w:t>
      </w:r>
    </w:p>
    <w:p w14:paraId="36D8AEDF" w14:textId="77777777" w:rsidR="00B85C30" w:rsidRPr="00744AD0" w:rsidRDefault="00B85C30" w:rsidP="00B85C30">
      <w:pPr>
        <w:pStyle w:val="NormalHanging12a"/>
      </w:pPr>
      <w:r>
        <w:t>–</w:t>
      </w:r>
      <w:r>
        <w:tab/>
        <w:t>vu l’avis du Comité économique et social européen du 13 décembre 2023</w:t>
      </w:r>
      <w:r w:rsidRPr="00744AD0">
        <w:rPr>
          <w:vertAlign w:val="superscript"/>
        </w:rPr>
        <w:footnoteReference w:id="2"/>
      </w:r>
      <w:r>
        <w:t>,</w:t>
      </w:r>
    </w:p>
    <w:p w14:paraId="31B972AF" w14:textId="77777777" w:rsidR="00B85C30" w:rsidRPr="00744AD0" w:rsidRDefault="00B85C30" w:rsidP="00B85C30">
      <w:pPr>
        <w:pStyle w:val="NormalHanging12a"/>
      </w:pPr>
      <w:r>
        <w:t>–</w:t>
      </w:r>
      <w:r>
        <w:tab/>
        <w:t>vu l’article 60 de son règlement intérieur,</w:t>
      </w:r>
    </w:p>
    <w:p w14:paraId="32717CF7" w14:textId="0773B839" w:rsidR="00B85C30" w:rsidRPr="00744AD0" w:rsidRDefault="00B85C30" w:rsidP="00B85C30">
      <w:pPr>
        <w:pStyle w:val="NormalHanging12a"/>
      </w:pPr>
      <w:r>
        <w:t>–</w:t>
      </w:r>
      <w:r>
        <w:tab/>
        <w:t>vu le rapport de la commission des affaires économiques et monétaires (A10</w:t>
      </w:r>
      <w:r>
        <w:noBreakHyphen/>
        <w:t>0183/2026),</w:t>
      </w:r>
    </w:p>
    <w:p w14:paraId="46D3DDF5" w14:textId="77777777" w:rsidR="00B85C30" w:rsidRPr="00744AD0" w:rsidRDefault="00B85C30" w:rsidP="00B85C30">
      <w:pPr>
        <w:pStyle w:val="NormalHanging12a"/>
      </w:pPr>
      <w:r>
        <w:t>1.</w:t>
      </w:r>
      <w:r>
        <w:tab/>
        <w:t>arrête la position en première lecture figurant ci-après;</w:t>
      </w:r>
    </w:p>
    <w:p w14:paraId="48F6CBC2" w14:textId="77777777" w:rsidR="00B85C30" w:rsidRPr="00744AD0" w:rsidRDefault="00B85C30" w:rsidP="00B85C30">
      <w:pPr>
        <w:pStyle w:val="NormalHanging12a"/>
      </w:pPr>
      <w:r>
        <w:t>2.</w:t>
      </w:r>
      <w:r>
        <w:tab/>
        <w:t>demande à la Commission de le saisir à nouveau, si elle remplace, modifie de manière substantielle ou entend modifier de manière substantielle sa proposition;</w:t>
      </w:r>
    </w:p>
    <w:p w14:paraId="3EF39D74" w14:textId="77777777" w:rsidR="00B85C30" w:rsidRPr="00744AD0" w:rsidRDefault="00B85C30" w:rsidP="00B85C30">
      <w:pPr>
        <w:pStyle w:val="NormalHanging12a"/>
      </w:pPr>
      <w:r>
        <w:t>3.</w:t>
      </w:r>
      <w:r>
        <w:tab/>
        <w:t>charge sa Présidente de transmettre la position du Parlement au Conseil et à la Commission ainsi qu’aux parlements nationaux.</w:t>
      </w:r>
    </w:p>
    <w:p w14:paraId="22EC4C06" w14:textId="77777777" w:rsidR="00B85C30" w:rsidRPr="00744AD0" w:rsidRDefault="00B85C30" w:rsidP="00B85C30"/>
    <w:p w14:paraId="5E2D56B3" w14:textId="77777777" w:rsidR="00B85C30" w:rsidRPr="00744AD0" w:rsidRDefault="00B85C30" w:rsidP="00B85C30">
      <w:pPr>
        <w:pStyle w:val="AmNumberTabs"/>
        <w:keepNext/>
      </w:pPr>
      <w:r>
        <w:lastRenderedPageBreak/>
        <w:t>Amendement</w:t>
      </w:r>
      <w:r>
        <w:tab/>
      </w:r>
      <w:r>
        <w:tab/>
        <w:t>1</w:t>
      </w:r>
    </w:p>
    <w:p w14:paraId="0C63E6AD" w14:textId="77777777" w:rsidR="00B85C30" w:rsidRPr="00744AD0" w:rsidRDefault="00B85C30" w:rsidP="00B85C30">
      <w:pPr>
        <w:pStyle w:val="AmHeadingConsam"/>
      </w:pPr>
      <w:r>
        <w:t>AMENDEMENTS DU PARLEMENT EUROPÉEN</w:t>
      </w:r>
      <w:r>
        <w:rPr>
          <w:rStyle w:val="FootnoteReference"/>
        </w:rPr>
        <w:footnoteReference w:customMarkFollows="1" w:id="3"/>
        <w:t>*</w:t>
      </w:r>
    </w:p>
    <w:p w14:paraId="6F951F8F" w14:textId="77777777" w:rsidR="00B85C30" w:rsidRPr="00744AD0" w:rsidRDefault="00B85C30" w:rsidP="00B85C30">
      <w:pPr>
        <w:pStyle w:val="NormalCenter12a"/>
      </w:pPr>
      <w:r>
        <w:t>à la proposition de la Commission</w:t>
      </w:r>
    </w:p>
    <w:p w14:paraId="46E8B14D" w14:textId="77777777" w:rsidR="00B85C30" w:rsidRPr="00744AD0" w:rsidRDefault="00B85C30" w:rsidP="00B85C30">
      <w:pPr>
        <w:pStyle w:val="NormalCenter12a"/>
      </w:pPr>
      <w:r>
        <w:t>---------------------------------------------------------</w:t>
      </w:r>
    </w:p>
    <w:p w14:paraId="67E6B6A7" w14:textId="77777777" w:rsidR="00B85C30" w:rsidRPr="00744AD0" w:rsidRDefault="00B85C30" w:rsidP="00B85C30">
      <w:pPr>
        <w:widowControl/>
        <w:ind w:left="5103"/>
        <w:rPr>
          <w:rFonts w:eastAsia="Calibri"/>
          <w:noProof/>
          <w:szCs w:val="22"/>
        </w:rPr>
      </w:pPr>
      <w:r>
        <w:t>2023/0211 (COD)</w:t>
      </w:r>
    </w:p>
    <w:p w14:paraId="18FA2326" w14:textId="77777777" w:rsidR="00B85C30" w:rsidRPr="00744AD0" w:rsidRDefault="00B85C30" w:rsidP="00B85C30">
      <w:pPr>
        <w:widowControl/>
        <w:spacing w:before="360"/>
        <w:jc w:val="center"/>
        <w:rPr>
          <w:rFonts w:eastAsia="Calibri"/>
          <w:noProof/>
          <w:szCs w:val="22"/>
        </w:rPr>
      </w:pPr>
      <w:r>
        <w:t>Proposition de</w:t>
      </w:r>
    </w:p>
    <w:p w14:paraId="4F2333A8" w14:textId="77777777" w:rsidR="00B85C30" w:rsidRPr="00744AD0" w:rsidRDefault="00B85C30" w:rsidP="00B85C30">
      <w:pPr>
        <w:widowControl/>
        <w:spacing w:before="360"/>
        <w:jc w:val="center"/>
        <w:rPr>
          <w:rFonts w:eastAsia="Calibri"/>
          <w:b/>
          <w:noProof/>
          <w:szCs w:val="22"/>
        </w:rPr>
      </w:pPr>
      <w:r>
        <w:rPr>
          <w:b/>
        </w:rPr>
        <w:t>RÈGLEMENT DU PARLEMENT EUROPÉEN ET DU CONSEIL</w:t>
      </w:r>
    </w:p>
    <w:p w14:paraId="14819F7B" w14:textId="77777777" w:rsidR="00B85C30" w:rsidRPr="00744AD0" w:rsidRDefault="00B85C30" w:rsidP="00B85C30">
      <w:pPr>
        <w:widowControl/>
        <w:spacing w:before="360" w:after="360"/>
        <w:jc w:val="center"/>
        <w:rPr>
          <w:rFonts w:eastAsia="Calibri"/>
          <w:b/>
          <w:noProof/>
          <w:szCs w:val="22"/>
        </w:rPr>
      </w:pPr>
      <w:r>
        <w:rPr>
          <w:b/>
        </w:rPr>
        <w:t>relatif à la fourniture de services en euros numériques par les prestataires de services de paiement constitués dans des États membres dont la monnaie n’est pas l’euro et modifiant le règlement (UE) 2021/1230 du Parlement européen et du Conseil</w:t>
      </w:r>
      <w:r>
        <w:rPr>
          <w:b/>
        </w:rPr>
        <w:br/>
      </w:r>
    </w:p>
    <w:p w14:paraId="4BCFF74B" w14:textId="77777777" w:rsidR="00B85C30" w:rsidRPr="00744AD0" w:rsidRDefault="00B85C30" w:rsidP="00B85C30">
      <w:pPr>
        <w:widowControl/>
        <w:spacing w:before="360" w:after="240"/>
        <w:jc w:val="center"/>
        <w:rPr>
          <w:rFonts w:eastAsia="Calibri"/>
          <w:noProof/>
          <w:szCs w:val="22"/>
        </w:rPr>
      </w:pPr>
      <w:r>
        <w:t>(Texte présentant de l’intérêt pour l’EEE)</w:t>
      </w:r>
    </w:p>
    <w:p w14:paraId="044EC846" w14:textId="77777777" w:rsidR="00B85C30" w:rsidRPr="00744AD0" w:rsidRDefault="00B85C30" w:rsidP="00B85C30">
      <w:pPr>
        <w:keepNext/>
        <w:widowControl/>
        <w:spacing w:before="600" w:after="120"/>
        <w:jc w:val="both"/>
        <w:rPr>
          <w:rFonts w:eastAsia="Calibri"/>
          <w:noProof/>
          <w:szCs w:val="22"/>
        </w:rPr>
      </w:pPr>
      <w:r>
        <w:t>LE PARLEMENT EUROPÉEN ET LE CONSEIL DE L’UNION EUROPÉENNE,</w:t>
      </w:r>
    </w:p>
    <w:p w14:paraId="5D65D89B" w14:textId="77777777" w:rsidR="00B85C30" w:rsidRPr="00744AD0" w:rsidRDefault="00B85C30" w:rsidP="00B85C30">
      <w:pPr>
        <w:widowControl/>
        <w:spacing w:before="120" w:after="120"/>
        <w:jc w:val="both"/>
        <w:rPr>
          <w:rFonts w:eastAsia="Calibri"/>
          <w:noProof/>
          <w:szCs w:val="22"/>
        </w:rPr>
      </w:pPr>
      <w:r>
        <w:t>vu le traité sur le fonctionnement de l’Union européenne, et notamment son article 114,</w:t>
      </w:r>
    </w:p>
    <w:p w14:paraId="27338E79" w14:textId="77777777" w:rsidR="00B85C30" w:rsidRPr="00744AD0" w:rsidRDefault="00B85C30" w:rsidP="00B85C30">
      <w:pPr>
        <w:widowControl/>
        <w:spacing w:before="120" w:after="120"/>
        <w:jc w:val="both"/>
        <w:rPr>
          <w:rFonts w:eastAsia="Calibri"/>
          <w:noProof/>
          <w:szCs w:val="22"/>
        </w:rPr>
      </w:pPr>
      <w:r>
        <w:t>vu la proposition de la Commission européenne,</w:t>
      </w:r>
    </w:p>
    <w:p w14:paraId="7FED7B77" w14:textId="77777777" w:rsidR="00B85C30" w:rsidRPr="00744AD0" w:rsidRDefault="00B85C30" w:rsidP="00B85C30">
      <w:pPr>
        <w:widowControl/>
        <w:spacing w:before="120" w:after="120"/>
        <w:jc w:val="both"/>
        <w:rPr>
          <w:rFonts w:eastAsia="Calibri"/>
          <w:noProof/>
          <w:szCs w:val="22"/>
        </w:rPr>
      </w:pPr>
      <w:r>
        <w:t>après transmission du projet d’acte législatif aux parlements nationaux,</w:t>
      </w:r>
    </w:p>
    <w:p w14:paraId="54A67752" w14:textId="77777777" w:rsidR="00B85C30" w:rsidRPr="00744AD0" w:rsidRDefault="00B85C30" w:rsidP="00B85C30">
      <w:pPr>
        <w:widowControl/>
        <w:spacing w:before="120" w:after="120"/>
        <w:jc w:val="both"/>
        <w:rPr>
          <w:noProof/>
          <w:szCs w:val="24"/>
        </w:rPr>
      </w:pPr>
      <w:r>
        <w:t>vu l’avis de la Banque centrale européenne</w:t>
      </w:r>
      <w:r w:rsidRPr="00744AD0">
        <w:rPr>
          <w:rFonts w:eastAsia="Calibri"/>
          <w:noProof/>
          <w:szCs w:val="22"/>
          <w:vertAlign w:val="superscript"/>
          <w:lang w:eastAsia="en-US"/>
        </w:rPr>
        <w:footnoteReference w:id="4"/>
      </w:r>
      <w:r>
        <w:t>,</w:t>
      </w:r>
    </w:p>
    <w:p w14:paraId="113C5EA2" w14:textId="77777777" w:rsidR="00B85C30" w:rsidRPr="00744AD0" w:rsidRDefault="00B85C30" w:rsidP="00B85C30">
      <w:pPr>
        <w:widowControl/>
        <w:spacing w:before="120" w:after="120"/>
        <w:jc w:val="both"/>
        <w:rPr>
          <w:rFonts w:eastAsia="Calibri"/>
          <w:noProof/>
          <w:szCs w:val="22"/>
        </w:rPr>
      </w:pPr>
      <w:r>
        <w:t>vu l’avis du Comité économique et social européen</w:t>
      </w:r>
      <w:r w:rsidRPr="00744AD0">
        <w:rPr>
          <w:rFonts w:eastAsia="Calibri"/>
          <w:noProof/>
          <w:szCs w:val="22"/>
          <w:vertAlign w:val="superscript"/>
          <w:lang w:eastAsia="en-US"/>
        </w:rPr>
        <w:footnoteReference w:id="5"/>
      </w:r>
      <w:r>
        <w:t>,</w:t>
      </w:r>
    </w:p>
    <w:p w14:paraId="54071829" w14:textId="77777777" w:rsidR="00B85C30" w:rsidRPr="00744AD0" w:rsidRDefault="00B85C30" w:rsidP="00B85C30">
      <w:pPr>
        <w:widowControl/>
        <w:spacing w:before="120" w:after="120"/>
        <w:jc w:val="both"/>
        <w:rPr>
          <w:rFonts w:eastAsia="Calibri"/>
          <w:noProof/>
          <w:szCs w:val="22"/>
        </w:rPr>
      </w:pPr>
      <w:r>
        <w:t>statuant conformément à la procédure législative ordinaire,</w:t>
      </w:r>
    </w:p>
    <w:p w14:paraId="2F36B649" w14:textId="77777777" w:rsidR="00B85C30" w:rsidRPr="00744AD0" w:rsidRDefault="00B85C30" w:rsidP="00B85C30">
      <w:pPr>
        <w:widowControl/>
        <w:spacing w:before="120" w:after="120"/>
        <w:jc w:val="both"/>
        <w:rPr>
          <w:rFonts w:eastAsia="Calibri"/>
          <w:noProof/>
          <w:szCs w:val="22"/>
        </w:rPr>
      </w:pPr>
      <w:r>
        <w:t>considérant ce qui suit:</w:t>
      </w:r>
    </w:p>
    <w:p w14:paraId="60FBDCBE" w14:textId="6F4B6C4D" w:rsidR="00B85C30" w:rsidRPr="00744AD0" w:rsidRDefault="00B85C30" w:rsidP="00B85C30">
      <w:pPr>
        <w:widowControl/>
        <w:spacing w:before="120" w:after="120"/>
        <w:ind w:left="709" w:hanging="709"/>
        <w:jc w:val="both"/>
        <w:rPr>
          <w:rFonts w:eastAsia="Calibri"/>
          <w:noProof/>
          <w:szCs w:val="22"/>
        </w:rPr>
      </w:pPr>
      <w:bookmarkStart w:id="1" w:name="_Ref126239952"/>
      <w:r>
        <w:t>(1)</w:t>
      </w:r>
      <w:r>
        <w:tab/>
        <w:t>Dans ses stratégies de septembre 2020 en matière de finance numérique et de paiements de détail</w:t>
      </w:r>
      <w:r w:rsidRPr="00744AD0">
        <w:rPr>
          <w:rFonts w:eastAsia="Calibri"/>
          <w:noProof/>
          <w:szCs w:val="22"/>
          <w:vertAlign w:val="superscript"/>
          <w:lang w:eastAsia="en-US"/>
        </w:rPr>
        <w:footnoteReference w:id="6"/>
      </w:r>
      <w:r>
        <w:t>, la Commission a souligné qu’un euro numérique, en tant que monnaie numérique de banque centrale, jouerait un rôle de catalyseur de l’innovation en matière de paiements, de finance et de commerce, dans le contexte des efforts actuellement déployés pour réduire la fragmentation du marché des paiements de détail de l’UE.</w:t>
      </w:r>
      <w:bookmarkEnd w:id="1"/>
    </w:p>
    <w:p w14:paraId="39505724" w14:textId="2776D915" w:rsidR="00B85C30" w:rsidRPr="00744AD0" w:rsidRDefault="00B85C30" w:rsidP="00B85C30">
      <w:pPr>
        <w:widowControl/>
        <w:spacing w:before="120" w:after="120"/>
        <w:ind w:left="709" w:hanging="709"/>
        <w:jc w:val="both"/>
        <w:rPr>
          <w:rFonts w:eastAsia="Calibri"/>
          <w:noProof/>
          <w:szCs w:val="22"/>
        </w:rPr>
      </w:pPr>
      <w:r>
        <w:lastRenderedPageBreak/>
        <w:t>(2)</w:t>
      </w:r>
      <w:r>
        <w:tab/>
        <w:t xml:space="preserve">Le règlement (UE) </w:t>
      </w:r>
      <w:r>
        <w:rPr>
          <w:b/>
          <w:i/>
        </w:rPr>
        <w:t>.../...</w:t>
      </w:r>
      <w:r>
        <w:rPr>
          <w:rStyle w:val="FootnoteReference"/>
          <w:rFonts w:eastAsia="Calibri"/>
          <w:b/>
          <w:bCs/>
          <w:i/>
          <w:iCs/>
          <w:noProof/>
          <w:szCs w:val="22"/>
          <w:lang w:eastAsia="en-US"/>
        </w:rPr>
        <w:footnoteReference w:customMarkFollows="1" w:id="7"/>
        <w:t>*</w:t>
      </w:r>
      <w:r>
        <w:t xml:space="preserve"> établissant l’euro numérique établit l’euro numérique et fixe les règles le concernant, notamment pour ce qui est de </w:t>
      </w:r>
      <w:r>
        <w:rPr>
          <w:b/>
          <w:i/>
        </w:rPr>
        <w:t>son émission,</w:t>
      </w:r>
      <w:r>
        <w:t xml:space="preserve"> son cours légal, sa distribution, son utilisation et ses caractéristiques essentielles, en vue d’adapter l’euro aux évolutions technologiques et de garantir son utilisation en tant que monnaie unique.</w:t>
      </w:r>
    </w:p>
    <w:p w14:paraId="5A2BCC0E" w14:textId="77777777" w:rsidR="00B85C30" w:rsidRPr="00744AD0" w:rsidRDefault="00B85C30" w:rsidP="00B85C30">
      <w:pPr>
        <w:widowControl/>
        <w:spacing w:before="120" w:after="120"/>
        <w:ind w:left="709" w:hanging="709"/>
        <w:jc w:val="both"/>
        <w:rPr>
          <w:rFonts w:eastAsia="Calibri"/>
          <w:bCs/>
          <w:noProof/>
          <w:szCs w:val="22"/>
        </w:rPr>
      </w:pPr>
      <w:r>
        <w:t>(3)</w:t>
      </w:r>
      <w:r>
        <w:tab/>
        <w:t>Il est essentiel de veiller à ce que</w:t>
      </w:r>
      <w:r>
        <w:rPr>
          <w:b/>
          <w:i/>
        </w:rPr>
        <w:t xml:space="preserve">, si </w:t>
      </w:r>
      <w:r>
        <w:t xml:space="preserve">les prestataires de services de paiement dans des États membres dont la monnaie est l’euro </w:t>
      </w:r>
      <w:r>
        <w:rPr>
          <w:b/>
          <w:i/>
        </w:rPr>
        <w:t>sont tenus de</w:t>
      </w:r>
      <w:r>
        <w:t xml:space="preserve"> distribuer l’euro numérique</w:t>
      </w:r>
      <w:r>
        <w:rPr>
          <w:b/>
          <w:i/>
        </w:rPr>
        <w:t>, les prestataires de services de paiement dans des États membres dont la monnaie n’est pas l’euro puissent également le distribuer</w:t>
      </w:r>
      <w:r>
        <w:t xml:space="preserve"> et donc exercer leur liberté de prestation de services dans l’Union. La fourniture de services de paiement en euros numériques par tous les prestataires de services de paiement contribuerait à un niveau élevé d’innovation, faciliterait les paiements, renforcerait la concurrence dans l’ensemble de l’Union et est nécessaire pour préserver l’intégrité du marché unique.</w:t>
      </w:r>
    </w:p>
    <w:p w14:paraId="5D4015F7" w14:textId="1572C569" w:rsidR="00B85C30" w:rsidRPr="00744AD0" w:rsidRDefault="00B85C30" w:rsidP="00B85C30">
      <w:pPr>
        <w:widowControl/>
        <w:spacing w:before="120" w:after="120"/>
        <w:ind w:left="709" w:hanging="709"/>
        <w:jc w:val="both"/>
        <w:rPr>
          <w:rFonts w:eastAsia="Calibri"/>
          <w:b/>
          <w:bCs/>
          <w:i/>
          <w:iCs/>
          <w:noProof/>
          <w:szCs w:val="22"/>
        </w:rPr>
      </w:pPr>
      <w:r>
        <w:rPr>
          <w:b/>
          <w:i/>
        </w:rPr>
        <w:t>(3 bis)</w:t>
      </w:r>
      <w:r>
        <w:tab/>
        <w:t xml:space="preserve">Tous les prestataires de services de paiement constitués dans l’Union devraient donc être en mesure de distribuer des services de paiement en euros numériques dans les mêmes conditions aux personnes physiques ou morales résidant ou établies dans les États membres dont la monnaie est l’euro, aux personnes physiques ou morales qui ont ouvert un compte </w:t>
      </w:r>
      <w:r>
        <w:rPr>
          <w:b/>
          <w:i/>
        </w:rPr>
        <w:t xml:space="preserve">de paiement </w:t>
      </w:r>
      <w:r>
        <w:t xml:space="preserve">en euros numériques alors qu’elles résidaient ou étaient établies dans les États membres dont la monnaie est l’euro, mais qui ne résident plus ou ne sont plus établies dans ces États membres, ainsi qu’aux visiteurs dans la zone euro. Les prestataires de services de paiement constitués dans des États membres dont la monnaie n’est pas l’euro devraient également être en mesure de distribuer l’euro numérique à toute autre personne physique ou morale résidant ou établie dans un État membre dont la monnaie n’est pas l’euro et dans un autre pays de l’Espace économique européen ou dans tout pays tiers, sous réserve du respect des conditions énoncées dans le règlement (UE) </w:t>
      </w:r>
      <w:r>
        <w:rPr>
          <w:b/>
          <w:i/>
        </w:rPr>
        <w:t>.../...</w:t>
      </w:r>
      <w:r>
        <w:rPr>
          <w:rStyle w:val="FootnoteReference"/>
          <w:rFonts w:eastAsia="Calibri"/>
          <w:b/>
          <w:i/>
          <w:iCs/>
          <w:noProof/>
          <w:szCs w:val="22"/>
          <w:lang w:eastAsia="en-US"/>
        </w:rPr>
        <w:footnoteReference w:customMarkFollows="1" w:id="8"/>
        <w:t>*</w:t>
      </w:r>
      <w:r>
        <w:rPr>
          <w:b/>
          <w:i/>
        </w:rPr>
        <w:t xml:space="preserve"> , y compris lorsque ces personnes physiques ou morales décident d’exercer leur droit à la libre circulation dans un État membre dont la monnaie est l’euro. En outre,</w:t>
      </w:r>
      <w:r>
        <w:rPr>
          <w:i/>
        </w:rPr>
        <w:t xml:space="preserve"> </w:t>
      </w:r>
      <w:r>
        <w:rPr>
          <w:b/>
          <w:i/>
        </w:rPr>
        <w:t>les prestataires de services de paiement constitués dans des États membres dont la monnaie n’est pas l’euro devraient également être en mesure de distribuer l’euro numérique aux citoyens d’un pays tiers qui bénéficient d’un régime spécifique créant des droits à la libre circulation dans une partie de l’Union.</w:t>
      </w:r>
    </w:p>
    <w:p w14:paraId="7E979F9C" w14:textId="2D46F380" w:rsidR="00B85C30" w:rsidRPr="00744AD0" w:rsidRDefault="00B85C30" w:rsidP="00B85C30">
      <w:pPr>
        <w:widowControl/>
        <w:spacing w:before="120" w:after="120"/>
        <w:ind w:left="709" w:hanging="709"/>
        <w:jc w:val="both"/>
        <w:rPr>
          <w:rFonts w:eastAsia="Calibri"/>
          <w:b/>
          <w:bCs/>
          <w:i/>
          <w:iCs/>
          <w:noProof/>
          <w:szCs w:val="22"/>
        </w:rPr>
      </w:pPr>
      <w:r>
        <w:rPr>
          <w:b/>
          <w:i/>
        </w:rPr>
        <w:t>(3 ter)</w:t>
      </w:r>
      <w:r>
        <w:rPr>
          <w:b/>
          <w:i/>
        </w:rPr>
        <w:tab/>
        <w:t>La Banque centrale européenne devrait être en mesure de définir et d’imposer des restrictions à l’accès à l’euro numérique et à son utilisation par les visiteurs de la zone euro et par les personnes physiques ou morales qui résidaient ou étaient établies dans un État membre dont la monnaie est l’euro.</w:t>
      </w:r>
    </w:p>
    <w:p w14:paraId="19D31FAE" w14:textId="0E0A6AB2" w:rsidR="00B85C30" w:rsidRPr="00744AD0" w:rsidRDefault="00B85C30" w:rsidP="00B85C30">
      <w:pPr>
        <w:widowControl/>
        <w:spacing w:before="120" w:after="120"/>
        <w:ind w:left="709" w:hanging="709"/>
        <w:jc w:val="both"/>
        <w:rPr>
          <w:rFonts w:eastAsia="Calibri"/>
          <w:b/>
          <w:bCs/>
          <w:i/>
          <w:iCs/>
          <w:noProof/>
          <w:szCs w:val="22"/>
        </w:rPr>
      </w:pPr>
      <w:r>
        <w:rPr>
          <w:b/>
          <w:i/>
        </w:rPr>
        <w:t>(3 quater)</w:t>
      </w:r>
      <w:r>
        <w:rPr>
          <w:b/>
          <w:i/>
        </w:rPr>
        <w:tab/>
        <w:t xml:space="preserve">Dans l’intérêt du marché unique et afin d’offrir une expérience utilisateur plus complète pour l’euro numérique, les prestataires de services de paiement constitués dans des États membres dont la monnaie est l’euro devraient pouvoir fournir des services de paiement en euros numériques à des commerçants résidant ou établis dans un État membre dont la monnaie n’est pas l’euro, ou dans un pays tiers, permettant ainsi à ces commerçants de recevoir des opérations de paiement en euros numériques de la part de personnes susceptibles de se voir fournir des services de paiement en euros numériques par des prestataires de services de paiement constitués </w:t>
      </w:r>
      <w:r>
        <w:rPr>
          <w:b/>
          <w:i/>
        </w:rPr>
        <w:lastRenderedPageBreak/>
        <w:t>dans des États membres dont la monnaie n’est pas l’euro. Cette possibilité est indépendante des conditions spécifiques de distribution de l’euro numérique en dehors de la zone euro énoncées dans le règlement .../...</w:t>
      </w:r>
      <w:r>
        <w:rPr>
          <w:rStyle w:val="FootnoteReference"/>
          <w:rFonts w:eastAsia="Calibri"/>
          <w:b/>
          <w:bCs/>
          <w:i/>
          <w:iCs/>
          <w:noProof/>
          <w:szCs w:val="22"/>
          <w:lang w:eastAsia="en-US"/>
        </w:rPr>
        <w:footnoteReference w:customMarkFollows="1" w:id="9"/>
        <w:t>**</w:t>
      </w:r>
      <w:r>
        <w:rPr>
          <w:b/>
          <w:i/>
        </w:rPr>
        <w:t xml:space="preserve"> et est soumise au droit national applicable de l’État membre ou du pays tiers dans lequel le commerçant autorisé à recevoir des opérations de paiement en euros numériques est établi.</w:t>
      </w:r>
    </w:p>
    <w:p w14:paraId="5373215D" w14:textId="335DBBEB" w:rsidR="00B85C30" w:rsidRPr="00744AD0" w:rsidRDefault="00B85C30" w:rsidP="00B85C30">
      <w:pPr>
        <w:widowControl/>
        <w:spacing w:before="120" w:after="120"/>
        <w:ind w:left="709" w:hanging="709"/>
        <w:jc w:val="both"/>
        <w:rPr>
          <w:rFonts w:eastAsia="Calibri"/>
          <w:b/>
          <w:i/>
          <w:iCs/>
          <w:noProof/>
          <w:szCs w:val="22"/>
        </w:rPr>
      </w:pPr>
      <w:r>
        <w:rPr>
          <w:b/>
          <w:i/>
        </w:rPr>
        <w:t>(3 quinquies)</w:t>
      </w:r>
      <w:r>
        <w:rPr>
          <w:b/>
          <w:i/>
        </w:rPr>
        <w:tab/>
        <w:t>Lorsqu’un établissement de crédit constitué en dehors de la zone euro a déjà des personnes physiques comme clients résidant dans un État membre dont la monnaie est l’euro, cet établissement de crédit devrait pouvoir leur fournir des services de paiement de base en euros numériques. Les exigences qui devraient être remplies cumulativement à cette fin sont les suivantes: i) l’établissement de crédit devrait déjà fournir des services de paiement en euros numériques liés, au moins, à l’accès à l’euro numérique et à son utilisation, à l’initiation et à la réception d’opérations de paiement en euros numériques et à la gestion de comptes de paiement en euros numériques;  ii) l’établissement de crédit devrait fournir ces services de paiement en euros numériques pendant trois années consécutives à au moins 400 000 personnes physiques résidant dans la zone euro ou à au moins 5 % de la population résidente d’un seul État membre dont la monnaie est l’euro; et iii) les clients auxquels les services de paiement de base en euros numériques sont fournis ne devraient pas disposer d’un autre compte de paiement fournissant des services de paiement en euros numériques obligatoires. Au lieu de fournir des services de paiement de base en euros numériques, l’établissement de crédit devrait pouvoir offrir à ses clients la possibilité de demander ces services à l’une de ses succursales ou filiales situées dans un État membre dont la monnaie est l’euro.</w:t>
      </w:r>
    </w:p>
    <w:p w14:paraId="02D3CDBF" w14:textId="764930CB" w:rsidR="00B85C30" w:rsidRPr="00744AD0" w:rsidRDefault="00B85C30" w:rsidP="00B85C30">
      <w:pPr>
        <w:widowControl/>
        <w:spacing w:before="120" w:after="120"/>
        <w:ind w:left="709" w:hanging="709"/>
        <w:jc w:val="both"/>
        <w:rPr>
          <w:rFonts w:eastAsia="Calibri"/>
          <w:noProof/>
          <w:szCs w:val="22"/>
        </w:rPr>
      </w:pPr>
      <w:r>
        <w:rPr>
          <w:b/>
          <w:i/>
        </w:rPr>
        <w:t>(3 sexies)</w:t>
      </w:r>
      <w:r>
        <w:rPr>
          <w:b/>
          <w:i/>
        </w:rPr>
        <w:tab/>
        <w:t>Nonobstant l’obligation de principe d’adhérer à la zone euro une fois que les critères de convergence établis à l’article 140 du traité sur le fonctionnement de l’Union européenne sont remplis, les États membres dont la monnaie n’est pas l’euro devraient surveiller les effets de l’utilisation de l’euro numérique parallèlement à leur monnaie nationale et, si cela est approprié et nécessaire, compte tenu de leur rapport correspondant, prendre des mesures limitées.</w:t>
      </w:r>
    </w:p>
    <w:p w14:paraId="1288CD84" w14:textId="72DB40E0" w:rsidR="00B85C30" w:rsidRPr="00744AD0" w:rsidRDefault="00B85C30" w:rsidP="00B85C30">
      <w:pPr>
        <w:widowControl/>
        <w:spacing w:before="120" w:after="120"/>
        <w:ind w:left="709" w:hanging="709"/>
        <w:jc w:val="both"/>
        <w:rPr>
          <w:rFonts w:eastAsia="Calibri"/>
          <w:noProof/>
          <w:szCs w:val="22"/>
        </w:rPr>
      </w:pPr>
      <w:r>
        <w:t>(4)</w:t>
      </w:r>
      <w:r>
        <w:tab/>
        <w:t>Aux fins de la distribution de l’euro numérique, les prestataires de services de paiement constitués dans des États membres dont la monnaie n’est pas l’euro devraient appliquer les mêmes règles que les prestataires de services de paiement constitués dans les États membres dont la monnaie est l’euro</w:t>
      </w:r>
      <w:r>
        <w:rPr>
          <w:b/>
          <w:i/>
        </w:rPr>
        <w:t>, y compris les règles sur l’acceptation obligatoire de l’euro numérique</w:t>
      </w:r>
      <w:r>
        <w:t>. Cette disposition est essentielle pour garantir que la distribution de l’euro numérique par tous les prestataires de services de paiement constitués dans l’Union se déroule de manière uniforme.</w:t>
      </w:r>
    </w:p>
    <w:p w14:paraId="2540EC1E" w14:textId="77777777" w:rsidR="00B85C30" w:rsidRPr="00744AD0" w:rsidRDefault="00B85C30" w:rsidP="00B85C30">
      <w:pPr>
        <w:widowControl/>
        <w:spacing w:before="120" w:after="120"/>
        <w:ind w:left="709" w:hanging="709"/>
        <w:jc w:val="both"/>
        <w:rPr>
          <w:rFonts w:eastAsia="Calibri"/>
          <w:noProof/>
          <w:szCs w:val="22"/>
        </w:rPr>
      </w:pPr>
      <w:bookmarkStart w:id="2" w:name="_Hlk135223264"/>
      <w:r>
        <w:t>(5)</w:t>
      </w:r>
      <w:r>
        <w:tab/>
        <w:t>La fourniture de services de paiement en euros numériques par des prestataires de services de paiement constitués dans des États membres dont la monnaie n’est pas l’euro devrait être soumise aux mêmes normes de surveillance que celles appliquées aux prestataires de services de paiement constitués dans les États membres dont la monnaie est l’euro. À cette fin, les dispositions pertinentes de la directive (UE) 2015/2366 du Parlement européen et du Conseil</w:t>
      </w:r>
      <w:r w:rsidRPr="00744AD0">
        <w:rPr>
          <w:rFonts w:eastAsia="Calibri"/>
          <w:noProof/>
          <w:szCs w:val="22"/>
          <w:vertAlign w:val="superscript"/>
          <w:lang w:eastAsia="en-US"/>
        </w:rPr>
        <w:footnoteReference w:id="10"/>
      </w:r>
      <w:r>
        <w:t xml:space="preserve">, remplacée par la directive (UE) </w:t>
      </w:r>
      <w:r>
        <w:rPr>
          <w:i/>
          <w:iCs/>
        </w:rPr>
        <w:t xml:space="preserve">[veuillez insérer la </w:t>
      </w:r>
      <w:r>
        <w:rPr>
          <w:i/>
          <w:iCs/>
        </w:rPr>
        <w:lastRenderedPageBreak/>
        <w:t>référence — proposition de directive concernant les services de paiement et les services de monnaie électronique dans le marché intérieur, COM(2023) 366 final]</w:t>
      </w:r>
      <w:r>
        <w:t>, de la directive (UE) 2015/843</w:t>
      </w:r>
      <w:r w:rsidRPr="00744AD0">
        <w:rPr>
          <w:rFonts w:eastAsia="Calibri"/>
          <w:noProof/>
          <w:szCs w:val="22"/>
          <w:vertAlign w:val="superscript"/>
          <w:lang w:eastAsia="en-US"/>
        </w:rPr>
        <w:footnoteReference w:id="11"/>
      </w:r>
      <w:r>
        <w:t xml:space="preserve">, remplacée par la directive (UE) </w:t>
      </w:r>
      <w:r>
        <w:rPr>
          <w:i/>
          <w:iCs/>
        </w:rPr>
        <w:t>[veuillez insérer la référence — proposition de directive anti-blanchiment, COM(2021) 423 final]</w:t>
      </w:r>
      <w:r>
        <w:t xml:space="preserve"> </w:t>
      </w:r>
      <w:r>
        <w:rPr>
          <w:color w:val="333333"/>
          <w:shd w:val="clear" w:color="auto" w:fill="FFFFFF"/>
        </w:rPr>
        <w:t>devraient s’appliquer à</w:t>
      </w:r>
      <w:r>
        <w:t xml:space="preserve"> la surveillance exercée par les autorités compétentes, au régime de sanctions et aux accords en matière de surveillance entre les autorités compétentes des États membres d’origine et des États membres d’accueil en ce qui concerne la fourniture de services de paiement en euros numériques par les prestataires de services de paiement établis dans des États membres dont la monnaie n’est pas l’euro.</w:t>
      </w:r>
    </w:p>
    <w:p w14:paraId="46AEF6FE" w14:textId="7F5B6075" w:rsidR="00B85C30" w:rsidRPr="00744AD0" w:rsidRDefault="00B85C30" w:rsidP="00B85C30">
      <w:pPr>
        <w:widowControl/>
        <w:spacing w:before="120" w:after="120"/>
        <w:ind w:left="709" w:hanging="709"/>
        <w:jc w:val="both"/>
        <w:rPr>
          <w:rFonts w:eastAsia="Calibri"/>
          <w:noProof/>
          <w:szCs w:val="22"/>
        </w:rPr>
      </w:pPr>
      <w:r>
        <w:t>(6)</w:t>
      </w:r>
      <w:r>
        <w:tab/>
        <w:t xml:space="preserve">De même, comme dans le cas des autorités compétentes des États membres dont la monnaie est l’euro en vertu du règlement (UE) </w:t>
      </w:r>
      <w:r>
        <w:rPr>
          <w:b/>
          <w:i/>
        </w:rPr>
        <w:t>.../...</w:t>
      </w:r>
      <w:r>
        <w:rPr>
          <w:rStyle w:val="FootnoteReference"/>
          <w:rFonts w:eastAsia="Calibri"/>
          <w:b/>
          <w:bCs/>
          <w:i/>
          <w:iCs/>
          <w:noProof/>
          <w:szCs w:val="22"/>
          <w:lang w:eastAsia="en-US"/>
        </w:rPr>
        <w:footnoteReference w:customMarkFollows="1" w:id="12"/>
        <w:t>*</w:t>
      </w:r>
      <w:r>
        <w:t>, les autorités compétentes chargées, en vertu de la directive (UE) 2015/2366, de surveiller la fourniture de services de paiement devraient également coopérer</w:t>
      </w:r>
      <w:r>
        <w:rPr>
          <w:b/>
          <w:i/>
        </w:rPr>
        <w:t>, le cas échéant,</w:t>
      </w:r>
      <w:r>
        <w:t xml:space="preserve"> avec la Banque centrale européenne aux fins de la surveillance de l’application des obligations liées aux paiements prévues par </w:t>
      </w:r>
      <w:r>
        <w:rPr>
          <w:b/>
          <w:i/>
        </w:rPr>
        <w:t>ledit</w:t>
      </w:r>
      <w:r>
        <w:t xml:space="preserve"> règlement (UE).</w:t>
      </w:r>
    </w:p>
    <w:bookmarkEnd w:id="2"/>
    <w:p w14:paraId="41463BAD" w14:textId="77777777" w:rsidR="00B85C30" w:rsidRPr="00744AD0" w:rsidRDefault="00B85C30" w:rsidP="00B85C30">
      <w:pPr>
        <w:widowControl/>
        <w:spacing w:before="120" w:after="120"/>
        <w:ind w:left="709" w:hanging="709"/>
        <w:jc w:val="both"/>
        <w:rPr>
          <w:rFonts w:eastAsia="Calibri"/>
          <w:noProof/>
          <w:szCs w:val="22"/>
        </w:rPr>
      </w:pPr>
      <w:r>
        <w:t>(7)</w:t>
      </w:r>
      <w:r>
        <w:tab/>
        <w:t xml:space="preserve">Conformément à l’article 4, point 25), de la directive 2015/2366, on entend par «fonds» les billets de banque et les pièces, la monnaie scripturale ou la monnaie électronique. En tant que nouvelle forme de monnaie de banque centrale ayant cours légal, l’euro numérique devrait être considéré comme des fonds au titre de la directive 2015/2366, remplacée par la directive (UE) </w:t>
      </w:r>
      <w:r>
        <w:rPr>
          <w:i/>
          <w:iCs/>
          <w:sz w:val="23"/>
        </w:rPr>
        <w:t>[veuillez insérer la référence — proposition de directive concernant les services de paiement et les services de monnaie électronique dans le marché intérieur — COM(2023) 366 final]</w:t>
      </w:r>
      <w:r>
        <w:rPr>
          <w:sz w:val="23"/>
        </w:rPr>
        <w:t>, qui étend la définition des fonds à toutes les formes de monnaie de banque centrale émises pour l’utilisation de détail</w:t>
      </w:r>
      <w:r>
        <w:t>. La même définition de «fonds» devrait être intégrée dans le règlement (UE) 2021/1230 du Parlement européen et du Conseil du 14 juillet 2021 concernant les paiements transfrontaliers dans l’Union.</w:t>
      </w:r>
    </w:p>
    <w:p w14:paraId="3E6C27AD" w14:textId="6BC8F42D" w:rsidR="00B85C30" w:rsidRPr="00744AD0" w:rsidRDefault="00B85C30" w:rsidP="00B85C30">
      <w:pPr>
        <w:widowControl/>
        <w:spacing w:before="120" w:after="120"/>
        <w:ind w:left="709" w:hanging="709"/>
        <w:jc w:val="both"/>
        <w:rPr>
          <w:rFonts w:eastAsia="Calibri"/>
          <w:iCs/>
          <w:noProof/>
          <w:szCs w:val="22"/>
        </w:rPr>
      </w:pPr>
      <w:r>
        <w:rPr>
          <w:b/>
          <w:i/>
        </w:rPr>
        <w:t>(7 bis)</w:t>
      </w:r>
      <w:r>
        <w:rPr>
          <w:b/>
          <w:i/>
        </w:rPr>
        <w:tab/>
        <w:t>Les utilisateurs de l’euro numérique devraient être libres de choisir la possibilité qu’ils jugent la plus appropriée pour s’authentifier et autoriser les opérations en euros numériques, ce qui devrait inclure la possibilité d’utiliser des portefeuilles numériques européens. À cette fin, il convient de modifier l’article 5 bis, paragraphe 7, du règlement (UE) n</w:t>
      </w:r>
      <w:r>
        <w:rPr>
          <w:b/>
          <w:i/>
          <w:vertAlign w:val="superscript"/>
        </w:rPr>
        <w:t>o</w:t>
      </w:r>
      <w:r>
        <w:rPr>
          <w:b/>
          <w:i/>
        </w:rPr>
        <w:t> 910/2014 du Parlement européen et du Conseil</w:t>
      </w:r>
      <w:r w:rsidR="00D73024" w:rsidRPr="00744AD0">
        <w:rPr>
          <w:rStyle w:val="FootnoteReference"/>
          <w:rFonts w:eastAsia="Calibri"/>
          <w:b/>
          <w:bCs/>
          <w:i/>
          <w:iCs/>
          <w:noProof/>
        </w:rPr>
        <w:footnoteReference w:id="13"/>
      </w:r>
      <w:r>
        <w:rPr>
          <w:b/>
          <w:i/>
        </w:rPr>
        <w:t xml:space="preserve"> afin de tenir compte du fait que, lorsqu’un fournisseur de portefeuilles européens d’identité numérique permet l’intégration et l’utilisation d’instruments de paiement, ce fournisseur devrait veiller à ce que, sur demande, un utilisateur de l’euro numérique soit en mesure d’accéder aux informations relatives à son compte en euros numériques et d’initier des opérations en euros numériques par l’intermédiaire de son portefeuille européen d’identité numérique. L’utilisation du portefeuille européen d’identité numérique devrait être volontaire et contribuer à une expérience </w:t>
      </w:r>
      <w:r>
        <w:rPr>
          <w:b/>
          <w:i/>
        </w:rPr>
        <w:lastRenderedPageBreak/>
        <w:t>utilisateur fluide et sécurisée, réduire la charge administrative et renforcer la confiance, la sécurité et le contrôle des utilisateurs sur leurs données à caractère personnel.</w:t>
      </w:r>
    </w:p>
    <w:p w14:paraId="563AEACB" w14:textId="77777777" w:rsidR="00B85C30" w:rsidRPr="00744AD0" w:rsidRDefault="00B85C30" w:rsidP="00B85C30">
      <w:pPr>
        <w:widowControl/>
        <w:spacing w:before="120" w:after="120"/>
        <w:ind w:left="709" w:hanging="709"/>
        <w:jc w:val="both"/>
        <w:rPr>
          <w:rFonts w:eastAsia="Calibri"/>
          <w:noProof/>
          <w:szCs w:val="22"/>
        </w:rPr>
      </w:pPr>
      <w:r>
        <w:t>(8)</w:t>
      </w:r>
      <w:r>
        <w:tab/>
        <w:t>Étant donné que les objectifs du présent règlement ne peuvent pas être atteints de manière suffisante par les États membres dès lors que les règles applicables aux prestataires de services de paiement devraient être les mêmes, que lesdits prestataires soient constitués dans un État membre dont la monnaie est ou non l’euro, mais peuvent, en raison des dimensions ou des effets de l’action pour garantir l’intégrité du marché unique,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w:t>
      </w:r>
    </w:p>
    <w:p w14:paraId="2D4E4A82" w14:textId="77777777" w:rsidR="00B85C30" w:rsidRPr="00744AD0" w:rsidRDefault="00B85C30" w:rsidP="00B85C30">
      <w:pPr>
        <w:widowControl/>
        <w:spacing w:before="120" w:after="120"/>
        <w:ind w:left="709" w:hanging="709"/>
        <w:jc w:val="both"/>
        <w:rPr>
          <w:rFonts w:eastAsia="Calibri"/>
          <w:noProof/>
          <w:szCs w:val="22"/>
        </w:rPr>
      </w:pPr>
      <w:r>
        <w:t>(9)</w:t>
      </w:r>
      <w:r>
        <w:tab/>
        <w:t xml:space="preserve">Le Contrôleur européen de la protection des données et le comité européen de la protection des données ont été consultés conformément à l’article 42 du règlement (UE) 2018/1725 et ont rendu un avis conjoint le </w:t>
      </w:r>
      <w:r>
        <w:rPr>
          <w:b/>
          <w:i/>
        </w:rPr>
        <w:t>17 octobre</w:t>
      </w:r>
      <w:r>
        <w:t> 2023,</w:t>
      </w:r>
    </w:p>
    <w:p w14:paraId="2F8D321F" w14:textId="77777777" w:rsidR="00B85C30" w:rsidRPr="00744AD0" w:rsidRDefault="00B85C30" w:rsidP="00B85C30">
      <w:pPr>
        <w:keepNext/>
        <w:widowControl/>
        <w:spacing w:before="120" w:after="120"/>
        <w:jc w:val="both"/>
        <w:rPr>
          <w:rFonts w:eastAsia="Calibri"/>
          <w:noProof/>
          <w:szCs w:val="22"/>
        </w:rPr>
      </w:pPr>
      <w:r>
        <w:t>ONT ADOPTÉ LE PRÉSENT RÈGLEMENT:</w:t>
      </w:r>
    </w:p>
    <w:p w14:paraId="56C8A162" w14:textId="77777777" w:rsidR="00B85C30" w:rsidRPr="00744AD0" w:rsidRDefault="00B85C30" w:rsidP="00B85C30">
      <w:pPr>
        <w:keepNext/>
        <w:widowControl/>
        <w:spacing w:before="360" w:after="120"/>
        <w:jc w:val="center"/>
        <w:rPr>
          <w:rFonts w:eastAsia="Calibri"/>
          <w:i/>
          <w:noProof/>
          <w:szCs w:val="22"/>
        </w:rPr>
      </w:pPr>
      <w:r>
        <w:rPr>
          <w:i/>
        </w:rPr>
        <w:t>Article premier</w:t>
      </w:r>
      <w:r>
        <w:rPr>
          <w:i/>
        </w:rPr>
        <w:br/>
        <w:t>Objet et champ d'application</w:t>
      </w:r>
    </w:p>
    <w:p w14:paraId="69E4096F" w14:textId="77777777" w:rsidR="00B85C30" w:rsidRPr="00744AD0" w:rsidRDefault="00B85C30" w:rsidP="00B85C30">
      <w:pPr>
        <w:widowControl/>
        <w:spacing w:before="120" w:after="120"/>
        <w:jc w:val="both"/>
        <w:rPr>
          <w:rFonts w:eastAsia="Calibri"/>
          <w:noProof/>
          <w:szCs w:val="24"/>
        </w:rPr>
      </w:pPr>
      <w:r>
        <w:t>Le présent règlement fixe des règles concernant:</w:t>
      </w:r>
    </w:p>
    <w:p w14:paraId="6C4AE98C" w14:textId="77777777" w:rsidR="00B85C30" w:rsidRPr="00744AD0" w:rsidRDefault="00B85C30" w:rsidP="00B85C30">
      <w:pPr>
        <w:widowControl/>
        <w:spacing w:before="120" w:after="120"/>
        <w:ind w:left="850" w:hanging="850"/>
        <w:jc w:val="both"/>
        <w:rPr>
          <w:rFonts w:eastAsia="Calibri"/>
          <w:noProof/>
          <w:szCs w:val="22"/>
        </w:rPr>
      </w:pPr>
      <w:r>
        <w:t>a)</w:t>
      </w:r>
      <w:r>
        <w:tab/>
        <w:t>les obligations spécifiques que les prestataires de services de paiement constitués dans les États membres dont la monnaie n’est pas l’euro doivent respecter lorsqu’ils fournissent des services de paiement en euros numériques;</w:t>
      </w:r>
    </w:p>
    <w:p w14:paraId="10EE943A" w14:textId="174C60FB" w:rsidR="00B85C30" w:rsidRPr="00744AD0" w:rsidRDefault="00B85C30" w:rsidP="00B85C30">
      <w:pPr>
        <w:widowControl/>
        <w:spacing w:before="120" w:after="120"/>
        <w:ind w:left="850" w:hanging="850"/>
        <w:jc w:val="both"/>
        <w:rPr>
          <w:rFonts w:eastAsia="Calibri"/>
          <w:noProof/>
          <w:szCs w:val="22"/>
        </w:rPr>
      </w:pPr>
      <w:r>
        <w:t>b)</w:t>
      </w:r>
      <w:r>
        <w:tab/>
        <w:t>la surveillance et le contrôle par les États membres dont la monnaie n’est pas l’euro du respect des obligations mentionnées au point a);</w:t>
      </w:r>
    </w:p>
    <w:p w14:paraId="2BB92BFF" w14:textId="5507EA06" w:rsidR="00B85C30" w:rsidRPr="00744AD0" w:rsidRDefault="00B85C30" w:rsidP="00B85C30">
      <w:pPr>
        <w:widowControl/>
        <w:spacing w:before="120" w:after="120"/>
        <w:ind w:left="850" w:hanging="850"/>
        <w:jc w:val="both"/>
        <w:rPr>
          <w:rFonts w:eastAsia="Calibri"/>
          <w:noProof/>
          <w:szCs w:val="22"/>
        </w:rPr>
      </w:pPr>
      <w:r>
        <w:t>c)</w:t>
      </w:r>
      <w:r>
        <w:tab/>
        <w:t xml:space="preserve">les obligations spécifiques que les fabricants d’équipements d’origine d’appareils mobiles et les prestataires de services de communications électroniques au sens de l’article 2, point 1), de la directive (UE) 2018/1972 </w:t>
      </w:r>
      <w:r>
        <w:rPr>
          <w:b/>
          <w:i/>
        </w:rPr>
        <w:t>du Parlement européen et du Conseil</w:t>
      </w:r>
      <w:r w:rsidRPr="00744AD0">
        <w:rPr>
          <w:rStyle w:val="FootnoteReference"/>
          <w:rFonts w:eastAsia="Calibri"/>
          <w:b/>
          <w:bCs/>
          <w:i/>
          <w:iCs/>
          <w:noProof/>
          <w:szCs w:val="22"/>
          <w:lang w:eastAsia="en-US"/>
        </w:rPr>
        <w:footnoteReference w:id="14"/>
      </w:r>
      <w:r>
        <w:t xml:space="preserve"> établis dans des États membres dont la monnaie n’est pas l’euro doivent respecter dans le cadre de l’euro numérique. </w:t>
      </w:r>
    </w:p>
    <w:p w14:paraId="79D98E94" w14:textId="77777777" w:rsidR="00B85C30" w:rsidRPr="00744AD0" w:rsidRDefault="00B85C30" w:rsidP="00B85C30">
      <w:pPr>
        <w:keepNext/>
        <w:widowControl/>
        <w:spacing w:before="360" w:after="120"/>
        <w:jc w:val="center"/>
        <w:rPr>
          <w:rFonts w:eastAsia="Calibri"/>
          <w:i/>
          <w:noProof/>
          <w:szCs w:val="22"/>
        </w:rPr>
      </w:pPr>
      <w:r>
        <w:rPr>
          <w:i/>
        </w:rPr>
        <w:t>Article 2</w:t>
      </w:r>
      <w:r>
        <w:rPr>
          <w:i/>
        </w:rPr>
        <w:br/>
        <w:t>Définitions</w:t>
      </w:r>
    </w:p>
    <w:p w14:paraId="2A3FC5C5" w14:textId="68312FC2" w:rsidR="00B85C30" w:rsidRPr="00744AD0" w:rsidRDefault="00B85C30" w:rsidP="00B85C30">
      <w:pPr>
        <w:widowControl/>
        <w:spacing w:before="120" w:after="120"/>
        <w:jc w:val="both"/>
        <w:rPr>
          <w:rFonts w:eastAsia="Calibri"/>
          <w:noProof/>
          <w:szCs w:val="24"/>
        </w:rPr>
      </w:pPr>
      <w:r>
        <w:t xml:space="preserve">Aux fins du présent règlement, on entend par: </w:t>
      </w:r>
    </w:p>
    <w:p w14:paraId="6B92CFBC" w14:textId="4202169E" w:rsidR="00B85C30" w:rsidRPr="00744AD0" w:rsidRDefault="00B85C30" w:rsidP="00B85C30">
      <w:pPr>
        <w:widowControl/>
        <w:spacing w:before="120" w:after="120"/>
        <w:ind w:left="850" w:hanging="850"/>
        <w:jc w:val="both"/>
        <w:rPr>
          <w:rFonts w:eastAsia="Calibri"/>
          <w:noProof/>
          <w:sz w:val="23"/>
          <w:szCs w:val="23"/>
        </w:rPr>
      </w:pPr>
      <w:r>
        <w:t>1.</w:t>
      </w:r>
      <w:r>
        <w:tab/>
        <w:t xml:space="preserve">«euro numérique», </w:t>
      </w:r>
      <w:r>
        <w:rPr>
          <w:b/>
          <w:i/>
        </w:rPr>
        <w:t xml:space="preserve">l’euro </w:t>
      </w:r>
      <w:r>
        <w:t xml:space="preserve">numérique au sens de l’article 2, point 1), du règlement (UE) </w:t>
      </w:r>
      <w:r>
        <w:rPr>
          <w:b/>
          <w:i/>
          <w:sz w:val="23"/>
        </w:rPr>
        <w:t>../...</w:t>
      </w:r>
      <w:r>
        <w:rPr>
          <w:rStyle w:val="FootnoteReference"/>
          <w:rFonts w:eastAsia="Calibri"/>
          <w:noProof/>
          <w:szCs w:val="22"/>
          <w:lang w:eastAsia="en-US"/>
        </w:rPr>
        <w:footnoteReference w:customMarkFollows="1" w:id="15"/>
        <w:t>*</w:t>
      </w:r>
      <w:r>
        <w:t>;</w:t>
      </w:r>
    </w:p>
    <w:p w14:paraId="7A384FD6" w14:textId="3B86B41E" w:rsidR="00B85C30" w:rsidRPr="00744AD0" w:rsidRDefault="00B85C30" w:rsidP="00B85C30">
      <w:pPr>
        <w:widowControl/>
        <w:spacing w:before="120" w:after="120"/>
        <w:ind w:left="850" w:hanging="850"/>
        <w:jc w:val="both"/>
        <w:rPr>
          <w:rFonts w:eastAsia="Calibri"/>
          <w:noProof/>
          <w:szCs w:val="22"/>
        </w:rPr>
      </w:pPr>
      <w:r>
        <w:t>2.</w:t>
      </w:r>
      <w:r>
        <w:tab/>
        <w:t>«prestataire de services de paiement», un prestataire de services de paiement au sens de l’article 4, point 11), de la directive (UE) 2015/2366;</w:t>
      </w:r>
    </w:p>
    <w:p w14:paraId="5D5BBE59" w14:textId="784DA85D" w:rsidR="00B85C30" w:rsidRPr="00744AD0" w:rsidRDefault="00B85C30" w:rsidP="00B85C30">
      <w:pPr>
        <w:widowControl/>
        <w:spacing w:before="120" w:after="120"/>
        <w:ind w:left="850" w:hanging="850"/>
        <w:jc w:val="both"/>
        <w:rPr>
          <w:rFonts w:eastAsia="Calibri"/>
          <w:noProof/>
          <w:szCs w:val="22"/>
        </w:rPr>
      </w:pPr>
      <w:r>
        <w:lastRenderedPageBreak/>
        <w:t>3.</w:t>
      </w:r>
      <w:r>
        <w:tab/>
        <w:t xml:space="preserve">«service de paiement en euros numériques», un service de paiement en euros numériques au sens de l’article 2, point 8), du règlement (UE) </w:t>
      </w:r>
      <w:r>
        <w:rPr>
          <w:b/>
          <w:i/>
        </w:rPr>
        <w:t>.../...</w:t>
      </w:r>
      <w:r>
        <w:rPr>
          <w:rStyle w:val="FootnoteReference"/>
          <w:rFonts w:eastAsia="Calibri"/>
          <w:noProof/>
          <w:szCs w:val="22"/>
          <w:lang w:eastAsia="en-US"/>
        </w:rPr>
        <w:footnoteReference w:customMarkFollows="1" w:id="16"/>
        <w:t>**</w:t>
      </w:r>
      <w:r>
        <w:t>;</w:t>
      </w:r>
    </w:p>
    <w:p w14:paraId="23A2550B" w14:textId="2CDE7478" w:rsidR="00B85C30" w:rsidRPr="00744AD0" w:rsidRDefault="00B85C30" w:rsidP="00B85C30">
      <w:pPr>
        <w:widowControl/>
        <w:spacing w:before="120" w:after="120"/>
        <w:ind w:left="850" w:hanging="850"/>
        <w:jc w:val="both"/>
        <w:rPr>
          <w:rFonts w:eastAsia="Calibri"/>
          <w:noProof/>
          <w:szCs w:val="22"/>
        </w:rPr>
      </w:pPr>
      <w:r>
        <w:t>4.</w:t>
      </w:r>
      <w:r>
        <w:tab/>
      </w:r>
      <w:r>
        <w:rPr>
          <w:b/>
          <w:i/>
        </w:rPr>
        <w:t>«résidant»</w:t>
      </w:r>
      <w:r>
        <w:t xml:space="preserve">, une personne </w:t>
      </w:r>
      <w:r>
        <w:rPr>
          <w:b/>
          <w:i/>
        </w:rPr>
        <w:t>résidant</w:t>
      </w:r>
      <w:r>
        <w:t xml:space="preserve"> légalement dans l’Union au sens de l’article 2, point 2, de la directive (UE) 2014/92/UE du Parlement européen et du Conseil</w:t>
      </w:r>
      <w:r w:rsidRPr="00744AD0">
        <w:rPr>
          <w:rFonts w:eastAsia="Calibri"/>
          <w:noProof/>
          <w:szCs w:val="22"/>
          <w:vertAlign w:val="superscript"/>
          <w:lang w:eastAsia="en-US"/>
        </w:rPr>
        <w:footnoteReference w:id="17"/>
      </w:r>
      <w:r>
        <w:t>;</w:t>
      </w:r>
    </w:p>
    <w:p w14:paraId="25A55260" w14:textId="6D26EF3D" w:rsidR="00B85C30" w:rsidRPr="00744AD0" w:rsidRDefault="00B85C30" w:rsidP="00B85C30">
      <w:pPr>
        <w:widowControl/>
        <w:spacing w:before="120" w:after="120"/>
        <w:ind w:left="850" w:hanging="850"/>
        <w:jc w:val="both"/>
        <w:rPr>
          <w:rFonts w:eastAsia="Calibri"/>
          <w:noProof/>
          <w:szCs w:val="22"/>
        </w:rPr>
      </w:pPr>
      <w:r>
        <w:t>5.</w:t>
      </w:r>
      <w:r>
        <w:tab/>
        <w:t xml:space="preserve">«visiteur </w:t>
      </w:r>
      <w:r>
        <w:rPr>
          <w:b/>
          <w:i/>
        </w:rPr>
        <w:t>de la zone euro</w:t>
      </w:r>
      <w:r>
        <w:t xml:space="preserve">», </w:t>
      </w:r>
      <w:r>
        <w:rPr>
          <w:b/>
          <w:i/>
        </w:rPr>
        <w:t>un visiteur de la zone euro</w:t>
      </w:r>
      <w:r>
        <w:t xml:space="preserve"> au sens de l’article 2, point 22), du règlement (UE)</w:t>
      </w:r>
      <w:r>
        <w:rPr>
          <w:b/>
          <w:i/>
          <w:sz w:val="22"/>
        </w:rPr>
        <w:t xml:space="preserve"> </w:t>
      </w:r>
      <w:r>
        <w:rPr>
          <w:b/>
          <w:i/>
        </w:rPr>
        <w:t>.../...</w:t>
      </w:r>
      <w:r>
        <w:rPr>
          <w:rStyle w:val="FootnoteReference"/>
          <w:rFonts w:eastAsia="Calibri"/>
          <w:noProof/>
          <w:szCs w:val="22"/>
          <w:lang w:eastAsia="en-US"/>
        </w:rPr>
        <w:footnoteReference w:customMarkFollows="1" w:id="18"/>
        <w:t>***</w:t>
      </w:r>
      <w:r>
        <w:t>;</w:t>
      </w:r>
    </w:p>
    <w:p w14:paraId="5255FC60" w14:textId="676DAD32" w:rsidR="00B85C30" w:rsidRPr="00744AD0" w:rsidRDefault="00ED761F" w:rsidP="00B85C30">
      <w:pPr>
        <w:widowControl/>
        <w:spacing w:before="120" w:after="120"/>
        <w:ind w:left="850" w:hanging="850"/>
        <w:jc w:val="both"/>
        <w:rPr>
          <w:rFonts w:eastAsia="Calibri"/>
          <w:noProof/>
          <w:szCs w:val="22"/>
        </w:rPr>
      </w:pPr>
      <w:r>
        <w:t>▌</w:t>
      </w:r>
    </w:p>
    <w:p w14:paraId="47BFBE00" w14:textId="759A3DF6" w:rsidR="00B85C30" w:rsidRPr="00744AD0" w:rsidRDefault="00ED761F" w:rsidP="00B85C30">
      <w:pPr>
        <w:widowControl/>
        <w:spacing w:before="120" w:after="120"/>
        <w:ind w:left="850" w:hanging="850"/>
        <w:jc w:val="both"/>
        <w:rPr>
          <w:rFonts w:eastAsia="Calibri"/>
          <w:noProof/>
          <w:szCs w:val="22"/>
        </w:rPr>
      </w:pPr>
      <w:r>
        <w:rPr>
          <w:b/>
          <w:i/>
        </w:rPr>
        <w:t>6</w:t>
      </w:r>
      <w:r>
        <w:t>.</w:t>
      </w:r>
      <w:r>
        <w:tab/>
        <w:t>«appareil mobile», un appareil mobile au sens de l’article 2, point 31), du règlement (UE)</w:t>
      </w:r>
      <w:r>
        <w:rPr>
          <w:b/>
          <w:i/>
          <w:sz w:val="22"/>
        </w:rPr>
        <w:t xml:space="preserve"> </w:t>
      </w:r>
      <w:r>
        <w:rPr>
          <w:b/>
          <w:i/>
        </w:rPr>
        <w:t>.../...</w:t>
      </w:r>
      <w:r>
        <w:rPr>
          <w:rStyle w:val="FootnoteReference"/>
          <w:rFonts w:eastAsia="Calibri"/>
          <w:noProof/>
          <w:szCs w:val="22"/>
          <w:lang w:eastAsia="en-US"/>
        </w:rPr>
        <w:footnoteReference w:customMarkFollows="1" w:id="19"/>
        <w:t>*</w:t>
      </w:r>
      <w:r>
        <w:t>.</w:t>
      </w:r>
    </w:p>
    <w:p w14:paraId="21E8D8A6" w14:textId="39480EAA" w:rsidR="00B85C30" w:rsidRPr="00744AD0" w:rsidRDefault="00ED761F" w:rsidP="00B85C30">
      <w:pPr>
        <w:widowControl/>
        <w:spacing w:before="120" w:after="120"/>
        <w:ind w:left="850" w:hanging="850"/>
        <w:jc w:val="both"/>
        <w:rPr>
          <w:rFonts w:eastAsia="Calibri"/>
          <w:noProof/>
          <w:szCs w:val="22"/>
        </w:rPr>
      </w:pPr>
      <w:r>
        <w:rPr>
          <w:b/>
          <w:i/>
        </w:rPr>
        <w:t>6 bis.</w:t>
      </w:r>
      <w:r>
        <w:rPr>
          <w:b/>
          <w:i/>
        </w:rPr>
        <w:tab/>
        <w:t>«établissement de crédit», un établissement de crédit au sens de l’article 4, paragraphe 1, point 1), du règlement (UE) n</w:t>
      </w:r>
      <w:r>
        <w:rPr>
          <w:b/>
          <w:i/>
          <w:vertAlign w:val="superscript"/>
        </w:rPr>
        <w:t>o</w:t>
      </w:r>
      <w:r>
        <w:rPr>
          <w:b/>
          <w:i/>
        </w:rPr>
        <w:t> 575/2013 du Parlement européen et du Conseil</w:t>
      </w:r>
      <w:r w:rsidR="00B85C30" w:rsidRPr="00744AD0">
        <w:rPr>
          <w:rStyle w:val="FootnoteReference"/>
          <w:rFonts w:eastAsia="Calibri"/>
          <w:b/>
          <w:bCs/>
          <w:i/>
          <w:iCs/>
          <w:noProof/>
          <w:szCs w:val="22"/>
          <w:lang w:eastAsia="en-US"/>
        </w:rPr>
        <w:footnoteReference w:id="20"/>
      </w:r>
      <w:r>
        <w:rPr>
          <w:b/>
          <w:i/>
        </w:rPr>
        <w:t>.</w:t>
      </w:r>
    </w:p>
    <w:p w14:paraId="7CCC1930" w14:textId="77777777" w:rsidR="00B85C30" w:rsidRPr="00744AD0" w:rsidRDefault="00B85C30" w:rsidP="00B85C30">
      <w:pPr>
        <w:keepNext/>
        <w:widowControl/>
        <w:spacing w:before="360" w:after="120"/>
        <w:jc w:val="center"/>
        <w:rPr>
          <w:rFonts w:eastAsia="Calibri"/>
          <w:i/>
          <w:noProof/>
          <w:szCs w:val="22"/>
        </w:rPr>
      </w:pPr>
      <w:r>
        <w:rPr>
          <w:i/>
        </w:rPr>
        <w:t>Article 3</w:t>
      </w:r>
      <w:r>
        <w:rPr>
          <w:i/>
        </w:rPr>
        <w:br/>
        <w:t>Fourniture de services de paiement en euros numériques</w:t>
      </w:r>
    </w:p>
    <w:p w14:paraId="3CEF522E" w14:textId="1794591B" w:rsidR="00B85C30" w:rsidRPr="00744AD0" w:rsidRDefault="00B85C30" w:rsidP="00B85C30">
      <w:pPr>
        <w:widowControl/>
        <w:spacing w:before="120" w:after="120"/>
        <w:jc w:val="both"/>
        <w:rPr>
          <w:rFonts w:eastAsia="Calibri"/>
          <w:noProof/>
          <w:szCs w:val="22"/>
        </w:rPr>
      </w:pPr>
      <w:r>
        <w:t>Dans le cadre de la directive (UE) 2015/2366, les prestataires de services de paiement constitués dans des États membres dont la monnaie n’est pas l’euro</w:t>
      </w:r>
      <w:r>
        <w:rPr>
          <w:b/>
          <w:i/>
        </w:rPr>
        <w:t>, conformément au cadre fixé par le règlement (UE) ... / ... ,</w:t>
      </w:r>
      <w:r>
        <w:rPr>
          <w:rStyle w:val="FootnoteReference"/>
          <w:rFonts w:eastAsia="Calibri"/>
          <w:noProof/>
          <w:szCs w:val="22"/>
          <w:lang w:eastAsia="en-US"/>
        </w:rPr>
        <w:footnoteReference w:customMarkFollows="1" w:id="21"/>
        <w:t>**</w:t>
      </w:r>
      <w:r>
        <w:rPr>
          <w:rStyle w:val="FootnoteReference"/>
          <w:vertAlign w:val="baseline"/>
        </w:rPr>
        <w:t xml:space="preserve"> </w:t>
      </w:r>
      <w:r>
        <w:t xml:space="preserve"> peuvent fournir </w:t>
      </w:r>
      <w:r>
        <w:rPr>
          <w:b/>
          <w:i/>
        </w:rPr>
        <w:t>tout service</w:t>
      </w:r>
      <w:r>
        <w:t xml:space="preserve"> de paiement en euros numériques </w:t>
      </w:r>
      <w:r>
        <w:rPr>
          <w:b/>
          <w:i/>
        </w:rPr>
        <w:t>visé à l’annexe I dudit règlement</w:t>
      </w:r>
      <w:r>
        <w:rPr>
          <w:color w:val="333333"/>
        </w:rPr>
        <w:t>:</w:t>
      </w:r>
    </w:p>
    <w:p w14:paraId="44307F69" w14:textId="77777777" w:rsidR="00B85C30" w:rsidRPr="00744AD0" w:rsidRDefault="00B85C30" w:rsidP="00B85C30">
      <w:pPr>
        <w:widowControl/>
        <w:spacing w:before="120" w:after="120"/>
        <w:ind w:left="850" w:hanging="850"/>
        <w:jc w:val="both"/>
        <w:rPr>
          <w:rFonts w:eastAsia="Calibri"/>
          <w:noProof/>
          <w:szCs w:val="22"/>
        </w:rPr>
      </w:pPr>
      <w:r>
        <w:t>a)</w:t>
      </w:r>
      <w:r>
        <w:tab/>
        <w:t xml:space="preserve">aux personnes physiques </w:t>
      </w:r>
      <w:r>
        <w:rPr>
          <w:b/>
          <w:i/>
        </w:rPr>
        <w:t>ou</w:t>
      </w:r>
      <w:r>
        <w:t xml:space="preserve"> morales résidant ou établies dans </w:t>
      </w:r>
      <w:r>
        <w:rPr>
          <w:b/>
          <w:i/>
        </w:rPr>
        <w:t>des</w:t>
      </w:r>
      <w:r>
        <w:t xml:space="preserve"> États membres dont la monnaie est l’euro;</w:t>
      </w:r>
    </w:p>
    <w:p w14:paraId="1394AAAD" w14:textId="22138101" w:rsidR="00B85C30" w:rsidRPr="00744AD0" w:rsidRDefault="00B85C30" w:rsidP="00B85C30">
      <w:pPr>
        <w:widowControl/>
        <w:spacing w:before="120" w:after="120"/>
        <w:ind w:left="850" w:hanging="850"/>
        <w:jc w:val="both"/>
        <w:rPr>
          <w:rFonts w:eastAsia="Calibri"/>
          <w:noProof/>
          <w:szCs w:val="22"/>
        </w:rPr>
      </w:pPr>
      <w:r>
        <w:t>b)</w:t>
      </w:r>
      <w:r>
        <w:tab/>
        <w:t xml:space="preserve">aux personnes physiques </w:t>
      </w:r>
      <w:r>
        <w:rPr>
          <w:b/>
          <w:i/>
        </w:rPr>
        <w:t>ou</w:t>
      </w:r>
      <w:r>
        <w:t xml:space="preserve"> morales qui </w:t>
      </w:r>
      <w:r>
        <w:rPr>
          <w:b/>
          <w:i/>
        </w:rPr>
        <w:t>ne résident plus ou ne sont plus établies dans des États membres dont la monnaie est l’euro mais qui avaient</w:t>
      </w:r>
      <w:r>
        <w:t xml:space="preserve"> ouvert un compte </w:t>
      </w:r>
      <w:r>
        <w:rPr>
          <w:b/>
          <w:i/>
        </w:rPr>
        <w:t xml:space="preserve">de paiement </w:t>
      </w:r>
      <w:r>
        <w:t xml:space="preserve">en euros numériques alors qu’elles résidaient ou étaient établies dans </w:t>
      </w:r>
      <w:r>
        <w:rPr>
          <w:b/>
          <w:i/>
        </w:rPr>
        <w:t>ces États membres;</w:t>
      </w:r>
    </w:p>
    <w:p w14:paraId="496465EB" w14:textId="77777777" w:rsidR="00B85C30" w:rsidRPr="00744AD0" w:rsidRDefault="00B85C30" w:rsidP="00B85C30">
      <w:pPr>
        <w:widowControl/>
        <w:spacing w:before="120" w:after="120"/>
        <w:ind w:left="850" w:hanging="850"/>
        <w:jc w:val="both"/>
        <w:rPr>
          <w:rFonts w:eastAsia="Calibri"/>
          <w:noProof/>
          <w:szCs w:val="22"/>
        </w:rPr>
      </w:pPr>
      <w:r>
        <w:t>c)</w:t>
      </w:r>
      <w:r>
        <w:tab/>
        <w:t xml:space="preserve">aux visiteurs </w:t>
      </w:r>
      <w:r>
        <w:rPr>
          <w:b/>
          <w:i/>
        </w:rPr>
        <w:t>de la zone euro</w:t>
      </w:r>
      <w:r>
        <w:t>;</w:t>
      </w:r>
    </w:p>
    <w:p w14:paraId="2BA6D59E" w14:textId="6148C9CB" w:rsidR="00B85C30" w:rsidRPr="00744AD0" w:rsidRDefault="00B85C30" w:rsidP="00B85C30">
      <w:pPr>
        <w:widowControl/>
        <w:spacing w:before="120" w:after="120"/>
        <w:ind w:left="850" w:hanging="850"/>
        <w:jc w:val="both"/>
        <w:rPr>
          <w:rFonts w:eastAsia="Calibri"/>
          <w:noProof/>
          <w:color w:val="333333"/>
          <w:szCs w:val="22"/>
        </w:rPr>
      </w:pPr>
      <w:r>
        <w:t>d)</w:t>
      </w:r>
      <w:r>
        <w:tab/>
        <w:t xml:space="preserve">aux personnes physiques </w:t>
      </w:r>
      <w:r>
        <w:rPr>
          <w:b/>
          <w:i/>
        </w:rPr>
        <w:t>ou</w:t>
      </w:r>
      <w:r>
        <w:t xml:space="preserve"> morales résidant ou établies dans des États membres dont la monnaie n’est pas l’euro, sous réserve des conditions énoncées à l’article 18 </w:t>
      </w:r>
      <w:r>
        <w:rPr>
          <w:color w:val="333333"/>
        </w:rPr>
        <w:t>du règlement (UE)</w:t>
      </w:r>
      <w:r>
        <w:rPr>
          <w:b/>
          <w:i/>
          <w:sz w:val="22"/>
        </w:rPr>
        <w:t xml:space="preserve"> </w:t>
      </w:r>
      <w:r>
        <w:rPr>
          <w:b/>
          <w:i/>
          <w:color w:val="333333"/>
        </w:rPr>
        <w:t>.../...</w:t>
      </w:r>
      <w:r>
        <w:rPr>
          <w:rStyle w:val="FootnoteReference"/>
          <w:rFonts w:eastAsia="Calibri"/>
          <w:noProof/>
          <w:szCs w:val="22"/>
          <w:lang w:eastAsia="en-US"/>
        </w:rPr>
        <w:footnoteReference w:customMarkFollows="1" w:id="22"/>
        <w:t>***</w:t>
      </w:r>
      <w:r>
        <w:t>;</w:t>
      </w:r>
    </w:p>
    <w:p w14:paraId="3A5DE1CB" w14:textId="7FE87D04" w:rsidR="00B85C30" w:rsidRPr="00744AD0" w:rsidRDefault="00B85C30" w:rsidP="00B85C30">
      <w:pPr>
        <w:widowControl/>
        <w:spacing w:before="120" w:after="120"/>
        <w:ind w:left="850" w:hanging="850"/>
        <w:jc w:val="both"/>
        <w:rPr>
          <w:rFonts w:eastAsia="Calibri"/>
          <w:noProof/>
          <w:szCs w:val="22"/>
        </w:rPr>
      </w:pPr>
      <w:r>
        <w:lastRenderedPageBreak/>
        <w:t>e)</w:t>
      </w:r>
      <w:r>
        <w:tab/>
        <w:t xml:space="preserve">aux personnes physiques </w:t>
      </w:r>
      <w:r>
        <w:rPr>
          <w:b/>
          <w:i/>
        </w:rPr>
        <w:t>ou</w:t>
      </w:r>
      <w:r>
        <w:t xml:space="preserve"> morales résidant ou établies dans des pays tiers, y compris dans des territoires ayant conclu un accord monétaire avec l’Union ▌, sous réserve du respect des conditions énoncées aux articles 19 et 20 du </w:t>
      </w:r>
      <w:r>
        <w:rPr>
          <w:color w:val="333333"/>
        </w:rPr>
        <w:t>règlement (UE)</w:t>
      </w:r>
      <w:r>
        <w:rPr>
          <w:b/>
          <w:i/>
          <w:sz w:val="22"/>
        </w:rPr>
        <w:t xml:space="preserve"> </w:t>
      </w:r>
      <w:r>
        <w:t xml:space="preserve"> </w:t>
      </w:r>
      <w:r>
        <w:rPr>
          <w:color w:val="333333"/>
        </w:rPr>
        <w:t>.../...</w:t>
      </w:r>
      <w:r>
        <w:rPr>
          <w:rStyle w:val="FootnoteReference"/>
          <w:rFonts w:eastAsia="Calibri"/>
          <w:noProof/>
          <w:szCs w:val="22"/>
          <w:lang w:eastAsia="en-US"/>
        </w:rPr>
        <w:footnoteReference w:customMarkFollows="1" w:id="23"/>
        <w:t>****</w:t>
      </w:r>
      <w:r>
        <w:t>;</w:t>
      </w:r>
    </w:p>
    <w:p w14:paraId="3EAC08F4" w14:textId="4996EDA8" w:rsidR="00B85C30" w:rsidRPr="00744AD0" w:rsidRDefault="00B85C30" w:rsidP="00B85C30">
      <w:pPr>
        <w:widowControl/>
        <w:spacing w:before="120" w:after="120"/>
        <w:ind w:left="850" w:hanging="850"/>
        <w:jc w:val="both"/>
        <w:rPr>
          <w:rFonts w:eastAsia="Calibri"/>
          <w:b/>
          <w:bCs/>
          <w:i/>
          <w:iCs/>
          <w:noProof/>
          <w:color w:val="333333"/>
          <w:szCs w:val="22"/>
        </w:rPr>
      </w:pPr>
      <w:r>
        <w:rPr>
          <w:b/>
          <w:i/>
          <w:color w:val="333333"/>
        </w:rPr>
        <w:t>e bis)</w:t>
      </w:r>
      <w:r>
        <w:rPr>
          <w:b/>
          <w:i/>
          <w:color w:val="333333"/>
        </w:rPr>
        <w:tab/>
        <w:t>aux personnes physiques ou morales résidant ou établies dans des États membres dont la monnaie n’est pas l’euro ou dans des pays tiers, lorsque ces personnes physiques ou morales exercent leur droit à la libre circulation dans un État membre dont la monnaie est l’euro;</w:t>
      </w:r>
    </w:p>
    <w:p w14:paraId="68E05B2B" w14:textId="23F6E436" w:rsidR="00B85C30" w:rsidRPr="00744AD0" w:rsidRDefault="00B85C30" w:rsidP="00B85C30">
      <w:pPr>
        <w:widowControl/>
        <w:spacing w:before="120" w:after="120"/>
        <w:ind w:left="850" w:hanging="850"/>
        <w:jc w:val="both"/>
        <w:rPr>
          <w:rFonts w:eastAsia="Calibri"/>
          <w:b/>
          <w:bCs/>
          <w:i/>
          <w:iCs/>
          <w:noProof/>
          <w:color w:val="333333"/>
          <w:szCs w:val="22"/>
        </w:rPr>
      </w:pPr>
      <w:r>
        <w:rPr>
          <w:b/>
          <w:i/>
          <w:color w:val="333333"/>
        </w:rPr>
        <w:t>e ter)</w:t>
      </w:r>
      <w:r>
        <w:rPr>
          <w:b/>
          <w:i/>
          <w:color w:val="333333"/>
        </w:rPr>
        <w:tab/>
        <w:t>aux citoyens de pays tiers qui bénéficient d’un régime spécifique créant des droits de libre circulation dans une partie de l’Union.</w:t>
      </w:r>
    </w:p>
    <w:p w14:paraId="02167B5C" w14:textId="428014BB" w:rsidR="00B85C30" w:rsidRPr="00744AD0" w:rsidRDefault="00B85C30" w:rsidP="00B85C30">
      <w:pPr>
        <w:widowControl/>
        <w:spacing w:before="120" w:after="120"/>
        <w:jc w:val="both"/>
        <w:rPr>
          <w:rFonts w:eastAsia="Calibri"/>
          <w:i/>
          <w:iCs/>
          <w:noProof/>
          <w:color w:val="333333"/>
          <w:szCs w:val="22"/>
        </w:rPr>
      </w:pPr>
      <w:r>
        <w:rPr>
          <w:b/>
          <w:i/>
          <w:color w:val="333333"/>
        </w:rPr>
        <w:t>La Banque centrale européenne peut restreindre l’accès à l’euro numérique et son utilisation par les utilisateurs de l’euro numérique visés aux points b) et c) du présent</w:t>
      </w:r>
      <w:r>
        <w:rPr>
          <w:i/>
          <w:color w:val="333333"/>
        </w:rPr>
        <w:t xml:space="preserve"> </w:t>
      </w:r>
      <w:r>
        <w:rPr>
          <w:b/>
          <w:i/>
          <w:color w:val="333333"/>
        </w:rPr>
        <w:t>paragraphe, sous réserve des conditions énoncées à l’article 16 du règlement (UE) .../....</w:t>
      </w:r>
      <w:r>
        <w:rPr>
          <w:b/>
          <w:i/>
          <w:color w:val="333333"/>
          <w:vertAlign w:val="superscript"/>
        </w:rPr>
        <w:t xml:space="preserve"> </w:t>
      </w:r>
      <w:r>
        <w:rPr>
          <w:rStyle w:val="FootnoteReference"/>
          <w:rFonts w:eastAsia="Calibri"/>
          <w:b/>
          <w:bCs/>
          <w:i/>
          <w:iCs/>
          <w:noProof/>
          <w:color w:val="333333"/>
          <w:szCs w:val="22"/>
          <w:lang w:eastAsia="en-US"/>
        </w:rPr>
        <w:footnoteReference w:customMarkFollows="1" w:id="24"/>
        <w:t>*</w:t>
      </w:r>
      <w:r>
        <w:rPr>
          <w:b/>
          <w:i/>
          <w:color w:val="333333"/>
        </w:rPr>
        <w:t>.</w:t>
      </w:r>
    </w:p>
    <w:p w14:paraId="338719C4" w14:textId="0F44F6A4" w:rsidR="00B85C30" w:rsidRPr="00744AD0" w:rsidRDefault="00B85C30" w:rsidP="00B85C30">
      <w:pPr>
        <w:widowControl/>
        <w:spacing w:before="120" w:after="120"/>
        <w:jc w:val="both"/>
        <w:rPr>
          <w:rFonts w:eastAsia="Calibri"/>
          <w:i/>
          <w:iCs/>
          <w:noProof/>
          <w:color w:val="333333"/>
          <w:szCs w:val="22"/>
        </w:rPr>
      </w:pPr>
      <w:r>
        <w:rPr>
          <w:b/>
          <w:i/>
          <w:color w:val="333333"/>
        </w:rPr>
        <w:t>Dans le cadre de la directive 2015/2366, les prestataires de services de paiement peuvent fournir aux commerçants résidant ou établis dans un État membre dont la monnaie n’est pas l’euro, ou dans un pays tiers, des services de paiement en euros numériques leur permettant de recevoir des opérations de paiement en euros numériques de la part des personnes visées au premier alinéa du présent paragraphe, même si les conditions visées aux articles 18, 19 et 20 du règlement (UE) .../...</w:t>
      </w:r>
      <w:r>
        <w:rPr>
          <w:rStyle w:val="FootnoteReference"/>
          <w:rFonts w:eastAsia="Calibri"/>
          <w:b/>
          <w:bCs/>
          <w:i/>
          <w:iCs/>
          <w:noProof/>
          <w:color w:val="333333"/>
          <w:szCs w:val="22"/>
          <w:lang w:eastAsia="en-US"/>
        </w:rPr>
        <w:footnoteReference w:customMarkFollows="1" w:id="25"/>
        <w:t>**</w:t>
      </w:r>
      <w:r>
        <w:rPr>
          <w:b/>
          <w:i/>
          <w:color w:val="333333"/>
        </w:rPr>
        <w:t xml:space="preserve"> ne sont pas remplies, sous réserve du droit national applicable dudit État membre ou dudit pays tiers.</w:t>
      </w:r>
    </w:p>
    <w:p w14:paraId="60F44786" w14:textId="3C9F6A24" w:rsidR="00B85C30" w:rsidRPr="00744AD0" w:rsidRDefault="00B85C30" w:rsidP="00B85C30">
      <w:pPr>
        <w:widowControl/>
        <w:spacing w:before="120" w:after="120"/>
        <w:ind w:left="851" w:hanging="851"/>
        <w:jc w:val="both"/>
        <w:rPr>
          <w:rFonts w:eastAsia="Calibri"/>
          <w:i/>
          <w:iCs/>
          <w:noProof/>
          <w:color w:val="333333"/>
          <w:szCs w:val="22"/>
        </w:rPr>
      </w:pPr>
      <w:r>
        <w:rPr>
          <w:b/>
          <w:i/>
          <w:color w:val="333333"/>
        </w:rPr>
        <w:t>2.</w:t>
      </w:r>
      <w:r>
        <w:rPr>
          <w:i/>
          <w:color w:val="333333"/>
        </w:rPr>
        <w:tab/>
      </w:r>
      <w:r>
        <w:rPr>
          <w:b/>
          <w:i/>
          <w:color w:val="333333"/>
        </w:rPr>
        <w:t>Un établissement de crédit constitué dans un État membre dont la monnaie n’est pas l’euro fournit, à la demande d’un client qui est une personne physique au sens de l’article 13, paragraphe 1, point a), du règlement (UE).../...</w:t>
      </w:r>
      <w:r>
        <w:rPr>
          <w:rStyle w:val="FootnoteReference"/>
          <w:rFonts w:eastAsia="Calibri"/>
          <w:b/>
          <w:bCs/>
          <w:i/>
          <w:iCs/>
          <w:noProof/>
          <w:color w:val="333333"/>
          <w:szCs w:val="22"/>
          <w:lang w:eastAsia="en-US"/>
        </w:rPr>
        <w:footnoteReference w:customMarkFollows="1" w:id="26"/>
        <w:t>***</w:t>
      </w:r>
      <w:r>
        <w:rPr>
          <w:b/>
          <w:i/>
          <w:color w:val="333333"/>
        </w:rPr>
        <w:t>, à cette personne physique, les services de paiement de base en euros numériques visés à l’annexe II du règlement (UE).../...</w:t>
      </w:r>
      <w:r>
        <w:rPr>
          <w:rStyle w:val="FootnoteReference"/>
          <w:rFonts w:eastAsia="Calibri"/>
          <w:b/>
          <w:bCs/>
          <w:i/>
          <w:iCs/>
          <w:noProof/>
          <w:color w:val="333333"/>
          <w:szCs w:val="22"/>
          <w:lang w:eastAsia="en-US"/>
        </w:rPr>
        <w:footnoteReference w:customMarkFollows="1" w:id="27"/>
        <w:t>****</w:t>
      </w:r>
      <w:r>
        <w:rPr>
          <w:b/>
          <w:i/>
          <w:color w:val="333333"/>
        </w:rPr>
        <w:t xml:space="preserve"> lorsque toutes les conditions suivantes sont remplies:</w:t>
      </w:r>
      <w:r>
        <w:rPr>
          <w:i/>
          <w:color w:val="333333"/>
        </w:rPr>
        <w:t xml:space="preserve"> </w:t>
      </w:r>
    </w:p>
    <w:p w14:paraId="1668CFED" w14:textId="4583FFBB" w:rsidR="00B85C30" w:rsidRPr="00744AD0" w:rsidRDefault="00B85C30" w:rsidP="00B85C30">
      <w:pPr>
        <w:widowControl/>
        <w:spacing w:before="120" w:after="120"/>
        <w:ind w:left="851"/>
        <w:jc w:val="both"/>
        <w:rPr>
          <w:rFonts w:eastAsia="Calibri"/>
          <w:b/>
          <w:bCs/>
          <w:i/>
          <w:iCs/>
          <w:noProof/>
          <w:color w:val="333333"/>
          <w:szCs w:val="22"/>
        </w:rPr>
      </w:pPr>
      <w:r>
        <w:rPr>
          <w:b/>
          <w:i/>
          <w:color w:val="333333"/>
        </w:rPr>
        <w:t>a)</w:t>
      </w:r>
      <w:r>
        <w:rPr>
          <w:b/>
          <w:i/>
          <w:color w:val="333333"/>
        </w:rPr>
        <w:tab/>
        <w:t>ledit établissement de crédit fournit des services de paiement au sens de l’annexe I, point 1), 2) ou 3), de la directive (UE) 2015/2366 à des personnes physiques résidant dans un État membre dont la monnaie est l’euro;</w:t>
      </w:r>
    </w:p>
    <w:p w14:paraId="4DFD6E52" w14:textId="7845B413" w:rsidR="00B85C30" w:rsidRPr="00744AD0" w:rsidRDefault="0047285A" w:rsidP="00B85C30">
      <w:pPr>
        <w:widowControl/>
        <w:spacing w:before="120" w:after="120"/>
        <w:ind w:left="851"/>
        <w:jc w:val="both"/>
        <w:rPr>
          <w:rFonts w:eastAsia="Calibri"/>
          <w:b/>
          <w:bCs/>
          <w:i/>
          <w:iCs/>
          <w:noProof/>
          <w:color w:val="333333"/>
          <w:szCs w:val="22"/>
        </w:rPr>
      </w:pPr>
      <w:r>
        <w:rPr>
          <w:b/>
          <w:i/>
          <w:color w:val="333333"/>
        </w:rPr>
        <w:t>b)</w:t>
      </w:r>
      <w:r>
        <w:rPr>
          <w:b/>
          <w:i/>
          <w:color w:val="333333"/>
        </w:rPr>
        <w:tab/>
        <w:t>ledit établissement de crédit fournit les services énumérés au point a) du présent paragraphe à plus de 400 000 personnes physiques résidant dans l’ensemble de la zone euro ou à 5 % des personnes physiques résidant dans un seul État membre dont la monnaie est l’euro, pendant trois années consécutives; et</w:t>
      </w:r>
    </w:p>
    <w:p w14:paraId="0E7E149C" w14:textId="78AFFD1C" w:rsidR="00B85C30" w:rsidRPr="00744AD0" w:rsidRDefault="00B85C30" w:rsidP="00B85C30">
      <w:pPr>
        <w:widowControl/>
        <w:spacing w:before="120" w:after="120"/>
        <w:ind w:left="851"/>
        <w:jc w:val="both"/>
        <w:rPr>
          <w:rFonts w:eastAsia="Calibri"/>
          <w:i/>
          <w:iCs/>
          <w:noProof/>
          <w:color w:val="333333"/>
          <w:szCs w:val="22"/>
        </w:rPr>
      </w:pPr>
      <w:r>
        <w:rPr>
          <w:b/>
          <w:i/>
          <w:color w:val="333333"/>
        </w:rPr>
        <w:t>c)</w:t>
      </w:r>
      <w:r>
        <w:rPr>
          <w:b/>
          <w:i/>
          <w:color w:val="333333"/>
        </w:rPr>
        <w:tab/>
        <w:t xml:space="preserve">ladite personne physique ne détient pas de compte de paiement, au sens de l’article 2, point 3), de la directive 2014/92/UE, auprès d’un prestataire de services </w:t>
      </w:r>
      <w:r>
        <w:rPr>
          <w:b/>
          <w:i/>
          <w:color w:val="333333"/>
        </w:rPr>
        <w:lastRenderedPageBreak/>
        <w:t>de paiement qui fournit des services de paiement en euros numériques obligatoires conformément au règlement (UE).../...</w:t>
      </w:r>
      <w:r>
        <w:rPr>
          <w:rStyle w:val="FootnoteReference"/>
          <w:rFonts w:eastAsia="Calibri"/>
          <w:b/>
          <w:bCs/>
          <w:i/>
          <w:iCs/>
          <w:noProof/>
          <w:color w:val="333333"/>
          <w:szCs w:val="22"/>
          <w:lang w:eastAsia="en-US"/>
        </w:rPr>
        <w:footnoteReference w:customMarkFollows="1" w:id="28"/>
        <w:t>*****</w:t>
      </w:r>
      <w:r>
        <w:rPr>
          <w:b/>
          <w:i/>
          <w:color w:val="333333"/>
        </w:rPr>
        <w:t>.</w:t>
      </w:r>
    </w:p>
    <w:p w14:paraId="15E96FD4" w14:textId="7889D298" w:rsidR="00B85C30" w:rsidRPr="00744AD0" w:rsidRDefault="00B85C30" w:rsidP="00B85C30">
      <w:pPr>
        <w:widowControl/>
        <w:spacing w:before="120" w:after="120"/>
        <w:ind w:left="851" w:hanging="851"/>
        <w:jc w:val="both"/>
        <w:rPr>
          <w:rFonts w:eastAsia="Calibri"/>
          <w:b/>
          <w:bCs/>
          <w:i/>
          <w:iCs/>
          <w:noProof/>
          <w:color w:val="333333"/>
          <w:szCs w:val="22"/>
        </w:rPr>
      </w:pPr>
      <w:r>
        <w:rPr>
          <w:b/>
          <w:i/>
          <w:color w:val="333333"/>
        </w:rPr>
        <w:t>3.</w:t>
      </w:r>
      <w:r>
        <w:rPr>
          <w:b/>
          <w:i/>
          <w:color w:val="333333"/>
        </w:rPr>
        <w:tab/>
        <w:t>Un établissement de crédit constitué dans un État membre dont la monnaie n’est pas l’euro qui est soumis aux obligations énoncées au paragraphe 2 peut, aux fins de l’exécution de ces obligations, renvoyer des clients qui sont autorisés à recevoir les services visés audit paragraphe et qui demandent ces services vers une succursale ou une filiale dudit établissement de crédit située dans un État membre dont la monnaie est l’euro. Ce renvoi est réputé satisfaire aux obligations énoncées au paragraphe 2.</w:t>
      </w:r>
    </w:p>
    <w:p w14:paraId="3773D29C" w14:textId="39B8BD56" w:rsidR="00B85C30" w:rsidRPr="00744AD0" w:rsidRDefault="00B85C30" w:rsidP="00B85C30">
      <w:pPr>
        <w:widowControl/>
        <w:spacing w:before="120" w:after="120"/>
        <w:ind w:left="851" w:hanging="851"/>
        <w:jc w:val="both"/>
        <w:rPr>
          <w:rFonts w:eastAsia="Calibri"/>
          <w:i/>
          <w:iCs/>
          <w:noProof/>
          <w:color w:val="333333"/>
          <w:szCs w:val="22"/>
        </w:rPr>
      </w:pPr>
      <w:r>
        <w:rPr>
          <w:b/>
          <w:i/>
          <w:color w:val="333333"/>
        </w:rPr>
        <w:t>4.</w:t>
      </w:r>
      <w:r>
        <w:rPr>
          <w:b/>
          <w:i/>
          <w:color w:val="333333"/>
        </w:rPr>
        <w:tab/>
        <w:t>Un établissement de crédit constitué dans un État membre dont la monnaie n’est pas l’euro qui a rempli les conditions énoncées au paragraphe 2 mais qui n’a pas rempli ces conditions pendant trois années consécutives n’est pas tenu de fournir à un nouveau client, qui est une personne physique au sens de l’article 13, paragraphe 1, point a), du règlement (UE).../...</w:t>
      </w:r>
      <w:r>
        <w:rPr>
          <w:rStyle w:val="FootnoteReference"/>
          <w:rFonts w:eastAsia="Calibri"/>
          <w:b/>
          <w:bCs/>
          <w:i/>
          <w:iCs/>
          <w:noProof/>
          <w:color w:val="333333"/>
          <w:szCs w:val="22"/>
          <w:lang w:eastAsia="en-US"/>
        </w:rPr>
        <w:footnoteReference w:customMarkFollows="1" w:id="29"/>
        <w:t>*</w:t>
      </w:r>
      <w:r>
        <w:rPr>
          <w:b/>
          <w:i/>
          <w:color w:val="333333"/>
        </w:rPr>
        <w:t>, à la demande dudit client, les services de paiement de base en euros numériques visés à l’annexe II dudit règlement.</w:t>
      </w:r>
    </w:p>
    <w:p w14:paraId="71638628" w14:textId="5E7E0316" w:rsidR="00B85C30" w:rsidRPr="00744AD0" w:rsidRDefault="00B85C30" w:rsidP="00B85C30">
      <w:pPr>
        <w:widowControl/>
        <w:spacing w:before="120" w:after="120"/>
        <w:jc w:val="both"/>
        <w:rPr>
          <w:rFonts w:eastAsia="Calibri"/>
          <w:b/>
          <w:bCs/>
          <w:i/>
          <w:iCs/>
          <w:noProof/>
          <w:color w:val="333333"/>
          <w:szCs w:val="22"/>
        </w:rPr>
      </w:pPr>
      <w:r>
        <w:rPr>
          <w:b/>
          <w:i/>
          <w:color w:val="333333"/>
        </w:rPr>
        <w:t>Les clients qui sont déjà titulaires d’un compte de paiement en euros numériques auprès de l’établissement de crédit concerné conservent le droit de continuer à recevoir les services de paiement de base en euros numériques visés à l’annexe II du règlement (UE).../...</w:t>
      </w:r>
      <w:r>
        <w:rPr>
          <w:rStyle w:val="FootnoteReference"/>
          <w:rFonts w:eastAsia="Calibri"/>
          <w:b/>
          <w:bCs/>
          <w:i/>
          <w:iCs/>
          <w:noProof/>
          <w:color w:val="333333"/>
          <w:szCs w:val="22"/>
          <w:lang w:eastAsia="en-US"/>
        </w:rPr>
        <w:footnoteReference w:customMarkFollows="1" w:id="30"/>
        <w:t>**</w:t>
      </w:r>
      <w:r>
        <w:rPr>
          <w:b/>
          <w:i/>
          <w:color w:val="333333"/>
        </w:rPr>
        <w:t>.</w:t>
      </w:r>
    </w:p>
    <w:p w14:paraId="121EA46B" w14:textId="77777777" w:rsidR="00B85C30" w:rsidRPr="00744AD0" w:rsidRDefault="00B85C30" w:rsidP="00B85C30">
      <w:pPr>
        <w:keepNext/>
        <w:widowControl/>
        <w:spacing w:before="360"/>
        <w:jc w:val="center"/>
        <w:rPr>
          <w:rFonts w:eastAsia="Calibri"/>
          <w:b/>
          <w:bCs/>
          <w:i/>
          <w:noProof/>
          <w:szCs w:val="22"/>
        </w:rPr>
      </w:pPr>
      <w:r>
        <w:rPr>
          <w:b/>
          <w:i/>
        </w:rPr>
        <w:t>Article 3 bis</w:t>
      </w:r>
    </w:p>
    <w:p w14:paraId="3C966853" w14:textId="77777777" w:rsidR="00B85C30" w:rsidRPr="00744AD0" w:rsidRDefault="00B85C30" w:rsidP="00B85C30">
      <w:pPr>
        <w:keepNext/>
        <w:widowControl/>
        <w:spacing w:after="120"/>
        <w:jc w:val="center"/>
        <w:rPr>
          <w:rFonts w:eastAsia="Calibri"/>
          <w:b/>
          <w:bCs/>
          <w:i/>
          <w:noProof/>
          <w:szCs w:val="22"/>
        </w:rPr>
      </w:pPr>
      <w:r>
        <w:rPr>
          <w:b/>
          <w:i/>
        </w:rPr>
        <w:t>Fourniture de services d’acquisition en euros numériques</w:t>
      </w:r>
    </w:p>
    <w:p w14:paraId="712D0E9E" w14:textId="234948BF" w:rsidR="00B85C30" w:rsidRPr="00744AD0" w:rsidRDefault="00B85C30" w:rsidP="00B85C30">
      <w:pPr>
        <w:widowControl/>
        <w:spacing w:before="120" w:after="120"/>
        <w:jc w:val="both"/>
        <w:rPr>
          <w:rFonts w:eastAsia="Calibri"/>
          <w:b/>
          <w:bCs/>
          <w:i/>
          <w:iCs/>
          <w:noProof/>
          <w:color w:val="333333"/>
          <w:szCs w:val="22"/>
        </w:rPr>
      </w:pPr>
      <w:r>
        <w:rPr>
          <w:b/>
          <w:i/>
          <w:color w:val="333333"/>
        </w:rPr>
        <w:t>Les prestataires de services de paiement constitués dans un État membre dont la monnaie n’est pas l’euro se conforment à l’article 14, paragraphe 1 bis, du règlement (UE).../...</w:t>
      </w:r>
      <w:r>
        <w:rPr>
          <w:rStyle w:val="FootnoteReference"/>
          <w:rFonts w:eastAsia="Calibri"/>
          <w:b/>
          <w:bCs/>
          <w:i/>
          <w:iCs/>
          <w:noProof/>
          <w:color w:val="333333"/>
          <w:szCs w:val="22"/>
          <w:lang w:eastAsia="en-US"/>
        </w:rPr>
        <w:footnoteReference w:customMarkFollows="1" w:id="31"/>
        <w:t>***</w:t>
      </w:r>
      <w:r>
        <w:rPr>
          <w:b/>
          <w:i/>
          <w:color w:val="333333"/>
        </w:rPr>
        <w:t xml:space="preserve"> en ce qui concerne leurs clients établis dans des États membres dont la monnaie est l’euro qui sont des bénéficiaires soumis à l’acceptation obligatoire de l’euro numérique au sens de l’article 7, paragraphe 3, dudit règlement, dans la mesure où ces prestataires de services de paiement fournissent déjà à ces clients des services d’acquisition pour des moyens de paiement comparables.</w:t>
      </w:r>
    </w:p>
    <w:p w14:paraId="6896B4C3" w14:textId="77777777" w:rsidR="00B85C30" w:rsidRPr="00744AD0" w:rsidRDefault="00B85C30" w:rsidP="00B85C30">
      <w:pPr>
        <w:keepNext/>
        <w:widowControl/>
        <w:spacing w:before="360"/>
        <w:jc w:val="center"/>
        <w:rPr>
          <w:rFonts w:eastAsia="Calibri"/>
          <w:b/>
          <w:bCs/>
          <w:i/>
          <w:noProof/>
          <w:szCs w:val="22"/>
        </w:rPr>
      </w:pPr>
      <w:r>
        <w:rPr>
          <w:b/>
          <w:i/>
        </w:rPr>
        <w:t>Article 3 ter</w:t>
      </w:r>
    </w:p>
    <w:p w14:paraId="78A1964C" w14:textId="4D78947D" w:rsidR="00B85C30" w:rsidRPr="00744AD0" w:rsidRDefault="00B85C30" w:rsidP="00B85C30">
      <w:pPr>
        <w:keepNext/>
        <w:widowControl/>
        <w:spacing w:after="120"/>
        <w:jc w:val="center"/>
        <w:rPr>
          <w:rFonts w:eastAsia="Calibri"/>
          <w:b/>
          <w:bCs/>
          <w:i/>
          <w:noProof/>
          <w:szCs w:val="22"/>
        </w:rPr>
      </w:pPr>
      <w:r>
        <w:rPr>
          <w:b/>
          <w:i/>
        </w:rPr>
        <w:t>Évaluation de l’incidence potentielle sur l’utilisation des monnaies nationales</w:t>
      </w:r>
    </w:p>
    <w:p w14:paraId="6A0FCC4E" w14:textId="0A8E5373" w:rsidR="00B85C30" w:rsidRPr="00744AD0" w:rsidRDefault="00B85C30" w:rsidP="00B85C30">
      <w:pPr>
        <w:widowControl/>
        <w:spacing w:before="120" w:after="120"/>
        <w:jc w:val="both"/>
        <w:rPr>
          <w:rFonts w:eastAsia="Calibri"/>
          <w:b/>
          <w:bCs/>
          <w:i/>
          <w:iCs/>
          <w:noProof/>
          <w:color w:val="333333"/>
          <w:szCs w:val="22"/>
        </w:rPr>
      </w:pPr>
      <w:r>
        <w:rPr>
          <w:b/>
          <w:i/>
          <w:color w:val="333333"/>
        </w:rPr>
        <w:t>Les États membres dont la monnaie n’est pas l’euro désignent chacun une autorité compétente chargée de surveiller et d’évaluer l’incidence potentielle de l’utilisation de l’euro numérique sur leur monnaie nationale.</w:t>
      </w:r>
    </w:p>
    <w:p w14:paraId="7B1DBF59" w14:textId="25E555BB" w:rsidR="00B85C30" w:rsidRPr="00744AD0" w:rsidRDefault="00B85C30" w:rsidP="00B85C30">
      <w:pPr>
        <w:widowControl/>
        <w:spacing w:before="120" w:after="120"/>
        <w:jc w:val="both"/>
        <w:rPr>
          <w:rFonts w:eastAsia="Calibri"/>
          <w:b/>
          <w:bCs/>
          <w:i/>
          <w:iCs/>
          <w:noProof/>
          <w:color w:val="333333"/>
          <w:szCs w:val="22"/>
        </w:rPr>
      </w:pPr>
      <w:r>
        <w:rPr>
          <w:b/>
          <w:i/>
          <w:color w:val="333333"/>
        </w:rPr>
        <w:t>Les autorités compétentes désignées en vertu du premier alinéa font rapport à la Commission et à la Banque centrale européenne tous les trois ans.</w:t>
      </w:r>
    </w:p>
    <w:p w14:paraId="3F42B291" w14:textId="77777777" w:rsidR="00B85C30" w:rsidRPr="00744AD0" w:rsidRDefault="00B85C30" w:rsidP="00B85C30">
      <w:pPr>
        <w:widowControl/>
        <w:spacing w:before="120" w:after="120"/>
        <w:jc w:val="both"/>
        <w:rPr>
          <w:rFonts w:eastAsia="Calibri"/>
          <w:i/>
          <w:iCs/>
          <w:noProof/>
          <w:color w:val="333333"/>
          <w:szCs w:val="22"/>
        </w:rPr>
      </w:pPr>
      <w:r>
        <w:rPr>
          <w:b/>
          <w:i/>
          <w:color w:val="333333"/>
        </w:rPr>
        <w:lastRenderedPageBreak/>
        <w:t>Lorsque l’euro numérique est utilisé dans un État membre dont la monnaie n’est pas l’euro aux côtés de sa monnaie nationale («euroïsation») et que cette utilisation dépasse 10 % des paiements de détail transfrontières dans cet État membre, le rapport visé au deuxième alinéa du présent paragraphe comprend une recommandation visant à suspendre temporairement, pour une période de six mois, l’application de l’article 3, paragraphe 1, troisième alinéa.</w:t>
      </w:r>
    </w:p>
    <w:p w14:paraId="7CC93A9D" w14:textId="77777777" w:rsidR="00B85C30" w:rsidRPr="00744AD0" w:rsidRDefault="00B85C30" w:rsidP="00B85C30">
      <w:pPr>
        <w:keepNext/>
        <w:widowControl/>
        <w:spacing w:before="360" w:after="120"/>
        <w:jc w:val="center"/>
        <w:rPr>
          <w:rFonts w:eastAsia="Calibri"/>
          <w:i/>
          <w:noProof/>
          <w:szCs w:val="22"/>
        </w:rPr>
      </w:pPr>
      <w:r>
        <w:rPr>
          <w:i/>
        </w:rPr>
        <w:t>Article 4</w:t>
      </w:r>
      <w:r>
        <w:rPr>
          <w:i/>
        </w:rPr>
        <w:br/>
        <w:t>Droit applicable</w:t>
      </w:r>
    </w:p>
    <w:p w14:paraId="4EDAA659" w14:textId="7F446F4B" w:rsidR="00B85C30" w:rsidRPr="00744AD0" w:rsidRDefault="00B85C30" w:rsidP="00B85C30">
      <w:pPr>
        <w:widowControl/>
        <w:spacing w:before="120" w:after="120"/>
        <w:ind w:left="850" w:hanging="850"/>
        <w:jc w:val="both"/>
        <w:rPr>
          <w:rFonts w:eastAsia="Calibri"/>
          <w:noProof/>
          <w:szCs w:val="22"/>
        </w:rPr>
      </w:pPr>
      <w:bookmarkStart w:id="3" w:name="_Hlk132805405"/>
      <w:r>
        <w:t>1.</w:t>
      </w:r>
      <w:r>
        <w:tab/>
      </w:r>
      <w:r>
        <w:rPr>
          <w:b/>
          <w:i/>
        </w:rPr>
        <w:t>Sans préjudice des dispositions du présent règlement, les</w:t>
      </w:r>
      <w:r>
        <w:t xml:space="preserve"> exigences énoncées à l’article 13, ▌au chapitre V, à l’article 18, au chapitre VII, au chapitre VIII et au chapitre IX du règlement (UE)</w:t>
      </w:r>
      <w:r>
        <w:rPr>
          <w:sz w:val="22"/>
        </w:rPr>
        <w:t xml:space="preserve"> </w:t>
      </w:r>
      <w:r>
        <w:rPr>
          <w:b/>
          <w:i/>
        </w:rPr>
        <w:t>.../...</w:t>
      </w:r>
      <w:r>
        <w:rPr>
          <w:rStyle w:val="FootnoteReference"/>
          <w:rFonts w:eastAsia="Calibri"/>
          <w:noProof/>
          <w:szCs w:val="22"/>
          <w:lang w:eastAsia="en-US"/>
        </w:rPr>
        <w:footnoteReference w:customMarkFollows="1" w:id="32"/>
        <w:t>*</w:t>
      </w:r>
      <w:r>
        <w:t xml:space="preserve"> s’appliquent aux prestataires de services de paiement constitués sur le territoire des États membres dont la monnaie n’est pas l’euro qui fournissent des services de paiement en euros numériques conformément à </w:t>
      </w:r>
      <w:r>
        <w:rPr>
          <w:b/>
          <w:i/>
        </w:rPr>
        <w:t>l’article 3, paragraphes 1 et 2,</w:t>
      </w:r>
      <w:r>
        <w:t xml:space="preserve"> du présent règlement.</w:t>
      </w:r>
    </w:p>
    <w:p w14:paraId="352C945A" w14:textId="7F6E9564" w:rsidR="00B85C30" w:rsidRPr="00744AD0" w:rsidRDefault="00B85C30" w:rsidP="00B85C30">
      <w:pPr>
        <w:widowControl/>
        <w:spacing w:before="120" w:after="120"/>
        <w:ind w:left="850"/>
        <w:jc w:val="both"/>
        <w:rPr>
          <w:rFonts w:eastAsia="Calibri"/>
          <w:noProof/>
          <w:szCs w:val="22"/>
        </w:rPr>
      </w:pPr>
      <w:r>
        <w:t>L’exigence énoncée à l’article 33 du règlement (UE)</w:t>
      </w:r>
      <w:r>
        <w:rPr>
          <w:sz w:val="22"/>
        </w:rPr>
        <w:t> </w:t>
      </w:r>
      <w:r>
        <w:rPr>
          <w:b/>
          <w:i/>
        </w:rPr>
        <w:t>.../...</w:t>
      </w:r>
      <w:r>
        <w:rPr>
          <w:rStyle w:val="FootnoteReference"/>
          <w:rFonts w:eastAsia="Calibri"/>
          <w:noProof/>
          <w:szCs w:val="22"/>
          <w:lang w:eastAsia="en-US"/>
        </w:rPr>
        <w:footnoteReference w:customMarkFollows="1" w:id="33"/>
        <w:t>**</w:t>
      </w:r>
      <w:r>
        <w:t xml:space="preserve"> s’applique aux fabricants d’équipements d’origine d’appareils mobiles et aux prestataires de services de communications électroniques au sens de l’article 2, point 1), de la directive (UE) 2018/1972 établis dans des États membres dont la monnaie n’est pas l’euro.</w:t>
      </w:r>
    </w:p>
    <w:p w14:paraId="0A440961" w14:textId="67F3619B" w:rsidR="00B85C30" w:rsidRPr="00744AD0" w:rsidRDefault="00B85C30" w:rsidP="00B85C30">
      <w:pPr>
        <w:widowControl/>
        <w:spacing w:before="120" w:after="120"/>
        <w:ind w:left="850" w:hanging="850"/>
        <w:jc w:val="both"/>
        <w:rPr>
          <w:rFonts w:eastAsia="Calibri"/>
          <w:noProof/>
          <w:szCs w:val="22"/>
        </w:rPr>
      </w:pPr>
      <w:r>
        <w:t>2.</w:t>
      </w:r>
      <w:r>
        <w:tab/>
        <w:t>Conformément à l’article 4, point 25), de la directive (UE) 2015/2366▌, les dispositions de ladite directive s’appliquent aux opérations de paiement en euros numériques.</w:t>
      </w:r>
    </w:p>
    <w:p w14:paraId="6F28890E" w14:textId="506614FD" w:rsidR="00B85C30" w:rsidRPr="00744AD0" w:rsidRDefault="00B85C30" w:rsidP="00B85C30">
      <w:pPr>
        <w:widowControl/>
        <w:spacing w:before="120" w:after="120"/>
        <w:ind w:left="850" w:hanging="850"/>
        <w:jc w:val="both"/>
        <w:rPr>
          <w:rFonts w:eastAsia="Calibri"/>
          <w:noProof/>
          <w:szCs w:val="22"/>
        </w:rPr>
      </w:pPr>
      <w:r>
        <w:t>3.</w:t>
      </w:r>
      <w:r>
        <w:tab/>
        <w:t>Conformément à l’article 2, point 10), du règlement (UE) 2021/1230▌, les dispositions dudit règlement s’appliquent aux opérations de paiement en euros numériques.</w:t>
      </w:r>
    </w:p>
    <w:p w14:paraId="011ECE7C" w14:textId="77400AE5" w:rsidR="00B85C30" w:rsidRPr="00744AD0" w:rsidRDefault="00B85C30" w:rsidP="00B85C30">
      <w:pPr>
        <w:widowControl/>
        <w:spacing w:before="120" w:after="120"/>
        <w:ind w:left="850" w:hanging="850"/>
        <w:jc w:val="both"/>
        <w:rPr>
          <w:rFonts w:eastAsia="Calibri"/>
          <w:noProof/>
          <w:szCs w:val="24"/>
        </w:rPr>
      </w:pPr>
      <w:r>
        <w:t>4.</w:t>
      </w:r>
      <w:r>
        <w:tab/>
        <w:t>Sans préjudice de l’article 37 du règlement</w:t>
      </w:r>
      <w:r>
        <w:rPr>
          <w:b/>
          <w:i/>
        </w:rPr>
        <w:t xml:space="preserve"> .../...</w:t>
      </w:r>
      <w:r>
        <w:rPr>
          <w:rStyle w:val="FootnoteReference"/>
          <w:rFonts w:eastAsia="Calibri"/>
          <w:b/>
          <w:bCs/>
          <w:i/>
          <w:iCs/>
          <w:noProof/>
          <w:szCs w:val="22"/>
          <w:lang w:eastAsia="en-US"/>
        </w:rPr>
        <w:footnoteReference w:customMarkFollows="1" w:id="34"/>
        <w:t>***</w:t>
      </w:r>
      <w:r>
        <w:t xml:space="preserve"> , le règlement (UE) </w:t>
      </w:r>
      <w:r>
        <w:rPr>
          <w:b/>
          <w:i/>
        </w:rPr>
        <w:t>2023/1113 et la directive (UE) 2015/849</w:t>
      </w:r>
      <w:r>
        <w:t xml:space="preserve"> du Parlement européen et du Conseil</w:t>
      </w:r>
      <w:r w:rsidRPr="00744AD0">
        <w:rPr>
          <w:rFonts w:eastAsia="Calibri"/>
          <w:b/>
          <w:bCs/>
          <w:i/>
          <w:iCs/>
          <w:noProof/>
          <w:szCs w:val="24"/>
          <w:vertAlign w:val="superscript"/>
          <w:lang w:eastAsia="en-US"/>
        </w:rPr>
        <w:footnoteReference w:id="35"/>
      </w:r>
      <w:r>
        <w:t xml:space="preserve"> ▌s’appliquent à l’euro numérique.</w:t>
      </w:r>
    </w:p>
    <w:bookmarkEnd w:id="3"/>
    <w:p w14:paraId="15E409D8" w14:textId="77777777" w:rsidR="00B85C30" w:rsidRPr="00744AD0" w:rsidRDefault="00B85C30" w:rsidP="00B85C30">
      <w:pPr>
        <w:keepNext/>
        <w:widowControl/>
        <w:spacing w:before="360" w:after="120"/>
        <w:jc w:val="center"/>
        <w:rPr>
          <w:rFonts w:eastAsia="Calibri"/>
          <w:i/>
          <w:iCs/>
          <w:noProof/>
          <w:szCs w:val="22"/>
        </w:rPr>
      </w:pPr>
      <w:r>
        <w:rPr>
          <w:i/>
        </w:rPr>
        <w:t>Article 5</w:t>
      </w:r>
      <w:r>
        <w:rPr>
          <w:i/>
        </w:rPr>
        <w:br/>
        <w:t>Autorités compétentes</w:t>
      </w:r>
    </w:p>
    <w:p w14:paraId="685A700B" w14:textId="62467A62" w:rsidR="00B85C30" w:rsidRPr="00744AD0" w:rsidRDefault="00B85C30" w:rsidP="00B85C30">
      <w:pPr>
        <w:widowControl/>
        <w:spacing w:before="120" w:after="120"/>
        <w:ind w:left="850" w:hanging="850"/>
        <w:jc w:val="both"/>
        <w:rPr>
          <w:rFonts w:eastAsia="Calibri"/>
          <w:noProof/>
          <w:color w:val="333333"/>
          <w:szCs w:val="22"/>
        </w:rPr>
      </w:pPr>
      <w:r>
        <w:t>1.</w:t>
      </w:r>
      <w:r>
        <w:tab/>
        <w:t xml:space="preserve">La directive (UE) 2015/2366 du Parlement européen et du Conseil s’applique à la surveillance exercée par les autorités compétentes, au régime de sanctions et aux accords en matière de surveillance entre les autorités compétentes des États membres d’origine et des États membres d’accueil à l’égard des activités des prestataires de services de paiement établis dans des États membres dont la monnaie n’est pas l’euro </w:t>
      </w:r>
      <w:r>
        <w:lastRenderedPageBreak/>
        <w:t xml:space="preserve">dans le cadre de l’euro numérique aux fins de l’application du présent règlement et des obligations énoncées aux chapitres IV, V, VI et VII du règlement </w:t>
      </w:r>
      <w:r>
        <w:rPr>
          <w:color w:val="333333"/>
        </w:rPr>
        <w:t>(UE)</w:t>
      </w:r>
      <w:r>
        <w:rPr>
          <w:b/>
          <w:i/>
          <w:sz w:val="22"/>
        </w:rPr>
        <w:t xml:space="preserve"> </w:t>
      </w:r>
      <w:r>
        <w:rPr>
          <w:b/>
          <w:i/>
          <w:color w:val="333333"/>
        </w:rPr>
        <w:t>.../...</w:t>
      </w:r>
      <w:r>
        <w:rPr>
          <w:rStyle w:val="FootnoteReference"/>
          <w:rFonts w:eastAsia="Calibri"/>
          <w:noProof/>
          <w:szCs w:val="22"/>
          <w:lang w:eastAsia="en-US"/>
        </w:rPr>
        <w:footnoteReference w:customMarkFollows="1" w:id="36"/>
        <w:t>****</w:t>
      </w:r>
      <w:r>
        <w:t>.</w:t>
      </w:r>
    </w:p>
    <w:p w14:paraId="708953C3" w14:textId="798322C1" w:rsidR="00B85C30" w:rsidRPr="00744AD0" w:rsidRDefault="00B85C30" w:rsidP="00B85C30">
      <w:pPr>
        <w:widowControl/>
        <w:spacing w:before="120" w:after="120"/>
        <w:ind w:left="850" w:hanging="850"/>
        <w:jc w:val="both"/>
        <w:rPr>
          <w:rFonts w:eastAsia="Calibri"/>
          <w:noProof/>
          <w:color w:val="333333"/>
          <w:szCs w:val="22"/>
        </w:rPr>
      </w:pPr>
      <w:r>
        <w:t>2.</w:t>
      </w:r>
      <w:r>
        <w:tab/>
        <w:t>La directive (UE) 2015/</w:t>
      </w:r>
      <w:r>
        <w:rPr>
          <w:b/>
          <w:i/>
        </w:rPr>
        <w:t>849</w:t>
      </w:r>
      <w:r>
        <w:t xml:space="preserve"> s’applique à la surveillance exercée par les autorités compétentes, au régime de sanctions et aux accords en matière de surveillance entre les autorités compétentes des États membres d’origine et des États membres d’accueil à l’égard des activités des prestataires de services de paiement constitués dans des États membres dont la monnaie n’est pas l’euro dans le cadre de l’euro numérique aux fins de l’application du présent règlement et des obligations énoncées au chapitre IX du règlement </w:t>
      </w:r>
      <w:r>
        <w:rPr>
          <w:color w:val="333333"/>
        </w:rPr>
        <w:t>(UE)</w:t>
      </w:r>
      <w:r>
        <w:rPr>
          <w:i/>
          <w:sz w:val="22"/>
        </w:rPr>
        <w:t xml:space="preserve"> </w:t>
      </w:r>
      <w:r>
        <w:rPr>
          <w:i/>
          <w:color w:val="333333"/>
        </w:rPr>
        <w:t>.../...</w:t>
      </w:r>
      <w:r>
        <w:rPr>
          <w:rStyle w:val="FootnoteReference"/>
          <w:rFonts w:eastAsia="Calibri"/>
          <w:i/>
          <w:iCs/>
          <w:noProof/>
          <w:color w:val="333333"/>
          <w:szCs w:val="22"/>
          <w:lang w:eastAsia="en-US"/>
        </w:rPr>
        <w:footnoteReference w:customMarkFollows="1" w:id="37"/>
        <w:t>*</w:t>
      </w:r>
      <w:r>
        <w:rPr>
          <w:i/>
          <w:color w:val="333333"/>
        </w:rPr>
        <w:t>.</w:t>
      </w:r>
    </w:p>
    <w:p w14:paraId="5F5F4870" w14:textId="77777777" w:rsidR="00B85C30" w:rsidRPr="00744AD0" w:rsidRDefault="00B85C30" w:rsidP="00B85C30">
      <w:pPr>
        <w:keepNext/>
        <w:widowControl/>
        <w:spacing w:before="360" w:after="120"/>
        <w:jc w:val="center"/>
        <w:rPr>
          <w:rFonts w:eastAsia="Calibri"/>
          <w:i/>
          <w:iCs/>
          <w:noProof/>
          <w:szCs w:val="22"/>
        </w:rPr>
      </w:pPr>
      <w:r>
        <w:rPr>
          <w:i/>
        </w:rPr>
        <w:t>Article 6</w:t>
      </w:r>
      <w:r>
        <w:rPr>
          <w:i/>
        </w:rPr>
        <w:br/>
        <w:t>Coopération avec la Banque centrale européenne</w:t>
      </w:r>
    </w:p>
    <w:p w14:paraId="656AE067" w14:textId="6EEEDCFD" w:rsidR="00B85C30" w:rsidRPr="00744AD0" w:rsidRDefault="00B85C30" w:rsidP="00B85C30">
      <w:pPr>
        <w:widowControl/>
        <w:spacing w:before="120" w:after="120"/>
        <w:jc w:val="both"/>
        <w:rPr>
          <w:rFonts w:eastAsia="Calibri"/>
          <w:noProof/>
          <w:szCs w:val="22"/>
        </w:rPr>
      </w:pPr>
      <w:r>
        <w:t>Aux fins de la surveillance de l’application des chapitres IV, V et VII du règlement (UE)</w:t>
      </w:r>
      <w:r>
        <w:rPr>
          <w:b/>
          <w:i/>
          <w:sz w:val="22"/>
        </w:rPr>
        <w:t xml:space="preserve"> </w:t>
      </w:r>
      <w:r>
        <w:rPr>
          <w:b/>
          <w:i/>
        </w:rPr>
        <w:t>.../...</w:t>
      </w:r>
      <w:r>
        <w:rPr>
          <w:rStyle w:val="FootnoteReference"/>
          <w:rFonts w:eastAsia="Calibri"/>
          <w:noProof/>
          <w:szCs w:val="22"/>
          <w:lang w:eastAsia="en-US"/>
        </w:rPr>
        <w:footnoteReference w:customMarkFollows="1" w:id="38"/>
        <w:t>**</w:t>
      </w:r>
      <w:r>
        <w:t>, les autorités compétentes visées à l’article 5, paragraphe 1, coopèrent</w:t>
      </w:r>
      <w:r>
        <w:rPr>
          <w:b/>
          <w:i/>
        </w:rPr>
        <w:t>, le cas échéant,</w:t>
      </w:r>
      <w:r>
        <w:t xml:space="preserve"> avec la Banque centrale européenne.</w:t>
      </w:r>
    </w:p>
    <w:p w14:paraId="2405B52B" w14:textId="27D06228" w:rsidR="007D1333" w:rsidRPr="00744AD0" w:rsidRDefault="007D1333" w:rsidP="00B85C30">
      <w:pPr>
        <w:keepNext/>
        <w:widowControl/>
        <w:spacing w:before="360" w:after="120"/>
        <w:jc w:val="center"/>
        <w:rPr>
          <w:rFonts w:eastAsia="Calibri"/>
          <w:i/>
          <w:iCs/>
          <w:noProof/>
          <w:szCs w:val="22"/>
        </w:rPr>
      </w:pPr>
      <w:r>
        <w:rPr>
          <w:i/>
        </w:rPr>
        <w:t>Article 6 bis</w:t>
      </w:r>
    </w:p>
    <w:p w14:paraId="702E9AEF" w14:textId="5AC48BDF" w:rsidR="007D1333" w:rsidRPr="00744AD0" w:rsidRDefault="007D1333" w:rsidP="00B85C30">
      <w:pPr>
        <w:keepNext/>
        <w:widowControl/>
        <w:spacing w:before="360" w:after="120"/>
        <w:jc w:val="center"/>
        <w:rPr>
          <w:rFonts w:eastAsia="Calibri"/>
          <w:i/>
          <w:iCs/>
          <w:noProof/>
          <w:szCs w:val="22"/>
        </w:rPr>
      </w:pPr>
      <w:r>
        <w:rPr>
          <w:i/>
        </w:rPr>
        <w:t>Modification du règlement (UE) nº 910/2014</w:t>
      </w:r>
    </w:p>
    <w:p w14:paraId="199BD650" w14:textId="77777777" w:rsidR="007D1333" w:rsidRPr="00744AD0" w:rsidRDefault="007D1333" w:rsidP="007D1333">
      <w:pPr>
        <w:ind w:left="851" w:hanging="851"/>
        <w:jc w:val="both"/>
        <w:rPr>
          <w:rFonts w:eastAsia="Calibri"/>
          <w:b/>
          <w:bCs/>
          <w:i/>
          <w:iCs/>
          <w:noProof/>
        </w:rPr>
      </w:pPr>
      <w:r>
        <w:rPr>
          <w:b/>
          <w:i/>
        </w:rPr>
        <w:t>À l’article 5 bis, paragraphe 7, du règlement (UE) nº 910/2014, l’alinéa suivant est ajouté:</w:t>
      </w:r>
    </w:p>
    <w:p w14:paraId="4749F285" w14:textId="77777777" w:rsidR="007D1333" w:rsidRPr="00744AD0" w:rsidRDefault="007D1333" w:rsidP="007D1333">
      <w:pPr>
        <w:ind w:left="851" w:hanging="851"/>
        <w:jc w:val="both"/>
        <w:rPr>
          <w:rFonts w:eastAsia="Calibri"/>
          <w:b/>
          <w:bCs/>
          <w:i/>
          <w:iCs/>
          <w:noProof/>
          <w:lang w:eastAsia="en-US"/>
        </w:rPr>
      </w:pPr>
    </w:p>
    <w:p w14:paraId="0A796DB8" w14:textId="2F91AB4F" w:rsidR="007D1333" w:rsidRPr="00744AD0" w:rsidRDefault="007D1333" w:rsidP="00833FA8">
      <w:pPr>
        <w:jc w:val="both"/>
        <w:rPr>
          <w:rFonts w:eastAsia="Calibri"/>
          <w:b/>
          <w:bCs/>
          <w:i/>
          <w:iCs/>
          <w:noProof/>
        </w:rPr>
      </w:pPr>
      <w:r>
        <w:rPr>
          <w:b/>
          <w:i/>
        </w:rPr>
        <w:t>«Lorsqu’un fournisseur d’un portefeuille européen d’identité numérique permet l’intégration et l’utilisation d’instruments de paiement, ce fournisseur assure une interopérabilité effective et fournit un accès équitable, raisonnable et non discriminatoire aux prestataires de services de paiement distribuant l’euro numérique, y compris aux fonctionnalités matérielles et logicielles du portefeuille européen d’identité numérique qui sont essentielles au traitement et à l’exécution sécurisés des opérations de paiement en euros numériques en ligne et hors ligne au moyen dudit portefeuille européen d’identité numérique.»</w:t>
      </w:r>
    </w:p>
    <w:p w14:paraId="026186A0" w14:textId="77777777" w:rsidR="007D1333" w:rsidRPr="00744AD0" w:rsidRDefault="007D1333" w:rsidP="00B85C30">
      <w:pPr>
        <w:keepNext/>
        <w:widowControl/>
        <w:spacing w:before="360" w:after="120"/>
        <w:jc w:val="center"/>
        <w:rPr>
          <w:rFonts w:eastAsia="Calibri"/>
          <w:i/>
          <w:iCs/>
          <w:noProof/>
          <w:szCs w:val="22"/>
          <w:lang w:eastAsia="en-US"/>
        </w:rPr>
      </w:pPr>
    </w:p>
    <w:p w14:paraId="502FC8F3" w14:textId="78F042B3" w:rsidR="00B85C30" w:rsidRPr="00744AD0" w:rsidRDefault="00B85C30" w:rsidP="00B85C30">
      <w:pPr>
        <w:keepNext/>
        <w:widowControl/>
        <w:spacing w:before="360" w:after="120"/>
        <w:jc w:val="center"/>
        <w:rPr>
          <w:rFonts w:eastAsia="Calibri"/>
          <w:i/>
          <w:iCs/>
          <w:noProof/>
          <w:szCs w:val="22"/>
        </w:rPr>
      </w:pPr>
      <w:r>
        <w:rPr>
          <w:i/>
        </w:rPr>
        <w:t>Article 7</w:t>
      </w:r>
      <w:r>
        <w:rPr>
          <w:i/>
        </w:rPr>
        <w:br/>
        <w:t>Modifications du règlement (UE) 2021/1230</w:t>
      </w:r>
    </w:p>
    <w:p w14:paraId="2A0E5C3A" w14:textId="5CA0C208" w:rsidR="007F18C2" w:rsidRPr="00744AD0" w:rsidRDefault="00B85C30">
      <w:pPr>
        <w:widowControl/>
        <w:spacing w:before="120" w:after="120"/>
        <w:jc w:val="both"/>
        <w:rPr>
          <w:rFonts w:eastAsia="Calibri"/>
          <w:noProof/>
          <w:szCs w:val="22"/>
        </w:rPr>
      </w:pPr>
      <w:r>
        <w:rPr>
          <w:b/>
          <w:i/>
        </w:rPr>
        <w:t>À</w:t>
      </w:r>
      <w:r>
        <w:t xml:space="preserve"> l’article 2 du règlement (UE) 2021/1230 du Parlement européen et du Conseil, </w:t>
      </w:r>
      <w:r>
        <w:rPr>
          <w:b/>
          <w:i/>
        </w:rPr>
        <w:t>le point 10</w:t>
      </w:r>
      <w:r>
        <w:t xml:space="preserve"> est remplacé par le texte suivant:</w:t>
      </w:r>
    </w:p>
    <w:p w14:paraId="543D03F1" w14:textId="5BFFD173" w:rsidR="00B85C30" w:rsidRPr="00744AD0" w:rsidRDefault="00B85C30" w:rsidP="00833FA8">
      <w:pPr>
        <w:widowControl/>
        <w:spacing w:before="120" w:after="120"/>
        <w:ind w:left="720" w:hanging="720"/>
        <w:jc w:val="both"/>
        <w:rPr>
          <w:rFonts w:eastAsia="Calibri"/>
          <w:noProof/>
          <w:szCs w:val="22"/>
        </w:rPr>
      </w:pPr>
      <w:r>
        <w:t>«10)</w:t>
      </w:r>
      <w:r>
        <w:tab/>
        <w:t>«fonds»: la monnaie de banque centrale émise pour l’utilisation de détail, la monnaie scripturale ou la monnaie électronique;».</w:t>
      </w:r>
    </w:p>
    <w:p w14:paraId="5DD5A83A" w14:textId="77777777" w:rsidR="007D1333" w:rsidRPr="00744AD0" w:rsidRDefault="007D1333" w:rsidP="00B85C30">
      <w:pPr>
        <w:widowControl/>
        <w:spacing w:before="120" w:after="120"/>
        <w:ind w:left="851" w:hanging="851"/>
        <w:jc w:val="both"/>
        <w:rPr>
          <w:rFonts w:eastAsia="Calibri"/>
          <w:noProof/>
          <w:szCs w:val="22"/>
          <w:lang w:eastAsia="en-US"/>
        </w:rPr>
      </w:pPr>
    </w:p>
    <w:p w14:paraId="11A2B995" w14:textId="3A67C04D" w:rsidR="007D1333" w:rsidRPr="00744AD0" w:rsidRDefault="007D1333" w:rsidP="00833FA8">
      <w:pPr>
        <w:keepNext/>
        <w:widowControl/>
        <w:spacing w:before="360" w:after="120"/>
        <w:jc w:val="center"/>
        <w:rPr>
          <w:rFonts w:eastAsia="Calibri"/>
          <w:noProof/>
          <w:szCs w:val="22"/>
          <w:lang w:eastAsia="en-US"/>
        </w:rPr>
      </w:pPr>
    </w:p>
    <w:p w14:paraId="315AE8AB" w14:textId="77777777" w:rsidR="00B85C30" w:rsidRPr="00744AD0" w:rsidRDefault="00B85C30" w:rsidP="00B85C30">
      <w:pPr>
        <w:ind w:left="851" w:hanging="851"/>
        <w:rPr>
          <w:rFonts w:eastAsia="Calibri"/>
          <w:noProof/>
          <w:lang w:eastAsia="en-US"/>
        </w:rPr>
      </w:pPr>
    </w:p>
    <w:p w14:paraId="079CAC89" w14:textId="77777777" w:rsidR="00B85C30" w:rsidRPr="00744AD0" w:rsidRDefault="00B85C30" w:rsidP="00B85C30">
      <w:pPr>
        <w:keepNext/>
        <w:widowControl/>
        <w:spacing w:before="360" w:after="120"/>
        <w:jc w:val="center"/>
        <w:rPr>
          <w:rFonts w:eastAsia="Calibri"/>
          <w:i/>
          <w:iCs/>
          <w:noProof/>
          <w:szCs w:val="22"/>
        </w:rPr>
      </w:pPr>
      <w:r>
        <w:rPr>
          <w:i/>
        </w:rPr>
        <w:t>Article 8</w:t>
      </w:r>
      <w:r>
        <w:rPr>
          <w:i/>
        </w:rPr>
        <w:br/>
        <w:t>Entrée en vigueur et application</w:t>
      </w:r>
    </w:p>
    <w:p w14:paraId="2093B107" w14:textId="77777777" w:rsidR="00B85C30" w:rsidRPr="00744AD0" w:rsidRDefault="00B85C30" w:rsidP="00B85C30">
      <w:pPr>
        <w:widowControl/>
        <w:spacing w:before="120" w:after="120"/>
        <w:jc w:val="both"/>
        <w:rPr>
          <w:rFonts w:eastAsia="Calibri"/>
          <w:noProof/>
          <w:szCs w:val="22"/>
        </w:rPr>
      </w:pPr>
      <w:r>
        <w:t xml:space="preserve">Le présent règlement entre en vigueur le vingtième jour suivant celui de sa publication au </w:t>
      </w:r>
      <w:r>
        <w:rPr>
          <w:i/>
          <w:iCs/>
        </w:rPr>
        <w:t>Journal officiel de l’Union européenne</w:t>
      </w:r>
      <w:r>
        <w:t>.</w:t>
      </w:r>
    </w:p>
    <w:p w14:paraId="5CFB284B" w14:textId="77777777" w:rsidR="00B85C30" w:rsidRPr="00744AD0" w:rsidRDefault="00B85C30" w:rsidP="00B85C30">
      <w:pPr>
        <w:widowControl/>
        <w:spacing w:before="480" w:after="120"/>
        <w:jc w:val="both"/>
        <w:rPr>
          <w:rFonts w:eastAsia="Calibri"/>
          <w:noProof/>
          <w:szCs w:val="22"/>
        </w:rPr>
      </w:pPr>
      <w:r>
        <w:t xml:space="preserve">Le présent règlement est obligatoire dans tous ses éléments et directement applicable dans les États membres conformément aux traités. </w:t>
      </w:r>
    </w:p>
    <w:p w14:paraId="2A459B6A" w14:textId="77777777" w:rsidR="00B85C30" w:rsidRPr="00744AD0" w:rsidRDefault="00B85C30" w:rsidP="00B85C30">
      <w:pPr>
        <w:keepNext/>
        <w:widowControl/>
        <w:spacing w:before="120"/>
        <w:jc w:val="both"/>
        <w:rPr>
          <w:rFonts w:eastAsia="Calibri"/>
          <w:noProof/>
          <w:szCs w:val="22"/>
        </w:rPr>
      </w:pPr>
      <w:r>
        <w:t>Fait à Bruxelles, le</w:t>
      </w:r>
    </w:p>
    <w:p w14:paraId="4B680700" w14:textId="77777777" w:rsidR="00B85C30" w:rsidRPr="00744AD0" w:rsidRDefault="00B85C30" w:rsidP="00B85C30">
      <w:pPr>
        <w:keepNext/>
        <w:widowControl/>
        <w:tabs>
          <w:tab w:val="left" w:pos="4252"/>
        </w:tabs>
        <w:spacing w:before="720"/>
        <w:jc w:val="both"/>
        <w:rPr>
          <w:rFonts w:eastAsia="Calibri"/>
          <w:i/>
          <w:noProof/>
          <w:szCs w:val="22"/>
        </w:rPr>
      </w:pPr>
      <w:r>
        <w:rPr>
          <w:i/>
        </w:rPr>
        <w:t>Par le Parlement européen</w:t>
      </w:r>
      <w:r>
        <w:rPr>
          <w:i/>
        </w:rPr>
        <w:tab/>
        <w:t>Par le Conseil</w:t>
      </w:r>
    </w:p>
    <w:p w14:paraId="70E16E81" w14:textId="77777777" w:rsidR="00B85C30" w:rsidRPr="00744AD0" w:rsidRDefault="00B85C30" w:rsidP="00B85C30">
      <w:pPr>
        <w:widowControl/>
        <w:tabs>
          <w:tab w:val="left" w:pos="4252"/>
        </w:tabs>
        <w:rPr>
          <w:rFonts w:eastAsia="Calibri"/>
          <w:i/>
          <w:noProof/>
          <w:szCs w:val="22"/>
        </w:rPr>
      </w:pPr>
      <w:r>
        <w:rPr>
          <w:i/>
        </w:rPr>
        <w:t>La présidente</w:t>
      </w:r>
      <w:r>
        <w:rPr>
          <w:i/>
        </w:rPr>
        <w:tab/>
        <w:t>Le président</w:t>
      </w:r>
    </w:p>
    <w:p w14:paraId="13592D19" w14:textId="77777777" w:rsidR="00B85C30" w:rsidRPr="00744AD0" w:rsidRDefault="00B85C30" w:rsidP="00B85C30">
      <w:pPr>
        <w:pStyle w:val="NormalCenter12a"/>
      </w:pPr>
    </w:p>
    <w:p w14:paraId="5F23D0A7" w14:textId="77777777" w:rsidR="00B85C30" w:rsidRPr="00744AD0" w:rsidRDefault="00B85C30" w:rsidP="00B85C30"/>
    <w:p w14:paraId="7C0875D3" w14:textId="77777777" w:rsidR="00B85C30" w:rsidRPr="00744AD0" w:rsidRDefault="00B85C30" w:rsidP="00B85C30"/>
    <w:p w14:paraId="6B9D13B7" w14:textId="77777777" w:rsidR="00B85C30" w:rsidRPr="00744AD0" w:rsidRDefault="00B85C30" w:rsidP="00B85C30">
      <w:pPr>
        <w:sectPr w:rsidR="00B85C30" w:rsidRPr="00744AD0" w:rsidSect="007543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1B04BF0" w14:textId="77777777" w:rsidR="00B85C30" w:rsidRPr="00744AD0" w:rsidRDefault="00B85C30" w:rsidP="00B85C30">
      <w:pPr>
        <w:pStyle w:val="PageHeading"/>
        <w:rPr>
          <w:noProof/>
        </w:rPr>
      </w:pPr>
      <w:bookmarkStart w:id="4" w:name="FootprintPageRR"/>
      <w:bookmarkStart w:id="5" w:name="_Toc234484095"/>
      <w:r>
        <w:lastRenderedPageBreak/>
        <w:t>ANNEXE: DÉCLARATION DES CONTRIBUTIONS</w:t>
      </w:r>
      <w:bookmarkEnd w:id="5"/>
    </w:p>
    <w:p w14:paraId="735E071B" w14:textId="77777777" w:rsidR="00B85C30" w:rsidRPr="00744AD0" w:rsidRDefault="00B85C30" w:rsidP="00B85C30">
      <w:pPr>
        <w:pStyle w:val="Normal24a"/>
        <w:spacing w:after="240"/>
      </w:pPr>
      <w:r>
        <w:rPr>
          <w:rStyle w:val="HideTWBExt"/>
        </w:rPr>
        <w:t>&lt;FootprintIntro&gt;</w:t>
      </w:r>
      <w:r>
        <w:t>Conformément à l’article 8 de l’annexe I du règlement intérieur, le rapporteur déclare avoir inclus dans son rapport des contributions sur des questions relatives à l’objet du dossier qu’il a reçues, pour l’élaboration du projet de rapport, préalablement à son adoption en commission, de la part des représentants d’intérêts relevant du champ d’application de l’accord interinstitutionnel sur un registre de transparence obligatoire</w:t>
      </w:r>
      <w:r w:rsidRPr="00744AD0">
        <w:rPr>
          <w:rStyle w:val="FootnoteReference"/>
        </w:rPr>
        <w:footnoteReference w:id="39"/>
      </w:r>
      <w:r>
        <w:t xml:space="preserve"> suivants, ou des représentants des autorités publiques de pays tiers, y compris leurs missions diplomatiques et ambassades, suivants:</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B85C30" w:rsidRPr="00744AD0" w14:paraId="32021475" w14:textId="77777777" w:rsidTr="00732C12">
        <w:tc>
          <w:tcPr>
            <w:tcW w:w="9060" w:type="dxa"/>
            <w:shd w:val="clear" w:color="auto" w:fill="auto"/>
          </w:tcPr>
          <w:p w14:paraId="79439D9A" w14:textId="77777777" w:rsidR="00B85C30" w:rsidRPr="00744AD0" w:rsidRDefault="00B85C30" w:rsidP="00732C12">
            <w:pPr>
              <w:pStyle w:val="NormalBoldCenter"/>
            </w:pPr>
            <w:r>
              <w:t>1. Représentants d’intérêts relevant du champ d’application de l’accord interinstitutionnel sur un registre de transparence obligatoire</w:t>
            </w:r>
          </w:p>
        </w:tc>
      </w:tr>
      <w:tr w:rsidR="00B85C30" w:rsidRPr="00744AD0" w14:paraId="2E776244" w14:textId="77777777" w:rsidTr="00732C12">
        <w:tc>
          <w:tcPr>
            <w:tcW w:w="9060" w:type="dxa"/>
            <w:shd w:val="clear" w:color="auto" w:fill="auto"/>
          </w:tcPr>
          <w:p w14:paraId="14D79B8E" w14:textId="77777777" w:rsidR="00B85C30" w:rsidRPr="00744AD0" w:rsidRDefault="00B85C30" w:rsidP="00732C12">
            <w:pPr>
              <w:pStyle w:val="NormalSingle"/>
            </w:pPr>
            <w:r>
              <w:t>AEBANCA</w:t>
            </w:r>
          </w:p>
        </w:tc>
      </w:tr>
      <w:tr w:rsidR="00B85C30" w:rsidRPr="00744AD0" w14:paraId="17F31E20" w14:textId="77777777" w:rsidTr="00732C12">
        <w:tc>
          <w:tcPr>
            <w:tcW w:w="9060" w:type="dxa"/>
            <w:shd w:val="clear" w:color="auto" w:fill="auto"/>
          </w:tcPr>
          <w:p w14:paraId="35018FB7" w14:textId="77777777" w:rsidR="00B85C30" w:rsidRPr="00744AD0" w:rsidRDefault="00B85C30" w:rsidP="00732C12">
            <w:pPr>
              <w:pStyle w:val="NormalSingle"/>
            </w:pPr>
            <w:r>
              <w:t>ABANCA</w:t>
            </w:r>
          </w:p>
        </w:tc>
      </w:tr>
      <w:tr w:rsidR="00B85C30" w:rsidRPr="00F7036A" w14:paraId="3573F1F2" w14:textId="77777777" w:rsidTr="00732C12">
        <w:tc>
          <w:tcPr>
            <w:tcW w:w="9060" w:type="dxa"/>
            <w:shd w:val="clear" w:color="auto" w:fill="auto"/>
          </w:tcPr>
          <w:p w14:paraId="64D75F67" w14:textId="77777777" w:rsidR="00B85C30" w:rsidRPr="00F7036A" w:rsidRDefault="00B85C30" w:rsidP="00732C12">
            <w:pPr>
              <w:pStyle w:val="NormalSingle"/>
              <w:rPr>
                <w:lang w:val="en-GB"/>
              </w:rPr>
            </w:pPr>
            <w:r w:rsidRPr="00F7036A">
              <w:rPr>
                <w:lang w:val="en-GB"/>
              </w:rPr>
              <w:t>Association of Credit Card Issuers Europe</w:t>
            </w:r>
          </w:p>
        </w:tc>
      </w:tr>
      <w:tr w:rsidR="00B85C30" w:rsidRPr="00744AD0" w14:paraId="2724B5B3" w14:textId="77777777" w:rsidTr="00732C12">
        <w:tc>
          <w:tcPr>
            <w:tcW w:w="9060" w:type="dxa"/>
            <w:shd w:val="clear" w:color="auto" w:fill="auto"/>
          </w:tcPr>
          <w:p w14:paraId="3C15B099" w14:textId="77777777" w:rsidR="00B85C30" w:rsidRPr="00744AD0" w:rsidRDefault="00B85C30" w:rsidP="00732C12">
            <w:pPr>
              <w:pStyle w:val="NormalSingle"/>
            </w:pPr>
            <w:r>
              <w:t>Association of German Banks</w:t>
            </w:r>
          </w:p>
        </w:tc>
      </w:tr>
      <w:tr w:rsidR="00B85C30" w:rsidRPr="00744AD0" w14:paraId="3A53C930" w14:textId="77777777" w:rsidTr="00732C12">
        <w:tc>
          <w:tcPr>
            <w:tcW w:w="9060" w:type="dxa"/>
            <w:shd w:val="clear" w:color="auto" w:fill="auto"/>
          </w:tcPr>
          <w:p w14:paraId="465B5EE1" w14:textId="77777777" w:rsidR="00B85C30" w:rsidRPr="00744AD0" w:rsidRDefault="00B85C30" w:rsidP="00732C12">
            <w:pPr>
              <w:pStyle w:val="NormalSingle"/>
            </w:pPr>
            <w:r>
              <w:t>ATM Industry Association</w:t>
            </w:r>
          </w:p>
        </w:tc>
      </w:tr>
      <w:tr w:rsidR="00B85C30" w:rsidRPr="00744AD0" w14:paraId="06272863" w14:textId="77777777" w:rsidTr="00732C12">
        <w:tc>
          <w:tcPr>
            <w:tcW w:w="9060" w:type="dxa"/>
            <w:shd w:val="clear" w:color="auto" w:fill="auto"/>
          </w:tcPr>
          <w:p w14:paraId="3B59FC0C" w14:textId="77777777" w:rsidR="00B85C30" w:rsidRPr="00744AD0" w:rsidRDefault="00B85C30" w:rsidP="00732C12">
            <w:pPr>
              <w:pStyle w:val="NormalSingle"/>
            </w:pPr>
            <w:r>
              <w:t>Banco de España</w:t>
            </w:r>
          </w:p>
        </w:tc>
      </w:tr>
      <w:tr w:rsidR="00B85C30" w:rsidRPr="00744AD0" w14:paraId="1FAF6E3E" w14:textId="77777777" w:rsidTr="00732C12">
        <w:tc>
          <w:tcPr>
            <w:tcW w:w="9060" w:type="dxa"/>
            <w:shd w:val="clear" w:color="auto" w:fill="auto"/>
          </w:tcPr>
          <w:p w14:paraId="27451125" w14:textId="77777777" w:rsidR="00B85C30" w:rsidRPr="00744AD0" w:rsidRDefault="00B85C30" w:rsidP="00732C12">
            <w:pPr>
              <w:pStyle w:val="NormalSingle"/>
            </w:pPr>
            <w:r>
              <w:t>Banco Santander</w:t>
            </w:r>
          </w:p>
        </w:tc>
      </w:tr>
      <w:tr w:rsidR="00B85C30" w:rsidRPr="00744AD0" w14:paraId="2F1899FF" w14:textId="77777777" w:rsidTr="00732C12">
        <w:tc>
          <w:tcPr>
            <w:tcW w:w="9060" w:type="dxa"/>
            <w:shd w:val="clear" w:color="auto" w:fill="auto"/>
          </w:tcPr>
          <w:p w14:paraId="28250409" w14:textId="77777777" w:rsidR="00B85C30" w:rsidRPr="00744AD0" w:rsidRDefault="00B85C30" w:rsidP="00732C12">
            <w:pPr>
              <w:pStyle w:val="NormalSingle"/>
            </w:pPr>
            <w:r>
              <w:t>Bankinter</w:t>
            </w:r>
          </w:p>
        </w:tc>
      </w:tr>
      <w:tr w:rsidR="00B85C30" w:rsidRPr="00744AD0" w14:paraId="5B510AFE" w14:textId="77777777" w:rsidTr="00732C12">
        <w:tc>
          <w:tcPr>
            <w:tcW w:w="9060" w:type="dxa"/>
            <w:shd w:val="clear" w:color="auto" w:fill="auto"/>
          </w:tcPr>
          <w:p w14:paraId="5DD8A579" w14:textId="77777777" w:rsidR="00B85C30" w:rsidRPr="00744AD0" w:rsidRDefault="00B85C30" w:rsidP="00732C12">
            <w:pPr>
              <w:pStyle w:val="NormalSingle"/>
            </w:pPr>
            <w:r>
              <w:t>BBVA</w:t>
            </w:r>
          </w:p>
        </w:tc>
      </w:tr>
      <w:tr w:rsidR="00B85C30" w:rsidRPr="00744AD0" w14:paraId="083DC6FD" w14:textId="77777777" w:rsidTr="00732C12">
        <w:tc>
          <w:tcPr>
            <w:tcW w:w="9060" w:type="dxa"/>
            <w:shd w:val="clear" w:color="auto" w:fill="auto"/>
          </w:tcPr>
          <w:p w14:paraId="4F1F8BAA" w14:textId="77777777" w:rsidR="00B85C30" w:rsidRPr="00744AD0" w:rsidRDefault="00B85C30" w:rsidP="00732C12">
            <w:pPr>
              <w:pStyle w:val="NormalSingle"/>
            </w:pPr>
            <w:r>
              <w:t>BEUC</w:t>
            </w:r>
          </w:p>
        </w:tc>
      </w:tr>
      <w:tr w:rsidR="00B85C30" w:rsidRPr="00744AD0" w14:paraId="4B5EBEF3" w14:textId="77777777" w:rsidTr="00732C12">
        <w:tc>
          <w:tcPr>
            <w:tcW w:w="9060" w:type="dxa"/>
            <w:shd w:val="clear" w:color="auto" w:fill="auto"/>
          </w:tcPr>
          <w:p w14:paraId="45077D4D" w14:textId="77777777" w:rsidR="00B85C30" w:rsidRPr="00744AD0" w:rsidRDefault="00B85C30" w:rsidP="00732C12">
            <w:pPr>
              <w:pStyle w:val="NormalSingle"/>
            </w:pPr>
            <w:r>
              <w:t>Bitpanda</w:t>
            </w:r>
          </w:p>
        </w:tc>
      </w:tr>
      <w:tr w:rsidR="00B85C30" w:rsidRPr="00744AD0" w14:paraId="2EC6666A" w14:textId="77777777" w:rsidTr="00732C12">
        <w:tc>
          <w:tcPr>
            <w:tcW w:w="9060" w:type="dxa"/>
            <w:shd w:val="clear" w:color="auto" w:fill="auto"/>
          </w:tcPr>
          <w:p w14:paraId="0CD0512A" w14:textId="77777777" w:rsidR="00B85C30" w:rsidRPr="00744AD0" w:rsidRDefault="00B85C30" w:rsidP="00732C12">
            <w:pPr>
              <w:pStyle w:val="NormalSingle"/>
            </w:pPr>
            <w:r>
              <w:t>Bizum</w:t>
            </w:r>
          </w:p>
        </w:tc>
      </w:tr>
      <w:tr w:rsidR="00B85C30" w:rsidRPr="00744AD0" w14:paraId="04E59140" w14:textId="77777777" w:rsidTr="00732C12">
        <w:tc>
          <w:tcPr>
            <w:tcW w:w="9060" w:type="dxa"/>
            <w:shd w:val="clear" w:color="auto" w:fill="auto"/>
          </w:tcPr>
          <w:p w14:paraId="0C53C628" w14:textId="77777777" w:rsidR="00B85C30" w:rsidRPr="00744AD0" w:rsidRDefault="00B85C30" w:rsidP="00732C12">
            <w:pPr>
              <w:pStyle w:val="NormalSingle"/>
            </w:pPr>
            <w:r>
              <w:t>Blockchain for Europe</w:t>
            </w:r>
          </w:p>
        </w:tc>
      </w:tr>
      <w:tr w:rsidR="00B85C30" w:rsidRPr="00744AD0" w14:paraId="448F2BFC" w14:textId="77777777" w:rsidTr="00732C12">
        <w:tc>
          <w:tcPr>
            <w:tcW w:w="9060" w:type="dxa"/>
            <w:shd w:val="clear" w:color="auto" w:fill="auto"/>
          </w:tcPr>
          <w:p w14:paraId="7601F7DF" w14:textId="77777777" w:rsidR="00B85C30" w:rsidRPr="00744AD0" w:rsidRDefault="00B85C30" w:rsidP="00732C12">
            <w:pPr>
              <w:pStyle w:val="NormalSingle"/>
            </w:pPr>
            <w:r>
              <w:t>BNP Paribas</w:t>
            </w:r>
          </w:p>
        </w:tc>
      </w:tr>
      <w:tr w:rsidR="00B85C30" w:rsidRPr="00744AD0" w14:paraId="1AA702A4" w14:textId="77777777" w:rsidTr="00732C12">
        <w:tc>
          <w:tcPr>
            <w:tcW w:w="9060" w:type="dxa"/>
            <w:shd w:val="clear" w:color="auto" w:fill="auto"/>
          </w:tcPr>
          <w:p w14:paraId="439733B2" w14:textId="77777777" w:rsidR="00B85C30" w:rsidRPr="00744AD0" w:rsidRDefault="00B85C30" w:rsidP="00732C12">
            <w:pPr>
              <w:pStyle w:val="NormalSingle"/>
            </w:pPr>
            <w:r>
              <w:t>Bundesbank</w:t>
            </w:r>
          </w:p>
        </w:tc>
      </w:tr>
      <w:tr w:rsidR="00B85C30" w:rsidRPr="00F7036A" w14:paraId="3A536A03" w14:textId="77777777" w:rsidTr="00732C12">
        <w:tc>
          <w:tcPr>
            <w:tcW w:w="9060" w:type="dxa"/>
            <w:shd w:val="clear" w:color="auto" w:fill="auto"/>
          </w:tcPr>
          <w:p w14:paraId="141D124A" w14:textId="77777777" w:rsidR="00B85C30" w:rsidRPr="00F7036A" w:rsidRDefault="00B85C30" w:rsidP="00732C12">
            <w:pPr>
              <w:pStyle w:val="NormalSingle"/>
              <w:rPr>
                <w:lang w:val="de-DE"/>
              </w:rPr>
            </w:pPr>
            <w:r w:rsidRPr="00F7036A">
              <w:rPr>
                <w:lang w:val="de-DE"/>
              </w:rPr>
              <w:t>Bundesverband der Deutschen Volksbanken und Raiffeisenbanken e. V. / National Association of German Cooperative Banks</w:t>
            </w:r>
          </w:p>
        </w:tc>
      </w:tr>
      <w:tr w:rsidR="00B85C30" w:rsidRPr="00744AD0" w14:paraId="60AB3F82" w14:textId="77777777" w:rsidTr="00732C12">
        <w:tc>
          <w:tcPr>
            <w:tcW w:w="9060" w:type="dxa"/>
            <w:shd w:val="clear" w:color="auto" w:fill="auto"/>
          </w:tcPr>
          <w:p w14:paraId="2D16D9B8" w14:textId="77777777" w:rsidR="00B85C30" w:rsidRPr="00744AD0" w:rsidRDefault="00B85C30" w:rsidP="00732C12">
            <w:pPr>
              <w:pStyle w:val="NormalSingle"/>
            </w:pPr>
            <w:r>
              <w:t>Caixa Bank</w:t>
            </w:r>
          </w:p>
        </w:tc>
      </w:tr>
      <w:tr w:rsidR="00B85C30" w:rsidRPr="00744AD0" w14:paraId="1A605373" w14:textId="77777777" w:rsidTr="00732C12">
        <w:tc>
          <w:tcPr>
            <w:tcW w:w="9060" w:type="dxa"/>
            <w:shd w:val="clear" w:color="auto" w:fill="auto"/>
          </w:tcPr>
          <w:p w14:paraId="24B04C00" w14:textId="77777777" w:rsidR="00B85C30" w:rsidRPr="00744AD0" w:rsidRDefault="00B85C30" w:rsidP="00732C12">
            <w:pPr>
              <w:pStyle w:val="NormalSingle"/>
            </w:pPr>
            <w:r>
              <w:t>Cash alliance</w:t>
            </w:r>
          </w:p>
        </w:tc>
      </w:tr>
      <w:tr w:rsidR="00B85C30" w:rsidRPr="00744AD0" w14:paraId="28B9F1DF" w14:textId="77777777" w:rsidTr="00732C12">
        <w:tc>
          <w:tcPr>
            <w:tcW w:w="9060" w:type="dxa"/>
            <w:shd w:val="clear" w:color="auto" w:fill="auto"/>
          </w:tcPr>
          <w:p w14:paraId="7C6E2622" w14:textId="77777777" w:rsidR="00B85C30" w:rsidRPr="00744AD0" w:rsidRDefault="00B85C30" w:rsidP="00732C12">
            <w:pPr>
              <w:pStyle w:val="NormalSingle"/>
            </w:pPr>
            <w:r>
              <w:t>Cecabank</w:t>
            </w:r>
          </w:p>
        </w:tc>
      </w:tr>
      <w:tr w:rsidR="00B85C30" w:rsidRPr="00F7036A" w14:paraId="64819D98" w14:textId="77777777" w:rsidTr="00732C12">
        <w:tc>
          <w:tcPr>
            <w:tcW w:w="9060" w:type="dxa"/>
            <w:shd w:val="clear" w:color="auto" w:fill="auto"/>
          </w:tcPr>
          <w:p w14:paraId="0080B3E2" w14:textId="77777777" w:rsidR="00B85C30" w:rsidRPr="00F7036A" w:rsidRDefault="00B85C30" w:rsidP="00732C12">
            <w:pPr>
              <w:pStyle w:val="NormalSingle"/>
              <w:rPr>
                <w:lang w:val="en-GB"/>
              </w:rPr>
            </w:pPr>
            <w:r w:rsidRPr="00F7036A">
              <w:rPr>
                <w:lang w:val="en-GB"/>
              </w:rPr>
              <w:t>Chair of the European DataWarehouse</w:t>
            </w:r>
          </w:p>
        </w:tc>
      </w:tr>
      <w:tr w:rsidR="00B85C30" w:rsidRPr="00744AD0" w14:paraId="04145F38" w14:textId="77777777" w:rsidTr="00732C12">
        <w:tc>
          <w:tcPr>
            <w:tcW w:w="9060" w:type="dxa"/>
            <w:shd w:val="clear" w:color="auto" w:fill="auto"/>
          </w:tcPr>
          <w:p w14:paraId="5B87CEC6" w14:textId="77777777" w:rsidR="00B85C30" w:rsidRPr="00744AD0" w:rsidRDefault="00B85C30" w:rsidP="00732C12">
            <w:pPr>
              <w:pStyle w:val="NormalSingle"/>
            </w:pPr>
            <w:r>
              <w:t>Circle Internet Financial</w:t>
            </w:r>
          </w:p>
        </w:tc>
      </w:tr>
      <w:tr w:rsidR="00B85C30" w:rsidRPr="00F7036A" w14:paraId="33331285" w14:textId="77777777" w:rsidTr="00732C12">
        <w:tc>
          <w:tcPr>
            <w:tcW w:w="9060" w:type="dxa"/>
            <w:shd w:val="clear" w:color="auto" w:fill="auto"/>
          </w:tcPr>
          <w:p w14:paraId="1C95A04B" w14:textId="77777777" w:rsidR="00B85C30" w:rsidRPr="00F7036A" w:rsidRDefault="00B85C30" w:rsidP="00732C12">
            <w:pPr>
              <w:pStyle w:val="NormalSingle"/>
              <w:rPr>
                <w:lang w:val="en-GB"/>
              </w:rPr>
            </w:pPr>
            <w:r w:rsidRPr="00F7036A">
              <w:rPr>
                <w:lang w:val="en-GB"/>
              </w:rPr>
              <w:t>Commissioner for Economy and Productivity; Implementation and Simplification</w:t>
            </w:r>
          </w:p>
        </w:tc>
      </w:tr>
      <w:tr w:rsidR="00B85C30" w:rsidRPr="00F7036A" w14:paraId="29E63081" w14:textId="77777777" w:rsidTr="00732C12">
        <w:tc>
          <w:tcPr>
            <w:tcW w:w="9060" w:type="dxa"/>
            <w:shd w:val="clear" w:color="auto" w:fill="auto"/>
          </w:tcPr>
          <w:p w14:paraId="495A57C6" w14:textId="77777777" w:rsidR="00B85C30" w:rsidRPr="00F7036A" w:rsidRDefault="00B85C30" w:rsidP="00732C12">
            <w:pPr>
              <w:pStyle w:val="NormalSingle"/>
              <w:rPr>
                <w:lang w:val="en-GB"/>
              </w:rPr>
            </w:pPr>
            <w:r w:rsidRPr="00F7036A">
              <w:rPr>
                <w:lang w:val="en-GB"/>
              </w:rPr>
              <w:t>Commissioner for Financial Services and the Savings and Investments Union</w:t>
            </w:r>
          </w:p>
        </w:tc>
      </w:tr>
      <w:tr w:rsidR="00B85C30" w:rsidRPr="00744AD0" w14:paraId="63739596" w14:textId="77777777" w:rsidTr="00732C12">
        <w:tc>
          <w:tcPr>
            <w:tcW w:w="9060" w:type="dxa"/>
            <w:shd w:val="clear" w:color="auto" w:fill="auto"/>
          </w:tcPr>
          <w:p w14:paraId="7EDF9C14" w14:textId="77777777" w:rsidR="00B85C30" w:rsidRPr="00744AD0" w:rsidRDefault="00B85C30" w:rsidP="00732C12">
            <w:pPr>
              <w:pStyle w:val="NormalSingle"/>
            </w:pPr>
            <w:r>
              <w:t>Crédit Agricole</w:t>
            </w:r>
          </w:p>
        </w:tc>
      </w:tr>
      <w:tr w:rsidR="00B85C30" w:rsidRPr="00744AD0" w14:paraId="4F77DDE4" w14:textId="77777777" w:rsidTr="00732C12">
        <w:tc>
          <w:tcPr>
            <w:tcW w:w="9060" w:type="dxa"/>
            <w:shd w:val="clear" w:color="auto" w:fill="auto"/>
          </w:tcPr>
          <w:p w14:paraId="643E921A" w14:textId="77777777" w:rsidR="00B85C30" w:rsidRPr="00744AD0" w:rsidRDefault="00B85C30" w:rsidP="00732C12">
            <w:pPr>
              <w:pStyle w:val="NormalSingle"/>
            </w:pPr>
            <w:r>
              <w:t>Deutsche Bank</w:t>
            </w:r>
          </w:p>
        </w:tc>
      </w:tr>
      <w:tr w:rsidR="00B85C30" w:rsidRPr="00744AD0" w14:paraId="3A973C20" w14:textId="77777777" w:rsidTr="00732C12">
        <w:tc>
          <w:tcPr>
            <w:tcW w:w="9060" w:type="dxa"/>
            <w:shd w:val="clear" w:color="auto" w:fill="auto"/>
          </w:tcPr>
          <w:p w14:paraId="448843A0" w14:textId="77777777" w:rsidR="00B85C30" w:rsidRPr="00744AD0" w:rsidRDefault="00B85C30" w:rsidP="00732C12">
            <w:pPr>
              <w:pStyle w:val="NormalSingle"/>
            </w:pPr>
            <w:r>
              <w:lastRenderedPageBreak/>
              <w:t>Dutch Banking Association</w:t>
            </w:r>
          </w:p>
        </w:tc>
      </w:tr>
      <w:tr w:rsidR="00B85C30" w:rsidRPr="00744AD0" w14:paraId="77835CC4" w14:textId="77777777" w:rsidTr="00732C12">
        <w:tc>
          <w:tcPr>
            <w:tcW w:w="9060" w:type="dxa"/>
            <w:shd w:val="clear" w:color="auto" w:fill="auto"/>
          </w:tcPr>
          <w:p w14:paraId="56EA59C9" w14:textId="77777777" w:rsidR="00B85C30" w:rsidRPr="00744AD0" w:rsidRDefault="00B85C30" w:rsidP="00732C12">
            <w:pPr>
              <w:pStyle w:val="NormalSingle"/>
            </w:pPr>
            <w:r>
              <w:t>Dutch Central Bank President</w:t>
            </w:r>
          </w:p>
        </w:tc>
      </w:tr>
      <w:tr w:rsidR="00B85C30" w:rsidRPr="00744AD0" w14:paraId="38486AED" w14:textId="77777777" w:rsidTr="00732C12">
        <w:tc>
          <w:tcPr>
            <w:tcW w:w="9060" w:type="dxa"/>
            <w:shd w:val="clear" w:color="auto" w:fill="auto"/>
          </w:tcPr>
          <w:p w14:paraId="058AC8DD" w14:textId="77777777" w:rsidR="00B85C30" w:rsidRPr="00744AD0" w:rsidRDefault="00B85C30" w:rsidP="00732C12">
            <w:pPr>
              <w:pStyle w:val="NormalSingle"/>
            </w:pPr>
            <w:r>
              <w:t>Dutch Ministry of Finance</w:t>
            </w:r>
          </w:p>
        </w:tc>
      </w:tr>
      <w:tr w:rsidR="00B85C30" w:rsidRPr="00744AD0" w14:paraId="65A837A0" w14:textId="77777777" w:rsidTr="00732C12">
        <w:tc>
          <w:tcPr>
            <w:tcW w:w="9060" w:type="dxa"/>
            <w:shd w:val="clear" w:color="auto" w:fill="auto"/>
          </w:tcPr>
          <w:p w14:paraId="4D3AD91E" w14:textId="77777777" w:rsidR="00B85C30" w:rsidRPr="00744AD0" w:rsidRDefault="00B85C30" w:rsidP="00732C12">
            <w:pPr>
              <w:pStyle w:val="NormalSingle"/>
            </w:pPr>
            <w:r>
              <w:t>Ecommerce Europe</w:t>
            </w:r>
          </w:p>
        </w:tc>
      </w:tr>
      <w:tr w:rsidR="00B85C30" w:rsidRPr="00744AD0" w14:paraId="7DF698D5" w14:textId="77777777" w:rsidTr="00732C12">
        <w:tc>
          <w:tcPr>
            <w:tcW w:w="9060" w:type="dxa"/>
            <w:shd w:val="clear" w:color="auto" w:fill="auto"/>
          </w:tcPr>
          <w:p w14:paraId="016AEC44" w14:textId="77777777" w:rsidR="00B85C30" w:rsidRPr="00744AD0" w:rsidRDefault="00B85C30" w:rsidP="00732C12">
            <w:pPr>
              <w:pStyle w:val="NormalSingle"/>
            </w:pPr>
            <w:r>
              <w:t>Erste Group</w:t>
            </w:r>
          </w:p>
        </w:tc>
      </w:tr>
      <w:tr w:rsidR="00B85C30" w:rsidRPr="00744AD0" w14:paraId="0217C940" w14:textId="77777777" w:rsidTr="00732C12">
        <w:tc>
          <w:tcPr>
            <w:tcW w:w="9060" w:type="dxa"/>
            <w:shd w:val="clear" w:color="auto" w:fill="auto"/>
          </w:tcPr>
          <w:p w14:paraId="7852230E" w14:textId="77777777" w:rsidR="00B85C30" w:rsidRPr="00744AD0" w:rsidRDefault="00B85C30" w:rsidP="00732C12">
            <w:pPr>
              <w:pStyle w:val="NormalSingle"/>
            </w:pPr>
            <w:r>
              <w:t>EuroCommerce</w:t>
            </w:r>
          </w:p>
        </w:tc>
      </w:tr>
      <w:tr w:rsidR="00B85C30" w:rsidRPr="00F7036A" w14:paraId="6AABB720" w14:textId="77777777" w:rsidTr="00732C12">
        <w:tc>
          <w:tcPr>
            <w:tcW w:w="9060" w:type="dxa"/>
            <w:shd w:val="clear" w:color="auto" w:fill="auto"/>
          </w:tcPr>
          <w:p w14:paraId="659044C9" w14:textId="77777777" w:rsidR="00B85C30" w:rsidRPr="00F7036A" w:rsidRDefault="00B85C30" w:rsidP="00732C12">
            <w:pPr>
              <w:pStyle w:val="NormalSingle"/>
              <w:rPr>
                <w:lang w:val="en-GB"/>
              </w:rPr>
            </w:pPr>
            <w:r w:rsidRPr="00F7036A">
              <w:rPr>
                <w:lang w:val="en-GB"/>
              </w:rPr>
              <w:t>European Association of Co-operative Banks</w:t>
            </w:r>
          </w:p>
        </w:tc>
      </w:tr>
      <w:tr w:rsidR="00B85C30" w:rsidRPr="00F7036A" w14:paraId="2082D4EE" w14:textId="77777777" w:rsidTr="00732C12">
        <w:tc>
          <w:tcPr>
            <w:tcW w:w="9060" w:type="dxa"/>
            <w:shd w:val="clear" w:color="auto" w:fill="auto"/>
          </w:tcPr>
          <w:p w14:paraId="589D2AE1" w14:textId="77777777" w:rsidR="00B85C30" w:rsidRPr="00F7036A" w:rsidRDefault="00B85C30" w:rsidP="00732C12">
            <w:pPr>
              <w:pStyle w:val="NormalSingle"/>
              <w:rPr>
                <w:lang w:val="en-GB"/>
              </w:rPr>
            </w:pPr>
            <w:r w:rsidRPr="00F7036A">
              <w:rPr>
                <w:lang w:val="en-GB"/>
              </w:rPr>
              <w:t>European Association of Corporate Treasurers</w:t>
            </w:r>
          </w:p>
        </w:tc>
      </w:tr>
      <w:tr w:rsidR="00B85C30" w:rsidRPr="00744AD0" w14:paraId="7320621B" w14:textId="77777777" w:rsidTr="00732C12">
        <w:tc>
          <w:tcPr>
            <w:tcW w:w="9060" w:type="dxa"/>
            <w:shd w:val="clear" w:color="auto" w:fill="auto"/>
          </w:tcPr>
          <w:p w14:paraId="562F641C" w14:textId="77777777" w:rsidR="00B85C30" w:rsidRPr="00744AD0" w:rsidRDefault="00B85C30" w:rsidP="00732C12">
            <w:pPr>
              <w:pStyle w:val="NormalSingle"/>
            </w:pPr>
            <w:r>
              <w:t>European Banking Authority</w:t>
            </w:r>
          </w:p>
        </w:tc>
      </w:tr>
      <w:tr w:rsidR="00B85C30" w:rsidRPr="00744AD0" w14:paraId="6212BB51" w14:textId="77777777" w:rsidTr="00732C12">
        <w:tc>
          <w:tcPr>
            <w:tcW w:w="9060" w:type="dxa"/>
            <w:shd w:val="clear" w:color="auto" w:fill="auto"/>
          </w:tcPr>
          <w:p w14:paraId="3C60A124" w14:textId="77777777" w:rsidR="00B85C30" w:rsidRPr="00744AD0" w:rsidRDefault="00B85C30" w:rsidP="00732C12">
            <w:pPr>
              <w:pStyle w:val="NormalSingle"/>
            </w:pPr>
            <w:r>
              <w:t>European Banking Federation</w:t>
            </w:r>
          </w:p>
        </w:tc>
      </w:tr>
      <w:tr w:rsidR="00B85C30" w:rsidRPr="00744AD0" w14:paraId="04684844" w14:textId="77777777" w:rsidTr="00732C12">
        <w:tc>
          <w:tcPr>
            <w:tcW w:w="9060" w:type="dxa"/>
            <w:shd w:val="clear" w:color="auto" w:fill="auto"/>
          </w:tcPr>
          <w:p w14:paraId="03A8F915" w14:textId="77777777" w:rsidR="00B85C30" w:rsidRPr="00744AD0" w:rsidRDefault="00B85C30" w:rsidP="00732C12">
            <w:pPr>
              <w:pStyle w:val="NormalSingle"/>
            </w:pPr>
            <w:r>
              <w:t>European Central Bank</w:t>
            </w:r>
          </w:p>
        </w:tc>
      </w:tr>
      <w:tr w:rsidR="00B85C30" w:rsidRPr="00744AD0" w14:paraId="01148B9B" w14:textId="77777777" w:rsidTr="00732C12">
        <w:tc>
          <w:tcPr>
            <w:tcW w:w="9060" w:type="dxa"/>
            <w:shd w:val="clear" w:color="auto" w:fill="auto"/>
          </w:tcPr>
          <w:p w14:paraId="2FA8FD92" w14:textId="77777777" w:rsidR="00B85C30" w:rsidRPr="00744AD0" w:rsidRDefault="00B85C30" w:rsidP="00732C12">
            <w:pPr>
              <w:pStyle w:val="NormalSingle"/>
            </w:pPr>
            <w:r>
              <w:t>European Fintech Association</w:t>
            </w:r>
          </w:p>
        </w:tc>
      </w:tr>
      <w:tr w:rsidR="00B85C30" w:rsidRPr="00744AD0" w14:paraId="04C750F7" w14:textId="77777777" w:rsidTr="00732C12">
        <w:tc>
          <w:tcPr>
            <w:tcW w:w="9060" w:type="dxa"/>
            <w:shd w:val="clear" w:color="auto" w:fill="auto"/>
          </w:tcPr>
          <w:p w14:paraId="0C3C6A51" w14:textId="77777777" w:rsidR="00B85C30" w:rsidRPr="00744AD0" w:rsidRDefault="00B85C30" w:rsidP="00732C12">
            <w:pPr>
              <w:pStyle w:val="NormalSingle"/>
            </w:pPr>
            <w:r>
              <w:t>European Mobile Payments Association (EMPSA)</w:t>
            </w:r>
          </w:p>
        </w:tc>
      </w:tr>
      <w:tr w:rsidR="00B85C30" w:rsidRPr="00744AD0" w14:paraId="72E648FB" w14:textId="77777777" w:rsidTr="00732C12">
        <w:tc>
          <w:tcPr>
            <w:tcW w:w="9060" w:type="dxa"/>
            <w:shd w:val="clear" w:color="auto" w:fill="auto"/>
          </w:tcPr>
          <w:p w14:paraId="6D79C0CC" w14:textId="77777777" w:rsidR="00B85C30" w:rsidRPr="00744AD0" w:rsidRDefault="00B85C30" w:rsidP="00732C12">
            <w:pPr>
              <w:pStyle w:val="NormalSingle"/>
            </w:pPr>
            <w:r>
              <w:t>European Payment Institutions Federation</w:t>
            </w:r>
          </w:p>
        </w:tc>
      </w:tr>
      <w:tr w:rsidR="00B85C30" w:rsidRPr="00744AD0" w14:paraId="6FE60E2D" w14:textId="77777777" w:rsidTr="00732C12">
        <w:tc>
          <w:tcPr>
            <w:tcW w:w="9060" w:type="dxa"/>
            <w:shd w:val="clear" w:color="auto" w:fill="auto"/>
          </w:tcPr>
          <w:p w14:paraId="078AB8F4" w14:textId="77777777" w:rsidR="00B85C30" w:rsidRPr="00744AD0" w:rsidRDefault="00B85C30" w:rsidP="00732C12">
            <w:pPr>
              <w:pStyle w:val="NormalSingle"/>
            </w:pPr>
            <w:r>
              <w:t>European Payments Alliance</w:t>
            </w:r>
          </w:p>
        </w:tc>
      </w:tr>
      <w:tr w:rsidR="00B85C30" w:rsidRPr="00744AD0" w14:paraId="057BD6C5" w14:textId="77777777" w:rsidTr="00732C12">
        <w:tc>
          <w:tcPr>
            <w:tcW w:w="9060" w:type="dxa"/>
            <w:shd w:val="clear" w:color="auto" w:fill="auto"/>
          </w:tcPr>
          <w:p w14:paraId="67BAD49F" w14:textId="77777777" w:rsidR="00B85C30" w:rsidRPr="00744AD0" w:rsidRDefault="00B85C30" w:rsidP="00732C12">
            <w:pPr>
              <w:pStyle w:val="NormalSingle"/>
            </w:pPr>
            <w:r>
              <w:t>European Payments Initiative</w:t>
            </w:r>
          </w:p>
        </w:tc>
      </w:tr>
      <w:tr w:rsidR="00B85C30" w:rsidRPr="00744AD0" w14:paraId="2264DA8F" w14:textId="77777777" w:rsidTr="00732C12">
        <w:tc>
          <w:tcPr>
            <w:tcW w:w="9060" w:type="dxa"/>
            <w:shd w:val="clear" w:color="auto" w:fill="auto"/>
          </w:tcPr>
          <w:p w14:paraId="7AEAF278" w14:textId="77777777" w:rsidR="00B85C30" w:rsidRPr="00744AD0" w:rsidRDefault="00B85C30" w:rsidP="00732C12">
            <w:pPr>
              <w:pStyle w:val="NormalSingle"/>
            </w:pPr>
            <w:r>
              <w:t>FBF (French Banking Federation)</w:t>
            </w:r>
          </w:p>
        </w:tc>
      </w:tr>
      <w:tr w:rsidR="00B85C30" w:rsidRPr="00744AD0" w14:paraId="26A96A52" w14:textId="77777777" w:rsidTr="00732C12">
        <w:tc>
          <w:tcPr>
            <w:tcW w:w="9060" w:type="dxa"/>
            <w:shd w:val="clear" w:color="auto" w:fill="auto"/>
          </w:tcPr>
          <w:p w14:paraId="12216842" w14:textId="77777777" w:rsidR="00B85C30" w:rsidRPr="00744AD0" w:rsidRDefault="00B85C30" w:rsidP="00732C12">
            <w:pPr>
              <w:pStyle w:val="NormalSingle"/>
            </w:pPr>
            <w:r>
              <w:t>Finance Watch</w:t>
            </w:r>
          </w:p>
        </w:tc>
      </w:tr>
      <w:tr w:rsidR="00B85C30" w:rsidRPr="00F7036A" w14:paraId="2DB71D19" w14:textId="77777777" w:rsidTr="00732C12">
        <w:tc>
          <w:tcPr>
            <w:tcW w:w="9060" w:type="dxa"/>
            <w:shd w:val="clear" w:color="auto" w:fill="auto"/>
          </w:tcPr>
          <w:p w14:paraId="4C60840F" w14:textId="77777777" w:rsidR="00B85C30" w:rsidRPr="00F7036A" w:rsidRDefault="00B85C30" w:rsidP="00732C12">
            <w:pPr>
              <w:pStyle w:val="NormalSingle"/>
              <w:rPr>
                <w:lang w:val="en-GB"/>
              </w:rPr>
            </w:pPr>
            <w:r w:rsidRPr="00F7036A">
              <w:rPr>
                <w:lang w:val="en-GB"/>
              </w:rPr>
              <w:t>Financial Unit at the Permanent Representation of the Slovak Republic to the EU</w:t>
            </w:r>
          </w:p>
        </w:tc>
      </w:tr>
      <w:tr w:rsidR="00B85C30" w:rsidRPr="00744AD0" w14:paraId="1F9CE4E8" w14:textId="77777777" w:rsidTr="00732C12">
        <w:tc>
          <w:tcPr>
            <w:tcW w:w="9060" w:type="dxa"/>
            <w:shd w:val="clear" w:color="auto" w:fill="auto"/>
          </w:tcPr>
          <w:p w14:paraId="64E42644" w14:textId="77777777" w:rsidR="00B85C30" w:rsidRPr="00744AD0" w:rsidRDefault="00B85C30" w:rsidP="00732C12">
            <w:pPr>
              <w:pStyle w:val="NormalSingle"/>
            </w:pPr>
            <w:r>
              <w:t>French Treasury</w:t>
            </w:r>
          </w:p>
        </w:tc>
      </w:tr>
      <w:tr w:rsidR="00B85C30" w:rsidRPr="00744AD0" w14:paraId="4DF070F8" w14:textId="77777777" w:rsidTr="00732C12">
        <w:tc>
          <w:tcPr>
            <w:tcW w:w="9060" w:type="dxa"/>
            <w:shd w:val="clear" w:color="auto" w:fill="auto"/>
          </w:tcPr>
          <w:p w14:paraId="610668D4" w14:textId="77777777" w:rsidR="00B85C30" w:rsidRPr="00744AD0" w:rsidRDefault="00B85C30" w:rsidP="00732C12">
            <w:pPr>
              <w:pStyle w:val="NormalSingle"/>
            </w:pPr>
            <w:r>
              <w:t>German Banking Industry Committee</w:t>
            </w:r>
          </w:p>
        </w:tc>
      </w:tr>
      <w:tr w:rsidR="00B85C30" w:rsidRPr="00F7036A" w14:paraId="2F0BD510" w14:textId="77777777" w:rsidTr="00732C12">
        <w:tc>
          <w:tcPr>
            <w:tcW w:w="9060" w:type="dxa"/>
            <w:shd w:val="clear" w:color="auto" w:fill="auto"/>
          </w:tcPr>
          <w:p w14:paraId="1C2ABFC6" w14:textId="77777777" w:rsidR="00B85C30" w:rsidRPr="00F7036A" w:rsidRDefault="00B85C30" w:rsidP="00732C12">
            <w:pPr>
              <w:pStyle w:val="NormalSingle"/>
              <w:rPr>
                <w:lang w:val="en-GB"/>
              </w:rPr>
            </w:pPr>
            <w:r w:rsidRPr="00F7036A">
              <w:rPr>
                <w:lang w:val="en-GB"/>
              </w:rPr>
              <w:t>German Federal Ministry of Finance</w:t>
            </w:r>
          </w:p>
        </w:tc>
      </w:tr>
      <w:tr w:rsidR="00B85C30" w:rsidRPr="00744AD0" w14:paraId="4AABF74E" w14:textId="77777777" w:rsidTr="00732C12">
        <w:tc>
          <w:tcPr>
            <w:tcW w:w="9060" w:type="dxa"/>
            <w:shd w:val="clear" w:color="auto" w:fill="auto"/>
          </w:tcPr>
          <w:p w14:paraId="73F9A140" w14:textId="77777777" w:rsidR="00B85C30" w:rsidRPr="00744AD0" w:rsidRDefault="00B85C30" w:rsidP="00732C12">
            <w:pPr>
              <w:pStyle w:val="NormalSingle"/>
            </w:pPr>
            <w:r>
              <w:t>Inditex</w:t>
            </w:r>
          </w:p>
        </w:tc>
      </w:tr>
      <w:tr w:rsidR="00B85C30" w:rsidRPr="00744AD0" w14:paraId="779D1839" w14:textId="77777777" w:rsidTr="00732C12">
        <w:tc>
          <w:tcPr>
            <w:tcW w:w="9060" w:type="dxa"/>
            <w:shd w:val="clear" w:color="auto" w:fill="auto"/>
          </w:tcPr>
          <w:p w14:paraId="423B4A45" w14:textId="77777777" w:rsidR="00B85C30" w:rsidRPr="00744AD0" w:rsidRDefault="00B85C30" w:rsidP="00732C12">
            <w:pPr>
              <w:pStyle w:val="NormalSingle"/>
            </w:pPr>
            <w:r>
              <w:t>International Security League</w:t>
            </w:r>
          </w:p>
        </w:tc>
      </w:tr>
      <w:tr w:rsidR="00B85C30" w:rsidRPr="00744AD0" w14:paraId="6FBD0B57" w14:textId="77777777" w:rsidTr="00732C12">
        <w:tc>
          <w:tcPr>
            <w:tcW w:w="9060" w:type="dxa"/>
            <w:shd w:val="clear" w:color="auto" w:fill="auto"/>
          </w:tcPr>
          <w:p w14:paraId="60B736C5" w14:textId="77777777" w:rsidR="00B85C30" w:rsidRPr="00744AD0" w:rsidRDefault="00B85C30" w:rsidP="00732C12">
            <w:pPr>
              <w:pStyle w:val="NormalSingle"/>
            </w:pPr>
            <w:r>
              <w:t>Intesa Sanpaolo</w:t>
            </w:r>
          </w:p>
        </w:tc>
      </w:tr>
      <w:tr w:rsidR="00B85C30" w:rsidRPr="00F7036A" w14:paraId="500E3B31" w14:textId="77777777" w:rsidTr="00732C12">
        <w:tc>
          <w:tcPr>
            <w:tcW w:w="9060" w:type="dxa"/>
            <w:shd w:val="clear" w:color="auto" w:fill="auto"/>
          </w:tcPr>
          <w:p w14:paraId="4268F866" w14:textId="77777777" w:rsidR="00B85C30" w:rsidRPr="00F7036A" w:rsidRDefault="00B85C30" w:rsidP="00732C12">
            <w:pPr>
              <w:pStyle w:val="NormalSingle"/>
              <w:rPr>
                <w:lang w:val="en-GB"/>
              </w:rPr>
            </w:pPr>
            <w:r w:rsidRPr="00F7036A">
              <w:rPr>
                <w:lang w:val="en-GB"/>
              </w:rPr>
              <w:t>Irish Presidency of the Council</w:t>
            </w:r>
          </w:p>
        </w:tc>
      </w:tr>
      <w:tr w:rsidR="00B85C30" w:rsidRPr="00744AD0" w14:paraId="5570833C" w14:textId="77777777" w:rsidTr="00732C12">
        <w:tc>
          <w:tcPr>
            <w:tcW w:w="9060" w:type="dxa"/>
            <w:shd w:val="clear" w:color="auto" w:fill="auto"/>
          </w:tcPr>
          <w:p w14:paraId="4D01B458" w14:textId="77777777" w:rsidR="00B85C30" w:rsidRPr="00744AD0" w:rsidRDefault="00B85C30" w:rsidP="00732C12">
            <w:pPr>
              <w:pStyle w:val="NormalSingle"/>
            </w:pPr>
            <w:r>
              <w:t>Italian Banking Association</w:t>
            </w:r>
          </w:p>
        </w:tc>
      </w:tr>
      <w:tr w:rsidR="00B85C30" w:rsidRPr="00744AD0" w14:paraId="1747E422" w14:textId="77777777" w:rsidTr="00732C12">
        <w:tc>
          <w:tcPr>
            <w:tcW w:w="9060" w:type="dxa"/>
            <w:shd w:val="clear" w:color="auto" w:fill="auto"/>
          </w:tcPr>
          <w:p w14:paraId="58678AE2" w14:textId="77777777" w:rsidR="00B85C30" w:rsidRPr="00744AD0" w:rsidRDefault="00B85C30" w:rsidP="00732C12">
            <w:pPr>
              <w:pStyle w:val="NormalSingle"/>
            </w:pPr>
            <w:r>
              <w:t>Kangaroo Group</w:t>
            </w:r>
          </w:p>
        </w:tc>
      </w:tr>
      <w:tr w:rsidR="00B85C30" w:rsidRPr="00744AD0" w14:paraId="0E5CD93B" w14:textId="77777777" w:rsidTr="00732C12">
        <w:tc>
          <w:tcPr>
            <w:tcW w:w="9060" w:type="dxa"/>
            <w:shd w:val="clear" w:color="auto" w:fill="auto"/>
          </w:tcPr>
          <w:p w14:paraId="3C07B2A3" w14:textId="77777777" w:rsidR="00B85C30" w:rsidRPr="00744AD0" w:rsidRDefault="00B85C30" w:rsidP="00732C12">
            <w:pPr>
              <w:pStyle w:val="NormalSingle"/>
            </w:pPr>
            <w:r>
              <w:t>KPMG</w:t>
            </w:r>
          </w:p>
        </w:tc>
      </w:tr>
      <w:tr w:rsidR="00B85C30" w:rsidRPr="00744AD0" w14:paraId="5EBF9DA2" w14:textId="77777777" w:rsidTr="00732C12">
        <w:tc>
          <w:tcPr>
            <w:tcW w:w="9060" w:type="dxa"/>
            <w:shd w:val="clear" w:color="auto" w:fill="auto"/>
          </w:tcPr>
          <w:p w14:paraId="1B0660E3" w14:textId="77777777" w:rsidR="00B85C30" w:rsidRPr="00744AD0" w:rsidRDefault="00B85C30" w:rsidP="00732C12">
            <w:pPr>
              <w:pStyle w:val="NormalSingle"/>
            </w:pPr>
            <w:r>
              <w:t>Mastercard</w:t>
            </w:r>
          </w:p>
        </w:tc>
      </w:tr>
      <w:tr w:rsidR="00B85C30" w:rsidRPr="00744AD0" w14:paraId="7C2635C9" w14:textId="77777777" w:rsidTr="00732C12">
        <w:tc>
          <w:tcPr>
            <w:tcW w:w="9060" w:type="dxa"/>
            <w:shd w:val="clear" w:color="auto" w:fill="auto"/>
          </w:tcPr>
          <w:p w14:paraId="780F4064" w14:textId="77777777" w:rsidR="00B85C30" w:rsidRPr="00744AD0" w:rsidRDefault="00B85C30" w:rsidP="00732C12">
            <w:pPr>
              <w:pStyle w:val="NormalSingle"/>
            </w:pPr>
            <w:r>
              <w:t>Member CDU/CSU</w:t>
            </w:r>
          </w:p>
        </w:tc>
      </w:tr>
      <w:tr w:rsidR="00B85C30" w:rsidRPr="00744AD0" w14:paraId="17442172" w14:textId="77777777" w:rsidTr="00732C12">
        <w:tc>
          <w:tcPr>
            <w:tcW w:w="9060" w:type="dxa"/>
            <w:shd w:val="clear" w:color="auto" w:fill="auto"/>
          </w:tcPr>
          <w:p w14:paraId="60EA4ACA" w14:textId="77777777" w:rsidR="00B85C30" w:rsidRPr="00744AD0" w:rsidRDefault="00B85C30" w:rsidP="00732C12">
            <w:pPr>
              <w:pStyle w:val="NormalSingle"/>
            </w:pPr>
            <w:r>
              <w:rPr>
                <w:snapToGrid w:val="0"/>
              </w:rPr>
              <w:t>Mercadona SA</w:t>
            </w:r>
          </w:p>
        </w:tc>
      </w:tr>
      <w:tr w:rsidR="00B85C30" w:rsidRPr="00744AD0" w14:paraId="0FED749E" w14:textId="77777777" w:rsidTr="00732C12">
        <w:tc>
          <w:tcPr>
            <w:tcW w:w="9060" w:type="dxa"/>
            <w:shd w:val="clear" w:color="auto" w:fill="auto"/>
          </w:tcPr>
          <w:p w14:paraId="2BC3C1C5" w14:textId="77777777" w:rsidR="00B85C30" w:rsidRPr="00744AD0" w:rsidRDefault="00B85C30" w:rsidP="00732C12">
            <w:pPr>
              <w:pStyle w:val="NormalSingle"/>
              <w:rPr>
                <w:snapToGrid w:val="0"/>
              </w:rPr>
            </w:pPr>
            <w:r>
              <w:t>National Bank of Belgium</w:t>
            </w:r>
          </w:p>
        </w:tc>
      </w:tr>
      <w:tr w:rsidR="00B85C30" w:rsidRPr="00744AD0" w14:paraId="3920FDE7" w14:textId="77777777" w:rsidTr="00732C12">
        <w:tc>
          <w:tcPr>
            <w:tcW w:w="9060" w:type="dxa"/>
            <w:shd w:val="clear" w:color="auto" w:fill="auto"/>
          </w:tcPr>
          <w:p w14:paraId="239F80E8" w14:textId="77777777" w:rsidR="00B85C30" w:rsidRPr="00744AD0" w:rsidRDefault="00B85C30" w:rsidP="00732C12">
            <w:pPr>
              <w:pStyle w:val="NormalSingle"/>
              <w:rPr>
                <w:snapToGrid w:val="0"/>
              </w:rPr>
            </w:pPr>
            <w:r>
              <w:t>Nordea Bank AB</w:t>
            </w:r>
          </w:p>
        </w:tc>
      </w:tr>
      <w:tr w:rsidR="00B85C30" w:rsidRPr="00744AD0" w14:paraId="7DED393A" w14:textId="77777777" w:rsidTr="00732C12">
        <w:tc>
          <w:tcPr>
            <w:tcW w:w="9060" w:type="dxa"/>
            <w:shd w:val="clear" w:color="auto" w:fill="auto"/>
          </w:tcPr>
          <w:p w14:paraId="41B9548B" w14:textId="77777777" w:rsidR="00B85C30" w:rsidRPr="00744AD0" w:rsidRDefault="00B85C30" w:rsidP="00732C12">
            <w:pPr>
              <w:pStyle w:val="NormalSingle"/>
              <w:rPr>
                <w:snapToGrid w:val="0"/>
              </w:rPr>
            </w:pPr>
            <w:r>
              <w:t>Oesterreichische Nationalbank (OeNB)</w:t>
            </w:r>
          </w:p>
        </w:tc>
      </w:tr>
      <w:tr w:rsidR="00B85C30" w:rsidRPr="00F7036A" w14:paraId="30B29E7D" w14:textId="77777777" w:rsidTr="00732C12">
        <w:tc>
          <w:tcPr>
            <w:tcW w:w="9060" w:type="dxa"/>
            <w:shd w:val="clear" w:color="auto" w:fill="auto"/>
          </w:tcPr>
          <w:p w14:paraId="10B95305" w14:textId="77777777" w:rsidR="00B85C30" w:rsidRPr="00F7036A" w:rsidRDefault="00B85C30" w:rsidP="00732C12">
            <w:pPr>
              <w:pStyle w:val="NormalSingle"/>
              <w:rPr>
                <w:snapToGrid w:val="0"/>
                <w:lang w:val="en-GB"/>
              </w:rPr>
            </w:pPr>
            <w:r w:rsidRPr="00F7036A">
              <w:rPr>
                <w:lang w:val="en-GB"/>
              </w:rPr>
              <w:t>Permanent Representation of Spain in the European Union</w:t>
            </w:r>
          </w:p>
        </w:tc>
      </w:tr>
      <w:tr w:rsidR="00B85C30" w:rsidRPr="00744AD0" w14:paraId="22553AA4" w14:textId="77777777" w:rsidTr="00732C12">
        <w:tc>
          <w:tcPr>
            <w:tcW w:w="9060" w:type="dxa"/>
            <w:shd w:val="clear" w:color="auto" w:fill="auto"/>
          </w:tcPr>
          <w:p w14:paraId="4F76F9AD" w14:textId="77777777" w:rsidR="00B85C30" w:rsidRPr="00744AD0" w:rsidRDefault="00B85C30" w:rsidP="00732C12">
            <w:pPr>
              <w:pStyle w:val="NormalSingle"/>
              <w:rPr>
                <w:snapToGrid w:val="0"/>
              </w:rPr>
            </w:pPr>
            <w:r>
              <w:t>Plataforma Denaria</w:t>
            </w:r>
          </w:p>
        </w:tc>
      </w:tr>
      <w:tr w:rsidR="00B85C30" w:rsidRPr="00744AD0" w14:paraId="28478F98" w14:textId="77777777" w:rsidTr="00732C12">
        <w:tc>
          <w:tcPr>
            <w:tcW w:w="9060" w:type="dxa"/>
            <w:shd w:val="clear" w:color="auto" w:fill="auto"/>
          </w:tcPr>
          <w:p w14:paraId="3AB7626C" w14:textId="77777777" w:rsidR="00B85C30" w:rsidRPr="00744AD0" w:rsidRDefault="00B85C30" w:rsidP="00732C12">
            <w:pPr>
              <w:pStyle w:val="NormalSingle"/>
              <w:rPr>
                <w:snapToGrid w:val="0"/>
              </w:rPr>
            </w:pPr>
            <w:r>
              <w:t>President of the Eurogroup</w:t>
            </w:r>
          </w:p>
        </w:tc>
      </w:tr>
      <w:tr w:rsidR="00B85C30" w:rsidRPr="00F7036A" w14:paraId="64221238" w14:textId="77777777" w:rsidTr="00732C12">
        <w:tc>
          <w:tcPr>
            <w:tcW w:w="9060" w:type="dxa"/>
            <w:shd w:val="clear" w:color="auto" w:fill="auto"/>
          </w:tcPr>
          <w:p w14:paraId="5C5C8333" w14:textId="77777777" w:rsidR="00B85C30" w:rsidRPr="00F7036A" w:rsidRDefault="00B85C30" w:rsidP="00732C12">
            <w:pPr>
              <w:pStyle w:val="NormalSingle"/>
              <w:rPr>
                <w:snapToGrid w:val="0"/>
                <w:lang w:val="en-GB"/>
              </w:rPr>
            </w:pPr>
            <w:r w:rsidRPr="00F7036A">
              <w:rPr>
                <w:lang w:val="en-GB"/>
              </w:rPr>
              <w:t>President of the Eurogroup Working Group</w:t>
            </w:r>
          </w:p>
        </w:tc>
      </w:tr>
      <w:tr w:rsidR="00B85C30" w:rsidRPr="00744AD0" w14:paraId="4DF25A45" w14:textId="77777777" w:rsidTr="00732C12">
        <w:tc>
          <w:tcPr>
            <w:tcW w:w="9060" w:type="dxa"/>
            <w:shd w:val="clear" w:color="auto" w:fill="auto"/>
          </w:tcPr>
          <w:p w14:paraId="0A21CE41" w14:textId="77777777" w:rsidR="00B85C30" w:rsidRPr="00744AD0" w:rsidRDefault="00B85C30" w:rsidP="00732C12">
            <w:pPr>
              <w:pStyle w:val="NormalSingle"/>
              <w:rPr>
                <w:snapToGrid w:val="0"/>
              </w:rPr>
            </w:pPr>
            <w:r>
              <w:t>Revolut</w:t>
            </w:r>
          </w:p>
        </w:tc>
      </w:tr>
      <w:tr w:rsidR="00B85C30" w:rsidRPr="00744AD0" w14:paraId="2B1D3CF2" w14:textId="77777777" w:rsidTr="00732C12">
        <w:tc>
          <w:tcPr>
            <w:tcW w:w="9060" w:type="dxa"/>
            <w:shd w:val="clear" w:color="auto" w:fill="auto"/>
          </w:tcPr>
          <w:p w14:paraId="657DEDEB" w14:textId="77777777" w:rsidR="00B85C30" w:rsidRPr="00744AD0" w:rsidRDefault="00B85C30" w:rsidP="00732C12">
            <w:pPr>
              <w:pStyle w:val="NormalSingle"/>
              <w:rPr>
                <w:snapToGrid w:val="0"/>
              </w:rPr>
            </w:pPr>
            <w:r>
              <w:t>Satispay</w:t>
            </w:r>
          </w:p>
        </w:tc>
      </w:tr>
      <w:tr w:rsidR="00B85C30" w:rsidRPr="00744AD0" w14:paraId="74F1F7EF" w14:textId="77777777" w:rsidTr="00732C12">
        <w:tc>
          <w:tcPr>
            <w:tcW w:w="9060" w:type="dxa"/>
            <w:shd w:val="clear" w:color="auto" w:fill="auto"/>
          </w:tcPr>
          <w:p w14:paraId="1BB7CAF6" w14:textId="77777777" w:rsidR="00B85C30" w:rsidRPr="00744AD0" w:rsidRDefault="00B85C30" w:rsidP="00732C12">
            <w:pPr>
              <w:pStyle w:val="NormalSingle"/>
              <w:rPr>
                <w:snapToGrid w:val="0"/>
              </w:rPr>
            </w:pPr>
            <w:r>
              <w:t>Sociedade Interbancária de Serviços</w:t>
            </w:r>
          </w:p>
        </w:tc>
      </w:tr>
      <w:tr w:rsidR="00B85C30" w:rsidRPr="00744AD0" w14:paraId="79F1D12E" w14:textId="77777777" w:rsidTr="00732C12">
        <w:tc>
          <w:tcPr>
            <w:tcW w:w="9060" w:type="dxa"/>
            <w:shd w:val="clear" w:color="auto" w:fill="auto"/>
          </w:tcPr>
          <w:p w14:paraId="01C1915A" w14:textId="77777777" w:rsidR="00B85C30" w:rsidRPr="00744AD0" w:rsidRDefault="00B85C30" w:rsidP="00732C12">
            <w:pPr>
              <w:pStyle w:val="NormalSingle"/>
              <w:rPr>
                <w:snapToGrid w:val="0"/>
              </w:rPr>
            </w:pPr>
            <w:r>
              <w:lastRenderedPageBreak/>
              <w:t>Société Générale</w:t>
            </w:r>
          </w:p>
        </w:tc>
      </w:tr>
      <w:tr w:rsidR="00B85C30" w:rsidRPr="00744AD0" w14:paraId="18D698FF" w14:textId="77777777" w:rsidTr="00732C12">
        <w:tc>
          <w:tcPr>
            <w:tcW w:w="9060" w:type="dxa"/>
            <w:shd w:val="clear" w:color="auto" w:fill="auto"/>
          </w:tcPr>
          <w:p w14:paraId="4CF2C75A" w14:textId="77777777" w:rsidR="00B85C30" w:rsidRPr="00744AD0" w:rsidRDefault="00B85C30" w:rsidP="00732C12">
            <w:pPr>
              <w:pStyle w:val="NormalSingle"/>
              <w:rPr>
                <w:snapToGrid w:val="0"/>
              </w:rPr>
            </w:pPr>
            <w:r>
              <w:t>Sparkassen-Finanzgruppe</w:t>
            </w:r>
          </w:p>
        </w:tc>
      </w:tr>
      <w:tr w:rsidR="00B85C30" w:rsidRPr="00744AD0" w14:paraId="62775EE7" w14:textId="77777777" w:rsidTr="00732C12">
        <w:tc>
          <w:tcPr>
            <w:tcW w:w="9060" w:type="dxa"/>
            <w:shd w:val="clear" w:color="auto" w:fill="auto"/>
          </w:tcPr>
          <w:p w14:paraId="7BB8252E" w14:textId="77777777" w:rsidR="00B85C30" w:rsidRPr="00744AD0" w:rsidRDefault="00B85C30" w:rsidP="00732C12">
            <w:pPr>
              <w:pStyle w:val="NormalSingle"/>
              <w:rPr>
                <w:snapToGrid w:val="0"/>
              </w:rPr>
            </w:pPr>
            <w:r>
              <w:t>Swift</w:t>
            </w:r>
          </w:p>
        </w:tc>
      </w:tr>
      <w:tr w:rsidR="00B85C30" w:rsidRPr="00F7036A" w14:paraId="1C8F465A" w14:textId="77777777" w:rsidTr="00732C12">
        <w:tc>
          <w:tcPr>
            <w:tcW w:w="9060" w:type="dxa"/>
            <w:shd w:val="clear" w:color="auto" w:fill="auto"/>
          </w:tcPr>
          <w:p w14:paraId="1880B43D" w14:textId="77777777" w:rsidR="00B85C30" w:rsidRPr="00F7036A" w:rsidRDefault="00B85C30" w:rsidP="00732C12">
            <w:pPr>
              <w:pStyle w:val="NormalSingle"/>
              <w:rPr>
                <w:snapToGrid w:val="0"/>
                <w:lang w:val="en-GB"/>
              </w:rPr>
            </w:pPr>
            <w:r w:rsidRPr="00F7036A">
              <w:rPr>
                <w:lang w:val="en-GB"/>
              </w:rPr>
              <w:t>The European Digital Payments Industry Alliance: EDPIA</w:t>
            </w:r>
          </w:p>
        </w:tc>
      </w:tr>
      <w:tr w:rsidR="00B85C30" w:rsidRPr="00744AD0" w14:paraId="4843DD38" w14:textId="77777777" w:rsidTr="00732C12">
        <w:tc>
          <w:tcPr>
            <w:tcW w:w="9060" w:type="dxa"/>
            <w:shd w:val="clear" w:color="auto" w:fill="auto"/>
          </w:tcPr>
          <w:p w14:paraId="3F8ABB65" w14:textId="77777777" w:rsidR="00B85C30" w:rsidRPr="00744AD0" w:rsidRDefault="00B85C30" w:rsidP="00732C12">
            <w:pPr>
              <w:pStyle w:val="NormalSingle"/>
              <w:rPr>
                <w:snapToGrid w:val="0"/>
              </w:rPr>
            </w:pPr>
            <w:r>
              <w:t>UniCredit</w:t>
            </w:r>
          </w:p>
        </w:tc>
      </w:tr>
      <w:tr w:rsidR="00B85C30" w:rsidRPr="00744AD0" w14:paraId="53FAE18A" w14:textId="77777777" w:rsidTr="00732C12">
        <w:tc>
          <w:tcPr>
            <w:tcW w:w="9060" w:type="dxa"/>
            <w:shd w:val="clear" w:color="auto" w:fill="auto"/>
          </w:tcPr>
          <w:p w14:paraId="6E8A8AC7" w14:textId="77777777" w:rsidR="00B85C30" w:rsidRPr="00744AD0" w:rsidRDefault="00B85C30" w:rsidP="00732C12">
            <w:pPr>
              <w:pStyle w:val="NormalSingle"/>
              <w:rPr>
                <w:snapToGrid w:val="0"/>
              </w:rPr>
            </w:pPr>
            <w:r>
              <w:t>Visa</w:t>
            </w:r>
          </w:p>
        </w:tc>
      </w:tr>
      <w:tr w:rsidR="00B85C30" w:rsidRPr="00F7036A" w14:paraId="769060FD" w14:textId="77777777" w:rsidTr="00732C12">
        <w:tc>
          <w:tcPr>
            <w:tcW w:w="9060" w:type="dxa"/>
            <w:shd w:val="clear" w:color="auto" w:fill="auto"/>
          </w:tcPr>
          <w:p w14:paraId="5AAB3EAD" w14:textId="77777777" w:rsidR="00B85C30" w:rsidRPr="00F7036A" w:rsidRDefault="00B85C30" w:rsidP="00732C12">
            <w:pPr>
              <w:pStyle w:val="NormalSingle"/>
              <w:rPr>
                <w:snapToGrid w:val="0"/>
                <w:lang w:val="en-GB"/>
              </w:rPr>
            </w:pPr>
            <w:r w:rsidRPr="00F7036A">
              <w:rPr>
                <w:snapToGrid w:val="0"/>
                <w:lang w:val="en-GB"/>
              </w:rPr>
              <w:t>World Savings and Retail Banking Institute / European Savings and Retail Banking Group</w:t>
            </w:r>
          </w:p>
        </w:tc>
      </w:tr>
      <w:tr w:rsidR="00B85C30" w:rsidRPr="00744AD0" w14:paraId="5998CB81" w14:textId="77777777" w:rsidTr="00732C12">
        <w:tc>
          <w:tcPr>
            <w:tcW w:w="9060" w:type="dxa"/>
            <w:shd w:val="clear" w:color="auto" w:fill="auto"/>
          </w:tcPr>
          <w:p w14:paraId="1BE5CA91" w14:textId="77777777" w:rsidR="00B85C30" w:rsidRPr="00744AD0" w:rsidRDefault="00B85C30" w:rsidP="00732C12">
            <w:pPr>
              <w:pStyle w:val="NormalBoldCenter"/>
            </w:pPr>
            <w:r>
              <w:t>2. Représentants des autorités publiques de pays tiers, y compris leurs missions diplomatiques et ambassades</w:t>
            </w:r>
          </w:p>
        </w:tc>
      </w:tr>
      <w:tr w:rsidR="00B85C30" w:rsidRPr="00744AD0" w14:paraId="5B882146" w14:textId="77777777" w:rsidTr="00732C12">
        <w:tc>
          <w:tcPr>
            <w:tcW w:w="9060" w:type="dxa"/>
            <w:shd w:val="clear" w:color="auto" w:fill="auto"/>
          </w:tcPr>
          <w:p w14:paraId="55C401DB" w14:textId="77777777" w:rsidR="00B85C30" w:rsidRPr="00744AD0" w:rsidRDefault="00B85C30" w:rsidP="00732C12">
            <w:r>
              <w:t>Bank of England</w:t>
            </w:r>
          </w:p>
        </w:tc>
      </w:tr>
    </w:tbl>
    <w:p w14:paraId="107157CB" w14:textId="77777777" w:rsidR="00B85C30" w:rsidRPr="00744AD0" w:rsidRDefault="00B85C30" w:rsidP="00B85C30">
      <w:pPr>
        <w:pStyle w:val="Footprint12b"/>
      </w:pPr>
      <w:r>
        <w:t>La liste ci-dessus est établie sous la responsabilité exclusive du rapporteur.</w:t>
      </w:r>
    </w:p>
    <w:p w14:paraId="6741C6A8" w14:textId="3B2CF7EE" w:rsidR="00F7036A" w:rsidRDefault="00B85C30" w:rsidP="00E001AD">
      <w:pPr>
        <w:pStyle w:val="Footprint12b"/>
      </w:pPr>
      <w:r>
        <w:t>Lorsque des personnes physiques sont identifiées dans la liste par leur nom, leur fonction ou les deux, le rapporteur déclare avoir soumis aux personnes physiques concernées l’avis du Parlement européen relatif à la protection des données nº 484 (</w:t>
      </w:r>
      <w:hyperlink r:id="rId15" w:tooltip="https://www.europarl.europa.eu/data-protect/index.do" w:history="1">
        <w:r>
          <w:rPr>
            <w:rStyle w:val="Hyperlink"/>
          </w:rPr>
          <w:t>https://www.europarl.europa.eu/data-protect/index.do</w:t>
        </w:r>
      </w:hyperlink>
      <w:r>
        <w:t>), qui définit les conditions applicables au traitement de leurs données à caractère personnel et les droits liés à ce traitement.</w:t>
      </w:r>
    </w:p>
    <w:p w14:paraId="473047B1" w14:textId="77777777" w:rsidR="00F7036A" w:rsidRDefault="00F7036A">
      <w:pPr>
        <w:widowControl/>
        <w:rPr>
          <w:szCs w:val="24"/>
        </w:rPr>
      </w:pPr>
      <w:r>
        <w:br w:type="page"/>
      </w:r>
    </w:p>
    <w:p w14:paraId="3B22A551" w14:textId="77777777" w:rsidR="00B85C30" w:rsidRPr="00744AD0" w:rsidRDefault="00B85C30" w:rsidP="00E001AD">
      <w:pPr>
        <w:pStyle w:val="Footprint12b"/>
      </w:pPr>
    </w:p>
    <w:p w14:paraId="1C20000D" w14:textId="7C0F81A7" w:rsidR="007543D7" w:rsidRDefault="007543D7" w:rsidP="007543D7">
      <w:pPr>
        <w:pStyle w:val="PageHeading"/>
      </w:pPr>
      <w:bookmarkStart w:id="6" w:name="ProcPageRR"/>
      <w:bookmarkStart w:id="7" w:name="_Toc234484096"/>
      <w:bookmarkEnd w:id="4"/>
      <w:r>
        <w:t>PROCÉDURE DE LA COMMISSION COMPÉTENTE AU FOND</w:t>
      </w:r>
      <w:bookmarkEnd w:id="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543D7" w14:paraId="175B14B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AEC3CC" w14:textId="77777777" w:rsidR="007543D7" w:rsidRDefault="007543D7">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59A311D" w14:textId="77777777" w:rsidR="007543D7" w:rsidRDefault="007543D7">
            <w:pPr>
              <w:autoSpaceDE w:val="0"/>
              <w:autoSpaceDN w:val="0"/>
              <w:adjustRightInd w:val="0"/>
              <w:rPr>
                <w:color w:val="000000"/>
                <w:sz w:val="20"/>
              </w:rPr>
            </w:pPr>
            <w:r>
              <w:rPr>
                <w:color w:val="000000"/>
                <w:sz w:val="20"/>
              </w:rPr>
              <w:t>Fourniture de services en euros numériques par des prestataires de services de paiement établis dans des États membres dont la monnaie n’est pas l’euro et modification du règlement (UE) 2021/1230 du Parlement européen et du Conseil</w:t>
            </w:r>
          </w:p>
        </w:tc>
      </w:tr>
      <w:tr w:rsidR="007543D7" w14:paraId="0A8C824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C3712B1" w14:textId="77777777" w:rsidR="007543D7" w:rsidRDefault="007543D7">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7D4D217" w14:textId="77777777" w:rsidR="007543D7" w:rsidRDefault="007543D7">
            <w:pPr>
              <w:autoSpaceDE w:val="0"/>
              <w:autoSpaceDN w:val="0"/>
              <w:adjustRightInd w:val="0"/>
              <w:rPr>
                <w:color w:val="000000"/>
                <w:sz w:val="20"/>
              </w:rPr>
            </w:pPr>
            <w:r>
              <w:rPr>
                <w:color w:val="000000"/>
                <w:sz w:val="20"/>
              </w:rPr>
              <w:t>COM(2023)0368 – C9-0214/2023 – 2023/0211(COD)</w:t>
            </w:r>
          </w:p>
        </w:tc>
      </w:tr>
      <w:tr w:rsidR="007543D7" w14:paraId="6A00AA0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6E303C" w14:textId="77777777" w:rsidR="007543D7" w:rsidRDefault="007543D7">
            <w:pPr>
              <w:autoSpaceDE w:val="0"/>
              <w:autoSpaceDN w:val="0"/>
              <w:adjustRightInd w:val="0"/>
              <w:rPr>
                <w:b/>
                <w:bCs/>
                <w:color w:val="000000"/>
                <w:sz w:val="20"/>
              </w:rPr>
            </w:pPr>
            <w:r>
              <w:rPr>
                <w:b/>
                <w:color w:val="000000"/>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D3D5D37" w14:textId="77777777" w:rsidR="007543D7" w:rsidRDefault="007543D7">
            <w:pPr>
              <w:autoSpaceDE w:val="0"/>
              <w:autoSpaceDN w:val="0"/>
              <w:adjustRightInd w:val="0"/>
              <w:rPr>
                <w:color w:val="000000"/>
                <w:sz w:val="20"/>
              </w:rPr>
            </w:pPr>
            <w:r>
              <w:rPr>
                <w:color w:val="000000"/>
                <w:sz w:val="20"/>
              </w:rPr>
              <w:t>29.6.2023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62DE4A5" w14:textId="77777777" w:rsidR="007543D7" w:rsidRDefault="007543D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9A9435D" w14:textId="77777777" w:rsidR="007543D7" w:rsidRDefault="007543D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8A342E" w14:textId="77777777" w:rsidR="007543D7" w:rsidRDefault="007543D7">
            <w:pPr>
              <w:autoSpaceDE w:val="0"/>
              <w:autoSpaceDN w:val="0"/>
              <w:adjustRightInd w:val="0"/>
              <w:rPr>
                <w:rFonts w:ascii="sans-serif" w:hAnsi="sans-serif" w:cs="sans-serif"/>
                <w:color w:val="000000"/>
              </w:rPr>
            </w:pPr>
          </w:p>
        </w:tc>
      </w:tr>
      <w:tr w:rsidR="007543D7" w14:paraId="06F667C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688400A" w14:textId="77777777" w:rsidR="007543D7" w:rsidRDefault="007543D7">
            <w:pPr>
              <w:autoSpaceDE w:val="0"/>
              <w:autoSpaceDN w:val="0"/>
              <w:adjustRightInd w:val="0"/>
              <w:rPr>
                <w:b/>
                <w:bCs/>
                <w:color w:val="000000"/>
                <w:sz w:val="20"/>
              </w:rPr>
            </w:pPr>
            <w:r>
              <w:rPr>
                <w:b/>
                <w:color w:val="000000"/>
                <w:sz w:val="20"/>
              </w:rPr>
              <w:t>Commission(s) compétente(s) au fond</w:t>
            </w:r>
          </w:p>
          <w:p w14:paraId="240D8385" w14:textId="77777777" w:rsidR="007543D7" w:rsidRDefault="007543D7">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14:paraId="357B4E86" w14:textId="77777777" w:rsidR="007543D7" w:rsidRDefault="007543D7">
            <w:pPr>
              <w:autoSpaceDE w:val="0"/>
              <w:autoSpaceDN w:val="0"/>
              <w:adjustRightInd w:val="0"/>
              <w:rPr>
                <w:color w:val="000000"/>
                <w:sz w:val="20"/>
              </w:rPr>
            </w:pPr>
            <w:r>
              <w:rPr>
                <w:color w:val="000000"/>
                <w:sz w:val="20"/>
              </w:rPr>
              <w:t>ECON</w:t>
            </w:r>
          </w:p>
          <w:p w14:paraId="56802FEA" w14:textId="77777777" w:rsidR="007543D7" w:rsidRDefault="007543D7">
            <w:pPr>
              <w:autoSpaceDE w:val="0"/>
              <w:autoSpaceDN w:val="0"/>
              <w:adjustRightInd w:val="0"/>
              <w:rPr>
                <w:color w:val="000000"/>
                <w:sz w:val="20"/>
              </w:rPr>
            </w:pPr>
            <w:r>
              <w:rPr>
                <w:color w:val="000000"/>
                <w:sz w:val="20"/>
              </w:rPr>
              <w:t>11.9.2023</w:t>
            </w:r>
          </w:p>
        </w:tc>
        <w:tc>
          <w:tcPr>
            <w:tcW w:w="1474" w:type="dxa"/>
            <w:tcBorders>
              <w:top w:val="nil"/>
              <w:left w:val="nil"/>
              <w:bottom w:val="single" w:sz="8" w:space="0" w:color="000000"/>
              <w:right w:val="nil"/>
            </w:tcBorders>
            <w:tcMar>
              <w:top w:w="79" w:type="dxa"/>
              <w:left w:w="79" w:type="dxa"/>
              <w:bottom w:w="79" w:type="dxa"/>
              <w:right w:w="79" w:type="dxa"/>
            </w:tcMar>
          </w:tcPr>
          <w:p w14:paraId="0EBAF78E" w14:textId="77777777" w:rsidR="007543D7" w:rsidRDefault="007543D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35B7CA5E" w14:textId="77777777" w:rsidR="007543D7" w:rsidRDefault="007543D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6DB526F" w14:textId="77777777" w:rsidR="007543D7" w:rsidRDefault="007543D7">
            <w:pPr>
              <w:autoSpaceDE w:val="0"/>
              <w:autoSpaceDN w:val="0"/>
              <w:adjustRightInd w:val="0"/>
              <w:rPr>
                <w:rFonts w:ascii="sans-serif" w:hAnsi="sans-serif" w:cs="sans-serif"/>
                <w:color w:val="000000"/>
              </w:rPr>
            </w:pPr>
          </w:p>
        </w:tc>
      </w:tr>
      <w:tr w:rsidR="007543D7" w14:paraId="4FA96B8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F930DD" w14:textId="77777777" w:rsidR="007543D7" w:rsidRDefault="007543D7">
            <w:pPr>
              <w:autoSpaceDE w:val="0"/>
              <w:autoSpaceDN w:val="0"/>
              <w:adjustRightInd w:val="0"/>
              <w:rPr>
                <w:b/>
                <w:bCs/>
                <w:color w:val="000000"/>
                <w:sz w:val="20"/>
              </w:rPr>
            </w:pPr>
            <w:r>
              <w:rPr>
                <w:b/>
                <w:color w:val="000000"/>
                <w:sz w:val="20"/>
              </w:rPr>
              <w:t>Rapporteurs</w:t>
            </w:r>
          </w:p>
          <w:p w14:paraId="33D45EC2" w14:textId="77777777" w:rsidR="007543D7" w:rsidRDefault="007543D7">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5441576" w14:textId="77777777" w:rsidR="007543D7" w:rsidRDefault="007543D7">
            <w:pPr>
              <w:autoSpaceDE w:val="0"/>
              <w:autoSpaceDN w:val="0"/>
              <w:adjustRightInd w:val="0"/>
              <w:rPr>
                <w:color w:val="000000"/>
                <w:sz w:val="20"/>
              </w:rPr>
            </w:pPr>
            <w:r>
              <w:rPr>
                <w:color w:val="000000"/>
                <w:sz w:val="20"/>
              </w:rPr>
              <w:t>Fernando Navarrete Rojas</w:t>
            </w:r>
          </w:p>
          <w:p w14:paraId="4FF839AA" w14:textId="77777777" w:rsidR="007543D7" w:rsidRDefault="007543D7">
            <w:pPr>
              <w:autoSpaceDE w:val="0"/>
              <w:autoSpaceDN w:val="0"/>
              <w:adjustRightInd w:val="0"/>
              <w:rPr>
                <w:color w:val="000000"/>
                <w:sz w:val="20"/>
              </w:rPr>
            </w:pPr>
            <w:r>
              <w:rPr>
                <w:color w:val="000000"/>
                <w:sz w:val="20"/>
              </w:rPr>
              <w:t>16.12.2024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0C91AE2" w14:textId="77777777" w:rsidR="007543D7" w:rsidRDefault="007543D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E1907B3" w14:textId="77777777" w:rsidR="007543D7" w:rsidRDefault="007543D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492F53" w14:textId="77777777" w:rsidR="007543D7" w:rsidRDefault="007543D7">
            <w:pPr>
              <w:autoSpaceDE w:val="0"/>
              <w:autoSpaceDN w:val="0"/>
              <w:adjustRightInd w:val="0"/>
              <w:rPr>
                <w:rFonts w:ascii="sans-serif" w:hAnsi="sans-serif" w:cs="sans-serif"/>
                <w:color w:val="000000"/>
              </w:rPr>
            </w:pPr>
          </w:p>
        </w:tc>
      </w:tr>
      <w:tr w:rsidR="007543D7" w14:paraId="0C9B1B0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18EF4DB" w14:textId="77777777" w:rsidR="007543D7" w:rsidRDefault="007543D7">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4545517" w14:textId="77777777" w:rsidR="007543D7" w:rsidRDefault="007543D7">
            <w:pPr>
              <w:autoSpaceDE w:val="0"/>
              <w:autoSpaceDN w:val="0"/>
              <w:adjustRightInd w:val="0"/>
              <w:rPr>
                <w:color w:val="000000"/>
                <w:sz w:val="20"/>
              </w:rPr>
            </w:pPr>
            <w:r>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25143E6" w14:textId="77777777" w:rsidR="007543D7" w:rsidRDefault="007543D7">
            <w:pPr>
              <w:autoSpaceDE w:val="0"/>
              <w:autoSpaceDN w:val="0"/>
              <w:adjustRightInd w:val="0"/>
              <w:rPr>
                <w:color w:val="000000"/>
                <w:sz w:val="20"/>
              </w:rPr>
            </w:pPr>
            <w:r>
              <w:rPr>
                <w:color w:val="000000"/>
                <w:sz w:val="20"/>
              </w:rPr>
              <w:t>29.1.2026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2A6A1A6" w14:textId="77777777" w:rsidR="007543D7" w:rsidRDefault="007543D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944802" w14:textId="77777777" w:rsidR="007543D7" w:rsidRDefault="007543D7">
            <w:pPr>
              <w:autoSpaceDE w:val="0"/>
              <w:autoSpaceDN w:val="0"/>
              <w:adjustRightInd w:val="0"/>
              <w:rPr>
                <w:rFonts w:ascii="sans-serif" w:hAnsi="sans-serif" w:cs="sans-serif"/>
                <w:color w:val="000000"/>
              </w:rPr>
            </w:pPr>
          </w:p>
        </w:tc>
      </w:tr>
      <w:tr w:rsidR="007543D7" w14:paraId="2C641A2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5683B53" w14:textId="77777777" w:rsidR="007543D7" w:rsidRDefault="007543D7">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14:paraId="7AB8B4F1" w14:textId="77777777" w:rsidR="007543D7" w:rsidRDefault="007543D7">
            <w:pPr>
              <w:autoSpaceDE w:val="0"/>
              <w:autoSpaceDN w:val="0"/>
              <w:adjustRightInd w:val="0"/>
              <w:rPr>
                <w:color w:val="000000"/>
                <w:sz w:val="20"/>
              </w:rPr>
            </w:pPr>
            <w:r>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1B0280EE" w14:textId="77777777" w:rsidR="007543D7" w:rsidRDefault="007543D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A18FC35" w14:textId="77777777" w:rsidR="007543D7" w:rsidRDefault="007543D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B905D9D" w14:textId="77777777" w:rsidR="007543D7" w:rsidRDefault="007543D7">
            <w:pPr>
              <w:autoSpaceDE w:val="0"/>
              <w:autoSpaceDN w:val="0"/>
              <w:adjustRightInd w:val="0"/>
              <w:rPr>
                <w:rFonts w:ascii="sans-serif" w:hAnsi="sans-serif" w:cs="sans-serif"/>
                <w:color w:val="000000"/>
              </w:rPr>
            </w:pPr>
          </w:p>
        </w:tc>
      </w:tr>
      <w:tr w:rsidR="007543D7" w14:paraId="0F0C78A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74BA335" w14:textId="77777777" w:rsidR="007543D7" w:rsidRDefault="007543D7">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BC0F0B6" w14:textId="77777777" w:rsidR="007543D7" w:rsidRDefault="007543D7">
            <w:pPr>
              <w:autoSpaceDE w:val="0"/>
              <w:autoSpaceDN w:val="0"/>
              <w:adjustRightInd w:val="0"/>
              <w:rPr>
                <w:color w:val="000000"/>
                <w:sz w:val="20"/>
              </w:rPr>
            </w:pPr>
            <w:r>
              <w:rPr>
                <w:color w:val="000000"/>
                <w:sz w:val="20"/>
              </w:rPr>
              <w:t>+:</w:t>
            </w:r>
          </w:p>
          <w:p w14:paraId="43DF4265" w14:textId="77777777" w:rsidR="007543D7" w:rsidRDefault="007543D7">
            <w:pPr>
              <w:autoSpaceDE w:val="0"/>
              <w:autoSpaceDN w:val="0"/>
              <w:adjustRightInd w:val="0"/>
              <w:rPr>
                <w:color w:val="000000"/>
                <w:sz w:val="20"/>
              </w:rPr>
            </w:pPr>
            <w:r>
              <w:rPr>
                <w:color w:val="000000"/>
                <w:sz w:val="20"/>
              </w:rPr>
              <w:t>–:</w:t>
            </w:r>
          </w:p>
          <w:p w14:paraId="6702F315" w14:textId="77777777" w:rsidR="007543D7" w:rsidRDefault="007543D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7345706" w14:textId="77777777" w:rsidR="007543D7" w:rsidRDefault="007543D7">
            <w:pPr>
              <w:autoSpaceDE w:val="0"/>
              <w:autoSpaceDN w:val="0"/>
              <w:adjustRightInd w:val="0"/>
              <w:rPr>
                <w:color w:val="000000"/>
                <w:sz w:val="20"/>
              </w:rPr>
            </w:pPr>
            <w:r>
              <w:rPr>
                <w:color w:val="000000"/>
                <w:sz w:val="20"/>
              </w:rPr>
              <w:t>43</w:t>
            </w:r>
          </w:p>
          <w:p w14:paraId="2DFB7EB0" w14:textId="77777777" w:rsidR="007543D7" w:rsidRDefault="007543D7">
            <w:pPr>
              <w:autoSpaceDE w:val="0"/>
              <w:autoSpaceDN w:val="0"/>
              <w:adjustRightInd w:val="0"/>
              <w:rPr>
                <w:color w:val="000000"/>
                <w:sz w:val="20"/>
              </w:rPr>
            </w:pPr>
            <w:r>
              <w:rPr>
                <w:color w:val="000000"/>
                <w:sz w:val="20"/>
              </w:rPr>
              <w:t>9</w:t>
            </w:r>
          </w:p>
          <w:p w14:paraId="2437E302" w14:textId="77777777" w:rsidR="007543D7" w:rsidRDefault="007543D7">
            <w:pPr>
              <w:autoSpaceDE w:val="0"/>
              <w:autoSpaceDN w:val="0"/>
              <w:adjustRightInd w:val="0"/>
              <w:rPr>
                <w:color w:val="000000"/>
                <w:sz w:val="20"/>
              </w:rPr>
            </w:pPr>
            <w:r>
              <w:rPr>
                <w:color w:val="000000"/>
                <w:sz w:val="20"/>
              </w:rPr>
              <w:t>6</w:t>
            </w:r>
          </w:p>
        </w:tc>
      </w:tr>
      <w:tr w:rsidR="007543D7" w14:paraId="4D12237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C7C751A" w14:textId="77777777" w:rsidR="007543D7" w:rsidRDefault="007543D7">
            <w:pPr>
              <w:autoSpaceDE w:val="0"/>
              <w:autoSpaceDN w:val="0"/>
              <w:adjustRightInd w:val="0"/>
              <w:rPr>
                <w:b/>
                <w:bCs/>
                <w:color w:val="000000"/>
                <w:sz w:val="20"/>
              </w:rPr>
            </w:pPr>
            <w:r>
              <w:rPr>
                <w:b/>
                <w:color w:val="000000"/>
                <w:sz w:val="20"/>
              </w:rPr>
              <w:t>Date du dépôt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DA5649F" w14:textId="77777777" w:rsidR="007543D7" w:rsidRDefault="007543D7">
            <w:pPr>
              <w:autoSpaceDE w:val="0"/>
              <w:autoSpaceDN w:val="0"/>
              <w:adjustRightInd w:val="0"/>
              <w:rPr>
                <w:color w:val="000000"/>
                <w:sz w:val="20"/>
              </w:rPr>
            </w:pPr>
            <w:r>
              <w:rPr>
                <w:color w:val="000000"/>
                <w:sz w:val="20"/>
              </w:rPr>
              <w:t>26.6.2026</w:t>
            </w:r>
          </w:p>
        </w:tc>
      </w:tr>
    </w:tbl>
    <w:p w14:paraId="4BE7883D" w14:textId="77777777" w:rsidR="007543D7" w:rsidRPr="007543D7" w:rsidRDefault="007543D7" w:rsidP="007543D7"/>
    <w:bookmarkEnd w:id="6"/>
    <w:p w14:paraId="70B0CBAA" w14:textId="77777777" w:rsidR="007543D7" w:rsidRDefault="007543D7" w:rsidP="007543D7">
      <w:pPr>
        <w:sectPr w:rsidR="007543D7" w:rsidSect="007543D7">
          <w:headerReference w:type="even" r:id="rId16"/>
          <w:headerReference w:type="default" r:id="rId17"/>
          <w:headerReference w:type="first" r:id="rId18"/>
          <w:footerReference w:type="first" r:id="rId19"/>
          <w:pgSz w:w="11894" w:h="15840"/>
          <w:pgMar w:top="1700" w:right="1417" w:bottom="1417" w:left="1417" w:header="720" w:footer="720" w:gutter="0"/>
          <w:cols w:space="720"/>
          <w:noEndnote/>
          <w:docGrid w:linePitch="326"/>
        </w:sectPr>
      </w:pPr>
    </w:p>
    <w:p w14:paraId="1D27B688" w14:textId="5DDDC5D0" w:rsidR="007543D7" w:rsidRPr="0099178F" w:rsidRDefault="007543D7" w:rsidP="008B71C9">
      <w:pPr>
        <w:pStyle w:val="PageHeading"/>
      </w:pPr>
      <w:bookmarkStart w:id="8" w:name="RollCallPageRR"/>
      <w:bookmarkStart w:id="9" w:name="_Toc234484097"/>
      <w:r>
        <w:lastRenderedPageBreak/>
        <w:t>VOTE FINAL PAR APPEL NOMINAL</w:t>
      </w:r>
      <w:r>
        <w:br/>
        <w:t>PAR LA COMMISSION COMPÉTENTE AU FOND</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43D7" w:rsidRPr="00744AD0" w14:paraId="3D8A739E" w14:textId="77777777" w:rsidTr="002361D1">
        <w:trPr>
          <w:cantSplit/>
        </w:trPr>
        <w:tc>
          <w:tcPr>
            <w:tcW w:w="1701" w:type="dxa"/>
            <w:shd w:val="pct10" w:color="000000" w:fill="FFFFFF"/>
            <w:vAlign w:val="center"/>
          </w:tcPr>
          <w:p w14:paraId="65EDF711" w14:textId="77777777" w:rsidR="007543D7" w:rsidRPr="00744AD0" w:rsidRDefault="007543D7" w:rsidP="002361D1">
            <w:pPr>
              <w:pStyle w:val="RollCallVotes"/>
            </w:pPr>
            <w:r>
              <w:t>43</w:t>
            </w:r>
          </w:p>
        </w:tc>
        <w:tc>
          <w:tcPr>
            <w:tcW w:w="7371" w:type="dxa"/>
            <w:shd w:val="pct10" w:color="000000" w:fill="FFFFFF"/>
          </w:tcPr>
          <w:p w14:paraId="752C3F6F" w14:textId="77777777" w:rsidR="007543D7" w:rsidRPr="00744AD0" w:rsidRDefault="007543D7" w:rsidP="002361D1">
            <w:pPr>
              <w:pStyle w:val="RollCallSymbols14pt"/>
            </w:pPr>
            <w:r>
              <w:t>+</w:t>
            </w:r>
          </w:p>
        </w:tc>
      </w:tr>
      <w:tr w:rsidR="007543D7" w:rsidRPr="00F7036A" w14:paraId="10396EC7" w14:textId="77777777" w:rsidTr="002361D1">
        <w:trPr>
          <w:cantSplit/>
        </w:trPr>
        <w:tc>
          <w:tcPr>
            <w:tcW w:w="1701" w:type="dxa"/>
            <w:shd w:val="clear" w:color="auto" w:fill="FFFFFF"/>
          </w:tcPr>
          <w:p w14:paraId="03825CA1" w14:textId="77777777" w:rsidR="007543D7" w:rsidRPr="00744AD0" w:rsidRDefault="007543D7" w:rsidP="002361D1">
            <w:pPr>
              <w:pStyle w:val="RollCallTable"/>
            </w:pPr>
            <w:r>
              <w:t>ECR</w:t>
            </w:r>
          </w:p>
        </w:tc>
        <w:tc>
          <w:tcPr>
            <w:tcW w:w="7371" w:type="dxa"/>
            <w:shd w:val="clear" w:color="auto" w:fill="FFFFFF"/>
          </w:tcPr>
          <w:p w14:paraId="3B283301" w14:textId="77777777" w:rsidR="007543D7" w:rsidRPr="00F7036A" w:rsidRDefault="007543D7" w:rsidP="002361D1">
            <w:pPr>
              <w:pStyle w:val="RollCallTable"/>
              <w:rPr>
                <w:lang w:val="it-IT"/>
              </w:rPr>
            </w:pPr>
            <w:r w:rsidRPr="00F7036A">
              <w:rPr>
                <w:lang w:val="it-IT"/>
              </w:rPr>
              <w:t>Stefano Cavedagna, Giovanni Crosetto, Daniele Polato</w:t>
            </w:r>
          </w:p>
        </w:tc>
      </w:tr>
      <w:tr w:rsidR="007543D7" w:rsidRPr="00744AD0" w14:paraId="459B5D84" w14:textId="77777777" w:rsidTr="002361D1">
        <w:trPr>
          <w:cantSplit/>
        </w:trPr>
        <w:tc>
          <w:tcPr>
            <w:tcW w:w="1701" w:type="dxa"/>
            <w:shd w:val="clear" w:color="auto" w:fill="FFFFFF"/>
          </w:tcPr>
          <w:p w14:paraId="065B91BA" w14:textId="77777777" w:rsidR="007543D7" w:rsidRPr="00744AD0" w:rsidRDefault="007543D7" w:rsidP="002361D1">
            <w:pPr>
              <w:pStyle w:val="RollCallTable"/>
            </w:pPr>
            <w:r>
              <w:t>PPE</w:t>
            </w:r>
          </w:p>
        </w:tc>
        <w:tc>
          <w:tcPr>
            <w:tcW w:w="7371" w:type="dxa"/>
            <w:shd w:val="clear" w:color="auto" w:fill="FFFFFF"/>
          </w:tcPr>
          <w:p w14:paraId="01F2405A" w14:textId="77777777" w:rsidR="007543D7" w:rsidRPr="00744AD0" w:rsidRDefault="007543D7" w:rsidP="002361D1">
            <w:pPr>
              <w:pStyle w:val="RollCallTable"/>
            </w:pPr>
            <w:r>
              <w:t>Georgios Aftias, Stefan Berger, Regina Doherty, Marco Falcone, Markus Ferber, Loucas Fourlas, Dirk Gotink, Sérgio Humberto, Kinga Kollár, Siegfried Mureşan, Fernando Navarrete Rojas, Luděk Niedermayer, Sirpa Pietikäinen, Paulius Saudargas, Andreas Schwab, Juan Ignacio Zoido Álvarez</w:t>
            </w:r>
          </w:p>
        </w:tc>
      </w:tr>
      <w:tr w:rsidR="007543D7" w:rsidRPr="00744AD0" w14:paraId="74554257" w14:textId="77777777" w:rsidTr="002361D1">
        <w:trPr>
          <w:cantSplit/>
        </w:trPr>
        <w:tc>
          <w:tcPr>
            <w:tcW w:w="1701" w:type="dxa"/>
            <w:shd w:val="clear" w:color="auto" w:fill="FFFFFF"/>
          </w:tcPr>
          <w:p w14:paraId="745F59DC" w14:textId="77777777" w:rsidR="007543D7" w:rsidRPr="00744AD0" w:rsidRDefault="007543D7" w:rsidP="002361D1">
            <w:pPr>
              <w:pStyle w:val="RollCallTable"/>
            </w:pPr>
            <w:r>
              <w:t>Renew</w:t>
            </w:r>
          </w:p>
        </w:tc>
        <w:tc>
          <w:tcPr>
            <w:tcW w:w="7371" w:type="dxa"/>
            <w:shd w:val="clear" w:color="auto" w:fill="FFFFFF"/>
          </w:tcPr>
          <w:p w14:paraId="090733A7" w14:textId="77777777" w:rsidR="007543D7" w:rsidRPr="00744AD0" w:rsidRDefault="007543D7" w:rsidP="002361D1">
            <w:pPr>
              <w:pStyle w:val="RollCallTable"/>
            </w:pPr>
            <w:r>
              <w:t>Gilles Boyer, Valérie Devaux, Ľudovít Ódor, Anouk Van Brug, Stéphanie Yon-Courtin</w:t>
            </w:r>
          </w:p>
        </w:tc>
      </w:tr>
      <w:tr w:rsidR="007543D7" w:rsidRPr="00744AD0" w14:paraId="59062C4F" w14:textId="77777777" w:rsidTr="002361D1">
        <w:trPr>
          <w:cantSplit/>
        </w:trPr>
        <w:tc>
          <w:tcPr>
            <w:tcW w:w="1701" w:type="dxa"/>
            <w:shd w:val="clear" w:color="auto" w:fill="FFFFFF"/>
          </w:tcPr>
          <w:p w14:paraId="05DEF80C" w14:textId="77777777" w:rsidR="007543D7" w:rsidRPr="00744AD0" w:rsidRDefault="007543D7" w:rsidP="002361D1">
            <w:pPr>
              <w:pStyle w:val="RollCallTable"/>
            </w:pPr>
            <w:r>
              <w:t>S&amp;D</w:t>
            </w:r>
          </w:p>
        </w:tc>
        <w:tc>
          <w:tcPr>
            <w:tcW w:w="7371" w:type="dxa"/>
            <w:shd w:val="clear" w:color="auto" w:fill="FFFFFF"/>
          </w:tcPr>
          <w:p w14:paraId="55DEA253" w14:textId="77777777" w:rsidR="007543D7" w:rsidRPr="00744AD0" w:rsidRDefault="007543D7" w:rsidP="002361D1">
            <w:pPr>
              <w:pStyle w:val="RollCallTable"/>
            </w:pPr>
            <w:r>
              <w:t>Sakis Arnaoutoglou, Jonás Fernández, Claire Fita, André Franqueira Rodrigues, Eero Heinäluoma, Aurore Lalucq, Costas Mavrides, Nikos Papandreou, Evelyn Regner, Elena Sancho Murillo, Lara Wolters</w:t>
            </w:r>
          </w:p>
        </w:tc>
      </w:tr>
      <w:tr w:rsidR="007543D7" w:rsidRPr="00F7036A" w14:paraId="5FDB2611" w14:textId="77777777" w:rsidTr="002361D1">
        <w:trPr>
          <w:cantSplit/>
        </w:trPr>
        <w:tc>
          <w:tcPr>
            <w:tcW w:w="1701" w:type="dxa"/>
            <w:shd w:val="clear" w:color="auto" w:fill="FFFFFF"/>
          </w:tcPr>
          <w:p w14:paraId="5CDEAA97" w14:textId="77777777" w:rsidR="007543D7" w:rsidRPr="00744AD0" w:rsidRDefault="007543D7" w:rsidP="002361D1">
            <w:pPr>
              <w:pStyle w:val="RollCallTable"/>
            </w:pPr>
            <w:r>
              <w:t>The Left</w:t>
            </w:r>
          </w:p>
        </w:tc>
        <w:tc>
          <w:tcPr>
            <w:tcW w:w="7371" w:type="dxa"/>
            <w:shd w:val="clear" w:color="auto" w:fill="FFFFFF"/>
          </w:tcPr>
          <w:p w14:paraId="65433F2A" w14:textId="77777777" w:rsidR="007543D7" w:rsidRPr="00F7036A" w:rsidRDefault="007543D7" w:rsidP="002361D1">
            <w:pPr>
              <w:pStyle w:val="RollCallTable"/>
              <w:rPr>
                <w:lang w:val="it-IT"/>
              </w:rPr>
            </w:pPr>
            <w:r w:rsidRPr="00F7036A">
              <w:rPr>
                <w:lang w:val="it-IT"/>
              </w:rPr>
              <w:t>Danilo Della Valle, Gaetano Pedulla', Jussi Saramo, Pasquale Tridico</w:t>
            </w:r>
          </w:p>
        </w:tc>
      </w:tr>
      <w:tr w:rsidR="007543D7" w:rsidRPr="00744AD0" w14:paraId="53A03D45" w14:textId="77777777" w:rsidTr="002361D1">
        <w:trPr>
          <w:cantSplit/>
        </w:trPr>
        <w:tc>
          <w:tcPr>
            <w:tcW w:w="1701" w:type="dxa"/>
            <w:shd w:val="clear" w:color="auto" w:fill="FFFFFF"/>
          </w:tcPr>
          <w:p w14:paraId="75504505" w14:textId="77777777" w:rsidR="007543D7" w:rsidRPr="00744AD0" w:rsidRDefault="007543D7" w:rsidP="002361D1">
            <w:pPr>
              <w:pStyle w:val="RollCallTable"/>
            </w:pPr>
            <w:r>
              <w:t>Verts/ALE</w:t>
            </w:r>
          </w:p>
        </w:tc>
        <w:tc>
          <w:tcPr>
            <w:tcW w:w="7371" w:type="dxa"/>
            <w:shd w:val="clear" w:color="auto" w:fill="FFFFFF"/>
          </w:tcPr>
          <w:p w14:paraId="2374D1C5" w14:textId="77777777" w:rsidR="007543D7" w:rsidRPr="00744AD0" w:rsidRDefault="007543D7" w:rsidP="002361D1">
            <w:pPr>
              <w:pStyle w:val="RollCallTable"/>
            </w:pPr>
            <w:r>
              <w:t>Rasmus Andresen, Damian Boeselager, Mélissa Camara, Anna Strolenberg</w:t>
            </w:r>
          </w:p>
        </w:tc>
      </w:tr>
    </w:tbl>
    <w:p w14:paraId="455B5D94" w14:textId="77777777" w:rsidR="007543D7" w:rsidRPr="00744AD0" w:rsidRDefault="007543D7" w:rsidP="007543D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43D7" w:rsidRPr="00744AD0" w14:paraId="2B069712" w14:textId="77777777" w:rsidTr="002361D1">
        <w:trPr>
          <w:cantSplit/>
        </w:trPr>
        <w:tc>
          <w:tcPr>
            <w:tcW w:w="1701" w:type="dxa"/>
            <w:shd w:val="pct10" w:color="000000" w:fill="FFFFFF"/>
            <w:vAlign w:val="center"/>
          </w:tcPr>
          <w:p w14:paraId="5D21C49D" w14:textId="77777777" w:rsidR="007543D7" w:rsidRPr="00744AD0" w:rsidRDefault="007543D7" w:rsidP="002361D1">
            <w:pPr>
              <w:pStyle w:val="RollCallVotes"/>
            </w:pPr>
            <w:r>
              <w:t>9</w:t>
            </w:r>
          </w:p>
        </w:tc>
        <w:tc>
          <w:tcPr>
            <w:tcW w:w="7371" w:type="dxa"/>
            <w:shd w:val="pct10" w:color="000000" w:fill="FFFFFF"/>
          </w:tcPr>
          <w:p w14:paraId="7380B0AB" w14:textId="77777777" w:rsidR="007543D7" w:rsidRPr="00744AD0" w:rsidRDefault="007543D7" w:rsidP="002361D1">
            <w:pPr>
              <w:pStyle w:val="RollCallSymbols14pt"/>
            </w:pPr>
            <w:r>
              <w:t>-</w:t>
            </w:r>
          </w:p>
        </w:tc>
      </w:tr>
      <w:tr w:rsidR="007543D7" w:rsidRPr="00744AD0" w14:paraId="3D92815D" w14:textId="77777777" w:rsidTr="002361D1">
        <w:trPr>
          <w:cantSplit/>
        </w:trPr>
        <w:tc>
          <w:tcPr>
            <w:tcW w:w="1701" w:type="dxa"/>
            <w:shd w:val="clear" w:color="auto" w:fill="FFFFFF"/>
          </w:tcPr>
          <w:p w14:paraId="36DE4643" w14:textId="77777777" w:rsidR="007543D7" w:rsidRPr="00744AD0" w:rsidRDefault="007543D7" w:rsidP="002361D1">
            <w:pPr>
              <w:pStyle w:val="RollCallTable"/>
            </w:pPr>
            <w:r>
              <w:t>ECR</w:t>
            </w:r>
          </w:p>
        </w:tc>
        <w:tc>
          <w:tcPr>
            <w:tcW w:w="7371" w:type="dxa"/>
            <w:shd w:val="clear" w:color="auto" w:fill="FFFFFF"/>
          </w:tcPr>
          <w:p w14:paraId="083A3F13" w14:textId="77777777" w:rsidR="007543D7" w:rsidRPr="00744AD0" w:rsidRDefault="007543D7" w:rsidP="002361D1">
            <w:pPr>
              <w:pStyle w:val="RollCallTable"/>
            </w:pPr>
            <w:r>
              <w:t>Marlena Maląg, Maciej Wąsik</w:t>
            </w:r>
          </w:p>
        </w:tc>
      </w:tr>
      <w:tr w:rsidR="007543D7" w:rsidRPr="00F7036A" w14:paraId="618B6128" w14:textId="77777777" w:rsidTr="002361D1">
        <w:trPr>
          <w:cantSplit/>
        </w:trPr>
        <w:tc>
          <w:tcPr>
            <w:tcW w:w="1701" w:type="dxa"/>
            <w:shd w:val="clear" w:color="auto" w:fill="FFFFFF"/>
          </w:tcPr>
          <w:p w14:paraId="38798EDF" w14:textId="77777777" w:rsidR="007543D7" w:rsidRPr="00744AD0" w:rsidRDefault="007543D7" w:rsidP="002361D1">
            <w:pPr>
              <w:pStyle w:val="RollCallTable"/>
            </w:pPr>
            <w:r>
              <w:t>ESN</w:t>
            </w:r>
          </w:p>
        </w:tc>
        <w:tc>
          <w:tcPr>
            <w:tcW w:w="7371" w:type="dxa"/>
            <w:shd w:val="clear" w:color="auto" w:fill="FFFFFF"/>
          </w:tcPr>
          <w:p w14:paraId="2A6AE2CB" w14:textId="77777777" w:rsidR="007543D7" w:rsidRPr="00F7036A" w:rsidRDefault="007543D7" w:rsidP="002361D1">
            <w:pPr>
              <w:pStyle w:val="RollCallTable"/>
              <w:rPr>
                <w:lang w:val="de-DE"/>
              </w:rPr>
            </w:pPr>
            <w:r w:rsidRPr="00F7036A">
              <w:rPr>
                <w:lang w:val="de-DE"/>
              </w:rPr>
              <w:t>Siegbert Frank Droese, Rada Laykova</w:t>
            </w:r>
          </w:p>
        </w:tc>
      </w:tr>
      <w:tr w:rsidR="007543D7" w:rsidRPr="00744AD0" w14:paraId="3677DDCA" w14:textId="77777777" w:rsidTr="002361D1">
        <w:trPr>
          <w:cantSplit/>
        </w:trPr>
        <w:tc>
          <w:tcPr>
            <w:tcW w:w="1701" w:type="dxa"/>
            <w:shd w:val="clear" w:color="auto" w:fill="FFFFFF"/>
          </w:tcPr>
          <w:p w14:paraId="3B1B2C73" w14:textId="77777777" w:rsidR="007543D7" w:rsidRPr="00744AD0" w:rsidRDefault="007543D7" w:rsidP="002361D1">
            <w:pPr>
              <w:pStyle w:val="RollCallTable"/>
            </w:pPr>
            <w:r>
              <w:t>NI</w:t>
            </w:r>
          </w:p>
        </w:tc>
        <w:tc>
          <w:tcPr>
            <w:tcW w:w="7371" w:type="dxa"/>
            <w:shd w:val="clear" w:color="auto" w:fill="FFFFFF"/>
          </w:tcPr>
          <w:p w14:paraId="1C85075B" w14:textId="77777777" w:rsidR="007543D7" w:rsidRPr="00744AD0" w:rsidRDefault="007543D7" w:rsidP="002361D1">
            <w:pPr>
              <w:pStyle w:val="RollCallTable"/>
            </w:pPr>
            <w:r>
              <w:t>Fabio De Masi</w:t>
            </w:r>
          </w:p>
        </w:tc>
      </w:tr>
      <w:tr w:rsidR="007543D7" w:rsidRPr="00744AD0" w14:paraId="39BB0123" w14:textId="77777777" w:rsidTr="002361D1">
        <w:trPr>
          <w:cantSplit/>
        </w:trPr>
        <w:tc>
          <w:tcPr>
            <w:tcW w:w="1701" w:type="dxa"/>
            <w:shd w:val="clear" w:color="auto" w:fill="FFFFFF"/>
          </w:tcPr>
          <w:p w14:paraId="2F845CE9" w14:textId="77777777" w:rsidR="007543D7" w:rsidRPr="00744AD0" w:rsidRDefault="007543D7" w:rsidP="002361D1">
            <w:pPr>
              <w:pStyle w:val="RollCallTable"/>
            </w:pPr>
            <w:r>
              <w:t>PfE</w:t>
            </w:r>
          </w:p>
        </w:tc>
        <w:tc>
          <w:tcPr>
            <w:tcW w:w="7371" w:type="dxa"/>
            <w:shd w:val="clear" w:color="auto" w:fill="FFFFFF"/>
          </w:tcPr>
          <w:p w14:paraId="03ED17E9" w14:textId="77777777" w:rsidR="007543D7" w:rsidRPr="00744AD0" w:rsidRDefault="007543D7" w:rsidP="002361D1">
            <w:pPr>
              <w:pStyle w:val="RollCallTable"/>
            </w:pPr>
            <w:r>
              <w:t>Mireia Borrás Pabón, Juan Carlos Girauta Vidal, Auke Zijlstra</w:t>
            </w:r>
          </w:p>
        </w:tc>
      </w:tr>
      <w:tr w:rsidR="007543D7" w:rsidRPr="00744AD0" w14:paraId="32E6D6E7" w14:textId="77777777" w:rsidTr="002361D1">
        <w:trPr>
          <w:cantSplit/>
        </w:trPr>
        <w:tc>
          <w:tcPr>
            <w:tcW w:w="1701" w:type="dxa"/>
            <w:shd w:val="clear" w:color="auto" w:fill="FFFFFF"/>
          </w:tcPr>
          <w:p w14:paraId="56277E18" w14:textId="77777777" w:rsidR="007543D7" w:rsidRPr="00744AD0" w:rsidRDefault="007543D7" w:rsidP="002361D1">
            <w:pPr>
              <w:pStyle w:val="RollCallTable"/>
            </w:pPr>
            <w:r>
              <w:t>Renew</w:t>
            </w:r>
          </w:p>
        </w:tc>
        <w:tc>
          <w:tcPr>
            <w:tcW w:w="7371" w:type="dxa"/>
            <w:shd w:val="clear" w:color="auto" w:fill="FFFFFF"/>
          </w:tcPr>
          <w:p w14:paraId="441D4B84" w14:textId="77777777" w:rsidR="007543D7" w:rsidRPr="00744AD0" w:rsidRDefault="007543D7" w:rsidP="002361D1">
            <w:pPr>
              <w:pStyle w:val="RollCallTable"/>
            </w:pPr>
            <w:r>
              <w:t>Engin Eroglu</w:t>
            </w:r>
          </w:p>
        </w:tc>
      </w:tr>
    </w:tbl>
    <w:p w14:paraId="5CCF2E7D" w14:textId="77777777" w:rsidR="007543D7" w:rsidRPr="00744AD0" w:rsidRDefault="007543D7" w:rsidP="007543D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43D7" w:rsidRPr="00744AD0" w14:paraId="2F3474B9" w14:textId="77777777" w:rsidTr="002361D1">
        <w:trPr>
          <w:cantSplit/>
        </w:trPr>
        <w:tc>
          <w:tcPr>
            <w:tcW w:w="1701" w:type="dxa"/>
            <w:shd w:val="pct10" w:color="000000" w:fill="FFFFFF"/>
            <w:vAlign w:val="center"/>
          </w:tcPr>
          <w:p w14:paraId="133751B2" w14:textId="77777777" w:rsidR="007543D7" w:rsidRPr="00744AD0" w:rsidRDefault="007543D7" w:rsidP="002361D1">
            <w:pPr>
              <w:pStyle w:val="RollCallVotes"/>
            </w:pPr>
            <w:r>
              <w:t>6</w:t>
            </w:r>
          </w:p>
        </w:tc>
        <w:tc>
          <w:tcPr>
            <w:tcW w:w="7371" w:type="dxa"/>
            <w:shd w:val="pct10" w:color="000000" w:fill="FFFFFF"/>
          </w:tcPr>
          <w:p w14:paraId="4C45DCCD" w14:textId="77777777" w:rsidR="007543D7" w:rsidRPr="00744AD0" w:rsidRDefault="007543D7" w:rsidP="002361D1">
            <w:pPr>
              <w:pStyle w:val="RollCallSymbols14pt"/>
            </w:pPr>
            <w:r>
              <w:t>0</w:t>
            </w:r>
          </w:p>
        </w:tc>
      </w:tr>
      <w:tr w:rsidR="007543D7" w:rsidRPr="00744AD0" w14:paraId="7AAA1935" w14:textId="77777777" w:rsidTr="002361D1">
        <w:trPr>
          <w:cantSplit/>
        </w:trPr>
        <w:tc>
          <w:tcPr>
            <w:tcW w:w="1701" w:type="dxa"/>
            <w:shd w:val="clear" w:color="auto" w:fill="FFFFFF"/>
          </w:tcPr>
          <w:p w14:paraId="0A6EA54B" w14:textId="77777777" w:rsidR="007543D7" w:rsidRPr="00744AD0" w:rsidRDefault="007543D7" w:rsidP="002361D1">
            <w:pPr>
              <w:pStyle w:val="RollCallTable"/>
            </w:pPr>
            <w:r>
              <w:t>ECR</w:t>
            </w:r>
          </w:p>
        </w:tc>
        <w:tc>
          <w:tcPr>
            <w:tcW w:w="7371" w:type="dxa"/>
            <w:shd w:val="clear" w:color="auto" w:fill="FFFFFF"/>
          </w:tcPr>
          <w:p w14:paraId="51C7D7AE" w14:textId="77777777" w:rsidR="007543D7" w:rsidRPr="00744AD0" w:rsidRDefault="007543D7" w:rsidP="002361D1">
            <w:pPr>
              <w:pStyle w:val="RollCallTable"/>
            </w:pPr>
            <w:r>
              <w:t>Stephen Nikola Bartulica, Johan Van Overtveldt</w:t>
            </w:r>
          </w:p>
        </w:tc>
      </w:tr>
      <w:tr w:rsidR="007543D7" w:rsidRPr="00744AD0" w14:paraId="43C72A29" w14:textId="77777777" w:rsidTr="002361D1">
        <w:trPr>
          <w:cantSplit/>
        </w:trPr>
        <w:tc>
          <w:tcPr>
            <w:tcW w:w="1701" w:type="dxa"/>
            <w:shd w:val="clear" w:color="auto" w:fill="FFFFFF"/>
          </w:tcPr>
          <w:p w14:paraId="6A95EEC7" w14:textId="77777777" w:rsidR="007543D7" w:rsidRPr="00744AD0" w:rsidRDefault="007543D7" w:rsidP="002361D1">
            <w:pPr>
              <w:pStyle w:val="RollCallTable"/>
            </w:pPr>
            <w:r>
              <w:t>PfE</w:t>
            </w:r>
          </w:p>
        </w:tc>
        <w:tc>
          <w:tcPr>
            <w:tcW w:w="7371" w:type="dxa"/>
            <w:shd w:val="clear" w:color="auto" w:fill="FFFFFF"/>
          </w:tcPr>
          <w:p w14:paraId="14F6311F" w14:textId="77777777" w:rsidR="007543D7" w:rsidRPr="00744AD0" w:rsidRDefault="007543D7" w:rsidP="002361D1">
            <w:pPr>
              <w:pStyle w:val="RollCallTable"/>
            </w:pPr>
            <w:r>
              <w:t>Enikő Győri, Jaroslav Knot, Tomáš Kubín, Pierre Pimpie</w:t>
            </w:r>
          </w:p>
        </w:tc>
      </w:tr>
    </w:tbl>
    <w:p w14:paraId="292FBA1F" w14:textId="77777777" w:rsidR="007543D7" w:rsidRDefault="007543D7" w:rsidP="00147FBF">
      <w:pPr>
        <w:pStyle w:val="Normal12a"/>
      </w:pPr>
    </w:p>
    <w:p w14:paraId="2703F18F" w14:textId="5247B809" w:rsidR="007543D7" w:rsidRDefault="007543D7" w:rsidP="00B735E3">
      <w:r>
        <w:t>Légende des signes utilisés:</w:t>
      </w:r>
    </w:p>
    <w:p w14:paraId="5D56BA90" w14:textId="5E6EF44D" w:rsidR="007543D7" w:rsidRDefault="007543D7" w:rsidP="001C6342">
      <w:pPr>
        <w:pStyle w:val="RollCallTabs"/>
      </w:pPr>
      <w:r>
        <w:t>+</w:t>
      </w:r>
      <w:r>
        <w:tab/>
        <w:t>:</w:t>
      </w:r>
      <w:r>
        <w:tab/>
        <w:t>pour</w:t>
      </w:r>
    </w:p>
    <w:p w14:paraId="63400851" w14:textId="2FCD07C6" w:rsidR="007543D7" w:rsidRDefault="007543D7" w:rsidP="001C6342">
      <w:pPr>
        <w:pStyle w:val="RollCallTabs"/>
      </w:pPr>
      <w:r>
        <w:t>-</w:t>
      </w:r>
      <w:r>
        <w:tab/>
        <w:t>:</w:t>
      </w:r>
      <w:r>
        <w:tab/>
        <w:t>contre</w:t>
      </w:r>
    </w:p>
    <w:p w14:paraId="2A8BFBBF" w14:textId="68A5858E" w:rsidR="007543D7" w:rsidRDefault="007543D7" w:rsidP="001C6342">
      <w:pPr>
        <w:pStyle w:val="RollCallTabs"/>
      </w:pPr>
      <w:r>
        <w:t>0</w:t>
      </w:r>
      <w:r>
        <w:tab/>
        <w:t>:</w:t>
      </w:r>
      <w:r>
        <w:tab/>
        <w:t>abstention</w:t>
      </w:r>
    </w:p>
    <w:p w14:paraId="57458C93" w14:textId="77777777" w:rsidR="007543D7" w:rsidRDefault="007543D7" w:rsidP="00AD5932"/>
    <w:bookmarkEnd w:id="8"/>
    <w:p w14:paraId="57097068" w14:textId="1393841A" w:rsidR="00EF3A22" w:rsidRPr="007543D7" w:rsidRDefault="00EF3A22" w:rsidP="00B85C30"/>
    <w:sectPr w:rsidR="00EF3A22" w:rsidRPr="007543D7" w:rsidSect="007543D7">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AA57D" w14:textId="77777777" w:rsidR="0076232F" w:rsidRPr="00744AD0" w:rsidRDefault="0076232F">
      <w:r w:rsidRPr="00744AD0">
        <w:separator/>
      </w:r>
    </w:p>
  </w:endnote>
  <w:endnote w:type="continuationSeparator" w:id="0">
    <w:p w14:paraId="6A844079" w14:textId="77777777" w:rsidR="0076232F" w:rsidRPr="00744AD0" w:rsidRDefault="0076232F">
      <w:r w:rsidRPr="00744A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E35A4" w14:textId="77777777" w:rsidR="005A1610" w:rsidRPr="00744AD0" w:rsidRDefault="005A1610" w:rsidP="005A1610">
    <w:pPr>
      <w:pStyle w:val="EPFooter"/>
    </w:pPr>
    <w:r w:rsidRPr="00744AD0">
      <w:t>PE</w:t>
    </w:r>
    <w:r w:rsidRPr="00744AD0">
      <w:rPr>
        <w:rStyle w:val="HideTWBExt"/>
      </w:rPr>
      <w:t>&lt;NoPE&gt;</w:t>
    </w:r>
    <w:r w:rsidRPr="00744AD0">
      <w:t>778.135</w:t>
    </w:r>
    <w:r w:rsidRPr="00744AD0">
      <w:rPr>
        <w:rStyle w:val="HideTWBExt"/>
      </w:rPr>
      <w:t>&lt;/NoPE&gt;&lt;Version&gt;</w:t>
    </w:r>
    <w:r w:rsidRPr="00744AD0">
      <w:t>v03-00</w:t>
    </w:r>
    <w:r w:rsidRPr="00744AD0">
      <w:rPr>
        <w:rStyle w:val="HideTWBExt"/>
      </w:rPr>
      <w:t>&lt;/Version&gt;</w:t>
    </w:r>
    <w:r w:rsidRPr="00744AD0">
      <w:tab/>
    </w:r>
    <w:r w:rsidRPr="00744AD0">
      <w:fldChar w:fldCharType="begin"/>
    </w:r>
    <w:r w:rsidRPr="00744AD0">
      <w:instrText xml:space="preserve"> PAGE  \* MERGEFORMAT </w:instrText>
    </w:r>
    <w:r w:rsidRPr="00744AD0">
      <w:fldChar w:fldCharType="separate"/>
    </w:r>
    <w:r w:rsidRPr="00744AD0">
      <w:rPr>
        <w:noProof/>
      </w:rPr>
      <w:t>2</w:t>
    </w:r>
    <w:r w:rsidRPr="00744AD0">
      <w:fldChar w:fldCharType="end"/>
    </w:r>
    <w:r w:rsidRPr="00744AD0">
      <w:t>/</w:t>
    </w:r>
    <w:fldSimple w:instr=" NUMPAGES  \* MERGEFORMAT ">
      <w:r w:rsidRPr="00744AD0">
        <w:rPr>
          <w:noProof/>
        </w:rPr>
        <w:t>20</w:t>
      </w:r>
    </w:fldSimple>
    <w:r w:rsidRPr="00744AD0">
      <w:tab/>
    </w:r>
    <w:r w:rsidRPr="00744AD0">
      <w:rPr>
        <w:rStyle w:val="HideTWBExt"/>
      </w:rPr>
      <w:t>&lt;PathFdR&gt;</w:t>
    </w:r>
    <w:r w:rsidRPr="00744AD0">
      <w:t>RR\1347066FR.docx</w:t>
    </w:r>
    <w:r w:rsidRPr="00744AD0">
      <w:rPr>
        <w:rStyle w:val="HideTWBExt"/>
      </w:rPr>
      <w:t>&lt;/PathFdR&gt;</w:t>
    </w:r>
  </w:p>
  <w:p w14:paraId="5727ADB6" w14:textId="46BB92BE" w:rsidR="00B85C30" w:rsidRPr="00744AD0" w:rsidRDefault="005A1610" w:rsidP="005A1610">
    <w:pPr>
      <w:pStyle w:val="EPFooter2"/>
    </w:pPr>
    <w:r w:rsidRPr="00744AD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8034" w14:textId="77777777" w:rsidR="005A1610" w:rsidRPr="00744AD0" w:rsidRDefault="005A1610" w:rsidP="005A1610">
    <w:pPr>
      <w:pStyle w:val="EPFooter"/>
    </w:pPr>
    <w:r w:rsidRPr="00744AD0">
      <w:rPr>
        <w:rStyle w:val="HideTWBExt"/>
      </w:rPr>
      <w:t>&lt;PathFdR&gt;</w:t>
    </w:r>
    <w:r w:rsidRPr="00744AD0">
      <w:t>RR\1347066FR.docx</w:t>
    </w:r>
    <w:r w:rsidRPr="00744AD0">
      <w:rPr>
        <w:rStyle w:val="HideTWBExt"/>
      </w:rPr>
      <w:t>&lt;/PathFdR&gt;</w:t>
    </w:r>
    <w:r w:rsidRPr="00744AD0">
      <w:tab/>
    </w:r>
    <w:r w:rsidRPr="00744AD0">
      <w:fldChar w:fldCharType="begin"/>
    </w:r>
    <w:r w:rsidRPr="00744AD0">
      <w:instrText xml:space="preserve"> PAGE  \* MERGEFORMAT </w:instrText>
    </w:r>
    <w:r w:rsidRPr="00744AD0">
      <w:fldChar w:fldCharType="separate"/>
    </w:r>
    <w:r w:rsidRPr="00744AD0">
      <w:rPr>
        <w:noProof/>
      </w:rPr>
      <w:t>15</w:t>
    </w:r>
    <w:r w:rsidRPr="00744AD0">
      <w:fldChar w:fldCharType="end"/>
    </w:r>
    <w:r w:rsidRPr="00744AD0">
      <w:t>/</w:t>
    </w:r>
    <w:fldSimple w:instr=" NUMPAGES  \* MERGEFORMAT ">
      <w:r w:rsidRPr="00744AD0">
        <w:rPr>
          <w:noProof/>
        </w:rPr>
        <w:t>20</w:t>
      </w:r>
    </w:fldSimple>
    <w:r w:rsidRPr="00744AD0">
      <w:tab/>
      <w:t>PE</w:t>
    </w:r>
    <w:r w:rsidRPr="00744AD0">
      <w:rPr>
        <w:rStyle w:val="HideTWBExt"/>
      </w:rPr>
      <w:t>&lt;NoPE&gt;</w:t>
    </w:r>
    <w:r w:rsidRPr="00744AD0">
      <w:t>778.135</w:t>
    </w:r>
    <w:r w:rsidRPr="00744AD0">
      <w:rPr>
        <w:rStyle w:val="HideTWBExt"/>
      </w:rPr>
      <w:t>&lt;/NoPE&gt;&lt;Version&gt;</w:t>
    </w:r>
    <w:r w:rsidRPr="00744AD0">
      <w:t>v03-00</w:t>
    </w:r>
    <w:r w:rsidRPr="00744AD0">
      <w:rPr>
        <w:rStyle w:val="HideTWBExt"/>
      </w:rPr>
      <w:t>&lt;/Version&gt;</w:t>
    </w:r>
  </w:p>
  <w:p w14:paraId="2032A17D" w14:textId="5C0D3C0D" w:rsidR="00B85C30" w:rsidRPr="00744AD0" w:rsidRDefault="005A1610" w:rsidP="005A1610">
    <w:pPr>
      <w:pStyle w:val="EPFooter2"/>
    </w:pPr>
    <w:r w:rsidRPr="00744AD0">
      <w:tab/>
    </w:r>
    <w:r w:rsidRPr="00744AD0">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D44CB" w14:textId="77777777" w:rsidR="005A1610" w:rsidRPr="00744AD0" w:rsidRDefault="005A1610" w:rsidP="005A1610">
    <w:pPr>
      <w:pStyle w:val="EPFooter"/>
    </w:pPr>
    <w:r w:rsidRPr="00744AD0">
      <w:rPr>
        <w:rStyle w:val="HideTWBExt"/>
      </w:rPr>
      <w:t>&lt;PathFdR&gt;</w:t>
    </w:r>
    <w:r w:rsidRPr="00744AD0">
      <w:t>RR\1347066FR.docx</w:t>
    </w:r>
    <w:r w:rsidRPr="00744AD0">
      <w:rPr>
        <w:rStyle w:val="HideTWBExt"/>
      </w:rPr>
      <w:t>&lt;/PathFdR&gt;</w:t>
    </w:r>
    <w:r w:rsidRPr="00744AD0">
      <w:tab/>
    </w:r>
    <w:r w:rsidRPr="00744AD0">
      <w:tab/>
      <w:t>PE</w:t>
    </w:r>
    <w:r w:rsidRPr="00744AD0">
      <w:rPr>
        <w:rStyle w:val="HideTWBExt"/>
      </w:rPr>
      <w:t>&lt;NoPE&gt;</w:t>
    </w:r>
    <w:r w:rsidRPr="00744AD0">
      <w:t>778.135</w:t>
    </w:r>
    <w:r w:rsidRPr="00744AD0">
      <w:rPr>
        <w:rStyle w:val="HideTWBExt"/>
      </w:rPr>
      <w:t>&lt;/NoPE&gt;&lt;Version&gt;</w:t>
    </w:r>
    <w:r w:rsidRPr="00744AD0">
      <w:t>v03-00</w:t>
    </w:r>
    <w:r w:rsidRPr="00744AD0">
      <w:rPr>
        <w:rStyle w:val="HideTWBExt"/>
      </w:rPr>
      <w:t>&lt;/Version&gt;</w:t>
    </w:r>
  </w:p>
  <w:p w14:paraId="41745170" w14:textId="61BB490A" w:rsidR="00B85C30" w:rsidRPr="00744AD0" w:rsidRDefault="005A1610" w:rsidP="005A1610">
    <w:pPr>
      <w:pStyle w:val="EPFooter2"/>
    </w:pPr>
    <w:r w:rsidRPr="00744AD0">
      <w:t>FR</w:t>
    </w:r>
    <w:r w:rsidRPr="00744AD0">
      <w:tab/>
    </w:r>
    <w:r w:rsidRPr="00744AD0">
      <w:rPr>
        <w:b w:val="0"/>
        <w:i/>
        <w:color w:val="C0C0C0"/>
        <w:sz w:val="22"/>
      </w:rPr>
      <w:t>Unie dans la diversité</w:t>
    </w:r>
    <w:r w:rsidRPr="00744AD0">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5BF84" w14:textId="5B5BA1D0" w:rsidR="00B85C30" w:rsidRPr="00744AD0" w:rsidRDefault="00B85C30" w:rsidP="00EF3A22">
    <w:pPr>
      <w:pStyle w:val="EPFooter"/>
    </w:pPr>
    <w:r w:rsidRPr="00744AD0">
      <w:rPr>
        <w:rStyle w:val="HideTWBExt"/>
      </w:rPr>
      <w:t>&lt;PathFdR&gt;</w:t>
    </w:r>
    <w:r w:rsidR="003F64B3" w:rsidRPr="00744AD0">
      <w:t>RR\1345545EN.docx</w:t>
    </w:r>
    <w:r w:rsidRPr="00744AD0">
      <w:rPr>
        <w:rStyle w:val="HideTWBExt"/>
      </w:rPr>
      <w:t>&lt;/PathFdR&gt;</w:t>
    </w:r>
    <w:r w:rsidRPr="00744AD0">
      <w:tab/>
    </w:r>
    <w:r w:rsidRPr="00744AD0">
      <w:tab/>
      <w:t>PE</w:t>
    </w:r>
    <w:r w:rsidRPr="00744AD0">
      <w:rPr>
        <w:rStyle w:val="HideTWBExt"/>
      </w:rPr>
      <w:t>&lt;NoPE&gt;</w:t>
    </w:r>
    <w:r w:rsidRPr="00744AD0">
      <w:t>778.135</w:t>
    </w:r>
    <w:r w:rsidRPr="00744AD0">
      <w:rPr>
        <w:rStyle w:val="HideTWBExt"/>
      </w:rPr>
      <w:t>&lt;/NoPE&gt;&lt;Version&gt;</w:t>
    </w:r>
    <w:r w:rsidRPr="00744AD0">
      <w:t>v03-00</w:t>
    </w:r>
    <w:r w:rsidRPr="00744AD0">
      <w:rPr>
        <w:rStyle w:val="HideTWBExt"/>
      </w:rPr>
      <w:t>&lt;/Version&gt;</w:t>
    </w:r>
  </w:p>
  <w:p w14:paraId="1470D5E4" w14:textId="77777777" w:rsidR="00B85C30" w:rsidRPr="00744AD0" w:rsidRDefault="00B85C30" w:rsidP="00EF3A22">
    <w:pPr>
      <w:pStyle w:val="EPFooter2"/>
    </w:pPr>
    <w:r w:rsidRPr="00744AD0">
      <w:t>XT</w:t>
    </w:r>
    <w:r w:rsidRPr="00744AD0">
      <w:tab/>
    </w:r>
    <w:r w:rsidRPr="00744AD0">
      <w:rPr>
        <w:b w:val="0"/>
        <w:i/>
        <w:color w:val="C0C0C0"/>
        <w:sz w:val="22"/>
      </w:rPr>
      <w:t>United in diversity</w:t>
    </w:r>
    <w:r w:rsidRPr="00744AD0">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F52E0" w14:textId="77777777" w:rsidR="0076232F" w:rsidRPr="00744AD0" w:rsidRDefault="0076232F">
      <w:r w:rsidRPr="00744AD0">
        <w:separator/>
      </w:r>
    </w:p>
  </w:footnote>
  <w:footnote w:type="continuationSeparator" w:id="0">
    <w:p w14:paraId="77F8B74D" w14:textId="77777777" w:rsidR="0076232F" w:rsidRPr="00744AD0" w:rsidRDefault="0076232F">
      <w:r w:rsidRPr="00744AD0">
        <w:continuationSeparator/>
      </w:r>
    </w:p>
  </w:footnote>
  <w:footnote w:id="1">
    <w:p w14:paraId="17901C7C" w14:textId="77777777" w:rsidR="00B85C30" w:rsidRPr="00F7036A" w:rsidRDefault="00B85C30" w:rsidP="00B85C30">
      <w:pPr>
        <w:pStyle w:val="FootnoteText"/>
        <w:ind w:left="567" w:hanging="567"/>
        <w:rPr>
          <w:lang w:val="fi-FI"/>
        </w:rPr>
      </w:pPr>
      <w:r>
        <w:rPr>
          <w:rStyle w:val="FootnoteReference"/>
        </w:rPr>
        <w:footnoteRef/>
      </w:r>
      <w:r w:rsidRPr="00F7036A">
        <w:rPr>
          <w:lang w:val="fi-FI"/>
        </w:rPr>
        <w:t xml:space="preserve"> </w:t>
      </w:r>
      <w:r w:rsidRPr="00F7036A">
        <w:rPr>
          <w:lang w:val="fi-FI"/>
        </w:rPr>
        <w:tab/>
        <w:t>JO C, C/2024/669, 12.1.2024, ELI: http://data.europa.eu/eli/C/2024/669/oj</w:t>
      </w:r>
    </w:p>
  </w:footnote>
  <w:footnote w:id="2">
    <w:p w14:paraId="0EA17BCB" w14:textId="77777777" w:rsidR="00B85C30" w:rsidRPr="00F7036A" w:rsidRDefault="00B85C30" w:rsidP="00B85C30">
      <w:pPr>
        <w:pStyle w:val="FootnoteText"/>
        <w:ind w:left="567" w:hanging="567"/>
        <w:rPr>
          <w:lang w:val="fi-FI"/>
        </w:rPr>
      </w:pPr>
      <w:r>
        <w:rPr>
          <w:rStyle w:val="FootnoteReference"/>
        </w:rPr>
        <w:footnoteRef/>
      </w:r>
      <w:r w:rsidRPr="00F7036A">
        <w:rPr>
          <w:lang w:val="fi-FI"/>
        </w:rPr>
        <w:t xml:space="preserve"> </w:t>
      </w:r>
      <w:r w:rsidRPr="00F7036A">
        <w:rPr>
          <w:lang w:val="fi-FI"/>
        </w:rPr>
        <w:tab/>
        <w:t>JO C, C/2024/1584, 5.3.2024, ELI: http://data.europa.eu/eli/C/2024/1584/oj.</w:t>
      </w:r>
    </w:p>
  </w:footnote>
  <w:footnote w:id="3">
    <w:p w14:paraId="6416DDCE" w14:textId="77777777" w:rsidR="00B85C30" w:rsidRPr="00744AD0" w:rsidRDefault="00B85C30" w:rsidP="00B85C30">
      <w:pPr>
        <w:pStyle w:val="FootnoteText"/>
      </w:pPr>
      <w:r>
        <w:rPr>
          <w:rStyle w:val="FootnoteReference"/>
        </w:rPr>
        <w:t>*</w:t>
      </w:r>
      <w:r>
        <w:t xml:space="preserve"> Amendements: le texte nouveau ou modifié est signalé par des italiques gras; les suppressions sont signalées par le symbole ▌.</w:t>
      </w:r>
    </w:p>
  </w:footnote>
  <w:footnote w:id="4">
    <w:p w14:paraId="5C48177A" w14:textId="77777777" w:rsidR="00B85C30" w:rsidRPr="00744AD0" w:rsidRDefault="00B85C30" w:rsidP="00B85C30">
      <w:pPr>
        <w:pStyle w:val="FootnoteText"/>
      </w:pPr>
      <w:r>
        <w:rPr>
          <w:rStyle w:val="FootnoteReference"/>
        </w:rPr>
        <w:footnoteRef/>
      </w:r>
      <w:r>
        <w:tab/>
        <w:t>JO C […], […], p. […].</w:t>
      </w:r>
    </w:p>
  </w:footnote>
  <w:footnote w:id="5">
    <w:p w14:paraId="54B995E2" w14:textId="77777777" w:rsidR="00B85C30" w:rsidRPr="00744AD0" w:rsidRDefault="00B85C30" w:rsidP="00B85C30">
      <w:pPr>
        <w:pStyle w:val="FootnoteText"/>
      </w:pPr>
      <w:r>
        <w:rPr>
          <w:rStyle w:val="FootnoteReference"/>
        </w:rPr>
        <w:footnoteRef/>
      </w:r>
      <w:r>
        <w:tab/>
        <w:t>JO C […], […], p. […].</w:t>
      </w:r>
    </w:p>
  </w:footnote>
  <w:footnote w:id="6">
    <w:p w14:paraId="6EB7F4E3" w14:textId="77777777" w:rsidR="00B85C30" w:rsidRPr="00744AD0" w:rsidRDefault="00B85C30" w:rsidP="00B85C30">
      <w:pPr>
        <w:pStyle w:val="FootnoteText"/>
        <w:rPr>
          <w:rFonts w:ascii="Calibri" w:hAnsi="Calibri"/>
        </w:rPr>
      </w:pPr>
      <w:r>
        <w:rPr>
          <w:rStyle w:val="FootnoteReference"/>
        </w:rPr>
        <w:footnoteRef/>
      </w:r>
      <w:r>
        <w:tab/>
        <w:t>Communication de la Commission au Parlement européen, au Conseil et au Comité des régions sur une stratégie en matière de finance numérique pour l’UE (COM(2020)591 final)</w:t>
      </w:r>
    </w:p>
  </w:footnote>
  <w:footnote w:id="7">
    <w:p w14:paraId="45504AD9" w14:textId="44B6F55A" w:rsidR="006D376D" w:rsidRPr="00744AD0" w:rsidRDefault="006D376D">
      <w:pPr>
        <w:pStyle w:val="FootnoteText"/>
      </w:pPr>
      <w:r>
        <w:rPr>
          <w:rStyle w:val="FootnoteReference"/>
        </w:rPr>
        <w:t>*</w:t>
      </w:r>
      <w:r>
        <w:t xml:space="preserve"> </w:t>
      </w:r>
      <w:r>
        <w:tab/>
      </w:r>
      <w:r>
        <w:rPr>
          <w:b/>
          <w:i/>
        </w:rPr>
        <w:t>JO: veuillez insérer dans le texte le numéro du règlement figurant dans le document PE-CONS .../... (2023/0212(COD)).</w:t>
      </w:r>
    </w:p>
  </w:footnote>
  <w:footnote w:id="8">
    <w:p w14:paraId="4417650B" w14:textId="3115D412" w:rsidR="006F7107" w:rsidRPr="00744AD0" w:rsidRDefault="006F7107">
      <w:pPr>
        <w:pStyle w:val="FootnoteText"/>
      </w:pPr>
      <w:r>
        <w:rPr>
          <w:rStyle w:val="FootnoteReference"/>
        </w:rPr>
        <w:t>*</w:t>
      </w:r>
      <w:r>
        <w:t xml:space="preserve"> </w:t>
      </w:r>
      <w:r>
        <w:tab/>
      </w:r>
      <w:r>
        <w:rPr>
          <w:b/>
          <w:i/>
        </w:rPr>
        <w:t>JO: veuillez insérer dans le texte le numéro du règlement figurant dans le document PE-CONS .../... (2023/0212(COD)).</w:t>
      </w:r>
    </w:p>
  </w:footnote>
  <w:footnote w:id="9">
    <w:p w14:paraId="6001EC67" w14:textId="7864C518" w:rsidR="006F7107" w:rsidRPr="00744AD0" w:rsidRDefault="006F7107">
      <w:pPr>
        <w:pStyle w:val="FootnoteText"/>
      </w:pPr>
      <w:r>
        <w:rPr>
          <w:rStyle w:val="FootnoteReference"/>
        </w:rPr>
        <w:t>**</w:t>
      </w:r>
      <w:r>
        <w:t xml:space="preserve"> </w:t>
      </w:r>
      <w:r>
        <w:tab/>
      </w:r>
      <w:r>
        <w:rPr>
          <w:b/>
          <w:i/>
        </w:rPr>
        <w:t>JO: veuillez insérer dans le texte le numéro du règlement figurant dans le document PE-CONS .../... (2023/0212(COD)).</w:t>
      </w:r>
    </w:p>
  </w:footnote>
  <w:footnote w:id="10">
    <w:p w14:paraId="223A96FC" w14:textId="77777777" w:rsidR="00B85C30" w:rsidRPr="00744AD0" w:rsidRDefault="00B85C30" w:rsidP="00B85C30">
      <w:pPr>
        <w:pStyle w:val="FootnoteText"/>
      </w:pPr>
      <w:r>
        <w:rPr>
          <w:rStyle w:val="FootnoteReference"/>
        </w:rPr>
        <w:footnoteRef/>
      </w:r>
      <w:r>
        <w:tab/>
        <w:t>Directive (UE) 2015/2366 du Parlement européen et du Conseil du 25 novembre 2015 concernant les services de paiement dans le marché intérieur, modifiant les directives 2002/65/CE, 2009/110/CE et 2013/36/UE et le règlement (UE) nº 1093/2010, et abrogeant la directive 2007/64/CE (JO L 337 du 23.12.2015, p. 35).</w:t>
      </w:r>
    </w:p>
  </w:footnote>
  <w:footnote w:id="11">
    <w:p w14:paraId="3CBF1864" w14:textId="77777777" w:rsidR="00B85C30" w:rsidRPr="00744AD0" w:rsidRDefault="00B85C30" w:rsidP="00B85C30">
      <w:pPr>
        <w:pStyle w:val="FootnoteText"/>
      </w:pPr>
      <w:r>
        <w:rPr>
          <w:rStyle w:val="FootnoteReference"/>
        </w:rPr>
        <w:footnoteRef/>
      </w:r>
      <w:r>
        <w:tab/>
        <w:t>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(JO L 141 du 5.6.2015, p. 73).</w:t>
      </w:r>
    </w:p>
  </w:footnote>
  <w:footnote w:id="12">
    <w:p w14:paraId="4082CABD" w14:textId="1BAA589B" w:rsidR="00D73024" w:rsidRPr="00744AD0" w:rsidRDefault="00D73024">
      <w:pPr>
        <w:pStyle w:val="FootnoteText"/>
      </w:pPr>
      <w:r>
        <w:rPr>
          <w:rStyle w:val="FootnoteReference"/>
        </w:rPr>
        <w:t>*</w:t>
      </w:r>
      <w:r>
        <w:t xml:space="preserve"> </w:t>
      </w:r>
      <w:r>
        <w:tab/>
      </w:r>
      <w:r>
        <w:rPr>
          <w:b/>
          <w:i/>
        </w:rPr>
        <w:t>JO: veuillez insérer dans le texte le numéro du règlement figurant dans le document PE-CONS .../... (2023/0212(COD)).</w:t>
      </w:r>
    </w:p>
  </w:footnote>
  <w:footnote w:id="13">
    <w:p w14:paraId="7F217612" w14:textId="3D5B707A" w:rsidR="00D73024" w:rsidRPr="00744AD0" w:rsidRDefault="00D73024" w:rsidP="00D73024">
      <w:pPr>
        <w:pStyle w:val="FootnoteText"/>
        <w:rPr>
          <w:b/>
          <w:bCs/>
          <w:i/>
          <w:iCs/>
        </w:rPr>
      </w:pPr>
      <w:r>
        <w:rPr>
          <w:rStyle w:val="FootnoteReference"/>
          <w:b/>
          <w:bCs/>
          <w:i/>
          <w:iCs/>
        </w:rPr>
        <w:footnoteRef/>
      </w:r>
      <w:r>
        <w:rPr>
          <w:b/>
          <w:i/>
        </w:rPr>
        <w:t xml:space="preserve"> </w:t>
      </w:r>
      <w:r>
        <w:rPr>
          <w:b/>
          <w:i/>
        </w:rPr>
        <w:tab/>
        <w:t>Règlement (UE) nº 910/2014 du Parlement européen et du Conseil du 23 juillet 2014 sur l’identification électronique et les services de confiance pour les transactions électroniques au sein du marché intérieur et abrogeant la directive 1999/93/CE (JO L 257 du 28.8.2014, p. 73), ELI: http://data.europa.eu/eli/reg/2014/910/oj</w:t>
      </w:r>
    </w:p>
  </w:footnote>
  <w:footnote w:id="14">
    <w:p w14:paraId="0A177BD0" w14:textId="77777777" w:rsidR="00B85C30" w:rsidRPr="00744AD0" w:rsidRDefault="00B85C30" w:rsidP="00B85C30">
      <w:pPr>
        <w:pStyle w:val="FootnoteText"/>
        <w:rPr>
          <w:b/>
          <w:bCs/>
          <w:i/>
          <w:iCs/>
        </w:rPr>
      </w:pPr>
      <w:r>
        <w:rPr>
          <w:rStyle w:val="FootnoteReference"/>
          <w:b/>
          <w:bCs/>
          <w:i/>
          <w:iCs/>
        </w:rPr>
        <w:footnoteRef/>
      </w:r>
      <w:r>
        <w:rPr>
          <w:b/>
          <w:i/>
        </w:rPr>
        <w:tab/>
        <w:t>Directive (UE) 2018/1972 du Parlement européen et du Conseil du 11 décembre 2018 établissant le code des communications électroniques européen (JO L 321, 17.12.2018, p. 36, ELI: http://data.europa.eu/eli/dir/2018/1972/oj).</w:t>
      </w:r>
    </w:p>
  </w:footnote>
  <w:footnote w:id="15">
    <w:p w14:paraId="0058D1DD" w14:textId="25DF4A63" w:rsidR="00D73024" w:rsidRPr="00744AD0" w:rsidRDefault="00D73024" w:rsidP="00B85C30">
      <w:pPr>
        <w:pStyle w:val="FootnoteText"/>
        <w:rPr>
          <w:rFonts w:asciiTheme="minorHAnsi" w:hAnsiTheme="minorHAnsi" w:cstheme="minorBidi"/>
          <w:b/>
          <w:bCs/>
          <w:i/>
          <w:iCs/>
        </w:rPr>
      </w:pPr>
      <w:r>
        <w:rPr>
          <w:rStyle w:val="FootnoteReference"/>
        </w:rPr>
        <w:t>*</w:t>
      </w:r>
      <w:r>
        <w:t xml:space="preserve"> </w:t>
      </w:r>
      <w:r>
        <w:rPr>
          <w:b/>
          <w:i/>
        </w:rPr>
        <w:tab/>
        <w:t>JO: veuillez insérer dans le texte le numéro du règlement figurant dans le document PE-CONS .../... (2023/0212(COD)).</w:t>
      </w:r>
    </w:p>
  </w:footnote>
  <w:footnote w:id="16">
    <w:p w14:paraId="7246AB13" w14:textId="0277C69D" w:rsidR="00ED761F" w:rsidRPr="00744AD0" w:rsidRDefault="00ED761F"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17">
    <w:p w14:paraId="791CD8C2" w14:textId="77777777" w:rsidR="00B85C30" w:rsidRPr="00744AD0" w:rsidRDefault="00B85C30" w:rsidP="00B85C30">
      <w:pPr>
        <w:pStyle w:val="FootnoteText"/>
      </w:pPr>
      <w:r>
        <w:rPr>
          <w:rStyle w:val="FootnoteReference"/>
        </w:rPr>
        <w:footnoteRef/>
      </w:r>
      <w:r>
        <w:tab/>
        <w:t>Directive 2014/92/UE du Parlement européen et du Conseil du 23 juillet 2014 sur la comparabilité des frais liés aux comptes de paiement, le changement de compte de paiement et l’accès à un compte de paiement assorti de prestations de base (JO L 257 du 28.8.2014, p. 214).</w:t>
      </w:r>
    </w:p>
  </w:footnote>
  <w:footnote w:id="18">
    <w:p w14:paraId="140993EA" w14:textId="110BADBA" w:rsidR="00ED761F" w:rsidRPr="00744AD0" w:rsidRDefault="00ED761F"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19">
    <w:p w14:paraId="00F6CCD4" w14:textId="4111F385" w:rsidR="00ED761F" w:rsidRPr="00744AD0" w:rsidRDefault="00ED761F"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20">
    <w:p w14:paraId="71CA718D" w14:textId="77777777" w:rsidR="00B85C30" w:rsidRPr="00744AD0" w:rsidRDefault="00B85C30" w:rsidP="00B85C30">
      <w:pPr>
        <w:pStyle w:val="FootnoteText"/>
        <w:rPr>
          <w:b/>
          <w:bCs/>
          <w:i/>
          <w:iCs/>
        </w:rPr>
      </w:pPr>
      <w:r>
        <w:rPr>
          <w:rStyle w:val="FootnoteReference"/>
          <w:b/>
          <w:bCs/>
          <w:i/>
          <w:iCs/>
        </w:rPr>
        <w:footnoteRef/>
      </w:r>
      <w:r>
        <w:rPr>
          <w:b/>
          <w:i/>
        </w:rPr>
        <w:tab/>
        <w:t>Règlement (EU) nº 575/2013 du Parlement européen et du Conseil du 26 juin 2013 concernant les exigences prudentielles applicables aux établissements de crédit et aux entreprises d’investissement et modifiant le règlement (UE) nº 648/2012 (JO L 176 du 27.6.2013, p. 1).</w:t>
      </w:r>
    </w:p>
  </w:footnote>
  <w:footnote w:id="21">
    <w:p w14:paraId="261C708D" w14:textId="65DB20CF" w:rsidR="00ED761F" w:rsidRPr="00744AD0" w:rsidRDefault="00ED761F"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22">
    <w:p w14:paraId="2CC22246" w14:textId="6CC7873C" w:rsidR="004A29B6" w:rsidRPr="00744AD0" w:rsidRDefault="004A29B6"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23">
    <w:p w14:paraId="496C0565" w14:textId="2C60FCE1" w:rsidR="004A29B6" w:rsidRPr="00744AD0" w:rsidRDefault="004A29B6"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24">
    <w:p w14:paraId="40BDCE75" w14:textId="0239EA51" w:rsidR="004A29B6" w:rsidRPr="00744AD0" w:rsidRDefault="004A29B6"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25">
    <w:p w14:paraId="0D6269F4" w14:textId="7760F856" w:rsidR="00933927" w:rsidRPr="00744AD0" w:rsidRDefault="00933927"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26">
    <w:p w14:paraId="6A83A29A" w14:textId="0B03CA2E" w:rsidR="00933927" w:rsidRPr="00744AD0" w:rsidRDefault="00933927"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27">
    <w:p w14:paraId="3BCF0F14" w14:textId="1C81B2EE" w:rsidR="00933927" w:rsidRPr="00744AD0" w:rsidRDefault="00933927" w:rsidP="00B85C30">
      <w:pPr>
        <w:pStyle w:val="FootnoteText"/>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28">
    <w:p w14:paraId="67DC9490" w14:textId="2F18F1AA" w:rsidR="00933927" w:rsidRPr="00744AD0" w:rsidRDefault="00933927"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29">
    <w:p w14:paraId="5F1DA67E" w14:textId="5DEA092D" w:rsidR="00933927" w:rsidRPr="00744AD0" w:rsidRDefault="00933927"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30">
    <w:p w14:paraId="133BC216" w14:textId="7B57A9CC" w:rsidR="00933927" w:rsidRPr="00744AD0" w:rsidRDefault="00933927"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31">
    <w:p w14:paraId="59A0E7F9" w14:textId="0C08CB71" w:rsidR="00933927" w:rsidRPr="00744AD0" w:rsidRDefault="00933927" w:rsidP="00B85C30">
      <w:pPr>
        <w:pStyle w:val="FootnoteText"/>
        <w:rPr>
          <w:rFonts w:asciiTheme="minorHAnsi" w:hAnsiTheme="minorHAnsi" w:cstheme="minorBidi"/>
        </w:rPr>
      </w:pPr>
      <w:r>
        <w:rPr>
          <w:rStyle w:val="FootnoteReference"/>
        </w:rPr>
        <w:t>***</w:t>
      </w:r>
      <w:r>
        <w:t xml:space="preserve"> </w:t>
      </w:r>
      <w:r>
        <w:rPr>
          <w:b/>
          <w:i/>
        </w:rPr>
        <w:t>JO: veuillez insérer dans le texte le numéro</w:t>
      </w:r>
      <w:r>
        <w:t xml:space="preserve"> </w:t>
      </w:r>
      <w:r>
        <w:rPr>
          <w:b/>
          <w:i/>
        </w:rPr>
        <w:t>du règlement figurant dans le document PE-CONS .../... (2023/0212(COD)).</w:t>
      </w:r>
    </w:p>
  </w:footnote>
  <w:footnote w:id="32">
    <w:p w14:paraId="23734F3A" w14:textId="063B447E" w:rsidR="00933927" w:rsidRPr="00744AD0" w:rsidRDefault="00933927"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33">
    <w:p w14:paraId="0ED32297" w14:textId="2D7B48E7" w:rsidR="00933927" w:rsidRPr="00744AD0" w:rsidRDefault="00933927"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34">
    <w:p w14:paraId="44355885" w14:textId="75057BAE" w:rsidR="00933927" w:rsidRPr="00744AD0" w:rsidRDefault="00933927"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35">
    <w:p w14:paraId="62537186" w14:textId="77777777" w:rsidR="00B85C30" w:rsidRPr="00744AD0" w:rsidRDefault="00B85C30" w:rsidP="00B85C30">
      <w:pPr>
        <w:pStyle w:val="FootnoteText"/>
        <w:rPr>
          <w:rFonts w:asciiTheme="minorHAnsi" w:hAnsiTheme="minorHAnsi" w:cstheme="minorBidi"/>
          <w:b/>
          <w:bCs/>
          <w:i/>
          <w:iCs/>
        </w:rPr>
      </w:pPr>
      <w:r>
        <w:rPr>
          <w:rStyle w:val="FootnoteReference"/>
          <w:b/>
          <w:bCs/>
          <w:i/>
          <w:iCs/>
        </w:rPr>
        <w:footnoteRef/>
      </w:r>
      <w:r>
        <w:rPr>
          <w:b/>
          <w:i/>
        </w:rPr>
        <w:tab/>
        <w:t>Règlement (UE) 2023/1113 du Parlement européen et du Conseil du 31 mai 2023 sur les informations accompagnant les transferts de fonds et de certains crypto-actifs, et modifiant la directive (UE) 2015/849 (JO L 150, 9.6.2023, p. 1, ELI: http://data.europa.eu/eli/reg/2023/1113/oj).</w:t>
      </w:r>
    </w:p>
  </w:footnote>
  <w:footnote w:id="36">
    <w:p w14:paraId="3EF1EE0F" w14:textId="5B526F79" w:rsidR="007D1333" w:rsidRPr="00744AD0" w:rsidRDefault="007D1333"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37">
    <w:p w14:paraId="3C6B4000" w14:textId="0A9DDCCE" w:rsidR="007D1333" w:rsidRPr="00744AD0" w:rsidRDefault="007D1333"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38">
    <w:p w14:paraId="64C738EA" w14:textId="67F49D8D" w:rsidR="007D1333" w:rsidRPr="00744AD0" w:rsidRDefault="007D1333" w:rsidP="00B85C30">
      <w:pPr>
        <w:pStyle w:val="FootnoteText"/>
        <w:rPr>
          <w:rFonts w:asciiTheme="minorHAnsi" w:hAnsiTheme="minorHAnsi" w:cstheme="minorBidi"/>
        </w:rPr>
      </w:pPr>
      <w:r>
        <w:rPr>
          <w:rStyle w:val="FootnoteReference"/>
        </w:rPr>
        <w:t>**</w:t>
      </w:r>
      <w:r>
        <w:t xml:space="preserve"> </w:t>
      </w:r>
      <w:r>
        <w:rPr>
          <w:b/>
          <w:i/>
        </w:rPr>
        <w:tab/>
        <w:t>JO: veuillez insérer dans le texte le numéro</w:t>
      </w:r>
      <w:r>
        <w:t xml:space="preserve"> </w:t>
      </w:r>
      <w:r>
        <w:rPr>
          <w:b/>
          <w:i/>
        </w:rPr>
        <w:t>du règlement figurant dans le document PE-CONS .../... (2023/0212(COD)).</w:t>
      </w:r>
    </w:p>
  </w:footnote>
  <w:footnote w:id="39">
    <w:p w14:paraId="7E1B8279" w14:textId="7DD1F992" w:rsidR="00B85C30" w:rsidRPr="00744AD0" w:rsidRDefault="00B85C30" w:rsidP="00B85C30">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1"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8597E" w14:textId="77777777" w:rsidR="007543D7" w:rsidRDefault="00754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F7DB" w14:textId="77777777" w:rsidR="007543D7" w:rsidRDefault="007543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B3A51" w14:textId="77777777" w:rsidR="007543D7" w:rsidRDefault="007543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3EE6" w14:textId="77777777" w:rsidR="00B85C30" w:rsidRDefault="00B85C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653D" w14:textId="77777777" w:rsidR="00B85C30" w:rsidRDefault="00B85C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5C95" w14:textId="77777777" w:rsidR="00B85C30" w:rsidRDefault="00B85C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540EA4"/>
    <w:multiLevelType w:val="hybridMultilevel"/>
    <w:tmpl w:val="6DEC77BE"/>
    <w:lvl w:ilvl="0" w:tplc="CDEC7C42">
      <w:start w:val="1"/>
      <w:numFmt w:val="decimal"/>
      <w:lvlText w:val="%1."/>
      <w:lvlJc w:val="left"/>
      <w:pPr>
        <w:ind w:left="1215" w:hanging="855"/>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3697188">
    <w:abstractNumId w:val="9"/>
  </w:num>
  <w:num w:numId="2" w16cid:durableId="1524828092">
    <w:abstractNumId w:val="9"/>
  </w:num>
  <w:num w:numId="3" w16cid:durableId="1576278132">
    <w:abstractNumId w:val="7"/>
  </w:num>
  <w:num w:numId="4" w16cid:durableId="814951503">
    <w:abstractNumId w:val="7"/>
  </w:num>
  <w:num w:numId="5" w16cid:durableId="412438458">
    <w:abstractNumId w:val="6"/>
  </w:num>
  <w:num w:numId="6" w16cid:durableId="1469008284">
    <w:abstractNumId w:val="6"/>
  </w:num>
  <w:num w:numId="7" w16cid:durableId="1294017121">
    <w:abstractNumId w:val="5"/>
  </w:num>
  <w:num w:numId="8" w16cid:durableId="297347567">
    <w:abstractNumId w:val="5"/>
  </w:num>
  <w:num w:numId="9" w16cid:durableId="609357640">
    <w:abstractNumId w:val="4"/>
  </w:num>
  <w:num w:numId="10" w16cid:durableId="729353325">
    <w:abstractNumId w:val="4"/>
  </w:num>
  <w:num w:numId="11" w16cid:durableId="1886485474">
    <w:abstractNumId w:val="8"/>
  </w:num>
  <w:num w:numId="12" w16cid:durableId="2013676634">
    <w:abstractNumId w:val="8"/>
  </w:num>
  <w:num w:numId="13" w16cid:durableId="1720127998">
    <w:abstractNumId w:val="3"/>
  </w:num>
  <w:num w:numId="14" w16cid:durableId="1340505195">
    <w:abstractNumId w:val="3"/>
  </w:num>
  <w:num w:numId="15" w16cid:durableId="1405058468">
    <w:abstractNumId w:val="2"/>
  </w:num>
  <w:num w:numId="16" w16cid:durableId="1010527976">
    <w:abstractNumId w:val="2"/>
  </w:num>
  <w:num w:numId="17" w16cid:durableId="1046760988">
    <w:abstractNumId w:val="1"/>
  </w:num>
  <w:num w:numId="18" w16cid:durableId="1609386586">
    <w:abstractNumId w:val="1"/>
  </w:num>
  <w:num w:numId="19" w16cid:durableId="231893547">
    <w:abstractNumId w:val="0"/>
  </w:num>
  <w:num w:numId="20" w16cid:durableId="234363235">
    <w:abstractNumId w:val="0"/>
  </w:num>
  <w:num w:numId="21" w16cid:durableId="111368008">
    <w:abstractNumId w:val="9"/>
  </w:num>
  <w:num w:numId="22" w16cid:durableId="808061258">
    <w:abstractNumId w:val="7"/>
  </w:num>
  <w:num w:numId="23" w16cid:durableId="908928802">
    <w:abstractNumId w:val="6"/>
  </w:num>
  <w:num w:numId="24" w16cid:durableId="556471958">
    <w:abstractNumId w:val="5"/>
  </w:num>
  <w:num w:numId="25" w16cid:durableId="1302151256">
    <w:abstractNumId w:val="4"/>
  </w:num>
  <w:num w:numId="26" w16cid:durableId="1891114421">
    <w:abstractNumId w:val="8"/>
  </w:num>
  <w:num w:numId="27" w16cid:durableId="1204367369">
    <w:abstractNumId w:val="3"/>
  </w:num>
  <w:num w:numId="28" w16cid:durableId="637496391">
    <w:abstractNumId w:val="2"/>
  </w:num>
  <w:num w:numId="29" w16cid:durableId="1406688619">
    <w:abstractNumId w:val="1"/>
  </w:num>
  <w:num w:numId="30" w16cid:durableId="318000732">
    <w:abstractNumId w:val="0"/>
  </w:num>
  <w:num w:numId="31" w16cid:durableId="148712083">
    <w:abstractNumId w:val="9"/>
  </w:num>
  <w:num w:numId="32" w16cid:durableId="1135028891">
    <w:abstractNumId w:val="7"/>
  </w:num>
  <w:num w:numId="33" w16cid:durableId="1972439531">
    <w:abstractNumId w:val="6"/>
  </w:num>
  <w:num w:numId="34" w16cid:durableId="2116944471">
    <w:abstractNumId w:val="5"/>
  </w:num>
  <w:num w:numId="35" w16cid:durableId="692196710">
    <w:abstractNumId w:val="4"/>
  </w:num>
  <w:num w:numId="36" w16cid:durableId="953488582">
    <w:abstractNumId w:val="8"/>
  </w:num>
  <w:num w:numId="37" w16cid:durableId="565727401">
    <w:abstractNumId w:val="3"/>
  </w:num>
  <w:num w:numId="38" w16cid:durableId="1747067144">
    <w:abstractNumId w:val="2"/>
  </w:num>
  <w:num w:numId="39" w16cid:durableId="469909846">
    <w:abstractNumId w:val="1"/>
  </w:num>
  <w:num w:numId="40" w16cid:durableId="329917226">
    <w:abstractNumId w:val="0"/>
  </w:num>
  <w:num w:numId="41" w16cid:durableId="21104682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3"/>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ECON"/>
    <w:docVar w:name="CONTRIBUTIONMNU" w:val=" 1"/>
    <w:docVar w:name="CopyToNetwork" w:val="-1"/>
    <w:docVar w:name="DOCDT" w:val="25/06/2026"/>
    <w:docVar w:name="DOCMNU" w:val=" 1"/>
    <w:docVar w:name="LastEditedSection" w:val=" 1"/>
    <w:docVar w:name="NVAR1" w:val="0"/>
    <w:docVar w:name="strDocTypeID" w:val="PR_COD_1consamCom"/>
    <w:docVar w:name="strSubDir" w:val="1347"/>
    <w:docVar w:name="TXTLANGUE" w:val="FR"/>
    <w:docVar w:name="TXTLANGUEMIN" w:val="fr"/>
    <w:docVar w:name="TXTNRC" w:val="0219/2023"/>
    <w:docVar w:name="TXTNRCOD" w:val="2023/0212"/>
    <w:docVar w:name="TXTNRCOM" w:val="(2023)0369"/>
    <w:docVar w:name="TXTNRPE" w:val="778.135"/>
    <w:docVar w:name="TXTPEorAP" w:val="PE"/>
    <w:docVar w:name="TXTROUTE" w:val="RR\1347066FR.docx"/>
    <w:docVar w:name="TXTTITLE" w:val="on the establishment of the digital euro"/>
    <w:docVar w:name="TXTVERSION" w:val="03-00"/>
  </w:docVars>
  <w:rsids>
    <w:rsidRoot w:val="0076232F"/>
    <w:rsid w:val="00023E5A"/>
    <w:rsid w:val="000631D4"/>
    <w:rsid w:val="000636E2"/>
    <w:rsid w:val="00097293"/>
    <w:rsid w:val="000B1460"/>
    <w:rsid w:val="000D08D7"/>
    <w:rsid w:val="000D0B09"/>
    <w:rsid w:val="00116C66"/>
    <w:rsid w:val="00130D7E"/>
    <w:rsid w:val="00132227"/>
    <w:rsid w:val="00151FEB"/>
    <w:rsid w:val="00153148"/>
    <w:rsid w:val="001532C0"/>
    <w:rsid w:val="00171841"/>
    <w:rsid w:val="001720A7"/>
    <w:rsid w:val="001907B9"/>
    <w:rsid w:val="001A06D8"/>
    <w:rsid w:val="001A26F3"/>
    <w:rsid w:val="001C7270"/>
    <w:rsid w:val="001E2218"/>
    <w:rsid w:val="001E57EA"/>
    <w:rsid w:val="001E6973"/>
    <w:rsid w:val="001F555C"/>
    <w:rsid w:val="001F7D47"/>
    <w:rsid w:val="00215E16"/>
    <w:rsid w:val="002224E6"/>
    <w:rsid w:val="00251426"/>
    <w:rsid w:val="00267150"/>
    <w:rsid w:val="002775EE"/>
    <w:rsid w:val="00284AA9"/>
    <w:rsid w:val="00287F75"/>
    <w:rsid w:val="00292097"/>
    <w:rsid w:val="002948D4"/>
    <w:rsid w:val="00297ED9"/>
    <w:rsid w:val="002B272A"/>
    <w:rsid w:val="002B3AE7"/>
    <w:rsid w:val="002C16AB"/>
    <w:rsid w:val="002D7387"/>
    <w:rsid w:val="00322342"/>
    <w:rsid w:val="0032442B"/>
    <w:rsid w:val="00332734"/>
    <w:rsid w:val="00342672"/>
    <w:rsid w:val="003435B6"/>
    <w:rsid w:val="003845A6"/>
    <w:rsid w:val="003B0D2F"/>
    <w:rsid w:val="003E5070"/>
    <w:rsid w:val="003E56A1"/>
    <w:rsid w:val="003F64B3"/>
    <w:rsid w:val="00402B8D"/>
    <w:rsid w:val="004152BD"/>
    <w:rsid w:val="004502C7"/>
    <w:rsid w:val="0045513F"/>
    <w:rsid w:val="00461914"/>
    <w:rsid w:val="0046368D"/>
    <w:rsid w:val="0047285A"/>
    <w:rsid w:val="00484FEF"/>
    <w:rsid w:val="004A0644"/>
    <w:rsid w:val="004A0667"/>
    <w:rsid w:val="004A29B6"/>
    <w:rsid w:val="004B0994"/>
    <w:rsid w:val="004C34F4"/>
    <w:rsid w:val="004E14D1"/>
    <w:rsid w:val="004E254D"/>
    <w:rsid w:val="004F1D9B"/>
    <w:rsid w:val="0050599C"/>
    <w:rsid w:val="005278AC"/>
    <w:rsid w:val="00527C5C"/>
    <w:rsid w:val="00543B7B"/>
    <w:rsid w:val="005508B4"/>
    <w:rsid w:val="005623A8"/>
    <w:rsid w:val="0056397F"/>
    <w:rsid w:val="005733DF"/>
    <w:rsid w:val="00587409"/>
    <w:rsid w:val="0059571E"/>
    <w:rsid w:val="005A1610"/>
    <w:rsid w:val="005A75E2"/>
    <w:rsid w:val="005D3451"/>
    <w:rsid w:val="006058F8"/>
    <w:rsid w:val="006138E1"/>
    <w:rsid w:val="00613B3C"/>
    <w:rsid w:val="006177EB"/>
    <w:rsid w:val="00643FD8"/>
    <w:rsid w:val="006506C7"/>
    <w:rsid w:val="00697F85"/>
    <w:rsid w:val="006A0D19"/>
    <w:rsid w:val="006A385A"/>
    <w:rsid w:val="006B2819"/>
    <w:rsid w:val="006B316F"/>
    <w:rsid w:val="006B3712"/>
    <w:rsid w:val="006D376D"/>
    <w:rsid w:val="006E51DB"/>
    <w:rsid w:val="006E6E2B"/>
    <w:rsid w:val="006F7107"/>
    <w:rsid w:val="00704B3C"/>
    <w:rsid w:val="007160DB"/>
    <w:rsid w:val="007232F7"/>
    <w:rsid w:val="00740D24"/>
    <w:rsid w:val="0074235C"/>
    <w:rsid w:val="00744AD0"/>
    <w:rsid w:val="007543D7"/>
    <w:rsid w:val="0076232F"/>
    <w:rsid w:val="00775B91"/>
    <w:rsid w:val="00781E66"/>
    <w:rsid w:val="007915DD"/>
    <w:rsid w:val="007A775E"/>
    <w:rsid w:val="007B1333"/>
    <w:rsid w:val="007B28F8"/>
    <w:rsid w:val="007D1333"/>
    <w:rsid w:val="007D611D"/>
    <w:rsid w:val="007F18C2"/>
    <w:rsid w:val="008233C3"/>
    <w:rsid w:val="00833FA8"/>
    <w:rsid w:val="00842A4F"/>
    <w:rsid w:val="0086266B"/>
    <w:rsid w:val="0087536A"/>
    <w:rsid w:val="00893315"/>
    <w:rsid w:val="008A4D98"/>
    <w:rsid w:val="008C0BB9"/>
    <w:rsid w:val="008C399E"/>
    <w:rsid w:val="008D433B"/>
    <w:rsid w:val="008E22DF"/>
    <w:rsid w:val="009144E8"/>
    <w:rsid w:val="00932CA4"/>
    <w:rsid w:val="00933927"/>
    <w:rsid w:val="00981524"/>
    <w:rsid w:val="00985833"/>
    <w:rsid w:val="009D3F02"/>
    <w:rsid w:val="009F1552"/>
    <w:rsid w:val="009F3B14"/>
    <w:rsid w:val="00A02FE7"/>
    <w:rsid w:val="00A33B53"/>
    <w:rsid w:val="00A34CB9"/>
    <w:rsid w:val="00A44CC5"/>
    <w:rsid w:val="00A55EFE"/>
    <w:rsid w:val="00A6214C"/>
    <w:rsid w:val="00A63553"/>
    <w:rsid w:val="00A66EAB"/>
    <w:rsid w:val="00A85BE8"/>
    <w:rsid w:val="00A9494F"/>
    <w:rsid w:val="00AB33F2"/>
    <w:rsid w:val="00AD26AD"/>
    <w:rsid w:val="00AE320B"/>
    <w:rsid w:val="00B03ED6"/>
    <w:rsid w:val="00B0781C"/>
    <w:rsid w:val="00B26D52"/>
    <w:rsid w:val="00B36B3A"/>
    <w:rsid w:val="00B4130A"/>
    <w:rsid w:val="00B4162C"/>
    <w:rsid w:val="00B51F69"/>
    <w:rsid w:val="00B56BC9"/>
    <w:rsid w:val="00B77677"/>
    <w:rsid w:val="00B823D4"/>
    <w:rsid w:val="00B85C30"/>
    <w:rsid w:val="00B950E2"/>
    <w:rsid w:val="00BA41AC"/>
    <w:rsid w:val="00BA47CC"/>
    <w:rsid w:val="00BD28D4"/>
    <w:rsid w:val="00BE4EC7"/>
    <w:rsid w:val="00BF1A3C"/>
    <w:rsid w:val="00BF33BC"/>
    <w:rsid w:val="00BF78BF"/>
    <w:rsid w:val="00C0751A"/>
    <w:rsid w:val="00C11EAA"/>
    <w:rsid w:val="00C13A18"/>
    <w:rsid w:val="00C657E8"/>
    <w:rsid w:val="00C67923"/>
    <w:rsid w:val="00C70911"/>
    <w:rsid w:val="00CA0FE6"/>
    <w:rsid w:val="00CA6AB4"/>
    <w:rsid w:val="00CD41DC"/>
    <w:rsid w:val="00D0672D"/>
    <w:rsid w:val="00D31FCB"/>
    <w:rsid w:val="00D40C3D"/>
    <w:rsid w:val="00D73024"/>
    <w:rsid w:val="00D80CDD"/>
    <w:rsid w:val="00D976F8"/>
    <w:rsid w:val="00DA79A3"/>
    <w:rsid w:val="00DB669B"/>
    <w:rsid w:val="00DB7255"/>
    <w:rsid w:val="00DC2961"/>
    <w:rsid w:val="00DC3DED"/>
    <w:rsid w:val="00DC4E61"/>
    <w:rsid w:val="00DD5DB1"/>
    <w:rsid w:val="00E001AD"/>
    <w:rsid w:val="00E153E5"/>
    <w:rsid w:val="00E1725A"/>
    <w:rsid w:val="00E21071"/>
    <w:rsid w:val="00E23258"/>
    <w:rsid w:val="00E46B7E"/>
    <w:rsid w:val="00E54998"/>
    <w:rsid w:val="00E865E0"/>
    <w:rsid w:val="00E910F1"/>
    <w:rsid w:val="00EA10D2"/>
    <w:rsid w:val="00EA22BE"/>
    <w:rsid w:val="00EB6119"/>
    <w:rsid w:val="00ED0821"/>
    <w:rsid w:val="00ED6403"/>
    <w:rsid w:val="00ED761F"/>
    <w:rsid w:val="00EF3A22"/>
    <w:rsid w:val="00EF3E15"/>
    <w:rsid w:val="00EF5081"/>
    <w:rsid w:val="00F02F34"/>
    <w:rsid w:val="00F11079"/>
    <w:rsid w:val="00F17D00"/>
    <w:rsid w:val="00F2569F"/>
    <w:rsid w:val="00F318A3"/>
    <w:rsid w:val="00F37023"/>
    <w:rsid w:val="00F504BB"/>
    <w:rsid w:val="00F505FD"/>
    <w:rsid w:val="00F7036A"/>
    <w:rsid w:val="00F7748F"/>
    <w:rsid w:val="00F83934"/>
    <w:rsid w:val="00F92DB3"/>
    <w:rsid w:val="00F943AD"/>
    <w:rsid w:val="00F94481"/>
    <w:rsid w:val="00F958A5"/>
    <w:rsid w:val="00FB0BAE"/>
    <w:rsid w:val="00FB26D2"/>
    <w:rsid w:val="00FE2F8D"/>
    <w:rsid w:val="00FE77C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EE52F"/>
  <w15:chartTrackingRefBased/>
  <w15:docId w15:val="{C693844D-6B4C-486F-AB86-DA2819B07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792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3ED6"/>
    <w:pPr>
      <w:spacing w:before="480" w:after="240"/>
    </w:pPr>
  </w:style>
  <w:style w:type="paragraph" w:styleId="TOC1">
    <w:name w:val="toc 1"/>
    <w:basedOn w:val="Normal"/>
    <w:next w:val="Normal"/>
    <w:autoRedefine/>
    <w:uiPriority w:val="39"/>
    <w:rsid w:val="002C16A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DC4E61"/>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6B3712"/>
    <w:pPr>
      <w:spacing w:after="240"/>
      <w:jc w:val="center"/>
    </w:pPr>
  </w:style>
  <w:style w:type="paragraph" w:customStyle="1" w:styleId="CoverReference">
    <w:name w:val="CoverReference"/>
    <w:basedOn w:val="Normal"/>
    <w:rsid w:val="00BA47CC"/>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C4E6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740D24"/>
    <w:pPr>
      <w:tabs>
        <w:tab w:val="center" w:pos="4513"/>
        <w:tab w:val="right" w:pos="9026"/>
      </w:tabs>
    </w:pPr>
  </w:style>
  <w:style w:type="paragraph" w:customStyle="1" w:styleId="AmNumberTabs">
    <w:name w:val="AmNumberTabs"/>
    <w:basedOn w:val="Normal"/>
    <w:rsid w:val="00842A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link w:val="FootnoteTextChar"/>
    <w:uiPriority w:val="99"/>
    <w:rsid w:val="00C0751A"/>
    <w:pPr>
      <w:widowControl/>
    </w:pPr>
    <w:rPr>
      <w:sz w:val="20"/>
    </w:rPr>
  </w:style>
  <w:style w:type="character" w:styleId="FootnoteReference">
    <w:name w:val="footnote reference"/>
    <w:link w:val="16Point"/>
    <w:uiPriority w:val="99"/>
    <w:rsid w:val="00842A4F"/>
    <w:rPr>
      <w:vertAlign w:val="superscript"/>
    </w:rPr>
  </w:style>
  <w:style w:type="paragraph" w:customStyle="1" w:styleId="AmHeadingConsam">
    <w:name w:val="AmHeadingConsam"/>
    <w:basedOn w:val="Normal"/>
    <w:next w:val="NormalCenter12a"/>
    <w:rsid w:val="00A85BE8"/>
    <w:pPr>
      <w:spacing w:before="720" w:after="240"/>
      <w:jc w:val="center"/>
    </w:pPr>
  </w:style>
  <w:style w:type="table" w:styleId="TableGrid">
    <w:name w:val="Table Grid"/>
    <w:basedOn w:val="TableNormal"/>
    <w:rsid w:val="00332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332734"/>
    <w:pPr>
      <w:jc w:val="center"/>
    </w:pPr>
    <w:rPr>
      <w:rFonts w:ascii="Arial" w:hAnsi="Arial" w:cs="Arial"/>
      <w:i/>
      <w:sz w:val="22"/>
      <w:szCs w:val="22"/>
    </w:rPr>
  </w:style>
  <w:style w:type="paragraph" w:customStyle="1" w:styleId="LineTop">
    <w:name w:val="LineTop"/>
    <w:basedOn w:val="Normal"/>
    <w:next w:val="Normal"/>
    <w:rsid w:val="003327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32734"/>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6506C7"/>
    <w:pPr>
      <w:spacing w:before="80" w:after="80"/>
    </w:pPr>
    <w:rPr>
      <w:rFonts w:ascii="Arial Narrow" w:hAnsi="Arial Narrow" w:cs="Arial"/>
      <w:b/>
      <w:sz w:val="32"/>
      <w:szCs w:val="22"/>
    </w:rPr>
  </w:style>
  <w:style w:type="paragraph" w:customStyle="1" w:styleId="EPTerm">
    <w:name w:val="EPTerm"/>
    <w:basedOn w:val="Normal"/>
    <w:next w:val="Normal"/>
    <w:rsid w:val="006506C7"/>
    <w:pPr>
      <w:spacing w:after="80"/>
    </w:pPr>
    <w:rPr>
      <w:rFonts w:ascii="Arial" w:hAnsi="Arial" w:cs="Arial"/>
      <w:sz w:val="20"/>
      <w:szCs w:val="22"/>
    </w:rPr>
  </w:style>
  <w:style w:type="paragraph" w:customStyle="1" w:styleId="EPLogo">
    <w:name w:val="EPLogo"/>
    <w:basedOn w:val="Normal"/>
    <w:qFormat/>
    <w:rsid w:val="006506C7"/>
    <w:pPr>
      <w:jc w:val="right"/>
    </w:pPr>
  </w:style>
  <w:style w:type="paragraph" w:customStyle="1" w:styleId="EPFooter">
    <w:name w:val="EPFooter"/>
    <w:basedOn w:val="Normal"/>
    <w:rsid w:val="00DC4E61"/>
    <w:pPr>
      <w:tabs>
        <w:tab w:val="center" w:pos="4535"/>
        <w:tab w:val="right" w:pos="9071"/>
      </w:tabs>
      <w:spacing w:before="240" w:after="240"/>
    </w:pPr>
    <w:rPr>
      <w:color w:val="010000"/>
      <w:sz w:val="22"/>
    </w:rPr>
  </w:style>
  <w:style w:type="character" w:styleId="PageNumber">
    <w:name w:val="page number"/>
    <w:basedOn w:val="DefaultParagraphFont"/>
    <w:semiHidden/>
    <w:rsid w:val="005278AC"/>
  </w:style>
  <w:style w:type="character" w:customStyle="1" w:styleId="HeaderChar">
    <w:name w:val="Header Char"/>
    <w:basedOn w:val="DefaultParagraphFont"/>
    <w:link w:val="Header"/>
    <w:semiHidden/>
    <w:rsid w:val="00740D24"/>
    <w:rPr>
      <w:sz w:val="24"/>
    </w:rPr>
  </w:style>
  <w:style w:type="paragraph" w:customStyle="1" w:styleId="Lgendesigne">
    <w:name w:val="Légende signe"/>
    <w:basedOn w:val="Normal"/>
    <w:rsid w:val="00985833"/>
    <w:pPr>
      <w:tabs>
        <w:tab w:val="right" w:pos="454"/>
        <w:tab w:val="left" w:pos="737"/>
      </w:tabs>
      <w:ind w:left="737" w:hanging="737"/>
    </w:pPr>
    <w:rPr>
      <w:snapToGrid w:val="0"/>
      <w:sz w:val="18"/>
      <w:lang w:eastAsia="en-US"/>
    </w:rPr>
  </w:style>
  <w:style w:type="paragraph" w:customStyle="1" w:styleId="Lgendetitre">
    <w:name w:val="Légende titre"/>
    <w:basedOn w:val="Normal"/>
    <w:rsid w:val="00985833"/>
    <w:pPr>
      <w:spacing w:before="240" w:after="240"/>
    </w:pPr>
    <w:rPr>
      <w:b/>
      <w:i/>
      <w:snapToGrid w:val="0"/>
      <w:lang w:eastAsia="en-US"/>
    </w:rPr>
  </w:style>
  <w:style w:type="paragraph" w:customStyle="1" w:styleId="Lgendestandard">
    <w:name w:val="Légende standard"/>
    <w:basedOn w:val="Normal"/>
    <w:rsid w:val="00985833"/>
    <w:rPr>
      <w:sz w:val="18"/>
    </w:rPr>
  </w:style>
  <w:style w:type="paragraph" w:customStyle="1" w:styleId="16Point">
    <w:name w:val="16 Point"/>
    <w:aliases w:val="Superscript 6 Point,Exposant 3 Point,footnote ref,2001+ Fußnotenzeichen,Times 10 Point,Voetnootverwijzing,FR,FR1"/>
    <w:basedOn w:val="Normal"/>
    <w:link w:val="FootnoteReference"/>
    <w:uiPriority w:val="99"/>
    <w:qFormat/>
    <w:rsid w:val="002775EE"/>
    <w:pPr>
      <w:widowControl/>
      <w:spacing w:after="160" w:line="240" w:lineRule="exact"/>
    </w:pPr>
    <w:rPr>
      <w:sz w:val="20"/>
      <w:vertAlign w:val="superscript"/>
    </w:rPr>
  </w:style>
  <w:style w:type="paragraph" w:styleId="Footer">
    <w:name w:val="footer"/>
    <w:basedOn w:val="Normal"/>
    <w:link w:val="FooterChar"/>
    <w:semiHidden/>
    <w:rsid w:val="002775EE"/>
    <w:pPr>
      <w:tabs>
        <w:tab w:val="center" w:pos="4513"/>
        <w:tab w:val="right" w:pos="9026"/>
      </w:tabs>
    </w:pPr>
  </w:style>
  <w:style w:type="character" w:customStyle="1" w:styleId="FooterChar">
    <w:name w:val="Footer Char"/>
    <w:basedOn w:val="DefaultParagraphFont"/>
    <w:link w:val="Footer"/>
    <w:semiHidden/>
    <w:rsid w:val="002775EE"/>
    <w:rPr>
      <w:sz w:val="24"/>
    </w:rPr>
  </w:style>
  <w:style w:type="paragraph" w:styleId="ListParagraph">
    <w:name w:val="List Paragraph"/>
    <w:basedOn w:val="Normal"/>
    <w:uiPriority w:val="34"/>
    <w:qFormat/>
    <w:rsid w:val="001E6973"/>
    <w:pPr>
      <w:ind w:left="720"/>
      <w:contextualSpacing/>
    </w:pPr>
  </w:style>
  <w:style w:type="paragraph" w:customStyle="1" w:styleId="Normal24a">
    <w:name w:val="Normal24a"/>
    <w:basedOn w:val="Normal"/>
    <w:rsid w:val="00EF3A22"/>
    <w:pPr>
      <w:spacing w:after="480"/>
    </w:pPr>
  </w:style>
  <w:style w:type="paragraph" w:customStyle="1" w:styleId="NormalBoldCenter">
    <w:name w:val="NormalBoldCenter"/>
    <w:basedOn w:val="Normal"/>
    <w:rsid w:val="00EF3A22"/>
    <w:pPr>
      <w:jc w:val="center"/>
    </w:pPr>
    <w:rPr>
      <w:b/>
    </w:rPr>
  </w:style>
  <w:style w:type="paragraph" w:customStyle="1" w:styleId="Footprint12b">
    <w:name w:val="Footprint12b"/>
    <w:basedOn w:val="Normal"/>
    <w:rsid w:val="00EF3A22"/>
    <w:pPr>
      <w:spacing w:before="240"/>
    </w:pPr>
    <w:rPr>
      <w:szCs w:val="24"/>
    </w:rPr>
  </w:style>
  <w:style w:type="paragraph" w:customStyle="1" w:styleId="NormalSingle">
    <w:name w:val="NormalSingle"/>
    <w:basedOn w:val="Normal"/>
    <w:qFormat/>
    <w:rsid w:val="00EF3A22"/>
    <w:rPr>
      <w:szCs w:val="24"/>
    </w:rPr>
  </w:style>
  <w:style w:type="character" w:styleId="Hyperlink">
    <w:name w:val="Hyperlink"/>
    <w:basedOn w:val="DefaultParagraphFont"/>
    <w:rsid w:val="00EF3A22"/>
    <w:rPr>
      <w:color w:val="0563C1" w:themeColor="hyperlink"/>
      <w:u w:val="single"/>
    </w:rPr>
  </w:style>
  <w:style w:type="character" w:styleId="UnresolvedMention">
    <w:name w:val="Unresolved Mention"/>
    <w:basedOn w:val="DefaultParagraphFont"/>
    <w:uiPriority w:val="99"/>
    <w:semiHidden/>
    <w:unhideWhenUsed/>
    <w:rsid w:val="00EF3A22"/>
    <w:rPr>
      <w:color w:val="605E5C"/>
      <w:shd w:val="clear" w:color="auto" w:fill="E1DFDD"/>
    </w:rPr>
  </w:style>
  <w:style w:type="paragraph" w:customStyle="1" w:styleId="Normal12a">
    <w:name w:val="Normal12a"/>
    <w:basedOn w:val="Normal"/>
    <w:rsid w:val="00EF3A22"/>
    <w:pPr>
      <w:spacing w:after="240"/>
    </w:pPr>
  </w:style>
  <w:style w:type="paragraph" w:customStyle="1" w:styleId="RollCallVotes">
    <w:name w:val="RollCallVotes"/>
    <w:basedOn w:val="Normal"/>
    <w:rsid w:val="00EF3A22"/>
    <w:pPr>
      <w:spacing w:before="120" w:after="120"/>
      <w:jc w:val="center"/>
    </w:pPr>
    <w:rPr>
      <w:b/>
      <w:bCs/>
      <w:snapToGrid w:val="0"/>
      <w:sz w:val="16"/>
      <w:lang w:eastAsia="en-US"/>
    </w:rPr>
  </w:style>
  <w:style w:type="paragraph" w:customStyle="1" w:styleId="RollCallTabs">
    <w:name w:val="RollCallTabs"/>
    <w:basedOn w:val="Normal"/>
    <w:qFormat/>
    <w:rsid w:val="00EF3A22"/>
    <w:pPr>
      <w:tabs>
        <w:tab w:val="center" w:pos="284"/>
        <w:tab w:val="left" w:pos="426"/>
      </w:tabs>
    </w:pPr>
    <w:rPr>
      <w:snapToGrid w:val="0"/>
      <w:lang w:eastAsia="en-US"/>
    </w:rPr>
  </w:style>
  <w:style w:type="paragraph" w:customStyle="1" w:styleId="RollCallSymbols14pt">
    <w:name w:val="RollCallSymbols14pt"/>
    <w:basedOn w:val="Normal"/>
    <w:rsid w:val="00EF3A22"/>
    <w:pPr>
      <w:spacing w:before="120" w:after="120"/>
      <w:jc w:val="center"/>
    </w:pPr>
    <w:rPr>
      <w:rFonts w:ascii="Arial" w:hAnsi="Arial"/>
      <w:b/>
      <w:bCs/>
      <w:snapToGrid w:val="0"/>
      <w:sz w:val="28"/>
      <w:lang w:eastAsia="en-US"/>
    </w:rPr>
  </w:style>
  <w:style w:type="paragraph" w:customStyle="1" w:styleId="RollCallTable">
    <w:name w:val="RollCallTable"/>
    <w:basedOn w:val="Normal"/>
    <w:rsid w:val="00EF3A22"/>
    <w:pPr>
      <w:spacing w:before="120" w:after="120"/>
    </w:pPr>
    <w:rPr>
      <w:snapToGrid w:val="0"/>
      <w:sz w:val="16"/>
      <w:lang w:eastAsia="en-US"/>
    </w:rPr>
  </w:style>
  <w:style w:type="character" w:styleId="Strong">
    <w:name w:val="Strong"/>
    <w:basedOn w:val="DefaultParagraphFont"/>
    <w:uiPriority w:val="22"/>
    <w:qFormat/>
    <w:rsid w:val="006A0D19"/>
    <w:rPr>
      <w:b/>
      <w:bCs/>
    </w:rPr>
  </w:style>
  <w:style w:type="paragraph" w:styleId="NormalWeb">
    <w:name w:val="Normal (Web)"/>
    <w:basedOn w:val="Normal"/>
    <w:uiPriority w:val="99"/>
    <w:unhideWhenUsed/>
    <w:rsid w:val="006A0D19"/>
    <w:pPr>
      <w:widowControl/>
      <w:spacing w:before="100" w:beforeAutospacing="1" w:after="100" w:afterAutospacing="1"/>
    </w:pPr>
    <w:rPr>
      <w:szCs w:val="24"/>
    </w:rPr>
  </w:style>
  <w:style w:type="paragraph" w:styleId="Revision">
    <w:name w:val="Revision"/>
    <w:hidden/>
    <w:uiPriority w:val="99"/>
    <w:semiHidden/>
    <w:rsid w:val="006D376D"/>
    <w:rPr>
      <w:sz w:val="24"/>
    </w:rPr>
  </w:style>
  <w:style w:type="character" w:styleId="CommentReference">
    <w:name w:val="annotation reference"/>
    <w:basedOn w:val="DefaultParagraphFont"/>
    <w:rsid w:val="006F7107"/>
    <w:rPr>
      <w:sz w:val="16"/>
      <w:szCs w:val="16"/>
    </w:rPr>
  </w:style>
  <w:style w:type="paragraph" w:styleId="CommentText">
    <w:name w:val="annotation text"/>
    <w:basedOn w:val="Normal"/>
    <w:link w:val="CommentTextChar"/>
    <w:rsid w:val="006F7107"/>
    <w:rPr>
      <w:sz w:val="20"/>
    </w:rPr>
  </w:style>
  <w:style w:type="character" w:customStyle="1" w:styleId="CommentTextChar">
    <w:name w:val="Comment Text Char"/>
    <w:basedOn w:val="DefaultParagraphFont"/>
    <w:link w:val="CommentText"/>
    <w:rsid w:val="006F7107"/>
  </w:style>
  <w:style w:type="paragraph" w:styleId="CommentSubject">
    <w:name w:val="annotation subject"/>
    <w:basedOn w:val="CommentText"/>
    <w:next w:val="CommentText"/>
    <w:link w:val="CommentSubjectChar"/>
    <w:semiHidden/>
    <w:unhideWhenUsed/>
    <w:rsid w:val="006F7107"/>
    <w:rPr>
      <w:b/>
      <w:bCs/>
    </w:rPr>
  </w:style>
  <w:style w:type="character" w:customStyle="1" w:styleId="CommentSubjectChar">
    <w:name w:val="Comment Subject Char"/>
    <w:basedOn w:val="CommentTextChar"/>
    <w:link w:val="CommentSubject"/>
    <w:semiHidden/>
    <w:rsid w:val="006F7107"/>
    <w:rPr>
      <w:b/>
      <w:bCs/>
    </w:rPr>
  </w:style>
  <w:style w:type="character" w:customStyle="1" w:styleId="FootnoteTextChar">
    <w:name w:val="Footnote Text Char"/>
    <w:basedOn w:val="DefaultParagraphFont"/>
    <w:link w:val="FootnoteText"/>
    <w:uiPriority w:val="99"/>
    <w:rsid w:val="00D73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643">
      <w:bodyDiv w:val="1"/>
      <w:marLeft w:val="0"/>
      <w:marRight w:val="0"/>
      <w:marTop w:val="0"/>
      <w:marBottom w:val="0"/>
      <w:divBdr>
        <w:top w:val="none" w:sz="0" w:space="0" w:color="auto"/>
        <w:left w:val="none" w:sz="0" w:space="0" w:color="auto"/>
        <w:bottom w:val="none" w:sz="0" w:space="0" w:color="auto"/>
        <w:right w:val="none" w:sz="0" w:space="0" w:color="auto"/>
      </w:divBdr>
    </w:div>
    <w:div w:id="35932706">
      <w:bodyDiv w:val="1"/>
      <w:marLeft w:val="0"/>
      <w:marRight w:val="0"/>
      <w:marTop w:val="0"/>
      <w:marBottom w:val="0"/>
      <w:divBdr>
        <w:top w:val="none" w:sz="0" w:space="0" w:color="auto"/>
        <w:left w:val="none" w:sz="0" w:space="0" w:color="auto"/>
        <w:bottom w:val="none" w:sz="0" w:space="0" w:color="auto"/>
        <w:right w:val="none" w:sz="0" w:space="0" w:color="auto"/>
      </w:divBdr>
    </w:div>
    <w:div w:id="64452594">
      <w:bodyDiv w:val="1"/>
      <w:marLeft w:val="0"/>
      <w:marRight w:val="0"/>
      <w:marTop w:val="0"/>
      <w:marBottom w:val="0"/>
      <w:divBdr>
        <w:top w:val="none" w:sz="0" w:space="0" w:color="auto"/>
        <w:left w:val="none" w:sz="0" w:space="0" w:color="auto"/>
        <w:bottom w:val="none" w:sz="0" w:space="0" w:color="auto"/>
        <w:right w:val="none" w:sz="0" w:space="0" w:color="auto"/>
      </w:divBdr>
    </w:div>
    <w:div w:id="113644083">
      <w:bodyDiv w:val="1"/>
      <w:marLeft w:val="0"/>
      <w:marRight w:val="0"/>
      <w:marTop w:val="0"/>
      <w:marBottom w:val="0"/>
      <w:divBdr>
        <w:top w:val="none" w:sz="0" w:space="0" w:color="auto"/>
        <w:left w:val="none" w:sz="0" w:space="0" w:color="auto"/>
        <w:bottom w:val="none" w:sz="0" w:space="0" w:color="auto"/>
        <w:right w:val="none" w:sz="0" w:space="0" w:color="auto"/>
      </w:divBdr>
    </w:div>
    <w:div w:id="139885669">
      <w:bodyDiv w:val="1"/>
      <w:marLeft w:val="0"/>
      <w:marRight w:val="0"/>
      <w:marTop w:val="0"/>
      <w:marBottom w:val="0"/>
      <w:divBdr>
        <w:top w:val="none" w:sz="0" w:space="0" w:color="auto"/>
        <w:left w:val="none" w:sz="0" w:space="0" w:color="auto"/>
        <w:bottom w:val="none" w:sz="0" w:space="0" w:color="auto"/>
        <w:right w:val="none" w:sz="0" w:space="0" w:color="auto"/>
      </w:divBdr>
    </w:div>
    <w:div w:id="144052425">
      <w:bodyDiv w:val="1"/>
      <w:marLeft w:val="0"/>
      <w:marRight w:val="0"/>
      <w:marTop w:val="0"/>
      <w:marBottom w:val="0"/>
      <w:divBdr>
        <w:top w:val="none" w:sz="0" w:space="0" w:color="auto"/>
        <w:left w:val="none" w:sz="0" w:space="0" w:color="auto"/>
        <w:bottom w:val="none" w:sz="0" w:space="0" w:color="auto"/>
        <w:right w:val="none" w:sz="0" w:space="0" w:color="auto"/>
      </w:divBdr>
    </w:div>
    <w:div w:id="144321485">
      <w:bodyDiv w:val="1"/>
      <w:marLeft w:val="0"/>
      <w:marRight w:val="0"/>
      <w:marTop w:val="0"/>
      <w:marBottom w:val="0"/>
      <w:divBdr>
        <w:top w:val="none" w:sz="0" w:space="0" w:color="auto"/>
        <w:left w:val="none" w:sz="0" w:space="0" w:color="auto"/>
        <w:bottom w:val="none" w:sz="0" w:space="0" w:color="auto"/>
        <w:right w:val="none" w:sz="0" w:space="0" w:color="auto"/>
      </w:divBdr>
    </w:div>
    <w:div w:id="155415394">
      <w:bodyDiv w:val="1"/>
      <w:marLeft w:val="0"/>
      <w:marRight w:val="0"/>
      <w:marTop w:val="0"/>
      <w:marBottom w:val="0"/>
      <w:divBdr>
        <w:top w:val="none" w:sz="0" w:space="0" w:color="auto"/>
        <w:left w:val="none" w:sz="0" w:space="0" w:color="auto"/>
        <w:bottom w:val="none" w:sz="0" w:space="0" w:color="auto"/>
        <w:right w:val="none" w:sz="0" w:space="0" w:color="auto"/>
      </w:divBdr>
    </w:div>
    <w:div w:id="174074404">
      <w:bodyDiv w:val="1"/>
      <w:marLeft w:val="0"/>
      <w:marRight w:val="0"/>
      <w:marTop w:val="0"/>
      <w:marBottom w:val="0"/>
      <w:divBdr>
        <w:top w:val="none" w:sz="0" w:space="0" w:color="auto"/>
        <w:left w:val="none" w:sz="0" w:space="0" w:color="auto"/>
        <w:bottom w:val="none" w:sz="0" w:space="0" w:color="auto"/>
        <w:right w:val="none" w:sz="0" w:space="0" w:color="auto"/>
      </w:divBdr>
    </w:div>
    <w:div w:id="284040953">
      <w:bodyDiv w:val="1"/>
      <w:marLeft w:val="0"/>
      <w:marRight w:val="0"/>
      <w:marTop w:val="0"/>
      <w:marBottom w:val="0"/>
      <w:divBdr>
        <w:top w:val="none" w:sz="0" w:space="0" w:color="auto"/>
        <w:left w:val="none" w:sz="0" w:space="0" w:color="auto"/>
        <w:bottom w:val="none" w:sz="0" w:space="0" w:color="auto"/>
        <w:right w:val="none" w:sz="0" w:space="0" w:color="auto"/>
      </w:divBdr>
    </w:div>
    <w:div w:id="291330634">
      <w:bodyDiv w:val="1"/>
      <w:marLeft w:val="0"/>
      <w:marRight w:val="0"/>
      <w:marTop w:val="0"/>
      <w:marBottom w:val="0"/>
      <w:divBdr>
        <w:top w:val="none" w:sz="0" w:space="0" w:color="auto"/>
        <w:left w:val="none" w:sz="0" w:space="0" w:color="auto"/>
        <w:bottom w:val="none" w:sz="0" w:space="0" w:color="auto"/>
        <w:right w:val="none" w:sz="0" w:space="0" w:color="auto"/>
      </w:divBdr>
    </w:div>
    <w:div w:id="335964137">
      <w:bodyDiv w:val="1"/>
      <w:marLeft w:val="0"/>
      <w:marRight w:val="0"/>
      <w:marTop w:val="0"/>
      <w:marBottom w:val="0"/>
      <w:divBdr>
        <w:top w:val="none" w:sz="0" w:space="0" w:color="auto"/>
        <w:left w:val="none" w:sz="0" w:space="0" w:color="auto"/>
        <w:bottom w:val="none" w:sz="0" w:space="0" w:color="auto"/>
        <w:right w:val="none" w:sz="0" w:space="0" w:color="auto"/>
      </w:divBdr>
    </w:div>
    <w:div w:id="338656686">
      <w:bodyDiv w:val="1"/>
      <w:marLeft w:val="0"/>
      <w:marRight w:val="0"/>
      <w:marTop w:val="0"/>
      <w:marBottom w:val="0"/>
      <w:divBdr>
        <w:top w:val="none" w:sz="0" w:space="0" w:color="auto"/>
        <w:left w:val="none" w:sz="0" w:space="0" w:color="auto"/>
        <w:bottom w:val="none" w:sz="0" w:space="0" w:color="auto"/>
        <w:right w:val="none" w:sz="0" w:space="0" w:color="auto"/>
      </w:divBdr>
    </w:div>
    <w:div w:id="359816379">
      <w:bodyDiv w:val="1"/>
      <w:marLeft w:val="0"/>
      <w:marRight w:val="0"/>
      <w:marTop w:val="0"/>
      <w:marBottom w:val="0"/>
      <w:divBdr>
        <w:top w:val="none" w:sz="0" w:space="0" w:color="auto"/>
        <w:left w:val="none" w:sz="0" w:space="0" w:color="auto"/>
        <w:bottom w:val="none" w:sz="0" w:space="0" w:color="auto"/>
        <w:right w:val="none" w:sz="0" w:space="0" w:color="auto"/>
      </w:divBdr>
    </w:div>
    <w:div w:id="361563814">
      <w:bodyDiv w:val="1"/>
      <w:marLeft w:val="0"/>
      <w:marRight w:val="0"/>
      <w:marTop w:val="0"/>
      <w:marBottom w:val="0"/>
      <w:divBdr>
        <w:top w:val="none" w:sz="0" w:space="0" w:color="auto"/>
        <w:left w:val="none" w:sz="0" w:space="0" w:color="auto"/>
        <w:bottom w:val="none" w:sz="0" w:space="0" w:color="auto"/>
        <w:right w:val="none" w:sz="0" w:space="0" w:color="auto"/>
      </w:divBdr>
    </w:div>
    <w:div w:id="373041245">
      <w:bodyDiv w:val="1"/>
      <w:marLeft w:val="0"/>
      <w:marRight w:val="0"/>
      <w:marTop w:val="0"/>
      <w:marBottom w:val="0"/>
      <w:divBdr>
        <w:top w:val="none" w:sz="0" w:space="0" w:color="auto"/>
        <w:left w:val="none" w:sz="0" w:space="0" w:color="auto"/>
        <w:bottom w:val="none" w:sz="0" w:space="0" w:color="auto"/>
        <w:right w:val="none" w:sz="0" w:space="0" w:color="auto"/>
      </w:divBdr>
    </w:div>
    <w:div w:id="461773623">
      <w:bodyDiv w:val="1"/>
      <w:marLeft w:val="0"/>
      <w:marRight w:val="0"/>
      <w:marTop w:val="0"/>
      <w:marBottom w:val="0"/>
      <w:divBdr>
        <w:top w:val="none" w:sz="0" w:space="0" w:color="auto"/>
        <w:left w:val="none" w:sz="0" w:space="0" w:color="auto"/>
        <w:bottom w:val="none" w:sz="0" w:space="0" w:color="auto"/>
        <w:right w:val="none" w:sz="0" w:space="0" w:color="auto"/>
      </w:divBdr>
    </w:div>
    <w:div w:id="477304293">
      <w:bodyDiv w:val="1"/>
      <w:marLeft w:val="0"/>
      <w:marRight w:val="0"/>
      <w:marTop w:val="0"/>
      <w:marBottom w:val="0"/>
      <w:divBdr>
        <w:top w:val="none" w:sz="0" w:space="0" w:color="auto"/>
        <w:left w:val="none" w:sz="0" w:space="0" w:color="auto"/>
        <w:bottom w:val="none" w:sz="0" w:space="0" w:color="auto"/>
        <w:right w:val="none" w:sz="0" w:space="0" w:color="auto"/>
      </w:divBdr>
    </w:div>
    <w:div w:id="512765798">
      <w:bodyDiv w:val="1"/>
      <w:marLeft w:val="0"/>
      <w:marRight w:val="0"/>
      <w:marTop w:val="0"/>
      <w:marBottom w:val="0"/>
      <w:divBdr>
        <w:top w:val="none" w:sz="0" w:space="0" w:color="auto"/>
        <w:left w:val="none" w:sz="0" w:space="0" w:color="auto"/>
        <w:bottom w:val="none" w:sz="0" w:space="0" w:color="auto"/>
        <w:right w:val="none" w:sz="0" w:space="0" w:color="auto"/>
      </w:divBdr>
    </w:div>
    <w:div w:id="568465364">
      <w:bodyDiv w:val="1"/>
      <w:marLeft w:val="0"/>
      <w:marRight w:val="0"/>
      <w:marTop w:val="0"/>
      <w:marBottom w:val="0"/>
      <w:divBdr>
        <w:top w:val="none" w:sz="0" w:space="0" w:color="auto"/>
        <w:left w:val="none" w:sz="0" w:space="0" w:color="auto"/>
        <w:bottom w:val="none" w:sz="0" w:space="0" w:color="auto"/>
        <w:right w:val="none" w:sz="0" w:space="0" w:color="auto"/>
      </w:divBdr>
    </w:div>
    <w:div w:id="573122672">
      <w:bodyDiv w:val="1"/>
      <w:marLeft w:val="0"/>
      <w:marRight w:val="0"/>
      <w:marTop w:val="0"/>
      <w:marBottom w:val="0"/>
      <w:divBdr>
        <w:top w:val="none" w:sz="0" w:space="0" w:color="auto"/>
        <w:left w:val="none" w:sz="0" w:space="0" w:color="auto"/>
        <w:bottom w:val="none" w:sz="0" w:space="0" w:color="auto"/>
        <w:right w:val="none" w:sz="0" w:space="0" w:color="auto"/>
      </w:divBdr>
    </w:div>
    <w:div w:id="573469303">
      <w:bodyDiv w:val="1"/>
      <w:marLeft w:val="0"/>
      <w:marRight w:val="0"/>
      <w:marTop w:val="0"/>
      <w:marBottom w:val="0"/>
      <w:divBdr>
        <w:top w:val="none" w:sz="0" w:space="0" w:color="auto"/>
        <w:left w:val="none" w:sz="0" w:space="0" w:color="auto"/>
        <w:bottom w:val="none" w:sz="0" w:space="0" w:color="auto"/>
        <w:right w:val="none" w:sz="0" w:space="0" w:color="auto"/>
      </w:divBdr>
    </w:div>
    <w:div w:id="611860981">
      <w:bodyDiv w:val="1"/>
      <w:marLeft w:val="0"/>
      <w:marRight w:val="0"/>
      <w:marTop w:val="0"/>
      <w:marBottom w:val="0"/>
      <w:divBdr>
        <w:top w:val="none" w:sz="0" w:space="0" w:color="auto"/>
        <w:left w:val="none" w:sz="0" w:space="0" w:color="auto"/>
        <w:bottom w:val="none" w:sz="0" w:space="0" w:color="auto"/>
        <w:right w:val="none" w:sz="0" w:space="0" w:color="auto"/>
      </w:divBdr>
    </w:div>
    <w:div w:id="650017046">
      <w:bodyDiv w:val="1"/>
      <w:marLeft w:val="0"/>
      <w:marRight w:val="0"/>
      <w:marTop w:val="0"/>
      <w:marBottom w:val="0"/>
      <w:divBdr>
        <w:top w:val="none" w:sz="0" w:space="0" w:color="auto"/>
        <w:left w:val="none" w:sz="0" w:space="0" w:color="auto"/>
        <w:bottom w:val="none" w:sz="0" w:space="0" w:color="auto"/>
        <w:right w:val="none" w:sz="0" w:space="0" w:color="auto"/>
      </w:divBdr>
    </w:div>
    <w:div w:id="662006259">
      <w:bodyDiv w:val="1"/>
      <w:marLeft w:val="0"/>
      <w:marRight w:val="0"/>
      <w:marTop w:val="0"/>
      <w:marBottom w:val="0"/>
      <w:divBdr>
        <w:top w:val="none" w:sz="0" w:space="0" w:color="auto"/>
        <w:left w:val="none" w:sz="0" w:space="0" w:color="auto"/>
        <w:bottom w:val="none" w:sz="0" w:space="0" w:color="auto"/>
        <w:right w:val="none" w:sz="0" w:space="0" w:color="auto"/>
      </w:divBdr>
    </w:div>
    <w:div w:id="726955866">
      <w:bodyDiv w:val="1"/>
      <w:marLeft w:val="0"/>
      <w:marRight w:val="0"/>
      <w:marTop w:val="0"/>
      <w:marBottom w:val="0"/>
      <w:divBdr>
        <w:top w:val="none" w:sz="0" w:space="0" w:color="auto"/>
        <w:left w:val="none" w:sz="0" w:space="0" w:color="auto"/>
        <w:bottom w:val="none" w:sz="0" w:space="0" w:color="auto"/>
        <w:right w:val="none" w:sz="0" w:space="0" w:color="auto"/>
      </w:divBdr>
    </w:div>
    <w:div w:id="804203522">
      <w:bodyDiv w:val="1"/>
      <w:marLeft w:val="0"/>
      <w:marRight w:val="0"/>
      <w:marTop w:val="0"/>
      <w:marBottom w:val="0"/>
      <w:divBdr>
        <w:top w:val="none" w:sz="0" w:space="0" w:color="auto"/>
        <w:left w:val="none" w:sz="0" w:space="0" w:color="auto"/>
        <w:bottom w:val="none" w:sz="0" w:space="0" w:color="auto"/>
        <w:right w:val="none" w:sz="0" w:space="0" w:color="auto"/>
      </w:divBdr>
    </w:div>
    <w:div w:id="855535123">
      <w:bodyDiv w:val="1"/>
      <w:marLeft w:val="0"/>
      <w:marRight w:val="0"/>
      <w:marTop w:val="0"/>
      <w:marBottom w:val="0"/>
      <w:divBdr>
        <w:top w:val="none" w:sz="0" w:space="0" w:color="auto"/>
        <w:left w:val="none" w:sz="0" w:space="0" w:color="auto"/>
        <w:bottom w:val="none" w:sz="0" w:space="0" w:color="auto"/>
        <w:right w:val="none" w:sz="0" w:space="0" w:color="auto"/>
      </w:divBdr>
    </w:div>
    <w:div w:id="869993319">
      <w:bodyDiv w:val="1"/>
      <w:marLeft w:val="0"/>
      <w:marRight w:val="0"/>
      <w:marTop w:val="0"/>
      <w:marBottom w:val="0"/>
      <w:divBdr>
        <w:top w:val="none" w:sz="0" w:space="0" w:color="auto"/>
        <w:left w:val="none" w:sz="0" w:space="0" w:color="auto"/>
        <w:bottom w:val="none" w:sz="0" w:space="0" w:color="auto"/>
        <w:right w:val="none" w:sz="0" w:space="0" w:color="auto"/>
      </w:divBdr>
    </w:div>
    <w:div w:id="926957897">
      <w:bodyDiv w:val="1"/>
      <w:marLeft w:val="0"/>
      <w:marRight w:val="0"/>
      <w:marTop w:val="0"/>
      <w:marBottom w:val="0"/>
      <w:divBdr>
        <w:top w:val="none" w:sz="0" w:space="0" w:color="auto"/>
        <w:left w:val="none" w:sz="0" w:space="0" w:color="auto"/>
        <w:bottom w:val="none" w:sz="0" w:space="0" w:color="auto"/>
        <w:right w:val="none" w:sz="0" w:space="0" w:color="auto"/>
      </w:divBdr>
    </w:div>
    <w:div w:id="998800949">
      <w:bodyDiv w:val="1"/>
      <w:marLeft w:val="0"/>
      <w:marRight w:val="0"/>
      <w:marTop w:val="0"/>
      <w:marBottom w:val="0"/>
      <w:divBdr>
        <w:top w:val="none" w:sz="0" w:space="0" w:color="auto"/>
        <w:left w:val="none" w:sz="0" w:space="0" w:color="auto"/>
        <w:bottom w:val="none" w:sz="0" w:space="0" w:color="auto"/>
        <w:right w:val="none" w:sz="0" w:space="0" w:color="auto"/>
      </w:divBdr>
    </w:div>
    <w:div w:id="1000889845">
      <w:bodyDiv w:val="1"/>
      <w:marLeft w:val="0"/>
      <w:marRight w:val="0"/>
      <w:marTop w:val="0"/>
      <w:marBottom w:val="0"/>
      <w:divBdr>
        <w:top w:val="none" w:sz="0" w:space="0" w:color="auto"/>
        <w:left w:val="none" w:sz="0" w:space="0" w:color="auto"/>
        <w:bottom w:val="none" w:sz="0" w:space="0" w:color="auto"/>
        <w:right w:val="none" w:sz="0" w:space="0" w:color="auto"/>
      </w:divBdr>
    </w:div>
    <w:div w:id="1023432278">
      <w:bodyDiv w:val="1"/>
      <w:marLeft w:val="0"/>
      <w:marRight w:val="0"/>
      <w:marTop w:val="0"/>
      <w:marBottom w:val="0"/>
      <w:divBdr>
        <w:top w:val="none" w:sz="0" w:space="0" w:color="auto"/>
        <w:left w:val="none" w:sz="0" w:space="0" w:color="auto"/>
        <w:bottom w:val="none" w:sz="0" w:space="0" w:color="auto"/>
        <w:right w:val="none" w:sz="0" w:space="0" w:color="auto"/>
      </w:divBdr>
    </w:div>
    <w:div w:id="1054817649">
      <w:bodyDiv w:val="1"/>
      <w:marLeft w:val="0"/>
      <w:marRight w:val="0"/>
      <w:marTop w:val="0"/>
      <w:marBottom w:val="0"/>
      <w:divBdr>
        <w:top w:val="none" w:sz="0" w:space="0" w:color="auto"/>
        <w:left w:val="none" w:sz="0" w:space="0" w:color="auto"/>
        <w:bottom w:val="none" w:sz="0" w:space="0" w:color="auto"/>
        <w:right w:val="none" w:sz="0" w:space="0" w:color="auto"/>
      </w:divBdr>
    </w:div>
    <w:div w:id="1082802219">
      <w:bodyDiv w:val="1"/>
      <w:marLeft w:val="0"/>
      <w:marRight w:val="0"/>
      <w:marTop w:val="0"/>
      <w:marBottom w:val="0"/>
      <w:divBdr>
        <w:top w:val="none" w:sz="0" w:space="0" w:color="auto"/>
        <w:left w:val="none" w:sz="0" w:space="0" w:color="auto"/>
        <w:bottom w:val="none" w:sz="0" w:space="0" w:color="auto"/>
        <w:right w:val="none" w:sz="0" w:space="0" w:color="auto"/>
      </w:divBdr>
    </w:div>
    <w:div w:id="1082871279">
      <w:bodyDiv w:val="1"/>
      <w:marLeft w:val="0"/>
      <w:marRight w:val="0"/>
      <w:marTop w:val="0"/>
      <w:marBottom w:val="0"/>
      <w:divBdr>
        <w:top w:val="none" w:sz="0" w:space="0" w:color="auto"/>
        <w:left w:val="none" w:sz="0" w:space="0" w:color="auto"/>
        <w:bottom w:val="none" w:sz="0" w:space="0" w:color="auto"/>
        <w:right w:val="none" w:sz="0" w:space="0" w:color="auto"/>
      </w:divBdr>
    </w:div>
    <w:div w:id="1111432741">
      <w:bodyDiv w:val="1"/>
      <w:marLeft w:val="0"/>
      <w:marRight w:val="0"/>
      <w:marTop w:val="0"/>
      <w:marBottom w:val="0"/>
      <w:divBdr>
        <w:top w:val="none" w:sz="0" w:space="0" w:color="auto"/>
        <w:left w:val="none" w:sz="0" w:space="0" w:color="auto"/>
        <w:bottom w:val="none" w:sz="0" w:space="0" w:color="auto"/>
        <w:right w:val="none" w:sz="0" w:space="0" w:color="auto"/>
      </w:divBdr>
    </w:div>
    <w:div w:id="1122766751">
      <w:bodyDiv w:val="1"/>
      <w:marLeft w:val="0"/>
      <w:marRight w:val="0"/>
      <w:marTop w:val="0"/>
      <w:marBottom w:val="0"/>
      <w:divBdr>
        <w:top w:val="none" w:sz="0" w:space="0" w:color="auto"/>
        <w:left w:val="none" w:sz="0" w:space="0" w:color="auto"/>
        <w:bottom w:val="none" w:sz="0" w:space="0" w:color="auto"/>
        <w:right w:val="none" w:sz="0" w:space="0" w:color="auto"/>
      </w:divBdr>
    </w:div>
    <w:div w:id="1129784207">
      <w:bodyDiv w:val="1"/>
      <w:marLeft w:val="0"/>
      <w:marRight w:val="0"/>
      <w:marTop w:val="0"/>
      <w:marBottom w:val="0"/>
      <w:divBdr>
        <w:top w:val="none" w:sz="0" w:space="0" w:color="auto"/>
        <w:left w:val="none" w:sz="0" w:space="0" w:color="auto"/>
        <w:bottom w:val="none" w:sz="0" w:space="0" w:color="auto"/>
        <w:right w:val="none" w:sz="0" w:space="0" w:color="auto"/>
      </w:divBdr>
    </w:div>
    <w:div w:id="1135836171">
      <w:bodyDiv w:val="1"/>
      <w:marLeft w:val="0"/>
      <w:marRight w:val="0"/>
      <w:marTop w:val="0"/>
      <w:marBottom w:val="0"/>
      <w:divBdr>
        <w:top w:val="none" w:sz="0" w:space="0" w:color="auto"/>
        <w:left w:val="none" w:sz="0" w:space="0" w:color="auto"/>
        <w:bottom w:val="none" w:sz="0" w:space="0" w:color="auto"/>
        <w:right w:val="none" w:sz="0" w:space="0" w:color="auto"/>
      </w:divBdr>
    </w:div>
    <w:div w:id="1136797169">
      <w:bodyDiv w:val="1"/>
      <w:marLeft w:val="0"/>
      <w:marRight w:val="0"/>
      <w:marTop w:val="0"/>
      <w:marBottom w:val="0"/>
      <w:divBdr>
        <w:top w:val="none" w:sz="0" w:space="0" w:color="auto"/>
        <w:left w:val="none" w:sz="0" w:space="0" w:color="auto"/>
        <w:bottom w:val="none" w:sz="0" w:space="0" w:color="auto"/>
        <w:right w:val="none" w:sz="0" w:space="0" w:color="auto"/>
      </w:divBdr>
    </w:div>
    <w:div w:id="1170948162">
      <w:bodyDiv w:val="1"/>
      <w:marLeft w:val="0"/>
      <w:marRight w:val="0"/>
      <w:marTop w:val="0"/>
      <w:marBottom w:val="0"/>
      <w:divBdr>
        <w:top w:val="none" w:sz="0" w:space="0" w:color="auto"/>
        <w:left w:val="none" w:sz="0" w:space="0" w:color="auto"/>
        <w:bottom w:val="none" w:sz="0" w:space="0" w:color="auto"/>
        <w:right w:val="none" w:sz="0" w:space="0" w:color="auto"/>
      </w:divBdr>
    </w:div>
    <w:div w:id="1194802706">
      <w:bodyDiv w:val="1"/>
      <w:marLeft w:val="0"/>
      <w:marRight w:val="0"/>
      <w:marTop w:val="0"/>
      <w:marBottom w:val="0"/>
      <w:divBdr>
        <w:top w:val="none" w:sz="0" w:space="0" w:color="auto"/>
        <w:left w:val="none" w:sz="0" w:space="0" w:color="auto"/>
        <w:bottom w:val="none" w:sz="0" w:space="0" w:color="auto"/>
        <w:right w:val="none" w:sz="0" w:space="0" w:color="auto"/>
      </w:divBdr>
    </w:div>
    <w:div w:id="1232613832">
      <w:bodyDiv w:val="1"/>
      <w:marLeft w:val="0"/>
      <w:marRight w:val="0"/>
      <w:marTop w:val="0"/>
      <w:marBottom w:val="0"/>
      <w:divBdr>
        <w:top w:val="none" w:sz="0" w:space="0" w:color="auto"/>
        <w:left w:val="none" w:sz="0" w:space="0" w:color="auto"/>
        <w:bottom w:val="none" w:sz="0" w:space="0" w:color="auto"/>
        <w:right w:val="none" w:sz="0" w:space="0" w:color="auto"/>
      </w:divBdr>
    </w:div>
    <w:div w:id="1241453288">
      <w:bodyDiv w:val="1"/>
      <w:marLeft w:val="0"/>
      <w:marRight w:val="0"/>
      <w:marTop w:val="0"/>
      <w:marBottom w:val="0"/>
      <w:divBdr>
        <w:top w:val="none" w:sz="0" w:space="0" w:color="auto"/>
        <w:left w:val="none" w:sz="0" w:space="0" w:color="auto"/>
        <w:bottom w:val="none" w:sz="0" w:space="0" w:color="auto"/>
        <w:right w:val="none" w:sz="0" w:space="0" w:color="auto"/>
      </w:divBdr>
    </w:div>
    <w:div w:id="1245266952">
      <w:bodyDiv w:val="1"/>
      <w:marLeft w:val="0"/>
      <w:marRight w:val="0"/>
      <w:marTop w:val="0"/>
      <w:marBottom w:val="0"/>
      <w:divBdr>
        <w:top w:val="none" w:sz="0" w:space="0" w:color="auto"/>
        <w:left w:val="none" w:sz="0" w:space="0" w:color="auto"/>
        <w:bottom w:val="none" w:sz="0" w:space="0" w:color="auto"/>
        <w:right w:val="none" w:sz="0" w:space="0" w:color="auto"/>
      </w:divBdr>
    </w:div>
    <w:div w:id="1246577103">
      <w:bodyDiv w:val="1"/>
      <w:marLeft w:val="0"/>
      <w:marRight w:val="0"/>
      <w:marTop w:val="0"/>
      <w:marBottom w:val="0"/>
      <w:divBdr>
        <w:top w:val="none" w:sz="0" w:space="0" w:color="auto"/>
        <w:left w:val="none" w:sz="0" w:space="0" w:color="auto"/>
        <w:bottom w:val="none" w:sz="0" w:space="0" w:color="auto"/>
        <w:right w:val="none" w:sz="0" w:space="0" w:color="auto"/>
      </w:divBdr>
    </w:div>
    <w:div w:id="1265308846">
      <w:bodyDiv w:val="1"/>
      <w:marLeft w:val="0"/>
      <w:marRight w:val="0"/>
      <w:marTop w:val="0"/>
      <w:marBottom w:val="0"/>
      <w:divBdr>
        <w:top w:val="none" w:sz="0" w:space="0" w:color="auto"/>
        <w:left w:val="none" w:sz="0" w:space="0" w:color="auto"/>
        <w:bottom w:val="none" w:sz="0" w:space="0" w:color="auto"/>
        <w:right w:val="none" w:sz="0" w:space="0" w:color="auto"/>
      </w:divBdr>
    </w:div>
    <w:div w:id="1270311624">
      <w:bodyDiv w:val="1"/>
      <w:marLeft w:val="0"/>
      <w:marRight w:val="0"/>
      <w:marTop w:val="0"/>
      <w:marBottom w:val="0"/>
      <w:divBdr>
        <w:top w:val="none" w:sz="0" w:space="0" w:color="auto"/>
        <w:left w:val="none" w:sz="0" w:space="0" w:color="auto"/>
        <w:bottom w:val="none" w:sz="0" w:space="0" w:color="auto"/>
        <w:right w:val="none" w:sz="0" w:space="0" w:color="auto"/>
      </w:divBdr>
    </w:div>
    <w:div w:id="1310327270">
      <w:bodyDiv w:val="1"/>
      <w:marLeft w:val="0"/>
      <w:marRight w:val="0"/>
      <w:marTop w:val="0"/>
      <w:marBottom w:val="0"/>
      <w:divBdr>
        <w:top w:val="none" w:sz="0" w:space="0" w:color="auto"/>
        <w:left w:val="none" w:sz="0" w:space="0" w:color="auto"/>
        <w:bottom w:val="none" w:sz="0" w:space="0" w:color="auto"/>
        <w:right w:val="none" w:sz="0" w:space="0" w:color="auto"/>
      </w:divBdr>
    </w:div>
    <w:div w:id="1354065348">
      <w:bodyDiv w:val="1"/>
      <w:marLeft w:val="0"/>
      <w:marRight w:val="0"/>
      <w:marTop w:val="0"/>
      <w:marBottom w:val="0"/>
      <w:divBdr>
        <w:top w:val="none" w:sz="0" w:space="0" w:color="auto"/>
        <w:left w:val="none" w:sz="0" w:space="0" w:color="auto"/>
        <w:bottom w:val="none" w:sz="0" w:space="0" w:color="auto"/>
        <w:right w:val="none" w:sz="0" w:space="0" w:color="auto"/>
      </w:divBdr>
    </w:div>
    <w:div w:id="1401516264">
      <w:bodyDiv w:val="1"/>
      <w:marLeft w:val="0"/>
      <w:marRight w:val="0"/>
      <w:marTop w:val="0"/>
      <w:marBottom w:val="0"/>
      <w:divBdr>
        <w:top w:val="none" w:sz="0" w:space="0" w:color="auto"/>
        <w:left w:val="none" w:sz="0" w:space="0" w:color="auto"/>
        <w:bottom w:val="none" w:sz="0" w:space="0" w:color="auto"/>
        <w:right w:val="none" w:sz="0" w:space="0" w:color="auto"/>
      </w:divBdr>
    </w:div>
    <w:div w:id="1422793906">
      <w:bodyDiv w:val="1"/>
      <w:marLeft w:val="0"/>
      <w:marRight w:val="0"/>
      <w:marTop w:val="0"/>
      <w:marBottom w:val="0"/>
      <w:divBdr>
        <w:top w:val="none" w:sz="0" w:space="0" w:color="auto"/>
        <w:left w:val="none" w:sz="0" w:space="0" w:color="auto"/>
        <w:bottom w:val="none" w:sz="0" w:space="0" w:color="auto"/>
        <w:right w:val="none" w:sz="0" w:space="0" w:color="auto"/>
      </w:divBdr>
    </w:div>
    <w:div w:id="1456483554">
      <w:bodyDiv w:val="1"/>
      <w:marLeft w:val="0"/>
      <w:marRight w:val="0"/>
      <w:marTop w:val="0"/>
      <w:marBottom w:val="0"/>
      <w:divBdr>
        <w:top w:val="none" w:sz="0" w:space="0" w:color="auto"/>
        <w:left w:val="none" w:sz="0" w:space="0" w:color="auto"/>
        <w:bottom w:val="none" w:sz="0" w:space="0" w:color="auto"/>
        <w:right w:val="none" w:sz="0" w:space="0" w:color="auto"/>
      </w:divBdr>
    </w:div>
    <w:div w:id="1549368126">
      <w:bodyDiv w:val="1"/>
      <w:marLeft w:val="0"/>
      <w:marRight w:val="0"/>
      <w:marTop w:val="0"/>
      <w:marBottom w:val="0"/>
      <w:divBdr>
        <w:top w:val="none" w:sz="0" w:space="0" w:color="auto"/>
        <w:left w:val="none" w:sz="0" w:space="0" w:color="auto"/>
        <w:bottom w:val="none" w:sz="0" w:space="0" w:color="auto"/>
        <w:right w:val="none" w:sz="0" w:space="0" w:color="auto"/>
      </w:divBdr>
    </w:div>
    <w:div w:id="1567836087">
      <w:bodyDiv w:val="1"/>
      <w:marLeft w:val="0"/>
      <w:marRight w:val="0"/>
      <w:marTop w:val="0"/>
      <w:marBottom w:val="0"/>
      <w:divBdr>
        <w:top w:val="none" w:sz="0" w:space="0" w:color="auto"/>
        <w:left w:val="none" w:sz="0" w:space="0" w:color="auto"/>
        <w:bottom w:val="none" w:sz="0" w:space="0" w:color="auto"/>
        <w:right w:val="none" w:sz="0" w:space="0" w:color="auto"/>
      </w:divBdr>
    </w:div>
    <w:div w:id="1592470972">
      <w:bodyDiv w:val="1"/>
      <w:marLeft w:val="0"/>
      <w:marRight w:val="0"/>
      <w:marTop w:val="0"/>
      <w:marBottom w:val="0"/>
      <w:divBdr>
        <w:top w:val="none" w:sz="0" w:space="0" w:color="auto"/>
        <w:left w:val="none" w:sz="0" w:space="0" w:color="auto"/>
        <w:bottom w:val="none" w:sz="0" w:space="0" w:color="auto"/>
        <w:right w:val="none" w:sz="0" w:space="0" w:color="auto"/>
      </w:divBdr>
    </w:div>
    <w:div w:id="1615555711">
      <w:bodyDiv w:val="1"/>
      <w:marLeft w:val="0"/>
      <w:marRight w:val="0"/>
      <w:marTop w:val="0"/>
      <w:marBottom w:val="0"/>
      <w:divBdr>
        <w:top w:val="none" w:sz="0" w:space="0" w:color="auto"/>
        <w:left w:val="none" w:sz="0" w:space="0" w:color="auto"/>
        <w:bottom w:val="none" w:sz="0" w:space="0" w:color="auto"/>
        <w:right w:val="none" w:sz="0" w:space="0" w:color="auto"/>
      </w:divBdr>
    </w:div>
    <w:div w:id="1691907272">
      <w:bodyDiv w:val="1"/>
      <w:marLeft w:val="0"/>
      <w:marRight w:val="0"/>
      <w:marTop w:val="0"/>
      <w:marBottom w:val="0"/>
      <w:divBdr>
        <w:top w:val="none" w:sz="0" w:space="0" w:color="auto"/>
        <w:left w:val="none" w:sz="0" w:space="0" w:color="auto"/>
        <w:bottom w:val="none" w:sz="0" w:space="0" w:color="auto"/>
        <w:right w:val="none" w:sz="0" w:space="0" w:color="auto"/>
      </w:divBdr>
    </w:div>
    <w:div w:id="1720520408">
      <w:bodyDiv w:val="1"/>
      <w:marLeft w:val="0"/>
      <w:marRight w:val="0"/>
      <w:marTop w:val="0"/>
      <w:marBottom w:val="0"/>
      <w:divBdr>
        <w:top w:val="none" w:sz="0" w:space="0" w:color="auto"/>
        <w:left w:val="none" w:sz="0" w:space="0" w:color="auto"/>
        <w:bottom w:val="none" w:sz="0" w:space="0" w:color="auto"/>
        <w:right w:val="none" w:sz="0" w:space="0" w:color="auto"/>
      </w:divBdr>
    </w:div>
    <w:div w:id="1758012835">
      <w:bodyDiv w:val="1"/>
      <w:marLeft w:val="0"/>
      <w:marRight w:val="0"/>
      <w:marTop w:val="0"/>
      <w:marBottom w:val="0"/>
      <w:divBdr>
        <w:top w:val="none" w:sz="0" w:space="0" w:color="auto"/>
        <w:left w:val="none" w:sz="0" w:space="0" w:color="auto"/>
        <w:bottom w:val="none" w:sz="0" w:space="0" w:color="auto"/>
        <w:right w:val="none" w:sz="0" w:space="0" w:color="auto"/>
      </w:divBdr>
    </w:div>
    <w:div w:id="1761026020">
      <w:bodyDiv w:val="1"/>
      <w:marLeft w:val="0"/>
      <w:marRight w:val="0"/>
      <w:marTop w:val="0"/>
      <w:marBottom w:val="0"/>
      <w:divBdr>
        <w:top w:val="none" w:sz="0" w:space="0" w:color="auto"/>
        <w:left w:val="none" w:sz="0" w:space="0" w:color="auto"/>
        <w:bottom w:val="none" w:sz="0" w:space="0" w:color="auto"/>
        <w:right w:val="none" w:sz="0" w:space="0" w:color="auto"/>
      </w:divBdr>
    </w:div>
    <w:div w:id="1767187022">
      <w:bodyDiv w:val="1"/>
      <w:marLeft w:val="0"/>
      <w:marRight w:val="0"/>
      <w:marTop w:val="0"/>
      <w:marBottom w:val="0"/>
      <w:divBdr>
        <w:top w:val="none" w:sz="0" w:space="0" w:color="auto"/>
        <w:left w:val="none" w:sz="0" w:space="0" w:color="auto"/>
        <w:bottom w:val="none" w:sz="0" w:space="0" w:color="auto"/>
        <w:right w:val="none" w:sz="0" w:space="0" w:color="auto"/>
      </w:divBdr>
    </w:div>
    <w:div w:id="1793480517">
      <w:bodyDiv w:val="1"/>
      <w:marLeft w:val="0"/>
      <w:marRight w:val="0"/>
      <w:marTop w:val="0"/>
      <w:marBottom w:val="0"/>
      <w:divBdr>
        <w:top w:val="none" w:sz="0" w:space="0" w:color="auto"/>
        <w:left w:val="none" w:sz="0" w:space="0" w:color="auto"/>
        <w:bottom w:val="none" w:sz="0" w:space="0" w:color="auto"/>
        <w:right w:val="none" w:sz="0" w:space="0" w:color="auto"/>
      </w:divBdr>
    </w:div>
    <w:div w:id="1852916745">
      <w:bodyDiv w:val="1"/>
      <w:marLeft w:val="0"/>
      <w:marRight w:val="0"/>
      <w:marTop w:val="0"/>
      <w:marBottom w:val="0"/>
      <w:divBdr>
        <w:top w:val="none" w:sz="0" w:space="0" w:color="auto"/>
        <w:left w:val="none" w:sz="0" w:space="0" w:color="auto"/>
        <w:bottom w:val="none" w:sz="0" w:space="0" w:color="auto"/>
        <w:right w:val="none" w:sz="0" w:space="0" w:color="auto"/>
      </w:divBdr>
    </w:div>
    <w:div w:id="1858150639">
      <w:bodyDiv w:val="1"/>
      <w:marLeft w:val="0"/>
      <w:marRight w:val="0"/>
      <w:marTop w:val="0"/>
      <w:marBottom w:val="0"/>
      <w:divBdr>
        <w:top w:val="none" w:sz="0" w:space="0" w:color="auto"/>
        <w:left w:val="none" w:sz="0" w:space="0" w:color="auto"/>
        <w:bottom w:val="none" w:sz="0" w:space="0" w:color="auto"/>
        <w:right w:val="none" w:sz="0" w:space="0" w:color="auto"/>
      </w:divBdr>
    </w:div>
    <w:div w:id="1861552170">
      <w:bodyDiv w:val="1"/>
      <w:marLeft w:val="0"/>
      <w:marRight w:val="0"/>
      <w:marTop w:val="0"/>
      <w:marBottom w:val="0"/>
      <w:divBdr>
        <w:top w:val="none" w:sz="0" w:space="0" w:color="auto"/>
        <w:left w:val="none" w:sz="0" w:space="0" w:color="auto"/>
        <w:bottom w:val="none" w:sz="0" w:space="0" w:color="auto"/>
        <w:right w:val="none" w:sz="0" w:space="0" w:color="auto"/>
      </w:divBdr>
    </w:div>
    <w:div w:id="1875075282">
      <w:bodyDiv w:val="1"/>
      <w:marLeft w:val="0"/>
      <w:marRight w:val="0"/>
      <w:marTop w:val="0"/>
      <w:marBottom w:val="0"/>
      <w:divBdr>
        <w:top w:val="none" w:sz="0" w:space="0" w:color="auto"/>
        <w:left w:val="none" w:sz="0" w:space="0" w:color="auto"/>
        <w:bottom w:val="none" w:sz="0" w:space="0" w:color="auto"/>
        <w:right w:val="none" w:sz="0" w:space="0" w:color="auto"/>
      </w:divBdr>
    </w:div>
    <w:div w:id="1947807054">
      <w:bodyDiv w:val="1"/>
      <w:marLeft w:val="0"/>
      <w:marRight w:val="0"/>
      <w:marTop w:val="0"/>
      <w:marBottom w:val="0"/>
      <w:divBdr>
        <w:top w:val="none" w:sz="0" w:space="0" w:color="auto"/>
        <w:left w:val="none" w:sz="0" w:space="0" w:color="auto"/>
        <w:bottom w:val="none" w:sz="0" w:space="0" w:color="auto"/>
        <w:right w:val="none" w:sz="0" w:space="0" w:color="auto"/>
      </w:divBdr>
    </w:div>
    <w:div w:id="1992248775">
      <w:bodyDiv w:val="1"/>
      <w:marLeft w:val="0"/>
      <w:marRight w:val="0"/>
      <w:marTop w:val="0"/>
      <w:marBottom w:val="0"/>
      <w:divBdr>
        <w:top w:val="none" w:sz="0" w:space="0" w:color="auto"/>
        <w:left w:val="none" w:sz="0" w:space="0" w:color="auto"/>
        <w:bottom w:val="none" w:sz="0" w:space="0" w:color="auto"/>
        <w:right w:val="none" w:sz="0" w:space="0" w:color="auto"/>
      </w:divBdr>
    </w:div>
    <w:div w:id="2015918343">
      <w:bodyDiv w:val="1"/>
      <w:marLeft w:val="0"/>
      <w:marRight w:val="0"/>
      <w:marTop w:val="0"/>
      <w:marBottom w:val="0"/>
      <w:divBdr>
        <w:top w:val="none" w:sz="0" w:space="0" w:color="auto"/>
        <w:left w:val="none" w:sz="0" w:space="0" w:color="auto"/>
        <w:bottom w:val="none" w:sz="0" w:space="0" w:color="auto"/>
        <w:right w:val="none" w:sz="0" w:space="0" w:color="auto"/>
      </w:divBdr>
    </w:div>
    <w:div w:id="2016959542">
      <w:bodyDiv w:val="1"/>
      <w:marLeft w:val="0"/>
      <w:marRight w:val="0"/>
      <w:marTop w:val="0"/>
      <w:marBottom w:val="0"/>
      <w:divBdr>
        <w:top w:val="none" w:sz="0" w:space="0" w:color="auto"/>
        <w:left w:val="none" w:sz="0" w:space="0" w:color="auto"/>
        <w:bottom w:val="none" w:sz="0" w:space="0" w:color="auto"/>
        <w:right w:val="none" w:sz="0" w:space="0" w:color="auto"/>
      </w:divBdr>
    </w:div>
    <w:div w:id="202122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PR_COD_1cons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0CC28-4BA3-46BA-A704-491117A24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PR_COD_1consamCom.dotx</Template>
  <TotalTime>0</TotalTime>
  <Pages>21</Pages>
  <Words>5306</Words>
  <Characters>29771</Characters>
  <Application>Microsoft Office Word</Application>
  <DocSecurity>0</DocSecurity>
  <Lines>661</Lines>
  <Paragraphs>347</Paragraphs>
  <ScaleCrop>false</ScaleCrop>
  <HeadingPairs>
    <vt:vector size="2" baseType="variant">
      <vt:variant>
        <vt:lpstr>Title</vt:lpstr>
      </vt:variant>
      <vt:variant>
        <vt:i4>1</vt:i4>
      </vt:variant>
    </vt:vector>
  </HeadingPairs>
  <TitlesOfParts>
    <vt:vector size="1" baseType="lpstr">
      <vt:lpstr>PR_COD_1consamCom</vt:lpstr>
    </vt:vector>
  </TitlesOfParts>
  <Company/>
  <LinksUpToDate>false</LinksUpToDate>
  <CharactersWithSpaces>34730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PR_COD_1consamCom</dc:title>
  <dc:subject/>
  <dc:creator>CHIGNESSE Regine</dc:creator>
  <cp:keywords/>
  <dc:description/>
  <cp:lastModifiedBy>COMBE Mireille</cp:lastModifiedBy>
  <cp:revision>2</cp:revision>
  <cp:lastPrinted>2004-11-04T10:10:00Z</cp:lastPrinted>
  <dcterms:created xsi:type="dcterms:W3CDTF">2026-07-09T08:07:00Z</dcterms:created>
  <dcterms:modified xsi:type="dcterms:W3CDTF">2026-07-09T08:07:00Z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1347066</vt:lpwstr>
  </property>
  <property fmtid="{D5CDD505-2E9C-101B-9397-08002B2CF9AE}" pid="6" name="&lt;Type&gt;">
    <vt:lpwstr>RR</vt:lpwstr>
  </property>
  <property fmtid="{D5CDD505-2E9C-101B-9397-08002B2CF9AE}" pid="7" name="&lt;ModelCod&gt;">
    <vt:lpwstr>\\eiciBRUpr1\pdocep$\DocEP\DOCS\General\PR\PR_Leg\COD\COD_1st\PR_COD_1consamCom.dotx(24/09/2024 09:42:01)</vt:lpwstr>
  </property>
  <property fmtid="{D5CDD505-2E9C-101B-9397-08002B2CF9AE}" pid="8" name="&lt;ModelTra&gt;">
    <vt:lpwstr>\\eiciBRUpr1\pdocep$\DocEP\TRANSFIL\EN\PR_COD_1consamCom.EN(30/09/2024 12:47:01)</vt:lpwstr>
  </property>
  <property fmtid="{D5CDD505-2E9C-101B-9397-08002B2CF9AE}" pid="9" name="&lt;Model&gt;">
    <vt:lpwstr>PR_COD_1consamCom</vt:lpwstr>
  </property>
  <property fmtid="{D5CDD505-2E9C-101B-9397-08002B2CF9AE}" pid="10" name="FooterPath">
    <vt:lpwstr>RR\1347066FR.docx</vt:lpwstr>
  </property>
  <property fmtid="{D5CDD505-2E9C-101B-9397-08002B2CF9AE}" pid="11" name="PE number">
    <vt:lpwstr>778.135</vt:lpwstr>
  </property>
  <property fmtid="{D5CDD505-2E9C-101B-9397-08002B2CF9AE}" pid="12" name="SendToEpades">
    <vt:lpwstr>OK - 2026/06/25 16:06</vt:lpwstr>
  </property>
  <property fmtid="{D5CDD505-2E9C-101B-9397-08002B2CF9AE}" pid="13" name="RegistreCheck">
    <vt:lpwstr>OK</vt:lpwstr>
  </property>
  <property fmtid="{D5CDD505-2E9C-101B-9397-08002B2CF9AE}" pid="14" name="OriLang">
    <vt:lpwstr>EN</vt:lpwstr>
  </property>
  <property fmtid="{D5CDD505-2E9C-101B-9397-08002B2CF9AE}" pid="15" name="CheckDocument">
    <vt:lpwstr>OK - 2026/06/25 13:44</vt:lpwstr>
  </property>
  <property fmtid="{D5CDD505-2E9C-101B-9397-08002B2CF9AE}" pid="16" name="Bookout">
    <vt:lpwstr>OK - 2026/07/09 10:07</vt:lpwstr>
  </property>
  <property fmtid="{D5CDD505-2E9C-101B-9397-08002B2CF9AE}" pid="17" name="SDLStudio">
    <vt:lpwstr/>
  </property>
</Properties>
</file>