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422638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006604" w:rsidRPr="00D5726B" w:rsidP="00C85D0F" w14:paraId="29DEA7E0" w14:textId="77777777">
            <w:pPr>
              <w:pStyle w:val="EPName"/>
            </w:pPr>
            <w:r>
              <w:t>Parlament Ewropew</w:t>
            </w:r>
          </w:p>
          <w:p w:rsidR="00006604" w:rsidRPr="00D5726B" w:rsidP="00C85D0F" w14:paraId="5DDB1743" w14:textId="77777777">
            <w:pPr>
              <w:pStyle w:val="EPTerm"/>
            </w:pPr>
            <w:r>
              <w:t>2024-2029</w:t>
            </w:r>
          </w:p>
        </w:tc>
        <w:tc>
          <w:tcPr>
            <w:tcW w:w="2268" w:type="dxa"/>
            <w:shd w:val="clear" w:color="auto" w:fill="auto"/>
          </w:tcPr>
          <w:p w:rsidR="00006604" w:rsidRPr="00D5726B" w:rsidP="00C85D0F" w14:paraId="39184BD8" w14:textId="77777777">
            <w:pPr>
              <w:pStyle w:val="EPLogo"/>
            </w:pPr>
            <w:r w:rsidRPr="00D5726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7604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D5726B" w:rsidP="00187D09" w14:paraId="66510583" w14:textId="77777777">
      <w:pPr>
        <w:pStyle w:val="LineTop"/>
      </w:pPr>
    </w:p>
    <w:p w:rsidR="00187D09" w:rsidRPr="00D5726B" w:rsidP="00187D09" w14:paraId="4D4D59EA" w14:textId="77777777">
      <w:pPr>
        <w:pStyle w:val="EPBody"/>
      </w:pPr>
      <w:r>
        <w:t>Dokument ta’ sessjoni</w:t>
      </w:r>
    </w:p>
    <w:p w:rsidR="00187D09" w:rsidRPr="00D5726B" w:rsidP="00187D09" w14:paraId="2B7F525B" w14:textId="77777777">
      <w:pPr>
        <w:pStyle w:val="LineBottom"/>
      </w:pPr>
    </w:p>
    <w:p w:rsidR="00B85286" w:rsidRPr="00D5726B" w14:paraId="4E87398F" w14:textId="77777777">
      <w:pPr>
        <w:pStyle w:val="CoverReference"/>
      </w:pPr>
      <w:r w:rsidRPr="00604C5F">
        <w:rPr>
          <w:rStyle w:val="HideTWBExt"/>
          <w:b w:val="0"/>
        </w:rPr>
        <w:t>&lt;NoDocSe&gt;</w:t>
      </w:r>
      <w:r>
        <w:t>A10</w:t>
      </w:r>
      <w:r>
        <w:noBreakHyphen/>
        <w:t>0197/2026</w:t>
      </w:r>
      <w:r w:rsidRPr="00604C5F">
        <w:rPr>
          <w:rStyle w:val="HideTWBExt"/>
          <w:b w:val="0"/>
        </w:rPr>
        <w:t>&lt;/NoDocSe&gt;</w:t>
      </w:r>
    </w:p>
    <w:p w:rsidR="00B85286" w:rsidRPr="00D5726B" w14:paraId="34B80E3F" w14:textId="77777777">
      <w:pPr>
        <w:pStyle w:val="CoverDate"/>
      </w:pPr>
      <w:r w:rsidRPr="00604C5F">
        <w:rPr>
          <w:rStyle w:val="HideTWBExt"/>
        </w:rPr>
        <w:t>&lt;Date&gt;</w:t>
      </w:r>
      <w:r w:rsidRPr="00604C5F">
        <w:rPr>
          <w:rStyle w:val="HideTWBInt"/>
        </w:rPr>
        <w:t>{06/07/2026}</w:t>
      </w:r>
      <w:r>
        <w:t>6.7.2026</w:t>
      </w:r>
      <w:r w:rsidRPr="00604C5F">
        <w:rPr>
          <w:rStyle w:val="HideTWBExt"/>
        </w:rPr>
        <w:t>&lt;/Date&gt;</w:t>
      </w:r>
    </w:p>
    <w:p w:rsidR="00B85286" w:rsidRPr="00D5726B" w14:paraId="140764ED" w14:textId="77777777">
      <w:pPr>
        <w:pStyle w:val="CoverDocType"/>
      </w:pPr>
      <w:r w:rsidRPr="00604C5F">
        <w:rPr>
          <w:rStyle w:val="HideTWBExt"/>
          <w:b w:val="0"/>
        </w:rPr>
        <w:t>&lt;RefProcLect&gt;</w:t>
      </w:r>
      <w:r>
        <w:t>*</w:t>
      </w:r>
      <w:r w:rsidRPr="00604C5F">
        <w:rPr>
          <w:rStyle w:val="HideTWBExt"/>
          <w:b w:val="0"/>
        </w:rPr>
        <w:t>&lt;/RefProcLect&gt;</w:t>
      </w:r>
    </w:p>
    <w:p w:rsidR="00B85286" w:rsidRPr="00D5726B" w14:paraId="7AB789FF" w14:textId="77777777">
      <w:pPr>
        <w:pStyle w:val="CoverDocType24a"/>
      </w:pPr>
      <w:r w:rsidRPr="00604C5F">
        <w:rPr>
          <w:rStyle w:val="HideTWBExt"/>
          <w:b w:val="0"/>
        </w:rPr>
        <w:t>&lt;TitreType&gt;</w:t>
      </w:r>
      <w:r>
        <w:t>RAPPORT</w:t>
      </w:r>
      <w:r w:rsidRPr="00604C5F">
        <w:rPr>
          <w:rStyle w:val="HideTWBExt"/>
          <w:b w:val="0"/>
        </w:rPr>
        <w:t>&lt;/TitreType&gt;</w:t>
      </w:r>
    </w:p>
    <w:p w:rsidR="006321DA" w:rsidRPr="00D5726B" w:rsidP="006321DA" w14:paraId="6E35FACA" w14:textId="77777777">
      <w:pPr>
        <w:pStyle w:val="CoverNormal"/>
      </w:pPr>
      <w:r w:rsidRPr="00604C5F">
        <w:rPr>
          <w:rStyle w:val="HideTWBExt"/>
        </w:rPr>
        <w:t>&lt;Titre&gt;</w:t>
      </w:r>
      <w:r>
        <w:t xml:space="preserve">dwar il-proposta għal regolament tal-Kunsill li </w:t>
      </w:r>
      <w:r>
        <w:t>jistabbilixxi l-programm ta’ assistenza għad-dekummissjonar nukleari tal-impjant tal-enerġija nukleari ta’ Ignalina fil-Litwanja għall-perjodu 2028-2034, u li jħassar ir-Regolament (UE) 2021/101</w:t>
      </w:r>
      <w:r w:rsidRPr="00604C5F">
        <w:rPr>
          <w:rStyle w:val="HideTWBExt"/>
        </w:rPr>
        <w:t>&lt;/Titre&gt;</w:t>
      </w:r>
    </w:p>
    <w:p w:rsidR="006321DA" w:rsidRPr="00D5726B" w:rsidP="006321DA" w14:paraId="27E2FAAA" w14:textId="77777777">
      <w:pPr>
        <w:pStyle w:val="CoverNormal24a"/>
      </w:pPr>
      <w:r w:rsidRPr="00604C5F">
        <w:rPr>
          <w:rStyle w:val="HideTWBExt"/>
        </w:rPr>
        <w:t>&lt;DocRef&gt;</w:t>
      </w:r>
      <w:r>
        <w:t>(COM(2025)0476 – C10</w:t>
      </w:r>
      <w:r>
        <w:noBreakHyphen/>
        <w:t>0271/2025 – 2025/0268(NLE))</w:t>
      </w:r>
      <w:r w:rsidRPr="00604C5F">
        <w:rPr>
          <w:rStyle w:val="HideTWBExt"/>
        </w:rPr>
        <w:t>&lt;/DocRef&gt;</w:t>
      </w:r>
    </w:p>
    <w:p w:rsidR="00B85286" w:rsidRPr="00D5726B" w14:paraId="49B71929" w14:textId="77777777">
      <w:pPr>
        <w:pStyle w:val="CoverNormal24a"/>
      </w:pPr>
      <w:r w:rsidRPr="00604C5F">
        <w:rPr>
          <w:rStyle w:val="HideTWBExt"/>
        </w:rPr>
        <w:t>&lt;Commission&gt;</w:t>
      </w:r>
      <w:r w:rsidRPr="00604C5F">
        <w:rPr>
          <w:rStyle w:val="HideTWBInt"/>
        </w:rPr>
        <w:t>{ITRE}</w:t>
      </w:r>
      <w:r>
        <w:t>Kumitat għall-Industrija, ir-Riċerka u l-Enerġija</w:t>
      </w:r>
      <w:r w:rsidRPr="00604C5F">
        <w:rPr>
          <w:rStyle w:val="HideTWBExt"/>
        </w:rPr>
        <w:t>&lt;/Commission&gt;</w:t>
      </w:r>
    </w:p>
    <w:p w:rsidR="00B85286" w:rsidRPr="00D5726B" w14:paraId="104D05BA" w14:textId="77777777">
      <w:pPr>
        <w:pStyle w:val="CoverNormal24a"/>
      </w:pPr>
      <w:r>
        <w:t xml:space="preserve">Rapporteur: </w:t>
      </w:r>
      <w:r w:rsidRPr="00604C5F">
        <w:rPr>
          <w:rStyle w:val="HideTWBExt"/>
        </w:rPr>
        <w:t>&lt;Depute&gt;</w:t>
      </w:r>
      <w:r>
        <w:t>Virginijus Sinkevičius</w:t>
      </w:r>
      <w:r w:rsidRPr="00604C5F">
        <w:rPr>
          <w:rStyle w:val="HideTWBExt"/>
        </w:rPr>
        <w:t>&lt;/Depute&gt;</w:t>
      </w:r>
    </w:p>
    <w:p w:rsidR="005A17F6" w:rsidRPr="00D5726B" w:rsidP="00883396" w14:paraId="75E15D26" w14:textId="77777777">
      <w:pPr>
        <w:pStyle w:val="CoverNormal"/>
      </w:pPr>
    </w:p>
    <w:p w:rsidR="006321DA" w:rsidRPr="00D5726B" w:rsidP="00894923" w14:paraId="61BF7DED" w14:textId="2AC7A62A">
      <w:r>
        <w:br w:type="page"/>
      </w:r>
      <w:r w:rsidR="009F1D66">
        <w:fldChar w:fldCharType="begin"/>
      </w:r>
      <w:r>
        <w:instrText xml:space="preserve"> TITLE  \* MERGEFORMAT </w:instrText>
      </w:r>
      <w:r w:rsidR="009F1D66">
        <w:fldChar w:fldCharType="separate"/>
      </w:r>
      <w:r>
        <w:t>PR_NLE-CN_LegAct_am</w:t>
      </w:r>
      <w:r w:rsidR="009F1D66">
        <w:fldChar w:fldCharType="end"/>
      </w:r>
    </w:p>
    <w:p w:rsidR="006321DA" w:rsidRPr="00D5726B" w:rsidP="00894923" w14:paraId="0A4EE882" w14:textId="77777777"/>
    <w:p w:rsidR="006321DA" w:rsidRPr="00D5726B" w:rsidP="00894923" w14:paraId="103A7CED"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27EF921"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6321DA" w:rsidRPr="00D5726B" w:rsidP="00894923" w14:paraId="2ED73E54" w14:textId="77777777">
            <w:pPr>
              <w:pStyle w:val="Lgendetitre"/>
            </w:pPr>
            <w:r>
              <w:t>Tifsira tas-simboli użati</w:t>
            </w:r>
          </w:p>
        </w:tc>
      </w:tr>
      <w:tr w14:paraId="64531492" w14:textId="77777777" w:rsidTr="007F43F3">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6321DA" w:rsidRPr="00D5726B" w:rsidP="001A03FF" w14:paraId="2C282DF2" w14:textId="77777777">
            <w:pPr>
              <w:pStyle w:val="Lgendesigne"/>
              <w:rPr>
                <w:szCs w:val="24"/>
              </w:rPr>
            </w:pPr>
            <w:r>
              <w:tab/>
              <w:t>*</w:t>
            </w:r>
            <w:r>
              <w:tab/>
              <w:t xml:space="preserve">Proċedura ta’ </w:t>
            </w:r>
            <w:r>
              <w:t>konsultazzjoni</w:t>
            </w:r>
          </w:p>
          <w:p w:rsidR="006321DA" w:rsidRPr="00D5726B" w:rsidP="001A03FF" w14:paraId="1C777748" w14:textId="77777777">
            <w:pPr>
              <w:pStyle w:val="Lgendesigne"/>
              <w:rPr>
                <w:szCs w:val="24"/>
              </w:rPr>
            </w:pPr>
            <w:r>
              <w:tab/>
              <w:t>***</w:t>
            </w:r>
            <w:r>
              <w:tab/>
              <w:t>Proċedura ta’ approvazzjoni</w:t>
            </w:r>
          </w:p>
          <w:p w:rsidR="006321DA" w:rsidRPr="00D5726B" w:rsidP="001A03FF" w14:paraId="2E27BAE2" w14:textId="77777777">
            <w:pPr>
              <w:pStyle w:val="Lgendesigne"/>
              <w:rPr>
                <w:szCs w:val="24"/>
              </w:rPr>
            </w:pPr>
            <w:r>
              <w:tab/>
              <w:t>***I</w:t>
            </w:r>
            <w:r>
              <w:tab/>
              <w:t>Proċedura leġiżlattiva ordinarja (l-ewwel qari)</w:t>
            </w:r>
          </w:p>
          <w:p w:rsidR="006321DA" w:rsidRPr="00D5726B" w:rsidP="001A03FF" w14:paraId="45392CA5" w14:textId="77777777">
            <w:pPr>
              <w:pStyle w:val="Lgendesigne"/>
              <w:rPr>
                <w:szCs w:val="24"/>
              </w:rPr>
            </w:pPr>
            <w:r>
              <w:tab/>
              <w:t>***II</w:t>
            </w:r>
            <w:r>
              <w:tab/>
              <w:t>Proċedura leġiżlattiva ordinarja (it-tieni qari)</w:t>
            </w:r>
          </w:p>
          <w:p w:rsidR="006321DA" w:rsidRPr="00D5726B" w:rsidP="001A03FF" w14:paraId="3D7286CA" w14:textId="77777777">
            <w:pPr>
              <w:pStyle w:val="Lgendesigne"/>
              <w:rPr>
                <w:szCs w:val="24"/>
              </w:rPr>
            </w:pPr>
            <w:r>
              <w:tab/>
              <w:t>***III</w:t>
            </w:r>
            <w:r>
              <w:tab/>
              <w:t>Proċedura leġiżlattiva ordinarja (it-tielet qari)</w:t>
            </w:r>
          </w:p>
          <w:p w:rsidR="006321DA" w:rsidRPr="00D5726B" w:rsidP="001A03FF" w14:paraId="6DA9CCD8" w14:textId="77777777">
            <w:pPr>
              <w:pStyle w:val="Lgendestandard"/>
            </w:pPr>
          </w:p>
          <w:p w:rsidR="006321DA" w:rsidRPr="00D5726B" w:rsidP="001A03FF" w14:paraId="26247607" w14:textId="77777777">
            <w:pPr>
              <w:pStyle w:val="Lgendestandard"/>
            </w:pPr>
            <w:r>
              <w:t xml:space="preserve">(It-tip ta’ proċedura </w:t>
            </w:r>
            <w:r>
              <w:t>jiddependi mill-bażi legali proposta mill-abbozz ta’ att.)</w:t>
            </w:r>
          </w:p>
          <w:p w:rsidR="006321DA" w:rsidRPr="00D5726B" w:rsidP="007F43F3" w14:paraId="5FD0B23F" w14:textId="77777777">
            <w:pPr>
              <w:pStyle w:val="Lgendestandard"/>
            </w:pPr>
          </w:p>
        </w:tc>
      </w:tr>
    </w:tbl>
    <w:p w:rsidR="006321DA" w:rsidRPr="00D5726B" w:rsidP="00894923" w14:paraId="6248FE47" w14:textId="77777777"/>
    <w:p w:rsidR="006321DA" w:rsidRPr="00D5726B" w:rsidP="00894923" w14:paraId="254FD072" w14:textId="77777777"/>
    <w:p w:rsidR="006321DA" w:rsidRPr="00D5726B" w:rsidP="00894923" w14:paraId="01FC796A" w14:textId="77777777"/>
    <w:p w:rsidR="006321DA" w:rsidRPr="00D5726B" w:rsidP="00894923" w14:paraId="4DCA7C5F"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10D9270F"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6321DA" w:rsidRPr="00D5726B" w:rsidP="00894923" w14:paraId="6C123070" w14:textId="77777777">
            <w:pPr>
              <w:pStyle w:val="Lgendetitre"/>
            </w:pPr>
            <w:r>
              <w:t>Emendi għal abbozz ta’ att</w:t>
            </w:r>
          </w:p>
        </w:tc>
      </w:tr>
      <w:tr w14:paraId="3AEFE6D3" w14:textId="77777777" w:rsidTr="0094769F">
        <w:tblPrEx>
          <w:tblW w:w="0" w:type="auto"/>
          <w:tblInd w:w="1668" w:type="dxa"/>
          <w:tblLayout w:type="fixed"/>
          <w:tblLook w:val="0000"/>
        </w:tblPrEx>
        <w:trPr>
          <w:trHeight w:val="4638"/>
        </w:trPr>
        <w:tc>
          <w:tcPr>
            <w:tcW w:w="5811" w:type="dxa"/>
          </w:tcPr>
          <w:p w:rsidR="006321DA" w:rsidRPr="00D5726B" w:rsidP="007F43F3" w14:paraId="75BC335A" w14:textId="77777777">
            <w:pPr>
              <w:pStyle w:val="Lgendestandard"/>
              <w:rPr>
                <w:szCs w:val="24"/>
              </w:rPr>
            </w:pPr>
            <w:r>
              <w:rPr>
                <w:b/>
              </w:rPr>
              <w:t>Emendi tal-Parlament f’żewġ kolonni</w:t>
            </w:r>
          </w:p>
          <w:p w:rsidR="006321DA" w:rsidRPr="00D5726B" w:rsidP="007F43F3" w14:paraId="500AF9C8" w14:textId="77777777">
            <w:pPr>
              <w:pStyle w:val="Lgendestandard"/>
              <w:rPr>
                <w:szCs w:val="24"/>
              </w:rPr>
            </w:pPr>
          </w:p>
          <w:p w:rsidR="006321DA" w:rsidRPr="00D5726B" w:rsidP="007F43F3" w14:paraId="501D51AF" w14:textId="77777777">
            <w:pPr>
              <w:pStyle w:val="Lgendestandard"/>
              <w:rPr>
                <w:szCs w:val="24"/>
              </w:rPr>
            </w:pPr>
            <w:r>
              <w:t>It-tħassir huwa indikat permezz tat-tipa</w:t>
            </w:r>
            <w:r>
              <w:rPr>
                <w:b/>
                <w:i/>
              </w:rPr>
              <w:t xml:space="preserve"> korsiva u grassa</w:t>
            </w:r>
            <w:r>
              <w:t xml:space="preserve"> fil-kolonna tax-xellug. Is-sostituzzjoni hija indikata </w:t>
            </w:r>
            <w:r>
              <w:t>permezz tat-tipa</w:t>
            </w:r>
            <w:r>
              <w:rPr>
                <w:b/>
                <w:i/>
              </w:rPr>
              <w:t xml:space="preserve"> korsiva u grassa</w:t>
            </w:r>
            <w:r>
              <w:t xml:space="preserve"> fiż-żewġ kolonni. It-test ġdid huwa indikat permezz tat-tipa</w:t>
            </w:r>
            <w:r>
              <w:rPr>
                <w:b/>
                <w:i/>
              </w:rPr>
              <w:t xml:space="preserve"> korsiva u grassa</w:t>
            </w:r>
            <w:r>
              <w:t xml:space="preserve"> fil-kolonna tal-lemin.</w:t>
            </w:r>
          </w:p>
          <w:p w:rsidR="006321DA" w:rsidRPr="00D5726B" w:rsidP="007F43F3" w14:paraId="0FD39339" w14:textId="77777777">
            <w:pPr>
              <w:pStyle w:val="Lgendestandard"/>
              <w:rPr>
                <w:szCs w:val="24"/>
              </w:rPr>
            </w:pPr>
          </w:p>
          <w:p w:rsidR="006321DA" w:rsidRPr="00D5726B" w:rsidP="007F43F3" w14:paraId="42C3B3B8" w14:textId="77777777">
            <w:pPr>
              <w:pStyle w:val="Lgendestandard"/>
              <w:rPr>
                <w:szCs w:val="24"/>
              </w:rPr>
            </w:pPr>
            <w:r>
              <w:t xml:space="preserve">L-ewwel u t-tieni linji tal-intestatura ta’ kull emenda jidentifikaw il-parti tat-test ikkonċernata fl-abbozz ta’ att inkwistjoni. Meta emenda tirrigwarda att eżistenti, li l-abbozz ta’ att ikollu l-ħsieb li jemenda, l-intestatura jkun fiha wkoll it-tielet u r-raba’ linji li jidentifikaw rispettivament l-att eżistenti u d-dispożizzjoni kkonċernata f’dak l-att. </w:t>
            </w:r>
          </w:p>
          <w:p w:rsidR="006321DA" w:rsidRPr="00D5726B" w:rsidP="007F43F3" w14:paraId="68D274A8" w14:textId="77777777">
            <w:pPr>
              <w:pStyle w:val="Lgendestandard"/>
              <w:rPr>
                <w:szCs w:val="24"/>
              </w:rPr>
            </w:pPr>
          </w:p>
          <w:p w:rsidR="006321DA" w:rsidRPr="00D5726B" w:rsidP="007F43F3" w14:paraId="6CD23090" w14:textId="77777777">
            <w:pPr>
              <w:pStyle w:val="Lgendestandard"/>
              <w:rPr>
                <w:b/>
                <w:szCs w:val="24"/>
              </w:rPr>
            </w:pPr>
            <w:r>
              <w:rPr>
                <w:b/>
              </w:rPr>
              <w:t>Emendi tal-Parlament li jieħdu l-forma ta’ test konsolidat</w:t>
            </w:r>
          </w:p>
          <w:p w:rsidR="006321DA" w:rsidRPr="00D5726B" w:rsidP="007F43F3" w14:paraId="569DF4DB" w14:textId="77777777">
            <w:pPr>
              <w:pStyle w:val="Lgendestandard"/>
              <w:rPr>
                <w:szCs w:val="24"/>
              </w:rPr>
            </w:pPr>
          </w:p>
          <w:p w:rsidR="006321DA" w:rsidRPr="00D5726B" w:rsidP="007F43F3" w14:paraId="04C748CF" w14:textId="77777777">
            <w:pPr>
              <w:pStyle w:val="Lgendestandard"/>
              <w:rPr>
                <w:szCs w:val="24"/>
              </w:rPr>
            </w:pPr>
            <w:r>
              <w:t>Il-partijiet ġodda tat-test huma indikati permezz tat-tipa</w:t>
            </w:r>
            <w:r>
              <w:rPr>
                <w:b/>
                <w:i/>
              </w:rPr>
              <w:t xml:space="preserve"> korsiva u grassa.</w:t>
            </w:r>
            <w:r>
              <w:t xml:space="preserve"> Il-partijiet imħassra tat-test huma indikati permezz tas-simbolu ▌ jew huma ingassati. Is-sostituzzjoni tintwera billi jiġi indikat permezz tat-tipa</w:t>
            </w:r>
            <w:r>
              <w:rPr>
                <w:b/>
                <w:i/>
              </w:rPr>
              <w:t xml:space="preserve"> korsiva u grassa</w:t>
            </w:r>
            <w:r>
              <w:t xml:space="preserve"> t-test il-ġdid u billi jitħassar jew jiġi ingassat it-test sostitwit. </w:t>
            </w:r>
          </w:p>
          <w:p w:rsidR="006321DA" w:rsidRPr="00D5726B" w:rsidP="007F43F3" w14:paraId="6C40D91B" w14:textId="77777777">
            <w:pPr>
              <w:pStyle w:val="Lgendestandard"/>
            </w:pPr>
            <w:r>
              <w:tab/>
              <w:t>Bħala eċċezzjoni, it-tibdil ta’ natura strettament teknika magħmul mis-servizzi fil-preparazzjoni tat-test finali mhuwiex indikat.</w:t>
            </w:r>
          </w:p>
          <w:p w:rsidR="006321DA" w:rsidRPr="00D5726B" w:rsidP="0069092A" w14:paraId="0ED5CB96" w14:textId="77777777">
            <w:pPr>
              <w:pStyle w:val="Lgendestandard"/>
            </w:pPr>
          </w:p>
        </w:tc>
      </w:tr>
    </w:tbl>
    <w:p w:rsidR="006321DA" w:rsidRPr="00D5726B" w:rsidP="00894923" w14:paraId="2077025F" w14:textId="77777777"/>
    <w:p w:rsidR="00B85286" w:rsidRPr="00D5726B" w:rsidP="00A972F9" w14:paraId="10A2C890" w14:textId="77777777">
      <w:pPr>
        <w:widowControl/>
        <w:tabs>
          <w:tab w:val="center" w:pos="4677"/>
        </w:tabs>
      </w:pPr>
    </w:p>
    <w:p w:rsidR="00B85286" w:rsidRPr="00D5726B" w14:paraId="4FF4EBD1" w14:textId="77777777">
      <w:pPr>
        <w:pStyle w:val="TOCHeading"/>
      </w:pPr>
      <w:r>
        <w:br w:type="page"/>
      </w:r>
      <w:r>
        <w:t>WERREJ</w:t>
      </w:r>
    </w:p>
    <w:p w:rsidR="00B85286" w:rsidRPr="00D5726B" w14:paraId="020790EA" w14:textId="77777777">
      <w:pPr>
        <w:pStyle w:val="TOCPage"/>
      </w:pPr>
      <w:r>
        <w:t>Paġna</w:t>
      </w:r>
    </w:p>
    <w:p w:rsidR="00604C5F" w14:paraId="28B01E40" w14:textId="1A8E08E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5726B">
        <w:fldChar w:fldCharType="begin"/>
      </w:r>
      <w:r w:rsidRPr="00D5726B">
        <w:instrText xml:space="preserve"> TOC \t "PageHeading</w:instrText>
      </w:r>
      <w:r w:rsidRPr="00D5726B" w:rsidR="00F41899">
        <w:instrText>;</w:instrText>
      </w:r>
      <w:r w:rsidRPr="00D5726B">
        <w:instrText xml:space="preserve">1" </w:instrText>
      </w:r>
      <w:r w:rsidRPr="00D5726B">
        <w:fldChar w:fldCharType="separate"/>
      </w:r>
      <w:r>
        <w:rPr>
          <w:noProof/>
        </w:rPr>
        <w:t>ABBOZZ TA’ RIŻOLUZZJONI LEĠIŻLATTIVA TAL-PARLAMENT EWROPEW</w:t>
      </w:r>
      <w:r>
        <w:rPr>
          <w:noProof/>
        </w:rPr>
        <w:tab/>
      </w:r>
      <w:r>
        <w:rPr>
          <w:noProof/>
        </w:rPr>
        <w:fldChar w:fldCharType="begin"/>
      </w:r>
      <w:r>
        <w:rPr>
          <w:noProof/>
        </w:rPr>
        <w:instrText xml:space="preserve"> PAGEREF _Toc236753716 \h </w:instrText>
      </w:r>
      <w:r>
        <w:rPr>
          <w:noProof/>
        </w:rPr>
        <w:fldChar w:fldCharType="separate"/>
      </w:r>
      <w:r>
        <w:rPr>
          <w:noProof/>
        </w:rPr>
        <w:t>5</w:t>
      </w:r>
      <w:r>
        <w:rPr>
          <w:noProof/>
        </w:rPr>
        <w:fldChar w:fldCharType="end"/>
      </w:r>
    </w:p>
    <w:p w:rsidR="00604C5F" w14:paraId="07854F73" w14:textId="2DA4F60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NOTA SPJEGATTIVA</w:t>
      </w:r>
      <w:r>
        <w:rPr>
          <w:noProof/>
        </w:rPr>
        <w:tab/>
      </w:r>
      <w:r>
        <w:rPr>
          <w:noProof/>
        </w:rPr>
        <w:fldChar w:fldCharType="begin"/>
      </w:r>
      <w:r>
        <w:rPr>
          <w:noProof/>
        </w:rPr>
        <w:instrText xml:space="preserve"> PAGEREF _Toc236753717 \h </w:instrText>
      </w:r>
      <w:r>
        <w:rPr>
          <w:noProof/>
        </w:rPr>
        <w:fldChar w:fldCharType="separate"/>
      </w:r>
      <w:r>
        <w:rPr>
          <w:noProof/>
        </w:rPr>
        <w:t>25</w:t>
      </w:r>
      <w:r>
        <w:rPr>
          <w:noProof/>
        </w:rPr>
        <w:fldChar w:fldCharType="end"/>
      </w:r>
    </w:p>
    <w:p w:rsidR="00604C5F" w14:paraId="2045AC39" w14:textId="37E58EB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DIKJARAZZJONI TAL-KONTRIBUT</w:t>
      </w:r>
      <w:r>
        <w:rPr>
          <w:noProof/>
        </w:rPr>
        <w:tab/>
      </w:r>
      <w:r>
        <w:rPr>
          <w:noProof/>
        </w:rPr>
        <w:fldChar w:fldCharType="begin"/>
      </w:r>
      <w:r>
        <w:rPr>
          <w:noProof/>
        </w:rPr>
        <w:instrText xml:space="preserve"> PAGEREF _Toc236753718 \h </w:instrText>
      </w:r>
      <w:r>
        <w:rPr>
          <w:noProof/>
        </w:rPr>
        <w:fldChar w:fldCharType="separate"/>
      </w:r>
      <w:r>
        <w:rPr>
          <w:noProof/>
        </w:rPr>
        <w:t>27</w:t>
      </w:r>
      <w:r>
        <w:rPr>
          <w:noProof/>
        </w:rPr>
        <w:fldChar w:fldCharType="end"/>
      </w:r>
    </w:p>
    <w:p w:rsidR="00604C5F" w14:paraId="2BECB816" w14:textId="2ECFA6A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VALUTAZZJONI BAĠITARJA TAL-KUMITAT GĦALL-BAĠITS</w:t>
      </w:r>
      <w:r>
        <w:rPr>
          <w:noProof/>
        </w:rPr>
        <w:tab/>
      </w:r>
      <w:r>
        <w:rPr>
          <w:noProof/>
        </w:rPr>
        <w:fldChar w:fldCharType="begin"/>
      </w:r>
      <w:r>
        <w:rPr>
          <w:noProof/>
        </w:rPr>
        <w:instrText xml:space="preserve"> PAGEREF _Toc236753719 \h </w:instrText>
      </w:r>
      <w:r>
        <w:rPr>
          <w:noProof/>
        </w:rPr>
        <w:fldChar w:fldCharType="separate"/>
      </w:r>
      <w:r>
        <w:rPr>
          <w:noProof/>
        </w:rPr>
        <w:t>28</w:t>
      </w:r>
      <w:r>
        <w:rPr>
          <w:noProof/>
        </w:rPr>
        <w:fldChar w:fldCharType="end"/>
      </w:r>
    </w:p>
    <w:p w:rsidR="00604C5F" w14:paraId="335EF25E" w14:textId="2482DB3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DIKJARAZZJONI TAL-KONTRIBUT</w:t>
      </w:r>
      <w:r>
        <w:rPr>
          <w:noProof/>
        </w:rPr>
        <w:tab/>
      </w:r>
      <w:r>
        <w:rPr>
          <w:noProof/>
        </w:rPr>
        <w:fldChar w:fldCharType="begin"/>
      </w:r>
      <w:r>
        <w:rPr>
          <w:noProof/>
        </w:rPr>
        <w:instrText xml:space="preserve"> PAGEREF _Toc236753720 \h </w:instrText>
      </w:r>
      <w:r>
        <w:rPr>
          <w:noProof/>
        </w:rPr>
        <w:fldChar w:fldCharType="separate"/>
      </w:r>
      <w:r>
        <w:rPr>
          <w:noProof/>
        </w:rPr>
        <w:t>32</w:t>
      </w:r>
      <w:r>
        <w:rPr>
          <w:noProof/>
        </w:rPr>
        <w:fldChar w:fldCharType="end"/>
      </w:r>
    </w:p>
    <w:p w:rsidR="00604C5F" w14:paraId="5C84D9D6" w14:textId="505ECC2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PROĊEDURA TAL-KUMITAT RESPONSABBLI</w:t>
      </w:r>
      <w:r>
        <w:rPr>
          <w:noProof/>
        </w:rPr>
        <w:tab/>
      </w:r>
      <w:r>
        <w:rPr>
          <w:noProof/>
        </w:rPr>
        <w:fldChar w:fldCharType="begin"/>
      </w:r>
      <w:r>
        <w:rPr>
          <w:noProof/>
        </w:rPr>
        <w:instrText xml:space="preserve"> PAGEREF _Toc236753721 \h </w:instrText>
      </w:r>
      <w:r>
        <w:rPr>
          <w:noProof/>
        </w:rPr>
        <w:fldChar w:fldCharType="separate"/>
      </w:r>
      <w:r>
        <w:rPr>
          <w:noProof/>
        </w:rPr>
        <w:t>35</w:t>
      </w:r>
      <w:r>
        <w:rPr>
          <w:noProof/>
        </w:rPr>
        <w:fldChar w:fldCharType="end"/>
      </w:r>
    </w:p>
    <w:p w:rsidR="00604C5F" w14:paraId="6FA5D0D7" w14:textId="75084D4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VOTAZZJONI FINALI B’SEJĦA TAL-ISMIJIET MILL-KUMITAT RESPONSABBLI</w:t>
      </w:r>
      <w:r>
        <w:rPr>
          <w:noProof/>
        </w:rPr>
        <w:tab/>
      </w:r>
      <w:r>
        <w:rPr>
          <w:noProof/>
        </w:rPr>
        <w:fldChar w:fldCharType="begin"/>
      </w:r>
      <w:r>
        <w:rPr>
          <w:noProof/>
        </w:rPr>
        <w:instrText xml:space="preserve"> PAGEREF _Toc236753722 \h </w:instrText>
      </w:r>
      <w:r>
        <w:rPr>
          <w:noProof/>
        </w:rPr>
        <w:fldChar w:fldCharType="separate"/>
      </w:r>
      <w:r>
        <w:rPr>
          <w:noProof/>
        </w:rPr>
        <w:t>36</w:t>
      </w:r>
      <w:r>
        <w:rPr>
          <w:noProof/>
        </w:rPr>
        <w:fldChar w:fldCharType="end"/>
      </w:r>
    </w:p>
    <w:p w:rsidR="00BD0A00" w:rsidRPr="00D5726B" w:rsidP="003409AC" w14:paraId="2C664164" w14:textId="4749A9BD">
      <w:r w:rsidRPr="00D5726B">
        <w:fldChar w:fldCharType="end"/>
      </w:r>
    </w:p>
    <w:p w:rsidR="00B85286" w:rsidRPr="00D5726B" w14:paraId="69E764C7" w14:textId="77777777">
      <w:pPr>
        <w:pStyle w:val="PageHeading"/>
      </w:pPr>
      <w:r>
        <w:br w:type="page"/>
      </w:r>
      <w:r>
        <w:br w:type="page"/>
      </w:r>
      <w:bookmarkStart w:id="0" w:name="_Toc236753716"/>
      <w:r>
        <w:t>ABBOZZ TA’ RIŻOLUZZJONI LEĠIŻLATTIVA TAL-PARLAMENT EWROPEW</w:t>
      </w:r>
      <w:bookmarkEnd w:id="0"/>
    </w:p>
    <w:p w:rsidR="00B85286" w:rsidRPr="00D5726B" w:rsidP="00F772D8" w14:paraId="6D12231F" w14:textId="77777777">
      <w:pPr>
        <w:pStyle w:val="NormalBold12a"/>
      </w:pPr>
      <w:r>
        <w:t>dwar il-proposta għal regolament tal-Kunsill li jistabbilixxi l-programm ta’ assistenza għad-dekummissjonar nukleari tal-impjant tal-enerġija nukleari ta’ Ignalina fil-Litwanja għall-perjodu 2028-2034, u li jħassar ir-Regolament (UE) 2021/101</w:t>
      </w:r>
    </w:p>
    <w:p w:rsidR="00B85286" w:rsidRPr="00D5726B" w:rsidP="00F772D8" w14:paraId="6BDA4DA0" w14:textId="77777777">
      <w:pPr>
        <w:pStyle w:val="NormalBold"/>
      </w:pPr>
      <w:r>
        <w:t>(Konsultazzjoni)</w:t>
      </w:r>
    </w:p>
    <w:p w:rsidR="00B85286" w:rsidRPr="00D5726B" w:rsidP="00907308" w14:paraId="30E0EC96" w14:textId="77777777">
      <w:pPr>
        <w:pStyle w:val="EPComma"/>
      </w:pPr>
      <w:r>
        <w:rPr>
          <w:i/>
        </w:rPr>
        <w:t>Il-Parlament Ewropew</w:t>
      </w:r>
      <w:r>
        <w:t>,</w:t>
      </w:r>
    </w:p>
    <w:p w:rsidR="006321DA" w:rsidRPr="00D5726B" w:rsidP="006321DA" w14:paraId="3FE0FAE7" w14:textId="77777777">
      <w:pPr>
        <w:pStyle w:val="NormalHanging12a"/>
      </w:pPr>
      <w:r>
        <w:t>–</w:t>
      </w:r>
      <w:r>
        <w:tab/>
        <w:t>wara li kkunsidra l-proposta tal-Kummissjoni lill-Kunsill (COM(2025)0476),</w:t>
      </w:r>
    </w:p>
    <w:p w:rsidR="006321DA" w:rsidRPr="00D5726B" w:rsidP="006321DA" w14:paraId="3506438A" w14:textId="77777777">
      <w:pPr>
        <w:pStyle w:val="NormalHanging12a"/>
      </w:pPr>
      <w:r>
        <w:t>–</w:t>
      </w:r>
      <w:r>
        <w:tab/>
        <w:t xml:space="preserve">wara li kkunsidra l-Att tal-Adeżjoni tal-2003 u, b’mod partikolari l-Artikolu 3(2) tal-Protokoll Nru 4 tiegħu, </w:t>
      </w:r>
    </w:p>
    <w:p w:rsidR="006321DA" w:rsidRPr="00D5726B" w:rsidP="006321DA" w14:paraId="4C59D3E2" w14:textId="77777777">
      <w:pPr>
        <w:pStyle w:val="NormalHanging12a"/>
      </w:pPr>
      <w:r>
        <w:t>–</w:t>
      </w:r>
      <w:r>
        <w:tab/>
        <w:t>wara li kkunsidra l-valutazzjoni baġitarja maħruġa mill-Kumitat għall-Baġits,</w:t>
      </w:r>
    </w:p>
    <w:p w:rsidR="006321DA" w:rsidRPr="00D5726B" w:rsidP="006321DA" w14:paraId="2D225B45" w14:textId="77777777">
      <w:pPr>
        <w:pStyle w:val="NormalHanging12a"/>
      </w:pPr>
      <w:r>
        <w:t>–</w:t>
      </w:r>
      <w:r>
        <w:tab/>
        <w:t>wara li kkunsidra l-Artikolu 84 tar-Regoli ta’ Proċedura tiegħu,</w:t>
      </w:r>
    </w:p>
    <w:p w:rsidR="006321DA" w:rsidRPr="00D5726B" w:rsidP="006321DA" w14:paraId="1A143B90" w14:textId="77777777">
      <w:pPr>
        <w:pStyle w:val="NormalHanging12a"/>
      </w:pPr>
      <w:r>
        <w:t>–</w:t>
      </w:r>
      <w:r>
        <w:tab/>
        <w:t>wara li kkunsidra r-rapport tal-Kumitat għall-Industrija, ir-Riċerka u l-Enerġija (A10-0197/2026),</w:t>
      </w:r>
    </w:p>
    <w:p w:rsidR="006321DA" w:rsidRPr="00D5726B" w:rsidP="006321DA" w14:paraId="153DC075" w14:textId="77777777">
      <w:pPr>
        <w:pStyle w:val="NormalHanging12a"/>
      </w:pPr>
      <w:r>
        <w:t>1.</w:t>
      </w:r>
      <w:r>
        <w:tab/>
        <w:t>Japprova l-proposta tal-Kummissjoni kif emendata;</w:t>
      </w:r>
    </w:p>
    <w:p w:rsidR="006321DA" w:rsidRPr="00D5726B" w:rsidP="006321DA" w14:paraId="7D0D045E" w14:textId="77777777">
      <w:pPr>
        <w:pStyle w:val="NormalHanging12a"/>
      </w:pPr>
      <w:r>
        <w:t>2.</w:t>
      </w:r>
      <w:r>
        <w:tab/>
        <w:t>Jistieden lill-Kummissjoni timmodifika l-proposta tagħha konsegwentement, skont l-Artikolu 293(2) tat-Trattat dwar il-Funzjonament tal-Unjoni Ewropea;</w:t>
      </w:r>
    </w:p>
    <w:p w:rsidR="006321DA" w:rsidRPr="00D5726B" w:rsidP="006321DA" w14:paraId="776D8F5E" w14:textId="77777777">
      <w:pPr>
        <w:pStyle w:val="NormalHanging12a"/>
      </w:pPr>
      <w:r>
        <w:t>3.</w:t>
      </w:r>
      <w:r>
        <w:tab/>
        <w:t>Jistieden lill-Kunsill jinfurmah jekk ikollu l-ħsieb li jitbiegħed mit-test approvat mill-Parlament;</w:t>
      </w:r>
    </w:p>
    <w:p w:rsidR="006321DA" w:rsidRPr="00D5726B" w:rsidP="006321DA" w14:paraId="412207DA" w14:textId="77777777">
      <w:pPr>
        <w:pStyle w:val="NormalHanging12a"/>
      </w:pPr>
      <w:r>
        <w:t>4.</w:t>
      </w:r>
      <w:r>
        <w:tab/>
        <w:t>Jitlob lill-Kunsill jerġa’ jikkonsultah jekk ikollu l-ħsieb li jemenda l-proposta tal-Kummissjoni b’mod sustanzjali;</w:t>
      </w:r>
    </w:p>
    <w:p w:rsidR="006321DA" w:rsidRPr="00D5726B" w:rsidP="006321DA" w14:paraId="51941607" w14:textId="77777777">
      <w:pPr>
        <w:pStyle w:val="NormalHanging12a"/>
      </w:pPr>
      <w:r>
        <w:t>5.</w:t>
      </w:r>
      <w:r>
        <w:tab/>
        <w:t>Jagħti istruzzjonijiet lill-President tiegħu biex tgħaddi l-pożizzjoni tal-Parlament lill-Kunsill u lill-Kummissjoni.</w:t>
      </w:r>
    </w:p>
    <w:p w:rsidR="006321DA" w:rsidRPr="00D5726B" w:rsidP="006321DA" w14:paraId="391DF099" w14:textId="77777777">
      <w:pPr>
        <w:pStyle w:val="NormalHanging12a"/>
      </w:pPr>
    </w:p>
    <w:p w:rsidR="006321DA" w:rsidRPr="00D5726B" w:rsidP="006321DA" w14:paraId="4CA3E031" w14:textId="77777777">
      <w:pPr>
        <w:pStyle w:val="NormalHanging12a"/>
      </w:pPr>
    </w:p>
    <w:p w:rsidR="006321DA" w:rsidRPr="00D5726B" w:rsidP="006321DA" w14:paraId="45DCA3FF" w14:textId="77777777">
      <w:pPr>
        <w:pStyle w:val="NormalHanging12a"/>
      </w:pPr>
    </w:p>
    <w:p w:rsidR="006321DA" w:rsidRPr="00D5726B" w:rsidP="006321DA" w14:paraId="3C8C5291" w14:textId="77777777">
      <w:pPr>
        <w:pStyle w:val="NormalHanging12a"/>
      </w:pPr>
    </w:p>
    <w:p w:rsidR="006321DA" w:rsidRPr="00D5726B" w:rsidP="006321DA" w14:paraId="6E4851D9" w14:textId="77777777">
      <w:pPr>
        <w:pStyle w:val="NormalHanging12a"/>
      </w:pPr>
    </w:p>
    <w:p w:rsidR="006321DA" w:rsidRPr="00D5726B" w:rsidP="006321DA" w14:paraId="6778F57B" w14:textId="77777777">
      <w:pPr>
        <w:pStyle w:val="NormalHanging12a"/>
      </w:pPr>
    </w:p>
    <w:p w:rsidR="00907308" w:rsidRPr="00D5726B" w:rsidP="00907308" w14:paraId="266E4F12" w14:textId="77777777"/>
    <w:p w:rsidR="00D544CF" w:rsidRPr="00D5726B" w:rsidP="00D544CF" w14:paraId="70DC21C7" w14:textId="77777777">
      <w:pPr>
        <w:pStyle w:val="NormalHanging12a"/>
      </w:pPr>
    </w:p>
    <w:p w:rsidR="00D544CF" w:rsidRPr="00D5726B" w:rsidP="00D544CF" w14:paraId="4808D0FE" w14:textId="77777777"/>
    <w:p w:rsidR="00D544CF" w:rsidRPr="00D5726B" w:rsidP="00D544CF" w14:paraId="15468A4D" w14:textId="77777777">
      <w:pPr>
        <w:pStyle w:val="Rfrenceinterinstitutionnelle"/>
        <w:rPr>
          <w:noProof/>
        </w:rPr>
      </w:pPr>
      <w:r>
        <w:t>2025/0268(NLE)</w:t>
      </w:r>
    </w:p>
    <w:p w:rsidR="00D544CF" w:rsidRPr="00D5726B" w:rsidP="00D544CF" w14:paraId="4E346046" w14:textId="77777777">
      <w:pPr>
        <w:pStyle w:val="Statut"/>
        <w:rPr>
          <w:noProof/>
        </w:rPr>
      </w:pPr>
      <w:r>
        <w:t>Proposta għal</w:t>
      </w:r>
    </w:p>
    <w:p w:rsidR="00D544CF" w:rsidRPr="00D5726B" w:rsidP="00D544CF" w14:paraId="4A5E2F07" w14:textId="77777777">
      <w:pPr>
        <w:pStyle w:val="Typedudocument"/>
        <w:rPr>
          <w:noProof/>
        </w:rPr>
      </w:pPr>
      <w:r>
        <w:t>REGOLAMENT TAL-KUNSILL</w:t>
      </w:r>
    </w:p>
    <w:p w:rsidR="00D544CF" w:rsidRPr="00D5726B" w:rsidP="00D544CF" w14:paraId="1A3EF1F7" w14:textId="77777777">
      <w:pPr>
        <w:pStyle w:val="Titreobjet"/>
        <w:rPr>
          <w:noProof/>
        </w:rPr>
      </w:pPr>
      <w:r>
        <w:t>li jistabbilixxi l-programm ta’ assistenza għad-dekummissjonar nukleari tal-impjant tal-enerġija nukleari ta’ Ignalina fil-Litwanja għall-perjodu 2028-2034, u li jħassar ir-Regolament (UE) 2021/101</w:t>
      </w:r>
    </w:p>
    <w:p w:rsidR="00D544CF" w:rsidRPr="00D5726B" w:rsidP="00D544CF" w14:paraId="7BD56313" w14:textId="77777777">
      <w:pPr>
        <w:pStyle w:val="Institutionquiagit"/>
        <w:spacing w:before="120" w:line="360" w:lineRule="auto"/>
        <w:rPr>
          <w:noProof/>
          <w:szCs w:val="24"/>
        </w:rPr>
      </w:pPr>
      <w:r>
        <w:t xml:space="preserve">IL-KUNSILL TAL-UNJONI </w:t>
      </w:r>
      <w:r>
        <w:t>EWROPEA,</w:t>
      </w:r>
    </w:p>
    <w:p w:rsidR="00D544CF" w:rsidRPr="00D5726B" w:rsidP="00D544CF" w14:paraId="4446C1A5" w14:textId="77777777">
      <w:pPr>
        <w:spacing w:before="120" w:after="120" w:line="360" w:lineRule="auto"/>
        <w:rPr>
          <w:noProof/>
          <w:szCs w:val="24"/>
        </w:rPr>
      </w:pPr>
      <w:r>
        <w:t>Wara li kkunsidra l-Att tal-Adeżjoni tal-2003 u, b’mod partikolari l-Artikolu 3(2) tal-Protokoll Nru 4 tiegħu,</w:t>
      </w:r>
    </w:p>
    <w:p w:rsidR="00D544CF" w:rsidRPr="00D5726B" w:rsidP="00D544CF" w14:paraId="697FA697" w14:textId="77777777">
      <w:pPr>
        <w:spacing w:before="120" w:after="120" w:line="360" w:lineRule="auto"/>
        <w:rPr>
          <w:noProof/>
          <w:szCs w:val="24"/>
        </w:rPr>
      </w:pPr>
      <w:r>
        <w:t>Wara li kkunsidra l-proposta tal-Kummissjoni Ewropea,</w:t>
      </w:r>
    </w:p>
    <w:p w:rsidR="00D544CF" w:rsidRPr="00D5726B" w:rsidP="00D544CF" w14:paraId="6126CBEA" w14:textId="77777777">
      <w:pPr>
        <w:spacing w:before="120" w:after="120" w:line="360" w:lineRule="auto"/>
        <w:rPr>
          <w:noProof/>
          <w:szCs w:val="24"/>
        </w:rPr>
      </w:pPr>
      <w:r>
        <w:t>Billi:</w:t>
      </w:r>
    </w:p>
    <w:p w:rsidR="00D544CF" w:rsidRPr="00D5726B" w:rsidP="00D544CF" w14:paraId="2869C0C7" w14:textId="77777777">
      <w:pPr>
        <w:pStyle w:val="ManualConsidrant"/>
        <w:spacing w:line="360" w:lineRule="auto"/>
        <w:jc w:val="left"/>
        <w:rPr>
          <w:noProof/>
          <w:szCs w:val="24"/>
        </w:rPr>
      </w:pPr>
      <w:r>
        <w:t>(1)</w:t>
      </w:r>
      <w:r>
        <w:tab/>
        <w:t>F’konformità mal-Protokoll Nru 4 dwar l-impjant tal-enerġija nukleari ta’ Ignalina mehmuż mal-Att tal-Adeżjoni tal-2003</w:t>
      </w:r>
      <w:r>
        <w:rPr>
          <w:rStyle w:val="FootnoteReference"/>
          <w:noProof/>
          <w:szCs w:val="24"/>
        </w:rPr>
        <w:footnoteReference w:id="2"/>
      </w:r>
      <w:r>
        <w:rPr>
          <w:b/>
          <w:i/>
        </w:rPr>
        <w:t>, li jikkostitwixxi l-bażi legali tal-programm Ignalina,</w:t>
      </w:r>
      <w:r>
        <w:t xml:space="preserve"> il-Litwanja impenjat ruħha li tagħlaq l-Unità 1 u l-Unità 2 tal-impjant tal-enerġija nukleari ta’ Ignalina sal-31 ta’ Diċembru 2004 u sal-31 ta’ Diċembru 2009 rispettivament, u li mbagħad tgħaddi għad-dekummissjonar ta’ dawk l-unitajiet. </w:t>
      </w:r>
    </w:p>
    <w:p w:rsidR="00D544CF" w:rsidRPr="00D5726B" w:rsidP="00D544CF" w14:paraId="7C1553ED" w14:textId="77777777">
      <w:pPr>
        <w:pStyle w:val="ManualConsidrant"/>
        <w:spacing w:line="360" w:lineRule="auto"/>
        <w:jc w:val="left"/>
        <w:rPr>
          <w:noProof/>
          <w:szCs w:val="24"/>
        </w:rPr>
      </w:pPr>
      <w:r>
        <w:t>(2)</w:t>
      </w:r>
      <w:r>
        <w:tab/>
        <w:t>F’konformità mal-obbligi tagħha skont l-Att tal-Adeżjoni, u bl-assistenza tal-Unjoni, il-Litwanja għalqet iż-żewġ unitajiet fl-iskadenzi rispettivi u għamlet progress sinifikanti favur id-dekummissjonar tagħhom. Hemm bżonn aktar ħidma biex ikompli jonqos il-livell tal-periklu radjoloġiku. Abbażi tal-istimi disponibbli, għal dan il-għan wara l-2027 hemm bżonn riżorsi finanzjarji addizzjonali.</w:t>
      </w:r>
    </w:p>
    <w:p w:rsidR="00D544CF" w:rsidRPr="00D5726B" w:rsidP="00D544CF" w14:paraId="5941AFCB" w14:textId="77777777">
      <w:pPr>
        <w:pStyle w:val="ManualConsidrant"/>
        <w:spacing w:line="360" w:lineRule="auto"/>
        <w:jc w:val="left"/>
        <w:rPr>
          <w:noProof/>
          <w:szCs w:val="24"/>
        </w:rPr>
      </w:pPr>
      <w:r>
        <w:t>(3)</w:t>
      </w:r>
      <w:r>
        <w:tab/>
        <w:t>Id-dekummissjonar tal-impjant tal-enerġija nukleari kopert minn dan ir-Regolament irid isir f’konformità mal-leġiżlazzjoni tal-Unjoni dwar is-sikurezza nukleari, jiġifieri d-Direttiva tal-Kunsill 2009/71/Euratom</w:t>
      </w:r>
      <w:r>
        <w:rPr>
          <w:rStyle w:val="FootnoteReference"/>
          <w:noProof/>
          <w:szCs w:val="24"/>
        </w:rPr>
        <w:footnoteReference w:id="3"/>
      </w:r>
      <w:r>
        <w:t>, u dwar l-immaniġġjar tal-iskart, jiġifieri d-Direttiva tal-Kunsill 2011/70/Euratom</w:t>
      </w:r>
      <w:r>
        <w:rPr>
          <w:rStyle w:val="FootnoteReference"/>
          <w:noProof/>
          <w:szCs w:val="24"/>
        </w:rPr>
        <w:footnoteReference w:id="4"/>
      </w:r>
      <w:r>
        <w:t xml:space="preserve">. Skont din il-leġiżlazzjoni, ir-responsabbiltà aħħarija għas-sikurezza nukleari u għas-sikurezza tal-fjuwil użat u tal-immaniġġjar tal-iskart radjuattiv tibqa’ tal-Litwanja. </w:t>
      </w:r>
      <w:r>
        <w:rPr>
          <w:b/>
          <w:i/>
        </w:rPr>
        <w:t>Madankollu, peress li l-piż finanzjarju marbut ma’ dawk l-attivitajiet jaqbeż il-kostijiet totali tal-programm tad-dekummissjonar, huwa essenzjali li jiġi żgurat li l-Litwanja ma terfax din ir-responsabbiltà waħedha, b’mod partikolari peress li l-indirizzar tat-theddid potenzjali għas-sikurezza huwa ta’ benefiċċju għall-Unjoni kollha k</w:t>
      </w:r>
      <w:r>
        <w:rPr>
          <w:b/>
          <w:i/>
        </w:rPr>
        <w:t>emm hi, u mhux għal-Litwanja biss.</w:t>
      </w:r>
    </w:p>
    <w:p w:rsidR="00D544CF" w:rsidRPr="00D5726B" w:rsidP="00D544CF" w14:paraId="4801F2F6" w14:textId="77777777">
      <w:pPr>
        <w:pStyle w:val="ManualConsidrant"/>
        <w:spacing w:line="360" w:lineRule="auto"/>
        <w:jc w:val="left"/>
        <w:rPr>
          <w:noProof/>
          <w:szCs w:val="24"/>
        </w:rPr>
      </w:pPr>
      <w:r>
        <w:t>(4)</w:t>
      </w:r>
      <w:r>
        <w:tab/>
        <w:t xml:space="preserve">Filwaqt li jirrikonoxxi li l-għeluq </w:t>
      </w:r>
      <w:r>
        <w:rPr>
          <w:b/>
          <w:i/>
        </w:rPr>
        <w:t>prematur</w:t>
      </w:r>
      <w:r>
        <w:t xml:space="preserve"> u d-dekummissjonar konsegwenti tal-impjant tal-enerġija nukleari ta’ Ignalina b’żewġ unitajiet tar-reatturi tat-tip RBMK ta’ 1 500 MW </w:t>
      </w:r>
      <w:r>
        <w:rPr>
          <w:b/>
          <w:i/>
        </w:rPr>
        <w:t>li huma simili għal dawk użati fl-impjant tal-enerġija nukleari ta’ Chernobyl, iżda huma aktar b’saħħithom minnhom,</w:t>
      </w:r>
      <w:r>
        <w:t xml:space="preserve"> li ntirtu mingħand l-Unjoni Sovjetika, kellhom natura bla preċedent u għal-Litwanja kienu jirrappreżentaw piż finanzjarju eċċezzjonali mhux proporzjonat mad-daqs u mas-saħħa ekonomika tal-pajjiż, il-Protokoll Nru 4 t</w:t>
      </w:r>
      <w:r>
        <w:t xml:space="preserve">al-Att ta’ Adeżjoni tal-2003 iddikjara li l-assistenza tal-Unjoni permezz tal-programm ta’ assistenza għad-dekummissjonar nukleari tal-impjant tal-enerġija nukleari ta’ Ignalina fil-Litwanja (il-“programm”) għandha tissokta bla skossi u tiġi estiża wara l-2006, għall-perjodu tal-Perspettivi Finanzjarji li jmiss. </w:t>
      </w:r>
      <w:r>
        <w:rPr>
          <w:b/>
          <w:i/>
        </w:rPr>
        <w:t>Il-prinċipji oriġinali tal-programm, kif stipulati mill-Protokoll Nru 4, jiddikjaraw li l-programm Ignalina estiż għandu jkun ibbażat fuq l-istess elementi u prinċipji kif deskritti fl-Artikolu 2 ta</w:t>
      </w:r>
      <w:r>
        <w:rPr>
          <w:b/>
          <w:i/>
        </w:rPr>
        <w:t>l-Protokoll, inkluż miżuri biex tissaħħaħ is-sigurtà tal-provvista tal-enerġija u tittejjeb l-effiċjenza enerġetika fil-Litwanja. Madankollu, sabiex jiġi żgurat użu trasparenti u effiċjenti tal-fondi, il-programm Ignalina li għaddej bħalissa, kif miftiehem mil-Litwanja, huwa ffukat biss fuq il-proċess tad-dekummissjonar, u b’hekk jimmassimizza l-effiċjenza tal-finanzjament.</w:t>
      </w:r>
    </w:p>
    <w:p w:rsidR="00D544CF" w:rsidRPr="00D5726B" w:rsidP="00D544CF" w14:paraId="0DD296A5" w14:textId="77777777">
      <w:pPr>
        <w:pStyle w:val="ManualConsidrant"/>
        <w:spacing w:line="360" w:lineRule="auto"/>
        <w:jc w:val="left"/>
        <w:rPr>
          <w:noProof/>
          <w:szCs w:val="24"/>
        </w:rPr>
      </w:pPr>
      <w:r>
        <w:t>(5)</w:t>
      </w:r>
      <w:r>
        <w:tab/>
        <w:t xml:space="preserve">Dan ir-Regolament jistabbilixxi </w:t>
      </w:r>
      <w:r>
        <w:rPr>
          <w:b/>
          <w:i/>
        </w:rPr>
        <w:t>ammont ta’ referenza</w:t>
      </w:r>
      <w:r>
        <w:t xml:space="preserve"> għall-programm </w:t>
      </w:r>
      <w:r>
        <w:rPr>
          <w:b/>
          <w:i/>
        </w:rPr>
        <w:t>għall-perjodu 2028-2034</w:t>
      </w:r>
      <w:r>
        <w:t>.</w:t>
      </w:r>
    </w:p>
    <w:p w:rsidR="00D544CF" w:rsidRPr="00D5726B" w:rsidP="00D544CF" w14:paraId="62E9F229" w14:textId="77777777">
      <w:pPr>
        <w:pStyle w:val="ManualConsidrant"/>
        <w:spacing w:line="360" w:lineRule="auto"/>
        <w:jc w:val="left"/>
        <w:rPr>
          <w:noProof/>
          <w:szCs w:val="24"/>
        </w:rPr>
      </w:pPr>
      <w:r>
        <w:t>(6)</w:t>
      </w:r>
      <w:r>
        <w:tab/>
        <w:t>Fl-implimentazzjoni tal-programm, jenħtieġ li jiġu żgurati l-konsistenza, il-koerenza u s-sinerġiji mal-politiki u mal-programmi rilevanti tal-Unjoni, b’mod partikolari mal-Istrument għal Kooperazzjoni fil-qasam tas-Sikurezza Nukleari u d-Dekummissjonar stabbilit bir-Regolament tal-Kunsill [XXX]</w:t>
      </w:r>
      <w:r>
        <w:rPr>
          <w:rStyle w:val="FootnoteReference"/>
          <w:noProof/>
          <w:szCs w:val="24"/>
        </w:rPr>
        <w:footnoteReference w:id="5"/>
      </w:r>
      <w:r>
        <w:t xml:space="preserve">, </w:t>
      </w:r>
      <w:r>
        <w:rPr>
          <w:b/>
          <w:i/>
        </w:rPr>
        <w:t>u mal-politiki u l-programmi rilevanti tal-Unjoni u nazzjonali li jappoġġaw it-tranżizzjoni soċjali u ekonomika tar-reġjun ta’ Visaginas</w:t>
      </w:r>
      <w:r>
        <w:t>.</w:t>
      </w:r>
    </w:p>
    <w:p w:rsidR="00D544CF" w:rsidRPr="00D5726B" w:rsidP="00D544CF" w14:paraId="43FBEDE7" w14:textId="77777777">
      <w:pPr>
        <w:pStyle w:val="ManualConsidrant"/>
        <w:spacing w:line="360" w:lineRule="auto"/>
        <w:jc w:val="left"/>
        <w:rPr>
          <w:noProof/>
          <w:szCs w:val="24"/>
        </w:rPr>
      </w:pPr>
      <w:r>
        <w:t>(7)</w:t>
      </w:r>
      <w:r>
        <w:tab/>
        <w:t xml:space="preserve">F’ambjent ekonomiku, soċjali u </w:t>
      </w:r>
      <w:r>
        <w:t>ġ</w:t>
      </w:r>
      <w:r>
        <w:t xml:space="preserve">eopolitiku li qed jinbidel malajr, l-esperjenza reċenti wriet il-ħtieġa ta’ qafas finanzjarju pluriennali u ta’ programmi tal-infiq tal-Unjoni li jkunu aktar flessibbli. Għal dak il-għan, u bi qbil mal-objettivi tal-programm, jenħtieġ li l-finanzjament, </w:t>
      </w:r>
      <w:r>
        <w:rPr>
          <w:b/>
          <w:i/>
        </w:rPr>
        <w:t>filwaqt li jiżgura l-iżborż tal-allokazzjoni tal-baġit għall-perjodu 2028-2034 u prevedibbiltà suffiċjenti għall-implimentazzjoni tal-baġit,</w:t>
      </w:r>
      <w:r>
        <w:t xml:space="preserve"> iqis kif xieraq il-ħtiġijiet ta’ politika li dejjem qed jevolvu u l-prijoritajiet tal-Unjoni kif identifikati fid-do</w:t>
      </w:r>
      <w:r>
        <w:t>kumenti rilevanti ppubblikati mill-Kummissjoni, fir-riżoluzzjonijiet tal-Parlament Ewropew u fil-konklużjonijiet tal-Kunsill</w:t>
      </w:r>
      <w:r>
        <w:rPr>
          <w:b/>
          <w:i/>
        </w:rPr>
        <w:t>.</w:t>
      </w:r>
      <w:r>
        <w:t xml:space="preserve"> ▌ </w:t>
      </w:r>
    </w:p>
    <w:p w:rsidR="00D544CF" w:rsidRPr="00D5726B" w:rsidP="00D544CF" w14:paraId="32E29D0C" w14:textId="77777777">
      <w:pPr>
        <w:pStyle w:val="ManualConsidrant"/>
        <w:spacing w:line="360" w:lineRule="auto"/>
        <w:jc w:val="left"/>
        <w:rPr>
          <w:noProof/>
          <w:szCs w:val="24"/>
        </w:rPr>
      </w:pPr>
      <w:r>
        <w:t>(8)</w:t>
      </w:r>
      <w:r>
        <w:tab/>
        <w:t>Ir-Regolament (UE, Euratom) 2024/2509 tal-Parlament Ewropew u tal-Kunsill</w:t>
      </w:r>
      <w:r>
        <w:rPr>
          <w:rStyle w:val="FootnoteReference"/>
          <w:noProof/>
          <w:szCs w:val="24"/>
        </w:rPr>
        <w:footnoteReference w:id="6"/>
      </w:r>
      <w:r>
        <w:t xml:space="preserve"> japplika għall-programm. Jistabbilixxi r-regoli dwar l-istabbiliment u l-implimentazzjoni tal-baġit ġenerali tal-Unjoni, inkluż ir-regoli dwar l-għotjiet, il-premjijiet, id-donazzjonijiet nonfinanzjarji, l-akkwist, il-ġestjoni indiretta, l-assistenza finanzjarja, l-istrumenti finanzjarji u l-garanziji baġitarji.</w:t>
      </w:r>
    </w:p>
    <w:p w:rsidR="00D544CF" w:rsidRPr="00D5726B" w:rsidP="00D544CF" w14:paraId="3AAF9EF1" w14:textId="77777777">
      <w:pPr>
        <w:pStyle w:val="ManualConsidrant"/>
        <w:spacing w:line="360" w:lineRule="auto"/>
        <w:jc w:val="left"/>
        <w:rPr>
          <w:noProof/>
          <w:szCs w:val="24"/>
        </w:rPr>
      </w:pPr>
      <w:r>
        <w:t>(9)</w:t>
      </w:r>
      <w:r>
        <w:tab/>
        <w:t>F’konformità mar-Regolament (UE, Euratom) 2024/2509, ir-Regolament (UE, Euratom) Nru 883/2013 tal-Parlament Ewropew u tal-Kunsill</w:t>
      </w:r>
      <w:r>
        <w:rPr>
          <w:rStyle w:val="FootnoteReference"/>
          <w:noProof/>
          <w:szCs w:val="24"/>
        </w:rPr>
        <w:footnoteReference w:id="7"/>
      </w:r>
      <w:r>
        <w:t>, ir-Regolament tal-Kunsill (KE, Euratom) Nru 2988/95</w:t>
      </w:r>
      <w:r>
        <w:rPr>
          <w:rStyle w:val="FootnoteReference"/>
          <w:noProof/>
          <w:szCs w:val="24"/>
        </w:rPr>
        <w:footnoteReference w:id="8"/>
      </w:r>
      <w:r>
        <w:t>, ir-Regolament tal-Kunsill (Euratom, KE) Nru 2185/96</w:t>
      </w:r>
      <w:r>
        <w:rPr>
          <w:rStyle w:val="FootnoteReference"/>
          <w:noProof/>
          <w:szCs w:val="24"/>
        </w:rPr>
        <w:footnoteReference w:id="9"/>
      </w:r>
      <w:r>
        <w:t>, u r-Regolament tal-Kunsill (UE) 2017/1939</w:t>
      </w:r>
      <w:r>
        <w:rPr>
          <w:rStyle w:val="FootnoteReference"/>
          <w:noProof/>
          <w:szCs w:val="24"/>
        </w:rPr>
        <w:footnoteReference w:id="10"/>
      </w:r>
      <w:r>
        <w:t>, l-interessi finanzjarji tal-Unjoni għandhom jiġu protetti permezz ta’ miżuri proporzjonati, inkluż il-prevenzjoni, id-detezzjoni, il-korrezzjoni u l-investigazzjoni ta’ irregolaritajiet u ta’ frodi, l-irkupru ta’ fondi mitlufa, imħallsa bi żball jew użati b’mod mhux korrett u, fejn xieraq, l-impożizzjoni ta’ sanzjonijiet amministrattivi. B’mod partikolari, f’konformità mar-Regolamenti (UE, Euratom) Nru 883/2013 u (Euratom, KE) Nru 2185/96, l-Uffiċċju Ewropew Kontra l-Frodi (OLAF) jista’ jwettaq investigaz</w:t>
      </w:r>
      <w:r>
        <w:t>zjonijiet, inkluż verifiki u spezzjonijiet fuq il-post, biex jistabbilixxi jekk kienx hemm frodi, korruzzjoni jew xi attività illegali oħra li taffettwa l-interessi finanzjarji tal-Unjoni. F’konformità mar-Regolament (UE) 2017/1939, l-Uffiċċju tal-Prosekutur Pubbliku Ewropew (UPPE) jista’ jinvestiga u jressaq każijiet ta’ frodi u attivitajiet illegali oħrajn li jaffettwaw l-interessi finanzjarji tal-Unjoni, kif previst fid-Direttiva (UE) 2017/1371 tal-Parlament Ewropew u tal-Kunsill</w:t>
      </w:r>
      <w:r>
        <w:rPr>
          <w:rStyle w:val="FootnoteReference"/>
          <w:noProof/>
          <w:szCs w:val="24"/>
        </w:rPr>
        <w:footnoteReference w:id="11"/>
      </w:r>
      <w:r>
        <w:t>. F’konformità mar-Regolament (UE, Euratom) 2024/2509, kull persuna jew entità li tirċievi fondi tal-Unjoni trid tikkoopera bis-sħiħ fil-protezzjoni tal-interessi finanzjarji tal-Unjoni, tagħti d-drittijiet u l-aċċess meħtieġa lill-Kummissjoni, lill-OLAF, lill-UPPE u lill-Qorti Ewropea tal-Awdituri u tiżgura li kull parti terza involuta fl-implimentazzjoni tal-fondi tal-Unjoni tagħti drittijiet ekwivalenti.</w:t>
      </w:r>
    </w:p>
    <w:p w:rsidR="00D544CF" w:rsidRPr="00D5726B" w:rsidP="00D544CF" w14:paraId="7E714542" w14:textId="77777777">
      <w:pPr>
        <w:pStyle w:val="ManualConsidrant"/>
        <w:spacing w:line="360" w:lineRule="auto"/>
        <w:jc w:val="left"/>
        <w:rPr>
          <w:noProof/>
          <w:szCs w:val="24"/>
        </w:rPr>
      </w:pPr>
      <w:r>
        <w:rPr>
          <w:b/>
          <w:i/>
        </w:rPr>
        <w:t>(9a)</w:t>
      </w:r>
      <w:r>
        <w:rPr>
          <w:b/>
          <w:i/>
        </w:rPr>
        <w:tab/>
        <w:t xml:space="preserve">Il-programm jenħtieġ li jiġi implimentat bi trasparenza u responsabbiltà sħaħ fl-użu tar-riżorsi tal-Unjoni sabiex tiġi ppreżervata l-fiduċja pubblika fil-ġestjoni tal-fondi tal-Unjoni. Il-ħtiġijiet finanzjarji kollha li jirfdu kull fażi tal-implimentazzjoni jenħtieġ li jiġu ddokumentati u ġġustifikati b’mod trasparenti, b’diżaggregazzjoni ċara tal-baġit li għandha ssir disponibbli għall-istituzzjonijiet rilevanti.  </w:t>
      </w:r>
    </w:p>
    <w:p w:rsidR="00D544CF" w:rsidRPr="00D5726B" w:rsidP="00D544CF" w14:paraId="5A7B00A4" w14:textId="77777777">
      <w:pPr>
        <w:pStyle w:val="ManualConsidrant"/>
        <w:spacing w:line="360" w:lineRule="auto"/>
        <w:jc w:val="left"/>
        <w:rPr>
          <w:noProof/>
          <w:szCs w:val="24"/>
        </w:rPr>
      </w:pPr>
      <w:r>
        <w:t>(10)</w:t>
      </w:r>
      <w:r>
        <w:tab/>
        <w:t>Il-programm għandu jiġi implimentat f’konformità mar-Regolament (UE) [XXX] tal-Parlament Ewropew u tal-Kunsill</w:t>
      </w:r>
      <w:r>
        <w:rPr>
          <w:rStyle w:val="FootnoteReference"/>
          <w:noProof/>
          <w:szCs w:val="24"/>
        </w:rPr>
        <w:footnoteReference w:id="12"/>
      </w:r>
      <w:r>
        <w:t xml:space="preserve"> [ir-Regolament dwar il-Prestazzjoni] li jistabbilixxi r-regoli għat-traċċar tan-nefqa u l-qafas tal-prestazzjoni għall-baġit, inkluż regoli biex tkun żgurata applikazzjoni uniformi tal-prinċipji ta’ “la tagħmilx ħsara sinifikanti” u l-ugwaljanza bejn il-ġeneri msemmija fl-Artikolu 33(2), punti (d) u ​(f), tar-Regolament (UE, Euratom) 2024/2509 rispettivament, regoli għall-monitoraġġ u r-rapportar dwar il-prestazzjoni tal-programmi u tal-attivitajiet tal-Unjoni, regoli għall-istabbiliment ta’ portal tal-fin</w:t>
      </w:r>
      <w:r>
        <w:t>anzjament tal-Unjoni, regoli għall-evalwazzjoni tal-programmi, kif ukoll dispożizzjonijiet orizzontali oħra applikabbli għall-programmi kollha tal-Unjoni bħal dawk dwar l-informazzjoni, il-komunikazzjoni u l-viżibbiltà.</w:t>
      </w:r>
    </w:p>
    <w:p w:rsidR="00D544CF" w:rsidRPr="00D5726B" w:rsidP="00D544CF" w14:paraId="3BD48399" w14:textId="77777777">
      <w:pPr>
        <w:pStyle w:val="ManualConsidrant"/>
        <w:spacing w:line="360" w:lineRule="auto"/>
        <w:jc w:val="left"/>
        <w:rPr>
          <w:noProof/>
          <w:szCs w:val="24"/>
        </w:rPr>
      </w:pPr>
      <w:r>
        <w:t>(11)</w:t>
      </w:r>
      <w:r>
        <w:tab/>
        <w:t>Dan ir-Regolament hu mingħajr preġudizzju għall-eżitu ta’ kwalunkwe proċedura tal-għajnuna mill-Istat li tista’ ssir fil-ġejjieni f’konformità mal-Artikoli 107 u 108 tat-Trattat dwar il-Funzjonament tal-Unjoni Ewropea (TFUE).</w:t>
      </w:r>
    </w:p>
    <w:p w:rsidR="00D544CF" w:rsidRPr="00D5726B" w:rsidP="00D544CF" w14:paraId="62C94D43" w14:textId="77777777">
      <w:pPr>
        <w:pStyle w:val="ManualConsidrant"/>
        <w:spacing w:line="360" w:lineRule="auto"/>
        <w:jc w:val="left"/>
        <w:rPr>
          <w:noProof/>
          <w:szCs w:val="24"/>
        </w:rPr>
      </w:pPr>
      <w:r>
        <w:t>(12)</w:t>
      </w:r>
      <w:r>
        <w:tab/>
        <w:t xml:space="preserve">Il-finanzjament skont dan ir-Regolament jenħtieġ li jikkonċentra fuq attivitajiet li jimplimentaw l-objettivi tas-sikurezza tad-dekummissjonar </w:t>
      </w:r>
      <w:r>
        <w:rPr>
          <w:b/>
          <w:i/>
        </w:rPr>
        <w:t>u li jimmitigaw ir-riskji</w:t>
      </w:r>
      <w:r>
        <w:t>.</w:t>
      </w:r>
    </w:p>
    <w:p w:rsidR="00D544CF" w:rsidRPr="00D5726B" w:rsidP="00D544CF" w14:paraId="5FA5E485" w14:textId="77777777">
      <w:pPr>
        <w:pStyle w:val="ManualConsidrant"/>
        <w:spacing w:line="360" w:lineRule="auto"/>
        <w:jc w:val="left"/>
        <w:rPr>
          <w:noProof/>
          <w:szCs w:val="24"/>
        </w:rPr>
      </w:pPr>
      <w:r>
        <w:t>(13)</w:t>
      </w:r>
      <w:r>
        <w:tab/>
        <w:t>Il-programm jenħtieġ li jinvolvi l-ħolqien ta’ għarfien u l-kondiviżjoni tal-esperjenza</w:t>
      </w:r>
      <w:r>
        <w:rPr>
          <w:b/>
          <w:i/>
        </w:rPr>
        <w:t xml:space="preserve"> bl-objettiv li jinżamm tali għarfien u għarfien espert fl-Unjoni biex jissaħħu l-kompetittività industrijali u l-awtonomija strateġika tagħha</w:t>
      </w:r>
      <w:r>
        <w:t xml:space="preserve">. L-għarfien, u l-esperjenza u t-tagħlimiet miksuba fil-kuntest tal-programm b’rabta mal-proċess tad-dekummissjonar nukleari u tal-immaniġġjar tal-iskart jenħtieġ li jinxterdu madwar l-Unjoni, u, </w:t>
      </w:r>
      <w:r>
        <w:rPr>
          <w:b/>
          <w:i/>
        </w:rPr>
        <w:t>fejn xieraq u b’ċerti kundizzjonijiet,</w:t>
      </w:r>
      <w:r>
        <w:t xml:space="preserve"> lil hinn minnha, </w:t>
      </w:r>
      <w:r>
        <w:rPr>
          <w:b/>
          <w:i/>
        </w:rPr>
        <w:t>mingħajr ma tiġi żvelata kwalu</w:t>
      </w:r>
      <w:r>
        <w:rPr>
          <w:b/>
          <w:i/>
        </w:rPr>
        <w:t>nkwe informazzjoni sensittiva li jkollhom l-impriżi,</w:t>
      </w:r>
      <w:r>
        <w:t xml:space="preserve"> b’koordinazzjoni u sinerġija mal-installazzjonijiet nukleari tal-Kummissjoni fis-siti taċ-Ċentru Konġunt tar-Riċerka (JRC), peress li miżuri bħal dawn iġibu l-akbar valur miżjud tal-Unjoni u jikkontribwixxu </w:t>
      </w:r>
      <w:r>
        <w:rPr>
          <w:b/>
          <w:i/>
        </w:rPr>
        <w:t>għall-iżvilupp tal-ħiliet tas-sikurezza nukleari,</w:t>
      </w:r>
      <w:r>
        <w:t xml:space="preserve"> għas-sikurezza tal-ħaddiema u tal-pubbliku ġenerali kif ukoll għall-ħarsien tal-ambjent. Il-kamp ta’ applikazzjoni, il-proċedura u l-aspetti ekonomiċi tal-kooperazzjoni jenħtieġ li jiġu dettaljati fil-p</w:t>
      </w:r>
      <w:r>
        <w:t>rogrammi ta’ ħidma pluriennali u jistgħu jkunu soġġetti wkoll għal ftehimiet bejn l-Istati Membri jew bejn l-Istati Membri u l-Kummissjoni.</w:t>
      </w:r>
    </w:p>
    <w:p w:rsidR="00D544CF" w:rsidRPr="00D5726B" w:rsidP="00D544CF" w14:paraId="7A3CB2B5" w14:textId="77777777">
      <w:pPr>
        <w:pStyle w:val="ManualConsidrant"/>
        <w:spacing w:line="360" w:lineRule="auto"/>
        <w:jc w:val="left"/>
        <w:rPr>
          <w:b/>
          <w:i/>
          <w:szCs w:val="24"/>
        </w:rPr>
      </w:pPr>
      <w:r>
        <w:rPr>
          <w:b/>
          <w:i/>
        </w:rPr>
        <w:t>(13a)</w:t>
      </w:r>
      <w:r>
        <w:t xml:space="preserve"> </w:t>
      </w:r>
      <w:r>
        <w:rPr>
          <w:b/>
          <w:i/>
        </w:rPr>
        <w:t xml:space="preserve">Il-programm jenħtieġ li jiżgura </w:t>
      </w:r>
      <w:r>
        <w:rPr>
          <w:b/>
          <w:i/>
        </w:rPr>
        <w:t>l-ogħla standards ta’ protezzjoni mir-radjazzjoni għall-ħaddiema involuti fl-attivitajiet tad-dekummissjonar u għall-pubbliku ġenerali u għall-ambjent, inkluż miżuri tas-saħħa u s-sikurezza, l-iżvilupp tal-ħiliet, u kundizzjonijiet tax-xogħol ġusti, b’rispett sħiħ tal-liġijiet, l-istandards u l-prinċipju ta’ prekawzjoni tal-Unjoni. Minħabba r-riskji potenzjalment severi u fit-tul assoċjati mal-installazzjonijiet nukleari u mal-ġestjoni tal-iskart radjuattiv, jenħtieġ li l-attivitajiet kollha mwettqa fil-kun</w:t>
      </w:r>
      <w:r>
        <w:rPr>
          <w:b/>
          <w:i/>
        </w:rPr>
        <w:t xml:space="preserve">test tal-programm jevitaw li jqiegħdu piżijiet żejda fuq il-ġenerazzjonijiet futuri. </w:t>
      </w:r>
    </w:p>
    <w:p w:rsidR="00D544CF" w:rsidRPr="00D5726B" w:rsidP="00D544CF" w14:paraId="05A0B548" w14:textId="77777777">
      <w:pPr>
        <w:pStyle w:val="ManualConsidrant"/>
        <w:spacing w:line="360" w:lineRule="auto"/>
        <w:jc w:val="left"/>
        <w:rPr>
          <w:noProof/>
          <w:szCs w:val="24"/>
        </w:rPr>
      </w:pPr>
      <w:r>
        <w:t>(14)</w:t>
      </w:r>
      <w:r>
        <w:tab/>
        <w:t>Il-JRC jenħtieġ li jiffaċilita d-disseminazzjoni tal-għarfien dwar id-dekummissjonar nukleari fost il-partijiet ikkonċernati differenti tal-Unjoni b’mod ikkoordinat, pereżempju billi jwettaq analiżi tas-suq, rieżamijiet u valutazzjonijiet tal-ħtiġijiet tal-għarfien fl-Unjoni u, meta rilevanti, f’pajjiżi terzi, filwaqt li jidentifika direzzjonijiet potenzjali għal kooperazzjoni, partijiet ikkonċernati interessati u sferi li fihom l-għarfien iġġenerat waqt l-implimentazzjoni tal-programm jipprovdi l-akbar va</w:t>
      </w:r>
      <w:r>
        <w:t>lur miżjud, u jiżviluppa formati għall-kondiviżjoni tal-għarfien. Id-disseminazzjoni tal-għarfien iġġenerat jenħtieġ li jiffinanzjaha l-JRC. Kwalunkwe Stat Membru jenħtieġ li jkun jista’ jibda l-iżvilupp ta’ rabtiet u skambji għad-disseminazzjoni tal-għarfien. Meta rilevanti, skambji bħal dawn jistgħu jkunu jinvolvu lil pajjiżi terzi</w:t>
      </w:r>
      <w:r>
        <w:rPr>
          <w:b/>
          <w:i/>
        </w:rPr>
        <w:t>, fejn tali kooperazzjoni tallinja mal-interessi u l-prijoritajiet strateġiċi tal-Unjoni,</w:t>
      </w:r>
      <w:r>
        <w:t xml:space="preserve"> b’mod konsistenti u komplementari mal-azzjonijiet imwettqin skont ir-Regolament [XXX] t</w:t>
      </w:r>
      <w:r>
        <w:t>al-Parlament Ewropew u tal-Kunsill</w:t>
      </w:r>
      <w:r>
        <w:rPr>
          <w:rStyle w:val="FootnoteReference"/>
          <w:noProof/>
          <w:szCs w:val="24"/>
        </w:rPr>
        <w:footnoteReference w:id="13"/>
      </w:r>
      <w:r>
        <w:t xml:space="preserve"> [Ewropa Globali] u r-Regolament tal-Kunsill [XXX]</w:t>
      </w:r>
      <w:r>
        <w:rPr>
          <w:rStyle w:val="FootnoteReference"/>
          <w:noProof/>
          <w:szCs w:val="24"/>
        </w:rPr>
        <w:footnoteReference w:id="14"/>
      </w:r>
      <w:r>
        <w:t xml:space="preserve"> [INSC-D]. </w:t>
      </w:r>
      <w:r>
        <w:rPr>
          <w:b/>
          <w:i/>
        </w:rPr>
        <w:t>Sabiex jissaħħu s-sovranità teknoloġika u l-awtonomija strateġika tal-Unjoni fis-settur tad-dekummissjonar nukleari, l-għarfien iġġenerat fil-kuntest tal-programm jenħtieġ li primarjament isaħħaħ il-kapaċitajiet tal-Unjoni. Kwalunkwe disseminazzjoni lil hinn mill-Unjoni jenħtieġ li tkun ikkontrollata kif xieraq u soġġetta għal rekwiżiti xierqa ta’ kunfidenzjalità, filwaqt li tiġi żgurata l-protezzjoni tal-interessi tas-sigurtà, tal-proprjetà intellettwali u tat-tmexxija teknoloġika tal-Unjoni.</w:t>
      </w:r>
    </w:p>
    <w:p w:rsidR="00D544CF" w:rsidRPr="00D5726B" w:rsidP="00D544CF" w14:paraId="01573173" w14:textId="77777777">
      <w:pPr>
        <w:pStyle w:val="ManualConsidrant"/>
        <w:spacing w:line="360" w:lineRule="auto"/>
        <w:jc w:val="left"/>
        <w:rPr>
          <w:noProof/>
          <w:szCs w:val="24"/>
        </w:rPr>
      </w:pPr>
      <w:r>
        <w:t>(15)</w:t>
      </w:r>
      <w:r>
        <w:tab/>
        <w:t xml:space="preserve">Id-dekummissjonar tal-impjant tal-enerġija nukleari ta’ Ignalina jenħtieġ li jsir abbażi tal-aqwa għarfien espert tekniku disponibbli, u b’kunsiderazzjoni xierqa għan-natura u l-ispeċifikazzjonijiet teknoloġiċi tal-installazzjonijiet li jridu jiġu ddekummissjonati, biex ikunu żgurati s-sikurezza u l-ogħla livell ta’ effiċjenza possibbli, filwaqt li jitqiesu l-aqwa prattiki </w:t>
      </w:r>
      <w:r>
        <w:rPr>
          <w:b/>
          <w:i/>
        </w:rPr>
        <w:t>Ewropej u</w:t>
      </w:r>
      <w:r>
        <w:t xml:space="preserve"> internazzjonali</w:t>
      </w:r>
      <w:r>
        <w:rPr>
          <w:b/>
          <w:i/>
        </w:rPr>
        <w:t>, jiġi żgurat l-ogħla livell ta’ sikurezza nukleari u protezzjoni ambjentali, u titqies il-ħtieġa li jiġu mini</w:t>
      </w:r>
      <w:r>
        <w:rPr>
          <w:b/>
          <w:i/>
        </w:rPr>
        <w:t>mizzati r-riskji matul iċ-ċiklu tal-ħajja kollu tal-attivitajiet tad-dekummissjonar.</w:t>
      </w:r>
    </w:p>
    <w:p w:rsidR="00D544CF" w:rsidRPr="00D5726B" w:rsidP="00D544CF" w14:paraId="0910B54A" w14:textId="77777777">
      <w:pPr>
        <w:pStyle w:val="ManualConsidrant"/>
        <w:spacing w:line="360" w:lineRule="auto"/>
        <w:jc w:val="left"/>
        <w:rPr>
          <w:noProof/>
          <w:szCs w:val="24"/>
        </w:rPr>
      </w:pPr>
      <w:r>
        <w:rPr>
          <w:b/>
          <w:i/>
        </w:rPr>
        <w:t>(15a)</w:t>
      </w:r>
      <w:r>
        <w:t xml:space="preserve"> </w:t>
      </w:r>
      <w:r>
        <w:rPr>
          <w:b/>
          <w:i/>
        </w:rPr>
        <w:t xml:space="preserve">  Fid-dawl tal-ambjent tas-sigurtà li qed jevolvi u t-theddid għall-infrastruttura kritika, inkluż għas-siti tad-dekummissjonar nukleari, minn sistemi tal-ajru mingħajr bdot abbord, kif muri mill-attakk bid-droni fuq l-impjant tal-enerġija nukleari ta’ Chernobyl fi Frar 2025, il-programm jenħtieġ li jkun jista’ jiffinanzja wkoll miżuri biex tiżdied is-sigurtà tas-sit tal-faċilità nukleari minn theddid ibridu bħal dan. </w:t>
      </w:r>
    </w:p>
    <w:p w:rsidR="00D544CF" w:rsidRPr="00D5726B" w:rsidP="00D544CF" w14:paraId="61078750" w14:textId="77777777">
      <w:pPr>
        <w:pStyle w:val="ManualConsidrant"/>
        <w:spacing w:line="360" w:lineRule="auto"/>
        <w:jc w:val="left"/>
        <w:rPr>
          <w:b/>
          <w:bCs/>
          <w:i/>
          <w:iCs/>
          <w:noProof/>
          <w:szCs w:val="24"/>
        </w:rPr>
      </w:pPr>
      <w:bookmarkStart w:id="1" w:name="_Hlk203134970"/>
      <w:r>
        <w:t>(16)</w:t>
      </w:r>
      <w:r>
        <w:tab/>
        <w:t xml:space="preserve">L-effiċjenza tal-programm jenħtieġ li </w:t>
      </w:r>
      <w:r>
        <w:rPr>
          <w:b/>
          <w:i/>
        </w:rPr>
        <w:t>tissaħħaħ permezz ta’ organizzazzjoni mtejba u l-aħjar użu tar-riżorsi umani.</w:t>
      </w:r>
      <w:r>
        <w:t xml:space="preserve"> </w:t>
      </w:r>
      <w:bookmarkStart w:id="2" w:name="_Hlk205457520"/>
      <w:r>
        <w:t xml:space="preserve">Fid-dawl tal-attivitajiet taż-żarmar li jridu jsiru bejn l-2028 u l-2034 u </w:t>
      </w:r>
      <w:r>
        <w:rPr>
          <w:b/>
          <w:i/>
        </w:rPr>
        <w:t>l-esternalizzazzjoni ppjanata</w:t>
      </w:r>
      <w:r>
        <w:t xml:space="preserve"> taż-żarmar sħiħ taż-żoni ċentrali tax-xaftijiet tar-reattur, </w:t>
      </w:r>
      <w:bookmarkEnd w:id="2"/>
      <w:r>
        <w:rPr>
          <w:b/>
          <w:i/>
        </w:rPr>
        <w:t>jenħtieġ li jiġu implimentati miżuri mmirati ta’ titjib tal-ħiliet, taħriġ mill-ġdid ta’ ħiliet u taħriġ biex jappoġġaw l-adattament u r-riallokazzjoni tal-persunal. Meta jiġu kkunsidrati aġġustamenti tal-ħaddiema minħabba l-este</w:t>
      </w:r>
      <w:r>
        <w:rPr>
          <w:b/>
          <w:i/>
        </w:rPr>
        <w:t>rnalizzazzjoni</w:t>
      </w:r>
      <w:bookmarkStart w:id="3" w:name="_Hlk228902789"/>
      <w:r>
        <w:rPr>
          <w:b/>
          <w:i/>
        </w:rPr>
        <w:t>,</w:t>
      </w:r>
      <w:r>
        <w:t xml:space="preserve"> </w:t>
      </w:r>
      <w:bookmarkEnd w:id="3"/>
      <w:r>
        <w:t>dawn</w:t>
      </w:r>
      <w:bookmarkEnd w:id="1"/>
      <w:r>
        <w:t xml:space="preserve"> jenħtieġ li </w:t>
      </w:r>
      <w:r>
        <w:rPr>
          <w:b/>
          <w:i/>
        </w:rPr>
        <w:t xml:space="preserve">jsiru biss ladarba l-esternalizzazzjoni tkun ġiet implimentata u jenħtieġ li jkunu akkumpanjati minn politiki ta’ taħriġ mill-ġdid u taħriġ mill-ġdid ta’ ħiliet. Jenħtieġ li tali aġġustamenti ma jipperikolawx it-twettiq sikur u effettiv tal-proċess tad-dekummissjonar. </w:t>
      </w:r>
    </w:p>
    <w:p w:rsidR="00D544CF" w:rsidRPr="00D5726B" w:rsidP="00D544CF" w14:paraId="78DEEC93" w14:textId="77777777">
      <w:pPr>
        <w:pStyle w:val="ManualConsidrant"/>
        <w:spacing w:line="360" w:lineRule="auto"/>
        <w:jc w:val="left"/>
        <w:rPr>
          <w:noProof/>
          <w:szCs w:val="24"/>
        </w:rPr>
      </w:pPr>
      <w:r>
        <w:t>(17)</w:t>
      </w:r>
      <w:r>
        <w:tab/>
        <w:t>Jenħtieġ li jkunu żgurati monitoraġġ u kontroll effettivi tal-evoluzzjoni tal-proċess tad-dekummissjonar mil-Litwanja u mill-Kummissjoni sabiex ikun żgurat l-ogħla valur miżjud tal-Unjoni tal-finanzjament allokat skont dan ir-Regolament, minkejja li r-responsabbiltà aħħarija għad-dekummissjonar tibqa’ tal-Litwanja. Il-monitoraġġ u l-kontroll jinkludu kejl effettiv tal-progress, u l-promulgazzjoni ta’ miżuri korrettivi meta meħtieġ. Għal dak il-għan, bħala parti mill-programmi ta’ ħidma adottati f’konformit</w:t>
      </w:r>
      <w:r>
        <w:t>à mal-Artikolu 9 tar-Regolament tal-Kunsill (UE) 2021/101</w:t>
      </w:r>
      <w:r>
        <w:rPr>
          <w:rStyle w:val="FootnoteReference"/>
          <w:noProof/>
          <w:szCs w:val="24"/>
        </w:rPr>
        <w:footnoteReference w:id="15"/>
      </w:r>
      <w:r>
        <w:t>, twaqqaf kumitat b’funzjonijiet ta’ monitoraġġ u ta’ informazzjoni, kopresedut minn rappreżentant tal-Kummissjoni u tal-Litwanja.</w:t>
      </w:r>
    </w:p>
    <w:p w:rsidR="00D544CF" w:rsidRPr="00D5726B" w:rsidP="00D544CF" w14:paraId="1B26CA20" w14:textId="77777777">
      <w:pPr>
        <w:pStyle w:val="ManualConsidrant"/>
        <w:spacing w:line="360" w:lineRule="auto"/>
        <w:jc w:val="left"/>
        <w:rPr>
          <w:noProof/>
          <w:szCs w:val="24"/>
        </w:rPr>
      </w:pPr>
      <w:r>
        <w:t>(18)</w:t>
      </w:r>
      <w:r>
        <w:tab/>
        <w:t xml:space="preserve">Jenħtieġ li jkun possibbli li jiġi rieżaminat </w:t>
      </w:r>
      <w:r>
        <w:rPr>
          <w:b/>
          <w:i/>
        </w:rPr>
        <w:t>il-livell</w:t>
      </w:r>
      <w:r>
        <w:t xml:space="preserve"> tal-approprjazzjonijiet allokati għall-programm </w:t>
      </w:r>
      <w:r>
        <w:rPr>
          <w:b/>
          <w:i/>
        </w:rPr>
        <w:t>abbażi ta’ rapport komprensiv</w:t>
      </w:r>
      <w:r>
        <w:t xml:space="preserve"> ta’ implimentazzjoni </w:t>
      </w:r>
      <w:r>
        <w:rPr>
          <w:b/>
          <w:i/>
        </w:rPr>
        <w:t>bil-ħsieb li jiġi żgurat it-twettiq kontinwu u mingħajr interruzzjoni tal-attivitajiet tad-dekummissjonar. Kwalunkwe tali rieżami jenħtieġ li jqis ir-riskji li qed jevolvu, inklużi dawk relatati mal-protezzjoni tal-infrastruttura kritika, filwaqt li jiżgura li s-sikurezza nukleari tinżamm f’kull ħin.</w:t>
      </w:r>
      <w:r>
        <w:t xml:space="preserve"> </w:t>
      </w:r>
    </w:p>
    <w:p w:rsidR="00D544CF" w:rsidRPr="00D5726B" w:rsidP="00D544CF" w14:paraId="3A24F7E1" w14:textId="77777777">
      <w:pPr>
        <w:pStyle w:val="ManualConsidrant"/>
        <w:spacing w:line="360" w:lineRule="auto"/>
        <w:jc w:val="left"/>
        <w:rPr>
          <w:noProof/>
          <w:szCs w:val="24"/>
        </w:rPr>
      </w:pPr>
      <w:r>
        <w:t>(19)</w:t>
      </w:r>
      <w:r>
        <w:tab/>
        <w:t>Jenħtieġ li l-attivitajiet kofinanzjati skont dan ir-Regolament jiġu identifikati fil-limiti stabbiliti mill-pjan tad-dekummissjonar ippreżentat mil-Litwanja skont ir-Regolament (Euratom) Nru 1369/2013</w:t>
      </w:r>
      <w:r>
        <w:rPr>
          <w:rStyle w:val="FootnoteReference"/>
          <w:noProof/>
          <w:szCs w:val="24"/>
        </w:rPr>
        <w:footnoteReference w:id="16"/>
      </w:r>
      <w:r>
        <w:t>, u r-reviżjonijiet sussegwenti tiegħu. Il-pjan tad-dekummissjonar jiddefinixxi l-kamp ta’ applikazzjoni tal-programm, l-istat aħħari u d-data tal-għeluq tad-dekummissjonar; ikopri l-attivitajiet tad-dekummissjonar, l-iskeda assoċjata tagħhom, u l-kostijiet u r-riżorsi umani meħtieġa. Meta rilevanti, u f’konformità mad-dispożizzjonijiet tal-liġi Litwana jew f’perjodu taż-żmien iqsar, f’każ ta’ xi avveniment sinifikanti li jħalli impatt fuq il-kontenut ta’ dak il-pjan, jenħtieġ li l-Litwanja tippreżenta pjan</w:t>
      </w:r>
      <w:r>
        <w:t xml:space="preserve"> tad-dekummissjonar aġġornat lill-Kummissjoni għall-kunsiderazzjoni tagħha waqt it-tħejjija tal-programmi ta’ ħidma pluriennali.</w:t>
      </w:r>
    </w:p>
    <w:p w:rsidR="00D544CF" w:rsidRPr="00D5726B" w:rsidP="00D544CF" w14:paraId="37464CCE" w14:textId="77777777">
      <w:pPr>
        <w:pStyle w:val="ManualConsidrant"/>
        <w:spacing w:line="360" w:lineRule="auto"/>
        <w:jc w:val="left"/>
        <w:rPr>
          <w:noProof/>
          <w:szCs w:val="24"/>
        </w:rPr>
      </w:pPr>
      <w:r>
        <w:t>(20)</w:t>
      </w:r>
      <w:r>
        <w:tab/>
        <w:t xml:space="preserve">L-attivitajiet imwettqa fil-kuntest </w:t>
      </w:r>
      <w:r>
        <w:t xml:space="preserve">tal-programm jenħtieġ li jsiru bi sforz finanzjarju konġunt tal-Unjoni u tal-Litwanja. Ġie stabbilit limitu massimu tal-kofinanzjament tal-Unjoni f’konformità mal-prattika tal-kofinanzjament stabbilita fil-programmi predeċessuri. Filwaqt li jitqiesu l-prattika ta’ programmi komparabbli tal-Unjoni u l-ekonomija msaħħa tal-Litwanja, mill-bidu tal-programm sa tmiem l-implimentazzjoni tal-attivitajiet iffinanzjati skont dan ir-Regolament, ir-rata ta’ kofinanzjament tal-Unjoni jenħtieġ li tkun </w:t>
      </w:r>
      <w:r>
        <w:rPr>
          <w:b/>
          <w:i/>
        </w:rPr>
        <w:t>kemm jista’ jkun q</w:t>
      </w:r>
      <w:r>
        <w:rPr>
          <w:b/>
          <w:i/>
        </w:rPr>
        <w:t>rib</w:t>
      </w:r>
      <w:r>
        <w:t xml:space="preserve"> is-86 % tal-kostijiet eliġibbli. Il-bqija tal-finanzjament jenħtieġ li jipprovduh il-Litwanja u sorsi oħra li mhumiex il-baġit tal-Unjoni, bħal istituzzjonijiet finanzjarji internazzjonali u donaturi oħrajn. </w:t>
      </w:r>
      <w:r>
        <w:rPr>
          <w:b/>
          <w:i/>
        </w:rPr>
        <w:t>Sa mill-bidu tal-programm, il-Litwanja kkontribwiet madwar 14 % għall-attivitajiet diretti tad-dekummissjonar. Madankollu, peress li l-programm ma jkoprix ċerti attivitajiet relatati, inkluż is-sikurezza fiżika u dik kontra n-nirien, il-kontribuzzjoni reali tal-Litwanja hija ogħla. Fl-istess ħin, il</w:t>
      </w:r>
      <w:r>
        <w:rPr>
          <w:b/>
          <w:i/>
        </w:rPr>
        <w:t xml:space="preserve">-Litwanja għadha terfa’ r-responsabbiltà sħiħa għall-iżvilupp soċjoekonomiku ta’ Visaginas, belt li nbniet apposta għall-impjant tal-enerġija nukleari, li għadha affettwata b’mod sinifikanti mill-ogħla rata ta’ qgħad wara li l-impjant ingħalaq. Filwaqt li dawk l-isfidi huma hawnhekk rikonoxxuti, jenħtieġ li l-finanzjament permezz ta’ dan il-programm ma jintużax biex jindirizzahom, u jenħtieġ li, meta meħtieġ, jiġu appoġġati permezz ta’ riżorsi minn fondi oħrajn. </w:t>
      </w:r>
    </w:p>
    <w:p w:rsidR="00D544CF" w:rsidRPr="00D5726B" w:rsidP="00D544CF" w14:paraId="1EFD3B0D" w14:textId="77777777">
      <w:pPr>
        <w:pStyle w:val="ManualConsidrant"/>
        <w:spacing w:line="360" w:lineRule="auto"/>
        <w:jc w:val="left"/>
        <w:rPr>
          <w:noProof/>
          <w:szCs w:val="24"/>
        </w:rPr>
      </w:pPr>
      <w:r>
        <w:t>(21)</w:t>
      </w:r>
      <w:r>
        <w:tab/>
        <w:t>Tqiesu kif xieraq ir-Rapport Speċjali Nru 22/2016 tal-Qorti tal-Awdituri</w:t>
      </w:r>
      <w:r>
        <w:rPr>
          <w:rStyle w:val="FootnoteReference"/>
          <w:noProof/>
          <w:szCs w:val="24"/>
        </w:rPr>
        <w:footnoteReference w:id="17"/>
      </w:r>
      <w:r>
        <w:t>, ir-rakkomandazzjonijiet tiegħu, u t-tweġiba tal-Kummissjoni.</w:t>
      </w:r>
    </w:p>
    <w:p w:rsidR="00D544CF" w:rsidRPr="00D5726B" w:rsidP="00D544CF" w14:paraId="73CF2EBF" w14:textId="77777777">
      <w:pPr>
        <w:pStyle w:val="ManualConsidrant"/>
        <w:spacing w:line="360" w:lineRule="auto"/>
        <w:jc w:val="left"/>
        <w:rPr>
          <w:noProof/>
          <w:szCs w:val="24"/>
        </w:rPr>
      </w:pPr>
      <w:r>
        <w:t>(22)</w:t>
      </w:r>
      <w:r>
        <w:tab/>
        <w:t>Il-programm jaqa’ fil-kamp ta’ applikazzjoni tal-Programm Nazzjonali Litwan skont id-Direttiva tal-Kunsill 2011/70/Euratom.</w:t>
      </w:r>
    </w:p>
    <w:p w:rsidR="00D544CF" w:rsidRPr="00D5726B" w:rsidP="00D544CF" w14:paraId="6E414B19" w14:textId="77777777">
      <w:pPr>
        <w:pStyle w:val="ManualConsidrant"/>
        <w:spacing w:line="360" w:lineRule="auto"/>
        <w:jc w:val="left"/>
        <w:rPr>
          <w:noProof/>
          <w:szCs w:val="24"/>
        </w:rPr>
      </w:pPr>
      <w:r>
        <w:t>(23)</w:t>
      </w:r>
      <w:r>
        <w:tab/>
        <w:t>Sabiex ikunu żgurati kundizzjonijiet uniformi għall-implimentazzjoni tal-objettivi tal-programm, jenħtieġ li jiġu konferiti setgħat ta’ implimentazzjoni lill-Kummissjoni. Jenħtieġ li dawk is-setgħat jiġu eżerċitati f’konformità mar-Regolament (UE) Nru 182/2011 tal-Parlament Ewropew u tal-Kunsill</w:t>
      </w:r>
      <w:r>
        <w:rPr>
          <w:rStyle w:val="FootnoteReference"/>
          <w:noProof/>
          <w:szCs w:val="24"/>
        </w:rPr>
        <w:footnoteReference w:id="18"/>
      </w:r>
      <w:r>
        <w:t xml:space="preserve">. </w:t>
      </w:r>
    </w:p>
    <w:p w:rsidR="00D544CF" w:rsidRPr="00D5726B" w:rsidP="00D544CF" w14:paraId="59EAE5B5" w14:textId="77777777">
      <w:pPr>
        <w:pStyle w:val="ManualConsidrant"/>
        <w:spacing w:line="360" w:lineRule="auto"/>
        <w:jc w:val="left"/>
        <w:rPr>
          <w:noProof/>
          <w:szCs w:val="24"/>
        </w:rPr>
      </w:pPr>
      <w:r>
        <w:t>(24)</w:t>
      </w:r>
      <w:r>
        <w:tab/>
        <w:t xml:space="preserve">Jenħtieġ li l-metodi tal-implimentazzjoni u l-forom tal-finanzjament tal-Unjoni stabbiliti f’dan ir-Regolament jintgħażlu abbażi tal-kapaċità tagħhom li jilħqu </w:t>
      </w:r>
      <w:r>
        <w:rPr>
          <w:b/>
          <w:i/>
        </w:rPr>
        <w:t>b’mod effiċjenti</w:t>
      </w:r>
      <w:r>
        <w:t xml:space="preserve"> l-objettivi speċifiċi tal-attivitajiet u li jagħtu r-riżultati, filwaqt li jitqiesu, b’mod partikolari, </w:t>
      </w:r>
      <w:r>
        <w:rPr>
          <w:b/>
          <w:i/>
        </w:rPr>
        <w:t>il-livell għoli ta’ sikurezza,</w:t>
      </w:r>
      <w:r>
        <w:t xml:space="preserve"> il-kostijiet tal-kontrolli, il-piż amministrattiv, u r-riskju mistenni ta’ nonkonformità. Dak jenħtieġ li jkun jinkludi kunsiderazzjoni tal-użu ta’ somom f’daqqa, rati fissi u kostijiet unitarji, kif</w:t>
      </w:r>
      <w:r>
        <w:t xml:space="preserve"> ukoll finanzjament mhux marbut mal-kostijiet kif imsemmi fl-Artikolu 125(1), il-punt (a), tar-Regolament (UE, Euratom) 2024/2509.</w:t>
      </w:r>
    </w:p>
    <w:p w:rsidR="00D544CF" w:rsidRPr="00D5726B" w:rsidP="00D544CF" w14:paraId="237B32B0" w14:textId="77777777">
      <w:pPr>
        <w:pStyle w:val="ManualConsidrant"/>
        <w:spacing w:line="360" w:lineRule="auto"/>
        <w:jc w:val="left"/>
        <w:rPr>
          <w:noProof/>
          <w:szCs w:val="24"/>
        </w:rPr>
      </w:pPr>
      <w:r>
        <w:t>(25)</w:t>
      </w:r>
      <w:r>
        <w:tab/>
        <w:t>Il-programm jissostitwixxi l-programm stabbilit bir-Regolament (UE) 2021/101 għall-perjodu mill-1 ta’ Jannar 2021 sal-31 ta’ Diċembru 2027. Għalhekk, dak ir-Regolament jenħtieġ li jitħassar,</w:t>
      </w:r>
    </w:p>
    <w:p w:rsidR="00D544CF" w:rsidRPr="00D5726B" w:rsidP="00D544CF" w14:paraId="48544CEC" w14:textId="77777777">
      <w:pPr>
        <w:pStyle w:val="Formuledadoption"/>
        <w:spacing w:line="360" w:lineRule="auto"/>
        <w:jc w:val="left"/>
        <w:rPr>
          <w:noProof/>
          <w:szCs w:val="24"/>
        </w:rPr>
      </w:pPr>
      <w:r>
        <w:t>ADOTTA DAN IR-REGOLAMENT:</w:t>
      </w:r>
    </w:p>
    <w:p w:rsidR="00D544CF" w:rsidRPr="00D5726B" w:rsidP="00D544CF" w14:paraId="6517E268" w14:textId="77777777">
      <w:pPr>
        <w:pStyle w:val="Titrearticle"/>
        <w:spacing w:before="120" w:line="360" w:lineRule="auto"/>
        <w:rPr>
          <w:noProof/>
          <w:szCs w:val="24"/>
        </w:rPr>
      </w:pPr>
      <w:r>
        <w:t>Artikolu 1</w:t>
      </w:r>
    </w:p>
    <w:p w:rsidR="00D544CF" w:rsidRPr="00D5726B" w:rsidP="00D544CF" w14:paraId="6055A677" w14:textId="77777777">
      <w:pPr>
        <w:pStyle w:val="NormalCentered"/>
        <w:spacing w:line="360" w:lineRule="auto"/>
        <w:rPr>
          <w:b/>
          <w:bCs/>
          <w:noProof/>
          <w:szCs w:val="24"/>
        </w:rPr>
      </w:pPr>
      <w:r>
        <w:rPr>
          <w:b/>
        </w:rPr>
        <w:t>Suġġett</w:t>
      </w:r>
    </w:p>
    <w:p w:rsidR="00D544CF" w:rsidRPr="00D5726B" w:rsidP="00D544CF" w14:paraId="50E018A4" w14:textId="77777777">
      <w:pPr>
        <w:spacing w:before="120" w:after="120" w:line="360" w:lineRule="auto"/>
        <w:rPr>
          <w:noProof/>
          <w:szCs w:val="24"/>
        </w:rPr>
      </w:pPr>
      <w:r>
        <w:t xml:space="preserve">Dan ir-Regolament jistabbilixxi l-programm ta’ assistenza għad-dekummissjonar nukleari tal-impjant tal-enerġija nukleari ta’ Ignalina fil-Litwanja (“il-programm”) </w:t>
      </w:r>
      <w:r>
        <w:rPr>
          <w:color w:val="000000" w:themeColor="text1"/>
        </w:rPr>
        <w:t>u jistabbilixxi l-objettivi tal-programm, il-baġit tiegħu għall-perjodu mill-1 ta’ Jannar 2028 sal-31 ta’ Diċembru 2034, il-forom tal-finanzjament tal-Unjoni u r-regoli għall-għoti ta’ tali finanzjament.</w:t>
      </w:r>
    </w:p>
    <w:p w:rsidR="00D544CF" w:rsidRPr="00D5726B" w:rsidP="00D544CF" w14:paraId="401E3D9F" w14:textId="77777777">
      <w:pPr>
        <w:pStyle w:val="Titrearticle"/>
        <w:spacing w:before="120" w:line="360" w:lineRule="auto"/>
        <w:rPr>
          <w:noProof/>
          <w:szCs w:val="24"/>
        </w:rPr>
      </w:pPr>
      <w:r>
        <w:t>Artikolu 2</w:t>
      </w:r>
    </w:p>
    <w:p w:rsidR="00D544CF" w:rsidRPr="00D5726B" w:rsidP="00D544CF" w14:paraId="632EC1C5" w14:textId="77777777">
      <w:pPr>
        <w:pStyle w:val="NormalCentered"/>
        <w:spacing w:line="360" w:lineRule="auto"/>
        <w:rPr>
          <w:b/>
          <w:bCs/>
          <w:i/>
          <w:iCs/>
          <w:noProof/>
          <w:szCs w:val="24"/>
        </w:rPr>
      </w:pPr>
      <w:r>
        <w:rPr>
          <w:b/>
        </w:rPr>
        <w:t>Definizzjonijiet</w:t>
      </w:r>
    </w:p>
    <w:p w:rsidR="00D544CF" w:rsidRPr="00D5726B" w:rsidP="00D544CF" w14:paraId="13CC8793" w14:textId="77777777">
      <w:pPr>
        <w:spacing w:before="120" w:after="120" w:line="360" w:lineRule="auto"/>
        <w:rPr>
          <w:noProof/>
          <w:szCs w:val="24"/>
        </w:rPr>
      </w:pPr>
      <w:r>
        <w:t>Għall-iskopijiet ta’ dan ir-Regolament, japplikaw id-definizzjonijiet li ġejjin:</w:t>
      </w:r>
    </w:p>
    <w:p w:rsidR="00D544CF" w:rsidRPr="00D5726B" w:rsidP="00D544CF" w14:paraId="2879C02F" w14:textId="77777777">
      <w:pPr>
        <w:pStyle w:val="Point0"/>
        <w:spacing w:line="360" w:lineRule="auto"/>
        <w:jc w:val="left"/>
        <w:rPr>
          <w:noProof/>
          <w:szCs w:val="24"/>
        </w:rPr>
      </w:pPr>
      <w:bookmarkStart w:id="4" w:name="Article3"/>
      <w:r>
        <w:t>(1)</w:t>
      </w:r>
      <w:r>
        <w:tab/>
        <w:t xml:space="preserve">“dekummissjonar” tfisser miżuri amministrattivi u tekniċi li jippermettu t-tneħħija tal-kontrolli regolatorji kollha, jew ta’ wħud minnhom, minn faċilità nukleari u li għandhom l-għan jiżguraw il-protezzjoni fit-tul tal-pubbliku u tal-ambjent, inkluż it-tnaqqis tal-livelli tar-radjonuklidi residwi fil-materjali u fis-sit tal-faċilità; </w:t>
      </w:r>
    </w:p>
    <w:p w:rsidR="00D544CF" w:rsidRPr="00D5726B" w:rsidP="00D544CF" w14:paraId="61CEA43D" w14:textId="77777777">
      <w:pPr>
        <w:pStyle w:val="Point0"/>
        <w:spacing w:line="360" w:lineRule="auto"/>
        <w:jc w:val="left"/>
        <w:rPr>
          <w:noProof/>
          <w:szCs w:val="24"/>
        </w:rPr>
      </w:pPr>
      <w:r>
        <w:t>(2)</w:t>
      </w:r>
      <w:r>
        <w:tab/>
        <w:t>“pjan tad-dekummissjonar” tfisser id-dokument bl-informazzjoni dettaljata dwar id-dekummissjonar propost u li jkopri l-istrateġija tad-dekummissjonar magħżula; l-iskeda, it-tip u s-sekwenza tal-attivitajiet tad-dekummissjonar; l-istrateġija tal-immaniġġjar tal-iskart applikata, inkluż l-ikklirjar; l-istat aħħari propost; il-ħżin u r-rimi tal-iskart mid-dekummissjonar; il-perjodu taż-żmien għad-dekummissjonar; l-istimi tal-kostijiet għat-tlestija tad-dekummissjonar; u l-objettivi, ir-riżultati mistennija, l</w:t>
      </w:r>
      <w:r>
        <w:t>-objettivi intermedji, id-dati ta’ mira, kif ukoll l-indikaturi tad-dekummissjonar ewlenin korrispondenti, inkluż l-indikaturi bbażati fuq il-valur miksub. Il-pjan ħejjieh id-detentur tal-liċenzja tal-faċilità nukleari u hu rifless fil-programmi ta’ ħidma pluriennali tal-programm.</w:t>
      </w:r>
    </w:p>
    <w:p w:rsidR="00D544CF" w:rsidRPr="00D5726B" w:rsidP="00D544CF" w14:paraId="4F7F97D8" w14:textId="77777777">
      <w:pPr>
        <w:pStyle w:val="Titrearticle"/>
        <w:spacing w:before="120" w:line="360" w:lineRule="auto"/>
        <w:rPr>
          <w:noProof/>
          <w:szCs w:val="24"/>
        </w:rPr>
      </w:pPr>
      <w:r>
        <w:t xml:space="preserve">Artikolu </w:t>
      </w:r>
      <w:bookmarkEnd w:id="4"/>
      <w:r>
        <w:t>3</w:t>
      </w:r>
    </w:p>
    <w:p w:rsidR="00D544CF" w:rsidRPr="00D5726B" w:rsidP="00D544CF" w14:paraId="6CF11195" w14:textId="77777777">
      <w:pPr>
        <w:pStyle w:val="NormalCentered"/>
        <w:spacing w:line="360" w:lineRule="auto"/>
        <w:rPr>
          <w:b/>
          <w:bCs/>
          <w:noProof/>
          <w:szCs w:val="24"/>
        </w:rPr>
      </w:pPr>
      <w:r>
        <w:rPr>
          <w:b/>
        </w:rPr>
        <w:t>Objettivi tal-programm</w:t>
      </w:r>
    </w:p>
    <w:p w:rsidR="00D544CF" w:rsidRPr="00D5726B" w:rsidP="00D544CF" w14:paraId="773C7258" w14:textId="77777777">
      <w:pPr>
        <w:pStyle w:val="ManualNumPar1"/>
        <w:spacing w:line="360" w:lineRule="auto"/>
        <w:jc w:val="left"/>
        <w:rPr>
          <w:noProof/>
          <w:szCs w:val="24"/>
        </w:rPr>
      </w:pPr>
      <w:r>
        <w:t>1.</w:t>
      </w:r>
      <w:r>
        <w:tab/>
        <w:t>Il-programm għandu l-objettivi ġenerali li:</w:t>
      </w:r>
    </w:p>
    <w:p w:rsidR="00D544CF" w:rsidRPr="00D5726B" w:rsidP="00D544CF" w14:paraId="64FB857D" w14:textId="77777777">
      <w:pPr>
        <w:pStyle w:val="Point1"/>
        <w:spacing w:line="360" w:lineRule="auto"/>
        <w:jc w:val="left"/>
        <w:rPr>
          <w:noProof/>
          <w:szCs w:val="24"/>
        </w:rPr>
      </w:pPr>
      <w:r>
        <w:t>(a)</w:t>
      </w:r>
      <w:r>
        <w:tab/>
        <w:t xml:space="preserve">il-Litwanja tiġi assistita </w:t>
      </w:r>
      <w:r>
        <w:rPr>
          <w:b/>
          <w:i/>
        </w:rPr>
        <w:t>b’mod adegwat</w:t>
      </w:r>
      <w:r>
        <w:t xml:space="preserve"> fl-implimentazzjoni tad-dekummissjonar tal-impjant tal-enerġija nukleari ta’ Ignalina, b’enfasi speċifika fuq il-ġestjoni tal-isfidi tas-sikurezza radjoloġika u l-ottimizzazzjoni tal-effiċjenza tal-implimentazzjoni tal-programm </w:t>
      </w:r>
      <w:r>
        <w:rPr>
          <w:b/>
          <w:i/>
        </w:rPr>
        <w:t>permezz tal-organizzazzjoni mtejba, l-innovazzjoni, u t-titjib tal-ħiliet u t-taħriġ mill-ġdid ta’ ħiliet</w:t>
      </w:r>
      <w:r>
        <w:t xml:space="preserve"> tal-ħaddiema</w:t>
      </w:r>
      <w:r>
        <w:rPr>
          <w:b/>
          <w:i/>
        </w:rPr>
        <w:t>, filwaqt li jiġi żgurat li kwalunkwe tnaqqis fl-ammont ta’ ħaddiema ma joħloqx riskji operazzjonali bla bżonn.</w:t>
      </w:r>
    </w:p>
    <w:p w:rsidR="00D544CF" w:rsidRPr="00D5726B" w:rsidP="00D544CF" w14:paraId="203CFF6D" w14:textId="77777777">
      <w:pPr>
        <w:pStyle w:val="Point1"/>
        <w:spacing w:line="360" w:lineRule="auto"/>
        <w:jc w:val="left"/>
        <w:rPr>
          <w:b/>
          <w:bCs/>
          <w:i/>
          <w:iCs/>
          <w:noProof/>
          <w:szCs w:val="24"/>
        </w:rPr>
      </w:pPr>
      <w:r>
        <w:t>(b)</w:t>
      </w:r>
      <w:r>
        <w:tab/>
        <w:t xml:space="preserve">jinħoloq għarfien dwar il-proċess tad-dekummissjonar nukleari u l-immaniġġjar tal-iskart radjuattiv li jirriżulta mill-attivitajiet tad-dekummissjonar, u jingħataw prodotti ta’ għarfien espliċiti dwar materji ta’ governanza tad-dekummissjonar u tal-immaniġġjar tal-iskart, l-aqwa prattiki maniġerjali, </w:t>
      </w:r>
      <w:r>
        <w:rPr>
          <w:b/>
          <w:i/>
        </w:rPr>
        <w:t>il-protokolli tas-saħħa u s-sikurezza għall-ħaddiema u l-pubbliku ġenerali</w:t>
      </w:r>
      <w:r>
        <w:t xml:space="preserve"> u l-isfidi teknoloġiċi</w:t>
      </w:r>
      <w:r>
        <w:rPr>
          <w:b/>
          <w:i/>
        </w:rPr>
        <w:t>, b’enfasi partikolari fuq il-prevenzjoni tal-kontaminazzjoni ambjentali u l-effetti negattivi fuq is-saħħa minn</w:t>
      </w:r>
      <w:r>
        <w:rPr>
          <w:b/>
          <w:i/>
        </w:rPr>
        <w:t xml:space="preserve"> materjali radjuattivi.</w:t>
      </w:r>
      <w:r>
        <w:t xml:space="preserve"> </w:t>
      </w:r>
    </w:p>
    <w:p w:rsidR="00D544CF" w:rsidRPr="00D5726B" w:rsidP="00D544CF" w14:paraId="5F1FCB77" w14:textId="77777777">
      <w:pPr>
        <w:pStyle w:val="Point1letter"/>
        <w:numPr>
          <w:ilvl w:val="0"/>
          <w:numId w:val="0"/>
        </w:numPr>
        <w:tabs>
          <w:tab w:val="left" w:pos="720"/>
          <w:tab w:val="left" w:pos="1417"/>
        </w:tabs>
        <w:spacing w:line="360" w:lineRule="auto"/>
        <w:ind w:left="850" w:hanging="567"/>
        <w:jc w:val="left"/>
        <w:rPr>
          <w:noProof/>
          <w:szCs w:val="24"/>
        </w:rPr>
      </w:pPr>
      <w:r>
        <w:tab/>
        <w:t>L-għarfien imsemmi fil-punt (b) tal-ewwel subparagrafu għandu jinxtered fil-livell tal-Unjoni u</w:t>
      </w:r>
      <w:r>
        <w:rPr>
          <w:b/>
          <w:i/>
        </w:rPr>
        <w:t>, fejn xieraq,</w:t>
      </w:r>
      <w:r>
        <w:t xml:space="preserve"> lil hinn, fl-oqsma rilevanti kollha, bl-iżvilupp ta’ sinerġiji potenzjali tal-Unjoni, permezz tal-programm tal-Istrument għal Kooperazzjoni fil-qasam tas-Sikurezza Nukleari u d-Dekummissjonar (INSC-D), kif stabbilit fl-Artikolu [X] tar-Regolament (Euratom) [XXX].</w:t>
      </w:r>
    </w:p>
    <w:p w:rsidR="00D544CF" w:rsidRPr="00D5726B" w:rsidP="00D544CF" w14:paraId="61CD9063" w14:textId="77777777">
      <w:pPr>
        <w:pStyle w:val="ManualNumPar1"/>
        <w:spacing w:line="360" w:lineRule="auto"/>
        <w:jc w:val="left"/>
        <w:rPr>
          <w:b/>
          <w:i/>
          <w:noProof/>
          <w:szCs w:val="24"/>
        </w:rPr>
      </w:pPr>
      <w:r>
        <w:t>2.</w:t>
      </w:r>
      <w:r>
        <w:tab/>
        <w:t>Iċ-Ċentru Konġunt tar-Riċerka għandu jikkoordina l-istruttura u d-disseminazzjoni tal-għarfien, imsemmi fil-paragrafu 1, l-ewwel subparagrafu, il-punt (b), lill-Istati Membri u, meta rilevanti</w:t>
      </w:r>
      <w:r>
        <w:rPr>
          <w:b/>
          <w:i/>
        </w:rPr>
        <w:t xml:space="preserve"> u b’ċerti kundizzjonijiet</w:t>
      </w:r>
      <w:r>
        <w:t xml:space="preserve">, lil pajjiżi terzi </w:t>
      </w:r>
      <w:r>
        <w:rPr>
          <w:b/>
          <w:i/>
        </w:rPr>
        <w:t>mingħajr ma jiżvela kwalunkwe informazzjoni sensittiva li jkollhom l-impriżi</w:t>
      </w:r>
      <w:r>
        <w:t xml:space="preserve">. </w:t>
      </w:r>
      <w:r>
        <w:rPr>
          <w:b/>
          <w:i/>
        </w:rPr>
        <w:t>Kwalunkwe disseminazzjoni lil hinn mill-Unjoni għandha tkun ikkontrollata kif xieraq u soġġetta għal salvagwardji ta’ kunfidenzjalità, li jiżguraw il-protezzjoni tal-interessi tas-sigurtà, tal-pr</w:t>
      </w:r>
      <w:r>
        <w:rPr>
          <w:b/>
          <w:i/>
        </w:rPr>
        <w:t>oprjetà intellettwali u tat-tmexxija teknoloġika tal-Unjoni.</w:t>
      </w:r>
      <w:r>
        <w:t xml:space="preserve"> Dawk l-attivitajiet għandhom jiffinanzjawhom il-programm INSC-D u l-Unjoni permezz ta’ 100% tal-kostijiet eliġibbli. </w:t>
      </w:r>
      <w:r>
        <w:rPr>
          <w:b/>
          <w:i/>
        </w:rPr>
        <w:t>F’każijiet fejn pajjiż terz jingħata aċċess għall-għarfien jew għat-taħriġ previst f’dan il-programm, tali aċċess għandu jkun soġġett għal kontribuzzjoni finanzjarja xierqa, li għandhom jaqblu dwarha l-Unjoni u l-pajjiż terz.</w:t>
      </w:r>
    </w:p>
    <w:p w:rsidR="00D544CF" w:rsidRPr="00D5726B" w:rsidP="00D544CF" w14:paraId="2628FEFB" w14:textId="77777777">
      <w:pPr>
        <w:pStyle w:val="ManualNumPar1"/>
        <w:spacing w:line="360" w:lineRule="auto"/>
        <w:jc w:val="left"/>
        <w:rPr>
          <w:noProof/>
          <w:szCs w:val="24"/>
        </w:rPr>
      </w:pPr>
      <w:r>
        <w:t>3.</w:t>
      </w:r>
      <w:r>
        <w:tab/>
        <w:t xml:space="preserve">L-objettiv speċifiku tal-programm għandu jkun li jwettaq l-inġinerija, iż-żarmar u d-dekontaminazzjoni tat-tagħmir u tax-xaftijiet tar-reatturi ta’ Ignalina f’konformità mal-pjan tad-dekummissjonar, inkluż l-immaniġġjar tal-iskart radjuattiv li jirriżulta mill-attivitajiet tad-dekummissjonar, </w:t>
      </w:r>
      <w:r>
        <w:rPr>
          <w:b/>
          <w:i/>
        </w:rPr>
        <w:t>filwaqt li jiżgura l-ogħla standards ta’ protezzjoni mir-radjazzjoni għall-ħaddiema, għall-pubbliku ġenerali u għall-ambjent,</w:t>
      </w:r>
      <w:r>
        <w:t xml:space="preserve"> u li jkompli l-ġestjoni sikura tad-dekummissjonar u tal-iskart li ntiret</w:t>
      </w:r>
      <w:r>
        <w:rPr>
          <w:b/>
          <w:i/>
        </w:rPr>
        <w:t>, filwaqt li jippre</w:t>
      </w:r>
      <w:r>
        <w:rPr>
          <w:b/>
          <w:i/>
        </w:rPr>
        <w:t>vjeni l-ħsara ambjentali fit-tul u l-effetti negattivi fuq is-saħħa</w:t>
      </w:r>
      <w:r>
        <w:t xml:space="preserve">. </w:t>
      </w:r>
      <w:r>
        <w:rPr>
          <w:b/>
          <w:i/>
        </w:rPr>
        <w:t>Fid-dawl tal-ambjent ġeopolitiku u ta’ sigurtà li qed jevolvi, is-sit tad-dekummissjonar nukleari għandu jkun protett b’mod adegwat kontra theddid ibridu, inklużi attakki fuq infrastruttura kritika minn sistemi tal-ajru mingħajr bdot abbord. Għal dak l-għan, il-programm jista’ jintuża biex jiffinanzja miżuri biex tiżdied is-sigurtà tas-sit tal-faċilità nukleari minn theddid bħal dan.</w:t>
      </w:r>
      <w:bookmarkStart w:id="5" w:name="_Hlk205197909"/>
    </w:p>
    <w:p w:rsidR="00D544CF" w:rsidRPr="00D5726B" w:rsidP="00D544CF" w14:paraId="0DCAB4EF" w14:textId="77777777">
      <w:pPr>
        <w:pStyle w:val="ManualNumPar1"/>
        <w:spacing w:line="360" w:lineRule="auto"/>
        <w:jc w:val="left"/>
        <w:rPr>
          <w:noProof/>
          <w:szCs w:val="24"/>
        </w:rPr>
      </w:pPr>
      <w:r>
        <w:t>4.</w:t>
      </w:r>
      <w:r>
        <w:tab/>
        <w:t xml:space="preserve">Id-deskrizzjoni dettaljata tal-objettiv speċifiku msemmi fil-paragrafu 3 ta’ dan l-Artikolu hija stabbilita fl-Anness. Il-Kummissjoni tista’ temenda l-Anness permezz ta’ atti ta’ implimentazzjoni. Dawk l-atti ta’ implimentazzjoni għandhom jiġu adottati f’konformità mal-proċedura msemmija fl-Artikolu 11(2). </w:t>
      </w:r>
      <w:r>
        <w:rPr>
          <w:b/>
          <w:i/>
        </w:rPr>
        <w:t>L-implimentazzjoni tal-programm u l-objettivi speċifiċi tiegħu għandhom ikunu ggwidati minn miri u stadji importanti ċari u enfasi fuq l-infiq kosteffiċjenti u trasparenti tal-baġit.</w:t>
      </w:r>
    </w:p>
    <w:p w:rsidR="00D544CF" w:rsidRPr="00D5726B" w:rsidP="00D544CF" w14:paraId="348BEED2" w14:textId="77777777">
      <w:pPr>
        <w:pStyle w:val="Titrearticle"/>
        <w:spacing w:before="120" w:line="360" w:lineRule="auto"/>
        <w:rPr>
          <w:noProof/>
          <w:szCs w:val="24"/>
        </w:rPr>
      </w:pPr>
      <w:r>
        <w:t>Artikolu 4</w:t>
      </w:r>
    </w:p>
    <w:bookmarkEnd w:id="5"/>
    <w:p w:rsidR="00D544CF" w:rsidRPr="00D5726B" w:rsidP="00D544CF" w14:paraId="7755B864" w14:textId="77777777">
      <w:pPr>
        <w:pStyle w:val="NormalCentered"/>
        <w:spacing w:line="360" w:lineRule="auto"/>
        <w:rPr>
          <w:b/>
          <w:bCs/>
          <w:i/>
          <w:iCs/>
          <w:noProof/>
          <w:szCs w:val="24"/>
        </w:rPr>
      </w:pPr>
      <w:r>
        <w:rPr>
          <w:b/>
        </w:rPr>
        <w:t>Baġit</w:t>
      </w:r>
    </w:p>
    <w:p w:rsidR="00D544CF" w:rsidRPr="00D5726B" w:rsidP="00D544CF" w14:paraId="2E8FC6D2" w14:textId="77777777">
      <w:pPr>
        <w:pStyle w:val="ManualNumPar1"/>
        <w:spacing w:line="360" w:lineRule="auto"/>
        <w:jc w:val="left"/>
        <w:rPr>
          <w:noProof/>
          <w:szCs w:val="24"/>
        </w:rPr>
      </w:pPr>
      <w:r>
        <w:t>1.</w:t>
      </w:r>
      <w:r>
        <w:tab/>
        <w:t xml:space="preserve">Il-pakkett </w:t>
      </w:r>
      <w:r>
        <w:rPr>
          <w:b/>
          <w:i/>
        </w:rPr>
        <w:t>tal-programm</w:t>
      </w:r>
      <w:r>
        <w:t xml:space="preserve"> għall-implimentazzjoni tal-programm għall-perjodu mill-1 ta’ Jannar 2028 sal-31 ta’ Diċembru 2034 huwa ffissat għal EUR 678 000 000 bi prezzijiet attwali </w:t>
      </w:r>
      <w:r>
        <w:rPr>
          <w:b/>
          <w:i/>
        </w:rPr>
        <w:t>(EUR 602 720 000 bi prezzijiet tal-2025)</w:t>
      </w:r>
      <w:r>
        <w:t>.</w:t>
      </w:r>
    </w:p>
    <w:p w:rsidR="00D544CF" w:rsidRPr="00D5726B" w:rsidP="00D544CF" w14:paraId="5CCB2EBE" w14:textId="77777777">
      <w:pPr>
        <w:pStyle w:val="ManualNumPar1"/>
        <w:spacing w:line="360" w:lineRule="auto"/>
        <w:jc w:val="left"/>
        <w:rPr>
          <w:noProof/>
          <w:szCs w:val="24"/>
        </w:rPr>
      </w:pPr>
      <w:r>
        <w:t>2.</w:t>
      </w:r>
      <w:r>
        <w:tab/>
        <w:t>L-impenji tal-baġit għal azzjonijiet li jkunu jestendu għal aktar minn sena finanzjarja waħda jistgħu jinqasmu fuq diversi snin f’pagamenti parzjali annwali.</w:t>
      </w:r>
    </w:p>
    <w:p w:rsidR="00D544CF" w:rsidRPr="00D5726B" w:rsidP="00D544CF" w14:paraId="79CD21A9" w14:textId="77777777">
      <w:pPr>
        <w:pStyle w:val="ManualNumPar1"/>
        <w:spacing w:line="360" w:lineRule="auto"/>
        <w:jc w:val="left"/>
        <w:rPr>
          <w:noProof/>
          <w:szCs w:val="24"/>
        </w:rPr>
      </w:pPr>
      <w:r>
        <w:t>3.</w:t>
      </w:r>
      <w:r>
        <w:tab/>
        <w:t xml:space="preserve">L-approprjazzjonijiet jistgħu jiddaħħlu fil-baġit tal-Unjoni għal wara l-2034 biex ikopru l-ispejjeż neċessarji u biex jippermettu l-ġestjoni tal-azzjoni li ma titlestiex sa tmiem </w:t>
      </w:r>
      <w:r>
        <w:t>il-programm.</w:t>
      </w:r>
    </w:p>
    <w:p w:rsidR="00D544CF" w:rsidRPr="00D5726B" w:rsidP="00D544CF" w14:paraId="4D914D26" w14:textId="77777777">
      <w:pPr>
        <w:pStyle w:val="ManualNumPar1"/>
        <w:spacing w:line="360" w:lineRule="auto"/>
        <w:jc w:val="left"/>
        <w:rPr>
          <w:noProof/>
          <w:szCs w:val="24"/>
        </w:rPr>
      </w:pPr>
      <w:r>
        <w:t>4.</w:t>
      </w:r>
      <w:r>
        <w:tab/>
        <w:t>Il-pakkett finanzjarju msemmi fil-paragrafu 1 ta’ dan l-Artikolu u l-ammonti tar-riżorsi addizzjonali msemmija fl-Artikolu 5 jistgħu jintużaw ukoll għal assistenza teknika u amministrattiva għall-implimentazzjoni tal-programm, bħal attivitajiet preparatorji, tal-monitoraġġ, tal-kontroll, tal-awditjar u tal-evalwazzjoni, sistemi u pjattaformi tat-teknoloġija tal-informazzjoni korporattiva, attivitajiet tal-komunikazzjoni tal-informazzjoni u tal-viżibbiltà, inkluż il-komunikazzjoni korporattiva dwar il-prijo</w:t>
      </w:r>
      <w:r>
        <w:t>ritajiet politiċi tal-Unjoni, u kull assistenza teknika u amministrattiva oħra jew spejjeż relatati mal-persunal imġarrba mill-Kummissjoni għall-ġestjoni tal-programm.</w:t>
      </w:r>
    </w:p>
    <w:p w:rsidR="00D544CF" w:rsidRPr="00D5726B" w:rsidP="00D544CF" w14:paraId="5A499547" w14:textId="77777777">
      <w:pPr>
        <w:pStyle w:val="Titrearticle"/>
        <w:spacing w:before="120" w:line="360" w:lineRule="auto"/>
        <w:rPr>
          <w:noProof/>
          <w:szCs w:val="24"/>
        </w:rPr>
      </w:pPr>
      <w:bookmarkStart w:id="6" w:name="_Hlk205384049"/>
      <w:r>
        <w:t>Artikolu 5</w:t>
      </w:r>
    </w:p>
    <w:bookmarkEnd w:id="6"/>
    <w:p w:rsidR="00D544CF" w:rsidRPr="00D5726B" w:rsidP="00D544CF" w14:paraId="53F0A2E7" w14:textId="77777777">
      <w:pPr>
        <w:pStyle w:val="NormalCentered"/>
        <w:spacing w:line="360" w:lineRule="auto"/>
        <w:rPr>
          <w:b/>
          <w:bCs/>
          <w:noProof/>
          <w:szCs w:val="24"/>
        </w:rPr>
      </w:pPr>
      <w:r>
        <w:rPr>
          <w:b/>
        </w:rPr>
        <w:t>Riżorsi addizzjonali</w:t>
      </w:r>
    </w:p>
    <w:p w:rsidR="00D544CF" w:rsidRPr="00D5726B" w:rsidP="00D544CF" w14:paraId="51A65727" w14:textId="77777777">
      <w:pPr>
        <w:pStyle w:val="ManualNumPar1"/>
        <w:spacing w:line="360" w:lineRule="auto"/>
        <w:jc w:val="left"/>
        <w:rPr>
          <w:noProof/>
          <w:szCs w:val="24"/>
        </w:rPr>
      </w:pPr>
      <w:r>
        <w:t>1.</w:t>
      </w:r>
      <w:r>
        <w:tab/>
        <w:t>L-Istati Membri, l-istituzzjonijiet, il-korpi u l-aġenziji tal-Unjoni, pajjiżi terzi, organizzazzjonijiet internazzjonali, istituzzjonijiet finanzjarji internazzjonali jew partijiet terzi oħra, jistgħu jipprovdu kontribuzzjonijiet finanzjarji jew mhux finanzjarji addizzjonali għall-programm. Il-kontribuzzjonijiet finanzjarji addizzjonali għandhom jikkostitwixxu dħul assenjat estern skont it-tifsira tal-Artikolu 21(2), il-punti (a), (d), jew (e) jew l-Artikolu 21(5) tar-Regolament (UE, Euratom) 2024/2509.</w:t>
      </w:r>
    </w:p>
    <w:p w:rsidR="00D544CF" w:rsidRPr="00D5726B" w:rsidP="00D544CF" w14:paraId="756A47D6" w14:textId="77777777">
      <w:pPr>
        <w:pStyle w:val="ManualNumPar1"/>
        <w:spacing w:line="360" w:lineRule="auto"/>
        <w:jc w:val="left"/>
        <w:rPr>
          <w:noProof/>
          <w:szCs w:val="24"/>
        </w:rPr>
      </w:pPr>
      <w:r>
        <w:t>2.</w:t>
      </w:r>
      <w:r>
        <w:tab/>
        <w:t>Riżorsi allokati lill-Istati Membri taħt ġestjoni kondiviża jistgħu, fuq talba tagħhom, jitqiegħdu għad-dispożizzjoni tal-programm. Il-Kummissjoni għandha timplimenta dawk ir-riżorsi direttament jew indirettament f’konformità mal-Artikolu 62(1), il-punt (a) jew (c), tar-Regolament (UE, Euratom) 2024/2509. Tali riżorsi għandhom ikunu addizzjonali għall-ammont imsemmi fl-Artikolu 4(1) ta’ dan ir-Regolament. Tali riżorsi għandhom jintużaw għall-benefiċċju tal-Istat Membru kkonċernat. Jekk il-Kummissjoni ma tk</w:t>
      </w:r>
      <w:r>
        <w:t>unx daħlet f’impenn legali taħt ġestjoni diretta jew indiretta għal ammonti addizzjonali magħmula disponibbli b’dan il-mod għall-programm, l-ammonti mhux impenjati korrispondenti jistgħu, fuq talba tal-Istat Membru kkonċernat, jiġu ttrasferiti lura għal programm sors rispettiv wieħed jew aktar jew għas-suċċessuri tagħhom.</w:t>
      </w:r>
    </w:p>
    <w:p w:rsidR="00D544CF" w:rsidRPr="00D5726B" w:rsidP="00D544CF" w14:paraId="0952C053" w14:textId="77777777">
      <w:pPr>
        <w:pStyle w:val="Titrearticle"/>
        <w:spacing w:before="120" w:line="360" w:lineRule="auto"/>
        <w:rPr>
          <w:noProof/>
          <w:szCs w:val="24"/>
        </w:rPr>
      </w:pPr>
      <w:r>
        <w:t xml:space="preserve">Artikolu 6 </w:t>
      </w:r>
    </w:p>
    <w:p w:rsidR="00D544CF" w:rsidRPr="00D5726B" w:rsidP="00D544CF" w14:paraId="46A8F310" w14:textId="77777777">
      <w:pPr>
        <w:pStyle w:val="NormalCentered"/>
        <w:spacing w:line="360" w:lineRule="auto"/>
        <w:rPr>
          <w:b/>
          <w:bCs/>
          <w:noProof/>
          <w:szCs w:val="24"/>
        </w:rPr>
      </w:pPr>
      <w:r>
        <w:rPr>
          <w:b/>
        </w:rPr>
        <w:t>Finanzjament alternattiv, kombinat u kumulattiv</w:t>
      </w:r>
    </w:p>
    <w:p w:rsidR="00D544CF" w:rsidRPr="00D5726B" w:rsidP="00D544CF" w14:paraId="5A818E85" w14:textId="77777777">
      <w:pPr>
        <w:pStyle w:val="ManualNumPar1"/>
        <w:spacing w:line="360" w:lineRule="auto"/>
        <w:jc w:val="left"/>
        <w:rPr>
          <w:noProof/>
          <w:szCs w:val="24"/>
        </w:rPr>
      </w:pPr>
      <w:r>
        <w:t>1.</w:t>
      </w:r>
      <w:r>
        <w:tab/>
        <w:t>Il-programm għandu jiġi implimentat f’sinerġija ma’ programmi oħra tal-Unjoni. Anke azzjoni li tkun irċeviet kontribuzzjoni tal-Unjoni minn programm ieħor tista’ tirċievi kontribuzzjoni fil-qafas tal-programm. Ir-regoli tal-programm rilevanti tal-Unjoni għandhom japplikaw għall-kontribuzzjoni korrispondenti, jew inkella jista’ jiġi applikat sett uniku ta’ regoli għall-kontribuzzjonijiet kollha u jista’ jiġi konkluż impenn legali wieħed. Jekk il-kontribuzzjoni tal-Unjoni tkun ibbażata fuq il-kostijiet eliġi</w:t>
      </w:r>
      <w:r>
        <w:t xml:space="preserve">bbli, l-appoġġ kumulattiv mill-baġit tal-Unjoni ma għandux jaqbeż it-total tal-kostijiet eliġibbli tal-azzjoni u jista’ jiġi kkalkulat fuq bażi pro rata f’konformità mad-dokumenti li jistabbilixxu l-kundizzjonijiet għall-appoġġ. </w:t>
      </w:r>
    </w:p>
    <w:p w:rsidR="00D544CF" w:rsidRPr="00D5726B" w:rsidP="00D544CF" w14:paraId="374558C3" w14:textId="77777777">
      <w:pPr>
        <w:pStyle w:val="ManualNumPar1"/>
        <w:spacing w:line="360" w:lineRule="auto"/>
        <w:jc w:val="left"/>
        <w:rPr>
          <w:noProof/>
          <w:szCs w:val="24"/>
        </w:rPr>
      </w:pPr>
      <w:r>
        <w:t>2.</w:t>
      </w:r>
      <w:r>
        <w:tab/>
        <w:t>Il-proċeduri tal-għoti permezz tal-programm jistgħu jsiru b’mod konġunt b’ġestjoni diretta jew indiretta minn Stati Membri, minn istituzzjonijiet, korpi u aġenziji tal-Unjoni, minn pajjiżi terzi, minn organizzazzjonijiet internazzjonali, minn istituzzjonijiet finanzjarji internazzjonali, jew minn partijiet terzi oħra (“sħab fil-proċedura tal-għoti konġunta”), diment li jkun żgurat il-ħarsien tal-interessi finanzjarji tal-Unjoni. Tali proċeduri għandhom ikunu soġġetti għal sett uniku ta’ regoli u jwasslu għ</w:t>
      </w:r>
      <w:r>
        <w:t>all-konklużjoni ta’ impenn legali uniku. Għal dak l-għan, is-sħab fil-proċedura ta’ għoti konġunta jistgħu jqiegħdu r-riżorsi għad-dispożizzjoni tal-programm f’konformità mal-Artikolu 5 ta’ dan ir-Regolament, jew is-sħab jistgħu jiġu fdati bl-implimentazzjoni tal-proċedura ta’ għoti, fejn applikabbli, f’konformità mal-Artikolu 62(1), il-punt (c) tar-Regolament (UE, Euratom) 2024/2509. Fil-proċeduri tal-għoti konġunti, ir-rappreżentanti tas-sħab tal-proċedura tal-għoti konġunta jistgħu jkunu wkoll membri tal</w:t>
      </w:r>
      <w:r>
        <w:t>-kumitat tal-evalwazzjoni msemmi fl-Artikolu 153(3) tar-Regolament (UE, Euratom) 2024/2509.</w:t>
      </w:r>
    </w:p>
    <w:p w:rsidR="00D544CF" w:rsidRPr="00D5726B" w:rsidP="00D544CF" w14:paraId="7A6AFF83" w14:textId="77777777">
      <w:pPr>
        <w:pStyle w:val="Titrearticle"/>
        <w:spacing w:before="120" w:line="360" w:lineRule="auto"/>
        <w:rPr>
          <w:noProof/>
          <w:szCs w:val="24"/>
        </w:rPr>
      </w:pPr>
      <w:r>
        <w:t>Artikolu 7</w:t>
      </w:r>
    </w:p>
    <w:p w:rsidR="00D544CF" w:rsidRPr="00D5726B" w:rsidP="00D544CF" w14:paraId="75D93A26" w14:textId="77777777">
      <w:pPr>
        <w:pStyle w:val="NormalCentered"/>
        <w:spacing w:line="360" w:lineRule="auto"/>
        <w:rPr>
          <w:b/>
          <w:bCs/>
          <w:noProof/>
          <w:szCs w:val="24"/>
        </w:rPr>
      </w:pPr>
      <w:r>
        <w:rPr>
          <w:b/>
        </w:rPr>
        <w:t>Implimentazzjoni u forom ta’ finanzjament tal-Unjoni</w:t>
      </w:r>
    </w:p>
    <w:p w:rsidR="00D544CF" w:rsidRPr="00D5726B" w:rsidP="00D544CF" w14:paraId="2998C3DC" w14:textId="77777777">
      <w:pPr>
        <w:pStyle w:val="ManualNumPar1"/>
        <w:spacing w:line="360" w:lineRule="auto"/>
        <w:jc w:val="left"/>
        <w:rPr>
          <w:noProof/>
          <w:szCs w:val="24"/>
        </w:rPr>
      </w:pPr>
      <w:r>
        <w:t>1.</w:t>
      </w:r>
      <w:r>
        <w:tab/>
        <w:t xml:space="preserve">Il-programm għandu jiġi </w:t>
      </w:r>
      <w:r>
        <w:t>implimentat f’konformità mar-Regolament (UE, Euratom) 2024/2509, taħt ġestjoni diretta jew taħt ġestjoni indiretta mal-entitajiet imsemmija fl-Artikolu 62(1), il-punt (c), ta’ dak ir-Regolament.</w:t>
      </w:r>
    </w:p>
    <w:p w:rsidR="00D544CF" w:rsidRPr="00D5726B" w:rsidP="00D544CF" w14:paraId="649E92BB" w14:textId="77777777">
      <w:pPr>
        <w:pStyle w:val="ManualNumPar1"/>
        <w:spacing w:line="360" w:lineRule="auto"/>
        <w:jc w:val="left"/>
        <w:rPr>
          <w:noProof/>
          <w:szCs w:val="24"/>
        </w:rPr>
      </w:pPr>
      <w:r>
        <w:t>2.</w:t>
      </w:r>
      <w:r>
        <w:tab/>
        <w:t>Il-finanzjament tal-Unjoni permezz tal-programm jista’ jingħata bi kwalunkwe forma f’konformità mar-Regolament (UE, Euratom) 2024/2509, b’mod partikolari, premjijiet, akkwist, u donazzjonijiet mhux finanzjarji.</w:t>
      </w:r>
    </w:p>
    <w:p w:rsidR="00D544CF" w:rsidRPr="00D5726B" w:rsidP="00D544CF" w14:paraId="326FF889" w14:textId="77777777">
      <w:pPr>
        <w:pStyle w:val="Titrearticle"/>
        <w:spacing w:before="120" w:line="360" w:lineRule="auto"/>
        <w:rPr>
          <w:noProof/>
          <w:szCs w:val="24"/>
        </w:rPr>
      </w:pPr>
      <w:bookmarkStart w:id="7" w:name="Article6"/>
      <w:r>
        <w:t>Artikolu</w:t>
      </w:r>
      <w:bookmarkEnd w:id="7"/>
      <w:r>
        <w:t xml:space="preserve"> 8</w:t>
      </w:r>
    </w:p>
    <w:p w:rsidR="00D544CF" w:rsidRPr="00D5726B" w:rsidP="00D544CF" w14:paraId="0C9E6921" w14:textId="77777777">
      <w:pPr>
        <w:pStyle w:val="NormalCentered"/>
        <w:spacing w:line="360" w:lineRule="auto"/>
        <w:rPr>
          <w:b/>
          <w:bCs/>
          <w:noProof/>
          <w:szCs w:val="24"/>
        </w:rPr>
      </w:pPr>
      <w:r>
        <w:rPr>
          <w:b/>
        </w:rPr>
        <w:t>Eliġibbiltà</w:t>
      </w:r>
    </w:p>
    <w:p w:rsidR="00D544CF" w:rsidRPr="00D5726B" w:rsidP="00D544CF" w14:paraId="3433C3CC" w14:textId="77777777">
      <w:pPr>
        <w:pStyle w:val="ManualNumPar1"/>
        <w:spacing w:line="360" w:lineRule="auto"/>
        <w:jc w:val="left"/>
        <w:rPr>
          <w:noProof/>
          <w:szCs w:val="24"/>
        </w:rPr>
      </w:pPr>
      <w:bookmarkStart w:id="8" w:name="Article7"/>
      <w:r>
        <w:t>1.</w:t>
      </w:r>
      <w:r>
        <w:tab/>
        <w:t xml:space="preserve">Għall-finanzjament tal-Unjoni għandhom ikunu eliġibbli biss attivitajiet li jimplimentaw l-objettivi stipulati fl-Artikolu 3. </w:t>
      </w:r>
      <w:r>
        <w:rPr>
          <w:b/>
          <w:i/>
        </w:rPr>
        <w:t xml:space="preserve">Il-konformità ma’ dawk ir-regoli għandha tiġi mmonitorjata kif xieraq, u fil-każ ta’ kwalunkwe irregolarità, għandhom jittieħdu miżuri korrettivi xierqa. Il-finanzjament tal-Unjoni permezz tal-programm għandu jkun limitat għal entitajiet ġuridiċi stabbiliti fi Stat Membru jew f’pajjiż assoċjat ma’ programmi rilevanti tal-Unjoni, sakemm ma jkunx iġġustifikat mod ieħor minn neċessità </w:t>
      </w:r>
      <w:r>
        <w:rPr>
          <w:b/>
          <w:i/>
        </w:rPr>
        <w:t>teknika jew ta’ sigurtà debitament sostanzjata.</w:t>
      </w:r>
    </w:p>
    <w:p w:rsidR="00D544CF" w:rsidRPr="00D5726B" w:rsidP="00D544CF" w14:paraId="40EB346A" w14:textId="77777777">
      <w:pPr>
        <w:pStyle w:val="ManualNumPar1"/>
        <w:spacing w:line="360" w:lineRule="auto"/>
        <w:jc w:val="left"/>
        <w:rPr>
          <w:noProof/>
          <w:szCs w:val="24"/>
        </w:rPr>
      </w:pPr>
      <w:r>
        <w:t>2.</w:t>
      </w:r>
      <w:r>
        <w:tab/>
        <w:t>Il-programmi ta’ ħidma msemmija fl-Artikolu 110 tar-Regolament (UE, Euratom) 2024/2509 jistgħu jispeċifikaw f’aktar dettall il-kriterji tal-eliġibbiltà stabbiliti f’dan ir-Regolament jew jistabbilixxu kriterji tal-eliġibbiltà addizzjonali għal azzjonijiet speċifiċi.</w:t>
      </w:r>
    </w:p>
    <w:p w:rsidR="00D544CF" w:rsidRPr="00D5726B" w:rsidP="00D544CF" w14:paraId="1A468F0B" w14:textId="77777777">
      <w:pPr>
        <w:pStyle w:val="Titrearticle"/>
        <w:spacing w:before="120" w:line="360" w:lineRule="auto"/>
        <w:rPr>
          <w:noProof/>
          <w:szCs w:val="24"/>
        </w:rPr>
      </w:pPr>
      <w:r>
        <w:t xml:space="preserve">Artikolu </w:t>
      </w:r>
      <w:bookmarkEnd w:id="8"/>
      <w:r>
        <w:t>9</w:t>
      </w:r>
    </w:p>
    <w:p w:rsidR="00D544CF" w:rsidRPr="00D5726B" w:rsidP="00D544CF" w14:paraId="1FEA45E1" w14:textId="77777777">
      <w:pPr>
        <w:pStyle w:val="NormalCentered"/>
        <w:spacing w:line="360" w:lineRule="auto"/>
        <w:rPr>
          <w:b/>
          <w:bCs/>
          <w:noProof/>
          <w:szCs w:val="24"/>
        </w:rPr>
      </w:pPr>
      <w:r>
        <w:rPr>
          <w:b/>
        </w:rPr>
        <w:t>Rati tal-kofinanzjament</w:t>
      </w:r>
    </w:p>
    <w:p w:rsidR="00D544CF" w:rsidRPr="00D5726B" w:rsidP="00D544CF" w14:paraId="79879B02" w14:textId="77777777">
      <w:pPr>
        <w:spacing w:before="120" w:after="120" w:line="360" w:lineRule="auto"/>
        <w:rPr>
          <w:noProof/>
          <w:szCs w:val="24"/>
        </w:rPr>
      </w:pPr>
      <w:bookmarkStart w:id="9" w:name="_Hlk205197754"/>
      <w:bookmarkStart w:id="10" w:name="_Hlk205210414"/>
      <w:r>
        <w:t xml:space="preserve">Ir-rata massima ġenerali tal-kofinanzjament tal-Unjoni applikabbli permezz tal-programm </w:t>
      </w:r>
      <w:r>
        <w:rPr>
          <w:b/>
          <w:i/>
        </w:rPr>
        <w:t>għandha</w:t>
      </w:r>
      <w:r>
        <w:t xml:space="preserve"> tkun </w:t>
      </w:r>
      <w:r>
        <w:rPr>
          <w:b/>
          <w:i/>
        </w:rPr>
        <w:t>kemm jista’ jkun qrib</w:t>
      </w:r>
      <w:r>
        <w:t xml:space="preserve"> is-86 %. Il-bqija tal-finanzjament għandhom jipprovduh il-Litwanja u sorsi oħra li mhumiex il-baġit tal-Unjoni.</w:t>
      </w:r>
    </w:p>
    <w:p w:rsidR="00D544CF" w:rsidRPr="00D5726B" w:rsidP="00D544CF" w14:paraId="6252867F" w14:textId="77777777">
      <w:pPr>
        <w:pStyle w:val="Titrearticle"/>
        <w:spacing w:before="120" w:line="360" w:lineRule="auto"/>
        <w:rPr>
          <w:noProof/>
          <w:szCs w:val="24"/>
        </w:rPr>
      </w:pPr>
      <w:bookmarkStart w:id="11" w:name="Article8"/>
      <w:bookmarkEnd w:id="9"/>
      <w:bookmarkEnd w:id="10"/>
      <w:r>
        <w:t>Artikolu</w:t>
      </w:r>
      <w:bookmarkEnd w:id="11"/>
      <w:r>
        <w:t xml:space="preserve"> 10</w:t>
      </w:r>
    </w:p>
    <w:p w:rsidR="00D544CF" w:rsidRPr="00D5726B" w:rsidP="00D544CF" w14:paraId="12FEB033" w14:textId="77777777">
      <w:pPr>
        <w:pStyle w:val="NormalCentered"/>
        <w:spacing w:line="360" w:lineRule="auto"/>
        <w:rPr>
          <w:b/>
          <w:bCs/>
          <w:noProof/>
          <w:szCs w:val="24"/>
        </w:rPr>
      </w:pPr>
      <w:r>
        <w:rPr>
          <w:b/>
        </w:rPr>
        <w:t>Programm ta’ ħidma</w:t>
      </w:r>
    </w:p>
    <w:p w:rsidR="00D544CF" w:rsidRPr="00D5726B" w:rsidP="00D544CF" w14:paraId="4FBA43E2" w14:textId="77777777">
      <w:pPr>
        <w:pStyle w:val="ManualNumPar1"/>
        <w:spacing w:line="360" w:lineRule="auto"/>
        <w:jc w:val="left"/>
        <w:rPr>
          <w:noProof/>
          <w:szCs w:val="24"/>
        </w:rPr>
      </w:pPr>
      <w:r>
        <w:t>1.</w:t>
      </w:r>
      <w:r>
        <w:tab/>
        <w:t xml:space="preserve">Il-programm għandu jiġi implimentat bil-programmi ta’ ħidma msemmija fl-Artikolu 110 tar-Regolament (UE, Euratom) 2024/2509. </w:t>
      </w:r>
    </w:p>
    <w:p w:rsidR="00D544CF" w:rsidRPr="00D5726B" w:rsidP="00D544CF" w14:paraId="37CB0726" w14:textId="77777777">
      <w:pPr>
        <w:pStyle w:val="ManualNumPar1"/>
        <w:spacing w:line="360" w:lineRule="auto"/>
        <w:jc w:val="left"/>
        <w:rPr>
          <w:noProof/>
          <w:szCs w:val="24"/>
        </w:rPr>
      </w:pPr>
      <w:r>
        <w:t>2.</w:t>
      </w:r>
      <w:r>
        <w:tab/>
        <w:t>Il-programmi ta’ ħidma għandhom ikunu jirriflettu l-pjan tad-dekummissjonar applikabbli li jrid iservi bħala l-linja bażi għall-monitoraġġ u l-evalwazzjoni tal-programm.</w:t>
      </w:r>
    </w:p>
    <w:p w:rsidR="00D544CF" w:rsidRPr="00D5726B" w:rsidP="00D544CF" w14:paraId="02DE12AD" w14:textId="77777777">
      <w:pPr>
        <w:pStyle w:val="Titrearticle"/>
        <w:spacing w:before="120" w:line="360" w:lineRule="auto"/>
        <w:rPr>
          <w:noProof/>
          <w:szCs w:val="24"/>
        </w:rPr>
      </w:pPr>
      <w:r>
        <w:t>Artikolu 11</w:t>
      </w:r>
    </w:p>
    <w:p w:rsidR="00D544CF" w:rsidRPr="00D5726B" w:rsidP="00D544CF" w14:paraId="1C7F3078" w14:textId="77777777">
      <w:pPr>
        <w:pStyle w:val="NormalCentered"/>
        <w:spacing w:line="360" w:lineRule="auto"/>
        <w:rPr>
          <w:b/>
          <w:bCs/>
          <w:noProof/>
          <w:szCs w:val="24"/>
        </w:rPr>
      </w:pPr>
      <w:r>
        <w:rPr>
          <w:b/>
        </w:rPr>
        <w:t>Kumitat</w:t>
      </w:r>
    </w:p>
    <w:p w:rsidR="00D544CF" w:rsidRPr="00D5726B" w:rsidP="00D544CF" w14:paraId="56733939" w14:textId="77777777">
      <w:pPr>
        <w:pStyle w:val="ManualNumPar1"/>
        <w:spacing w:line="360" w:lineRule="auto"/>
        <w:jc w:val="left"/>
        <w:rPr>
          <w:noProof/>
          <w:szCs w:val="24"/>
        </w:rPr>
      </w:pPr>
      <w:r>
        <w:t>1.</w:t>
      </w:r>
      <w:r>
        <w:tab/>
        <w:t xml:space="preserve">Il-Kummissjoni għandha tkun megħjuna minn kumitat. Dak il-kumitat għandu jkun kumitat fis-sens tar-Regolament (UE) Nru 182/2011. </w:t>
      </w:r>
    </w:p>
    <w:p w:rsidR="00D544CF" w:rsidRPr="00D5726B" w:rsidP="00D544CF" w14:paraId="1D671115" w14:textId="77777777">
      <w:pPr>
        <w:pStyle w:val="ManualNumPar1"/>
        <w:spacing w:line="360" w:lineRule="auto"/>
        <w:jc w:val="left"/>
        <w:rPr>
          <w:noProof/>
          <w:szCs w:val="24"/>
        </w:rPr>
      </w:pPr>
      <w:r>
        <w:t>2.</w:t>
      </w:r>
      <w:r>
        <w:tab/>
        <w:t>Fejn issir referenza għal dan il-paragrafu, għandu japplika l-Artikolu 5 tar-Regolament (UE) Nru 182/2011.</w:t>
      </w:r>
    </w:p>
    <w:p w:rsidR="00D544CF" w:rsidRPr="00D5726B" w:rsidP="00D544CF" w14:paraId="16071026" w14:textId="77777777">
      <w:pPr>
        <w:pStyle w:val="ManualNumPar1"/>
        <w:spacing w:line="360" w:lineRule="auto"/>
        <w:jc w:val="left"/>
        <w:rPr>
          <w:noProof/>
          <w:szCs w:val="24"/>
        </w:rPr>
      </w:pPr>
      <w:r>
        <w:t>3.</w:t>
      </w:r>
      <w:r>
        <w:tab/>
        <w:t>Fejn l-opinjoni tal-kumitat tkun trid tinkiseb permezz tal-proċedura bil-miktub, dik il-proċedura għandha tittermina mingħajr riżultat fejn, fil-limitu taż-żmien għall-għoti tal-opinjoni, il-president tal-kumitat hekk jiddeċiedi jew maġġoranza sempliċi tal-membri tal-kumitat titlob li jsir hekk.</w:t>
      </w:r>
      <w:bookmarkStart w:id="12" w:name="Article13"/>
    </w:p>
    <w:p w:rsidR="00D544CF" w:rsidRPr="00D5726B" w:rsidP="00D544CF" w14:paraId="28033A27" w14:textId="77777777">
      <w:pPr>
        <w:pStyle w:val="Titrearticle"/>
        <w:spacing w:before="120" w:line="360" w:lineRule="auto"/>
        <w:rPr>
          <w:noProof/>
          <w:szCs w:val="24"/>
        </w:rPr>
      </w:pPr>
      <w:r>
        <w:t xml:space="preserve">Artikolu </w:t>
      </w:r>
      <w:bookmarkEnd w:id="12"/>
      <w:r>
        <w:t>12</w:t>
      </w:r>
    </w:p>
    <w:p w:rsidR="00D544CF" w:rsidRPr="00D5726B" w:rsidP="00D544CF" w14:paraId="1EDAB46D" w14:textId="77777777">
      <w:pPr>
        <w:pStyle w:val="NormalCentered"/>
        <w:spacing w:line="360" w:lineRule="auto"/>
        <w:rPr>
          <w:b/>
          <w:bCs/>
          <w:noProof/>
          <w:szCs w:val="24"/>
        </w:rPr>
      </w:pPr>
      <w:r>
        <w:rPr>
          <w:b/>
        </w:rPr>
        <w:t>Tħassir</w:t>
      </w:r>
    </w:p>
    <w:p w:rsidR="00D544CF" w:rsidRPr="00D5726B" w:rsidP="00D544CF" w14:paraId="47486D4C" w14:textId="77777777">
      <w:pPr>
        <w:spacing w:before="120" w:after="120" w:line="360" w:lineRule="auto"/>
        <w:rPr>
          <w:noProof/>
          <w:szCs w:val="24"/>
        </w:rPr>
      </w:pPr>
      <w:r>
        <w:t>Ir-Regolament (UE) 2021/101 huwa mħassar b’effett mill-1 ta’ Jannar 2028.</w:t>
      </w:r>
    </w:p>
    <w:p w:rsidR="00D544CF" w:rsidRPr="00D5726B" w:rsidP="00D544CF" w14:paraId="4095E330" w14:textId="77777777">
      <w:pPr>
        <w:pStyle w:val="Titrearticle"/>
        <w:spacing w:before="120" w:line="360" w:lineRule="auto"/>
        <w:rPr>
          <w:noProof/>
          <w:szCs w:val="24"/>
        </w:rPr>
      </w:pPr>
      <w:bookmarkStart w:id="13" w:name="Article14"/>
      <w:r>
        <w:t>Artikolu</w:t>
      </w:r>
      <w:bookmarkEnd w:id="13"/>
      <w:r>
        <w:t xml:space="preserve"> 13</w:t>
      </w:r>
    </w:p>
    <w:p w:rsidR="00D544CF" w:rsidRPr="00D5726B" w:rsidP="00D544CF" w14:paraId="51397577" w14:textId="77777777">
      <w:pPr>
        <w:pStyle w:val="NormalCentered"/>
        <w:spacing w:line="360" w:lineRule="auto"/>
        <w:rPr>
          <w:b/>
          <w:bCs/>
          <w:noProof/>
          <w:szCs w:val="24"/>
        </w:rPr>
      </w:pPr>
      <w:r>
        <w:rPr>
          <w:b/>
        </w:rPr>
        <w:t>Dispożizzjonijiet tranżizzjonali</w:t>
      </w:r>
    </w:p>
    <w:p w:rsidR="00D544CF" w:rsidRPr="00D5726B" w:rsidP="00D544CF" w14:paraId="245C2595" w14:textId="77777777">
      <w:pPr>
        <w:pStyle w:val="ManualNumPar1"/>
        <w:spacing w:line="360" w:lineRule="auto"/>
        <w:jc w:val="left"/>
        <w:rPr>
          <w:noProof/>
          <w:szCs w:val="24"/>
        </w:rPr>
      </w:pPr>
      <w:r>
        <w:t>1.</w:t>
      </w:r>
      <w:r>
        <w:tab/>
        <w:t>Dan ir-Regolament ma għandux jaffettwa l-kontinwazzjoni jew il-modifika ta’ azzjonijiet mibdija skont ir-Regolament (UE) 2021/101, li dak ir-Regolament għandu jkompli japplika għalihom sal-għeluq tagħhom.</w:t>
      </w:r>
    </w:p>
    <w:p w:rsidR="00D544CF" w:rsidRPr="00D5726B" w:rsidP="00D544CF" w14:paraId="7E1A8650" w14:textId="77777777">
      <w:pPr>
        <w:pStyle w:val="ManualNumPar1"/>
        <w:spacing w:line="360" w:lineRule="auto"/>
        <w:jc w:val="left"/>
        <w:rPr>
          <w:noProof/>
          <w:szCs w:val="24"/>
        </w:rPr>
      </w:pPr>
      <w:r>
        <w:t>2.</w:t>
      </w:r>
      <w:r>
        <w:tab/>
        <w:t xml:space="preserve">Il-pakkett finanzjarju </w:t>
      </w:r>
      <w:r>
        <w:t>għall-programm jista’ jkopri wkoll l-ispejjeż tal-assistenza teknika u amministrattiva meħtieġa biex tkun żgurata t-tranżizzjoni bejn il-programm u l-miżuri adottati skont ir-Regolament (UE) 2021/101.</w:t>
      </w:r>
    </w:p>
    <w:p w:rsidR="00D544CF" w:rsidRPr="00D5726B" w:rsidP="00D544CF" w14:paraId="5A9FAC50" w14:textId="77777777">
      <w:pPr>
        <w:pStyle w:val="Titrearticle"/>
        <w:spacing w:before="120" w:line="360" w:lineRule="auto"/>
        <w:rPr>
          <w:noProof/>
          <w:szCs w:val="24"/>
        </w:rPr>
      </w:pPr>
      <w:bookmarkStart w:id="14" w:name="Article15"/>
      <w:r>
        <w:t>Artikolu</w:t>
      </w:r>
      <w:bookmarkEnd w:id="14"/>
      <w:r>
        <w:t xml:space="preserve"> 14</w:t>
      </w:r>
    </w:p>
    <w:p w:rsidR="00D544CF" w:rsidRPr="00D5726B" w:rsidP="00D544CF" w14:paraId="3AA25FA4" w14:textId="77777777">
      <w:pPr>
        <w:pStyle w:val="NormalCentered"/>
        <w:spacing w:line="360" w:lineRule="auto"/>
        <w:rPr>
          <w:b/>
          <w:bCs/>
          <w:noProof/>
          <w:szCs w:val="24"/>
        </w:rPr>
      </w:pPr>
      <w:r>
        <w:rPr>
          <w:b/>
        </w:rPr>
        <w:t>Dħul fis-seħħ u applikazzjoni</w:t>
      </w:r>
    </w:p>
    <w:p w:rsidR="00D544CF" w:rsidRPr="00D5726B" w:rsidP="00D544CF" w14:paraId="023BE39C" w14:textId="77777777">
      <w:pPr>
        <w:pStyle w:val="Applicationdirecte"/>
        <w:jc w:val="left"/>
        <w:rPr>
          <w:noProof/>
        </w:rPr>
      </w:pPr>
      <w:r>
        <w:t xml:space="preserve">Dan </w:t>
      </w:r>
      <w:r>
        <w:t>ir-Regolament għandu jidħol fis-seħħ fl-għoxrin jum wara dak tal-pubblikazzjoni tiegħu f’</w:t>
      </w:r>
      <w:r>
        <w:rPr>
          <w:i/>
        </w:rPr>
        <w:t>Il-Ġurnal Uffiċjali tal-Unjoni Ewropea</w:t>
      </w:r>
      <w:r>
        <w:t>.</w:t>
      </w:r>
    </w:p>
    <w:p w:rsidR="00D544CF" w:rsidRPr="00D5726B" w:rsidP="00D544CF" w14:paraId="4E9780A8" w14:textId="77777777">
      <w:pPr>
        <w:pStyle w:val="Applicationdirecte"/>
        <w:jc w:val="left"/>
        <w:rPr>
          <w:noProof/>
        </w:rPr>
      </w:pPr>
      <w:r>
        <w:t>Għandu japplika mill-1 ta’ Jannar 2028.</w:t>
      </w:r>
    </w:p>
    <w:p w:rsidR="00D544CF" w:rsidRPr="00D5726B" w:rsidP="00D544CF" w14:paraId="252F9496" w14:textId="77777777">
      <w:pPr>
        <w:pStyle w:val="Applicationdirecte"/>
        <w:keepNext/>
        <w:keepLines/>
        <w:jc w:val="left"/>
        <w:rPr>
          <w:noProof/>
        </w:rPr>
      </w:pPr>
      <w:r>
        <w:t>Dan ir-Regolament għandu jorbot fl-intier tiegħu u japplika direttament fl-Istati Membri kollha.</w:t>
      </w:r>
    </w:p>
    <w:p w:rsidR="00D544CF" w:rsidRPr="00D5726B" w:rsidP="00D544CF" w14:paraId="2D640A05" w14:textId="77777777">
      <w:pPr>
        <w:pStyle w:val="Fait"/>
        <w:jc w:val="left"/>
      </w:pPr>
    </w:p>
    <w:p w:rsidR="00D544CF" w:rsidRPr="00D5726B" w:rsidP="00D544CF" w14:paraId="71E13F40" w14:textId="77777777">
      <w:pPr>
        <w:pStyle w:val="Fait"/>
        <w:jc w:val="left"/>
        <w:rPr>
          <w:noProof/>
        </w:rPr>
      </w:pPr>
      <w:r>
        <w:t>Magħmul fi Brussell,</w:t>
      </w:r>
    </w:p>
    <w:p w:rsidR="00D544CF" w:rsidRPr="00D5726B" w:rsidP="00D544CF" w14:paraId="6944677E" w14:textId="77777777">
      <w:pPr>
        <w:pStyle w:val="Institutionquisigne"/>
        <w:jc w:val="left"/>
        <w:rPr>
          <w:noProof/>
        </w:rPr>
      </w:pPr>
      <w:r>
        <w:t>Għall-Kunsill</w:t>
      </w:r>
    </w:p>
    <w:p w:rsidR="00D544CF" w:rsidRPr="00D5726B" w:rsidP="00D544CF" w14:paraId="004346B0" w14:textId="77777777">
      <w:pPr>
        <w:pStyle w:val="Personnequisigne"/>
        <w:rPr>
          <w:noProof/>
        </w:rPr>
      </w:pPr>
      <w:r>
        <w:t>Il-President</w:t>
      </w:r>
    </w:p>
    <w:p w:rsidR="00D544CF" w:rsidRPr="00D5726B" w:rsidP="00D544CF" w14:paraId="2FFB6F5B" w14:textId="77777777">
      <w:pPr>
        <w:widowControl/>
        <w:rPr>
          <w:i/>
          <w:noProof/>
        </w:rPr>
      </w:pPr>
      <w:r>
        <w:br w:type="page"/>
      </w:r>
    </w:p>
    <w:p w:rsidR="00D544CF" w:rsidRPr="00D5726B" w:rsidP="00D544CF" w14:paraId="5BEBD059" w14:textId="77777777">
      <w:pPr>
        <w:rPr>
          <w:iCs/>
          <w:noProof/>
        </w:rPr>
      </w:pPr>
    </w:p>
    <w:p w:rsidR="00D544CF" w:rsidRPr="00D5726B" w:rsidP="00D544CF" w14:paraId="00A4C9D7" w14:textId="77777777">
      <w:pPr>
        <w:pStyle w:val="Annexetitre"/>
        <w:rPr>
          <w:noProof/>
        </w:rPr>
      </w:pPr>
      <w:r>
        <w:t xml:space="preserve">ANNESS </w:t>
      </w:r>
    </w:p>
    <w:p w:rsidR="00D544CF" w:rsidRPr="00D5726B" w:rsidP="00D544CF" w14:paraId="4CDFF8F9" w14:textId="77777777">
      <w:pPr>
        <w:rPr>
          <w:rFonts w:ascii="Segoe UI" w:hAnsi="Segoe UI" w:cs="Segoe UI"/>
          <w:noProof/>
          <w:sz w:val="18"/>
          <w:szCs w:val="18"/>
        </w:rPr>
      </w:pPr>
      <w:r>
        <w:rPr>
          <w:rStyle w:val="normaltextrun"/>
        </w:rPr>
        <w:t>L-attivitajiet li ġejjin huma koperti mill-objettiv speċifiku stabbilit fl-Artikolu 3(3):</w:t>
      </w:r>
    </w:p>
    <w:p w:rsidR="00D544CF" w:rsidRPr="00D5726B" w:rsidP="00D544CF" w14:paraId="475F4751" w14:textId="77777777">
      <w:pPr>
        <w:pStyle w:val="Point0"/>
        <w:rPr>
          <w:noProof/>
        </w:rPr>
      </w:pPr>
      <w:r>
        <w:t>(I)</w:t>
      </w:r>
      <w:r>
        <w:tab/>
      </w:r>
      <w:r>
        <w:rPr>
          <w:rStyle w:val="normaltextrun"/>
        </w:rPr>
        <w:t>Iż-żarmar tax-xaftijiet tar-reattur,</w:t>
      </w:r>
      <w:r>
        <w:t xml:space="preserve"> </w:t>
      </w:r>
      <w:r>
        <w:rPr>
          <w:b/>
          <w:i/>
        </w:rPr>
        <w:t>filwaqt li jiġu żgurati l-ogħla standards ta’ protezzjoni mir-radjazzjoni għall-ħaddiema, għall-pubbliku ġenerali u għall-ambjent</w:t>
      </w:r>
      <w:r>
        <w:rPr>
          <w:rStyle w:val="normaltextrun"/>
        </w:rPr>
        <w:t>:</w:t>
      </w:r>
    </w:p>
    <w:p w:rsidR="00D544CF" w:rsidRPr="00D5726B" w:rsidP="00D544CF" w14:paraId="2D3FD215" w14:textId="77777777">
      <w:pPr>
        <w:pStyle w:val="Point2number"/>
        <w:numPr>
          <w:ilvl w:val="0"/>
          <w:numId w:val="0"/>
        </w:numPr>
        <w:tabs>
          <w:tab w:val="left" w:pos="1984"/>
        </w:tabs>
        <w:ind w:left="1984" w:hanging="567"/>
        <w:rPr>
          <w:noProof/>
        </w:rPr>
      </w:pPr>
      <w:r>
        <w:t>(1)</w:t>
      </w:r>
      <w:r>
        <w:tab/>
      </w:r>
      <w:r>
        <w:rPr>
          <w:rStyle w:val="normaltextrun"/>
        </w:rPr>
        <w:t>it-tlestija taż-żarmar u tad-dekontaminazzjoni taż-żoni ta’ fuq u t’isfel (l-hekk imsejħa żona R1 u żona R2, rispettivament);</w:t>
      </w:r>
    </w:p>
    <w:p w:rsidR="00D544CF" w:rsidRPr="00D5726B" w:rsidP="00D544CF" w14:paraId="046B3970" w14:textId="77777777">
      <w:pPr>
        <w:pStyle w:val="Point2number"/>
        <w:numPr>
          <w:ilvl w:val="0"/>
          <w:numId w:val="0"/>
        </w:numPr>
        <w:tabs>
          <w:tab w:val="left" w:pos="1984"/>
        </w:tabs>
        <w:ind w:left="1984" w:hanging="567"/>
        <w:rPr>
          <w:noProof/>
        </w:rPr>
      </w:pPr>
      <w:r>
        <w:rPr>
          <w:rStyle w:val="normaltextrun"/>
          <w:b/>
          <w:i/>
        </w:rPr>
        <w:t>(2)</w:t>
      </w:r>
      <w:r>
        <w:rPr>
          <w:rStyle w:val="normaltextrun"/>
          <w:b/>
          <w:i/>
        </w:rPr>
        <w:tab/>
      </w:r>
      <w:r>
        <w:rPr>
          <w:rStyle w:val="normaltextrun"/>
        </w:rPr>
        <w:t xml:space="preserve">it-tlestija taż-żarmar </w:t>
      </w:r>
      <w:r>
        <w:rPr>
          <w:rStyle w:val="normaltextrun"/>
        </w:rPr>
        <w:t>tas-Separaturi taċ-Ċilindru tal-Istim;</w:t>
      </w:r>
      <w:r>
        <w:rPr>
          <w:rStyle w:val="eop"/>
        </w:rPr>
        <w:t> </w:t>
      </w:r>
    </w:p>
    <w:p w:rsidR="00D544CF" w:rsidRPr="00D5726B" w:rsidP="00D544CF" w14:paraId="20872DF2" w14:textId="77777777">
      <w:pPr>
        <w:pStyle w:val="Point2number"/>
        <w:numPr>
          <w:ilvl w:val="0"/>
          <w:numId w:val="0"/>
        </w:numPr>
        <w:tabs>
          <w:tab w:val="left" w:pos="1984"/>
        </w:tabs>
        <w:ind w:left="1984" w:hanging="567"/>
        <w:rPr>
          <w:noProof/>
        </w:rPr>
      </w:pPr>
      <w:r>
        <w:rPr>
          <w:b/>
          <w:i/>
        </w:rPr>
        <w:t>(3)</w:t>
      </w:r>
      <w:r>
        <w:rPr>
          <w:b/>
          <w:i/>
        </w:rPr>
        <w:tab/>
      </w:r>
      <w:r>
        <w:t xml:space="preserve">il-qalbiet </w:t>
      </w:r>
      <w:r>
        <w:rPr>
          <w:b/>
          <w:i/>
        </w:rPr>
        <w:t>tar-reatturi</w:t>
      </w:r>
      <w:r>
        <w:rPr>
          <w:rStyle w:val="normaltextrun"/>
        </w:rPr>
        <w:t xml:space="preserve"> (imsejħa żona R3):</w:t>
      </w:r>
    </w:p>
    <w:p w:rsidR="00D544CF" w:rsidRPr="00D5726B" w:rsidP="00D544CF" w14:paraId="7CFA4F7D" w14:textId="77777777">
      <w:pPr>
        <w:pStyle w:val="Point4letter"/>
        <w:numPr>
          <w:ilvl w:val="0"/>
          <w:numId w:val="0"/>
        </w:numPr>
        <w:tabs>
          <w:tab w:val="left" w:pos="3118"/>
        </w:tabs>
        <w:ind w:left="3118" w:hanging="567"/>
        <w:rPr>
          <w:noProof/>
        </w:rPr>
      </w:pPr>
      <w:r>
        <w:t>(a)</w:t>
      </w:r>
      <w:r>
        <w:tab/>
      </w:r>
      <w:r>
        <w:rPr>
          <w:rStyle w:val="normaltextrun"/>
        </w:rPr>
        <w:t>iż-żarmar tat-teknoloġija ddisinjata u liċenzjata;</w:t>
      </w:r>
    </w:p>
    <w:p w:rsidR="00D544CF" w:rsidRPr="00D5726B" w:rsidP="00D544CF" w14:paraId="29C85F8E" w14:textId="77777777">
      <w:pPr>
        <w:pStyle w:val="Point4letter"/>
        <w:numPr>
          <w:ilvl w:val="0"/>
          <w:numId w:val="0"/>
        </w:numPr>
        <w:tabs>
          <w:tab w:val="left" w:pos="3118"/>
        </w:tabs>
        <w:ind w:left="3118" w:hanging="567"/>
        <w:rPr>
          <w:noProof/>
        </w:rPr>
      </w:pPr>
      <w:r>
        <w:t>(b)</w:t>
      </w:r>
      <w:r>
        <w:tab/>
      </w:r>
      <w:r>
        <w:rPr>
          <w:rStyle w:val="normaltextrun"/>
        </w:rPr>
        <w:t>iż-żarmar tat-tagħmir installat u operazzjonali;</w:t>
      </w:r>
    </w:p>
    <w:p w:rsidR="00D544CF" w:rsidRPr="00D5726B" w:rsidP="00D544CF" w14:paraId="070688DB" w14:textId="77777777">
      <w:pPr>
        <w:pStyle w:val="Point4letter"/>
        <w:numPr>
          <w:ilvl w:val="0"/>
          <w:numId w:val="0"/>
        </w:numPr>
        <w:tabs>
          <w:tab w:val="left" w:pos="3118"/>
        </w:tabs>
        <w:ind w:left="3118" w:hanging="567"/>
        <w:rPr>
          <w:noProof/>
        </w:rPr>
      </w:pPr>
      <w:r>
        <w:t>(c)</w:t>
      </w:r>
      <w:r>
        <w:tab/>
      </w:r>
      <w:r>
        <w:rPr>
          <w:rStyle w:val="normaltextrun"/>
        </w:rPr>
        <w:t>iż-żarmar u d-dekontaminazzjoni taż-żona ċentrali tax-xaftijiet tar-reatturi f’konformità mal-pjan tad-dekummissjonar; il-progress irid jitkejjel bil-kwantità u t-tip ta’ materjali mneħħija kif ukoll permezz tal-valur miksub);</w:t>
      </w:r>
    </w:p>
    <w:p w:rsidR="00D544CF" w:rsidRPr="00D5726B" w:rsidP="00D544CF" w14:paraId="20BCEADD" w14:textId="77777777">
      <w:pPr>
        <w:pStyle w:val="Point4letter"/>
        <w:numPr>
          <w:ilvl w:val="0"/>
          <w:numId w:val="0"/>
        </w:numPr>
        <w:tabs>
          <w:tab w:val="left" w:pos="3118"/>
        </w:tabs>
        <w:ind w:left="3118" w:hanging="567"/>
        <w:rPr>
          <w:rStyle w:val="normaltextrun"/>
        </w:rPr>
      </w:pPr>
      <w:r>
        <w:rPr>
          <w:rStyle w:val="normaltextrun"/>
        </w:rPr>
        <w:t>(d)</w:t>
      </w:r>
      <w:r>
        <w:rPr>
          <w:rStyle w:val="normaltextrun"/>
        </w:rPr>
        <w:tab/>
        <w:t>il-faċilità tal-ħżin interim tal-iskart tar-reattur imħaddma.</w:t>
      </w:r>
    </w:p>
    <w:p w:rsidR="00D544CF" w:rsidRPr="00D5726B" w:rsidP="00D544CF" w14:paraId="0A8AE7B2" w14:textId="77777777">
      <w:pPr>
        <w:pStyle w:val="Point0"/>
        <w:rPr>
          <w:b/>
          <w:i/>
        </w:rPr>
      </w:pPr>
      <w:r>
        <w:t xml:space="preserve">▌ </w:t>
      </w:r>
      <w:r>
        <w:rPr>
          <w:b/>
          <w:i/>
        </w:rPr>
        <w:t>(Ia)</w:t>
      </w:r>
      <w:r>
        <w:tab/>
      </w:r>
      <w:r>
        <w:rPr>
          <w:b/>
          <w:i/>
        </w:rPr>
        <w:t>L-implimentazzjoni tal-programm ta’ twaqqigħ tal-bini. Il-progress li jsir fir-rigward ta’ dan l-objettiv għandu jitkejjel mill-kwantità ta’ bini mwaqqa’ kif ukoll permezz tal-valur gwadanjat</w:t>
      </w:r>
      <w:r>
        <w:rPr>
          <w:b/>
        </w:rPr>
        <w:t>.</w:t>
      </w:r>
    </w:p>
    <w:p w:rsidR="00D544CF" w:rsidRPr="00D5726B" w:rsidP="00D544CF" w14:paraId="0DE74F1D" w14:textId="77777777">
      <w:pPr>
        <w:pStyle w:val="Point2number"/>
        <w:numPr>
          <w:ilvl w:val="0"/>
          <w:numId w:val="0"/>
        </w:numPr>
        <w:tabs>
          <w:tab w:val="left" w:pos="720"/>
          <w:tab w:val="left" w:pos="1984"/>
        </w:tabs>
      </w:pPr>
    </w:p>
    <w:p w:rsidR="00D544CF" w:rsidRPr="00D5726B" w:rsidP="00D544CF" w14:paraId="7DD2CEE4" w14:textId="77777777">
      <w:pPr>
        <w:pStyle w:val="Point0"/>
        <w:rPr>
          <w:noProof/>
        </w:rPr>
      </w:pPr>
      <w:r>
        <w:t>(II)</w:t>
      </w:r>
      <w:r>
        <w:tab/>
      </w:r>
      <w:r>
        <w:t xml:space="preserve">Ir-riorganizzazzjoni tal-impjant tal-enerġija nukleari ta’ Ignalina (INPP) </w:t>
      </w:r>
      <w:r>
        <w:rPr>
          <w:b/>
          <w:i/>
        </w:rPr>
        <w:t>sabiex ittejjeb l-effiċjenza tal-programm</w:t>
      </w:r>
      <w:r>
        <w:t xml:space="preserve"> tad-dekummissjonar </w:t>
      </w:r>
      <w:r>
        <w:rPr>
          <w:b/>
          <w:i/>
        </w:rPr>
        <w:t>permezz ta’ organizzazzjoni mtejba u l-aħjar użu tar-riżorsi umani</w:t>
      </w:r>
      <w:r>
        <w:t xml:space="preserve">. Fid-dawl tal-attivitajiet taż-żarmar skedati u </w:t>
      </w:r>
      <w:r>
        <w:rPr>
          <w:b/>
          <w:i/>
        </w:rPr>
        <w:t>l-esternalizzazzjoni taż-żarmar</w:t>
      </w:r>
      <w:r>
        <w:t xml:space="preserve"> taż-żoni ċentrali tax-xaftijiet tar-reattur, </w:t>
      </w:r>
      <w:r>
        <w:rPr>
          <w:b/>
          <w:i/>
        </w:rPr>
        <w:t>għandhom jiġu implimentati miżuri mmirati ta’ titjib tal-ħiliet, taħriġ mill-ġdid ta’ ħiliet u taħriġ biex jappoġġaw l-adattament u r-riallokazzjoni tal-persunal</w:t>
      </w:r>
      <w:r>
        <w:t xml:space="preserve">. </w:t>
      </w:r>
      <w:r>
        <w:rPr>
          <w:b/>
          <w:i/>
        </w:rPr>
        <w:t>Meta jiġu kkunsidrati</w:t>
      </w:r>
      <w:r>
        <w:rPr>
          <w:b/>
          <w:i/>
        </w:rPr>
        <w:t xml:space="preserve"> aġġustamenti tal-ħaddiema minħabba l-esternalizzazzjoni, dawn għandhom isiru biss wara li l-esternalizzazzjoni tkun ġiet implimentata u għandhom ikunu akkumpanjati minn politiki ta’ taħriġ mill-ġdid u taħriġ mill-ġdid ta’ ħiliet. Tali aġġustamenti ma għandhomx jipperikolaw it-twettiq sikur u effettiv tal-proċess tad-dekummissjonar.</w:t>
      </w:r>
      <w:r>
        <w:t xml:space="preserve"> Il-progress </w:t>
      </w:r>
      <w:r>
        <w:rPr>
          <w:b/>
          <w:i/>
        </w:rPr>
        <w:t>għandu</w:t>
      </w:r>
      <w:r>
        <w:t xml:space="preserve"> jitkejjel fir-rigward ta’ Indikaturi Ewlenin tal-Prestazzjoni speċifiċi, approvati fil-programmi ta’ ħidma tal-implimentazzjoni.</w:t>
      </w:r>
    </w:p>
    <w:p w:rsidR="00D544CF" w:rsidRPr="00D5726B" w:rsidP="00D544CF" w14:paraId="1B580C59" w14:textId="77777777">
      <w:pPr>
        <w:pStyle w:val="Point0"/>
        <w:rPr>
          <w:noProof/>
        </w:rPr>
      </w:pPr>
      <w:r>
        <w:t>(III)</w:t>
      </w:r>
      <w:r>
        <w:tab/>
        <w:t>L-immaniġġjar sikur tal-iskart mid-dekummissjonar u tal-iskart ta’ legat sal-ħżin interim jew sad-disponiment (skont il-kategorija tal-iskart), inkluż it-tlestija tal-infrastruttura tal-immaniġġjar tal-iskart, u r-repożitorju qrib is-superfiċe. Dan irid jitwettaq f’konformità mal-pjan tad-dekummissjonar, fir-reviżjoni finali tiegħu. Il-progress irid jitkejjel bil-kwantità u t-tip ta’ skart maħżun jew mormi b’mod sikur, kif ukoll permezz tal-valur miksub.</w:t>
      </w:r>
    </w:p>
    <w:p w:rsidR="00D544CF" w:rsidRPr="00D5726B" w:rsidP="00D544CF" w14:paraId="1BDE6E34" w14:textId="77777777">
      <w:pPr>
        <w:pStyle w:val="Point0"/>
        <w:rPr>
          <w:noProof/>
        </w:rPr>
      </w:pPr>
      <w:r>
        <w:t>(IV)</w:t>
      </w:r>
      <w:r>
        <w:tab/>
        <w:t>It-tnaqqis tar-riskji radjoloġiċi. Il-progress irid jitkejjel permezz ta’ valutazzjonijiet tas-sikurezza tal-attivitajiet u tal-faċilità, billi jiġu identifikati modi kif jistgħu jseħħu esponimenti potenzjali u jiġu stmati l-probabbiltajiet u l-firxa ta’ dawk l-esponimenti potenzjali.</w:t>
      </w:r>
    </w:p>
    <w:p w:rsidR="00D544CF" w:rsidRPr="00D5726B" w:rsidP="00D544CF" w14:paraId="3F367963" w14:textId="77777777">
      <w:pPr>
        <w:rPr>
          <w:rStyle w:val="normaltextrun"/>
        </w:rPr>
      </w:pPr>
      <w:r>
        <w:t xml:space="preserve">▌ </w:t>
      </w:r>
    </w:p>
    <w:p w:rsidR="00D544CF" w:rsidRPr="00D5726B" w:rsidP="00D544CF" w14:paraId="27DBA328" w14:textId="77777777">
      <w:pPr>
        <w:pStyle w:val="Point0"/>
      </w:pPr>
      <w:bookmarkStart w:id="15" w:name="_Hlk228330487"/>
      <w:r>
        <w:rPr>
          <w:b/>
          <w:i/>
        </w:rPr>
        <w:t>(IVa)</w:t>
      </w:r>
      <w:r>
        <w:tab/>
      </w:r>
      <w:r>
        <w:rPr>
          <w:b/>
          <w:i/>
        </w:rPr>
        <w:t xml:space="preserve">Il-protezzjoni tas-sit tad-dekummissjonar nukleari kontra theddid ibridu, inkluż attakki minn sistemi mingħajr bdot abbord fuq infrastruttura kritika, kif ukoll it-tisħiħ tat-tħejjija, is-sensibilizzazzjoni dwar ir-riskju u l-kapaċitajiet ta’ prevenzjoni. </w:t>
      </w:r>
      <w:bookmarkEnd w:id="15"/>
    </w:p>
    <w:p w:rsidR="00D544CF" w:rsidRPr="00D5726B" w:rsidP="00D544CF" w14:paraId="300F075B" w14:textId="77777777">
      <w:pPr>
        <w:rPr>
          <w:noProof/>
        </w:rPr>
      </w:pPr>
    </w:p>
    <w:p w:rsidR="00D544CF" w:rsidRPr="00D5726B" w:rsidP="00D544CF" w14:paraId="4B99EF05" w14:textId="77777777"/>
    <w:p w:rsidR="00D544CF" w:rsidRPr="00D5726B" w:rsidP="00D544CF" w14:paraId="6B737F29" w14:textId="77777777">
      <w:pPr>
        <w:widowControl/>
        <w:sectPr w:rsidSect="00D5726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rsidR="00D544CF" w:rsidRPr="00D5726B" w:rsidP="00D544CF" w14:paraId="48E23AC2" w14:textId="77777777">
      <w:pPr>
        <w:pStyle w:val="PageHeading"/>
      </w:pPr>
      <w:bookmarkStart w:id="16" w:name="_Toc234243068"/>
      <w:bookmarkStart w:id="17" w:name="_Toc236753717"/>
      <w:r>
        <w:t>NOTA SPJEGATTIVA</w:t>
      </w:r>
      <w:bookmarkEnd w:id="16"/>
      <w:bookmarkEnd w:id="17"/>
    </w:p>
    <w:p w:rsidR="00D544CF" w:rsidRPr="00D5726B" w:rsidP="00D544CF" w14:paraId="29F50FDA" w14:textId="77777777"/>
    <w:p w:rsidR="00D544CF" w:rsidRPr="00D5726B" w:rsidP="00D544CF" w14:paraId="396DDCD6" w14:textId="77777777">
      <w:pPr>
        <w:widowControl/>
      </w:pPr>
    </w:p>
    <w:p w:rsidR="00D544CF" w:rsidRPr="00D5726B" w:rsidP="00D544CF" w14:paraId="46BDD1E3" w14:textId="77777777">
      <w:pPr>
        <w:spacing w:after="240"/>
      </w:pPr>
      <w:r>
        <w:t xml:space="preserve">Id-dekummissjonar tal-impjant </w:t>
      </w:r>
      <w:r>
        <w:t>tal-enerġija nukleari ta’ Ignalina (INPP) huwa sfida li hija l-ewwel tat-tip tagħha u teknikament kumplessa ħafna għas-sikurezza nukleari Ewropea. Dan il-proċess jinvolvi wkoll il-fatt li l-UE tissodisfa l-impenn tagħha għas-solidarjetà mal-Litwanja.</w:t>
      </w:r>
    </w:p>
    <w:p w:rsidR="00D544CF" w:rsidRPr="00D5726B" w:rsidP="00D544CF" w14:paraId="7B29CAA0" w14:textId="77777777">
      <w:pPr>
        <w:spacing w:after="240"/>
      </w:pPr>
      <w:r>
        <w:t>Skont il-Protokoll Nru 4 tat-Trattat tal-Adeżjoni tal-Litwanja fl-UE, il-pajjiż kien meħtieġ jagħlaq l-impjant tal-enerġija nukleari ta’ Ignalina qabel iż-żmien minħabba tħassib serju dwar is-sikurezza fl-Ewropa. Ir-reatturi tat-tip Chernobyl immoderati bil-grafit, għalkemm ferm aktar b’saħħithom, ma kellhomx konteniment sħiħ, u intrinsikament ma kinux sikuri minħabba disinn fundamentalment difettuż. Mil-lat politiku, l-għeluq tal-impjant kien deċiżjoni diffiċli ħafna għal-Litwanja, fejn l-enerġija nukleari</w:t>
      </w:r>
      <w:r>
        <w:t>, fl-eqqel tagħha fl-1993, kopriet madwar 88 % tad-domanda domestika għall-elettriku. Madankollu, id-deċiżjoni ttieħdet fl-interess tas-sikurezza tal-Ewropa u abbażi ta’ wegħda ċara minquxa fit-Trattat tal-Adeżjoni: li l-Unjoni Ewropea tipprovdi għajnuna finanzjarja “adegwata” għad-dekummissjonar tal-impjant tal-era Sovjetika. Ir-Rapporteur jilqa’ r-Regolament propost li jistabbilixxi l-ammont u l-kundizzjonijiet għall-QFP 2028-2034 li jmiss. It-twaqqif tal-programm kien jimmina l-kredibbiltà tal-Unjoni. Ma</w:t>
      </w:r>
      <w:r>
        <w:t>dankollu, ir-Rapporteur għandu l-għan li jkompli jsaħħaħ il-proposta, speċjalment billi jqis l-isfidi ġeopolitiċi attwali, permezz ta’ sensiela ta’ emendi mmirati:</w:t>
      </w:r>
    </w:p>
    <w:p w:rsidR="00D544CF" w:rsidRPr="00D5726B" w:rsidP="00D544CF" w14:paraId="0D4F622D" w14:textId="77777777">
      <w:pPr>
        <w:spacing w:after="240"/>
      </w:pPr>
      <w:r>
        <w:rPr>
          <w:b/>
        </w:rPr>
        <w:t>1. Finanzjament prevedibbli u stabbli</w:t>
      </w:r>
    </w:p>
    <w:p w:rsidR="00D544CF" w:rsidRPr="00D5726B" w:rsidP="00D544CF" w14:paraId="39760A2D" w14:textId="77777777">
      <w:pPr>
        <w:spacing w:after="240"/>
      </w:pPr>
      <w:r>
        <w:t>Ir-Rapporteur jilqa’ l-proposta tal-Kummissjoni li l-finanzjament tal-programm fil-QFP li jmiss jiġi stabbilit għal EUR 678 000 000 fi prezzijiet attwali. Madankollu, kemm fil-premessi kif ukoll fit-test ewlieni, dan l-ammont jissejjaħ “indikattiv” (“pakkett finanzjarju indikattiv”), li potenzjalment jimplika li dan l-ammont huwa negozjabbli u jista’ jitnaqqas. Dan huwa inkwetanti, b’mod partikolari peress li dan ma kienx il-każ fil-perjodi preċedenti. Ir-Rapporteur iqis it-terminu “indikattiv” bħala qarrie</w:t>
      </w:r>
      <w:r>
        <w:t>qi: jista’ jnaqqas il-fiduċja li l-programm se jiġi ffinanzjat b’mod adegwat. Matul il-QFP li jmiss, se jibda ż-żarmar tal-qlub tar-reatturi, u ladarba jinbeda, dan ix-xogħol ma jistax jiġi interrott minħabba l-prevenzjoni tar-riskji u l-perikli radjoloġiċi. Kwalunkwe inċertezza fil-finanzjament għalhekk tqajjem tħassib serju dwar is-sikurezza nukleari.</w:t>
      </w:r>
    </w:p>
    <w:p w:rsidR="00D544CF" w:rsidRPr="00D5726B" w:rsidP="00D544CF" w14:paraId="0071322C" w14:textId="77777777">
      <w:pPr>
        <w:spacing w:after="240"/>
      </w:pPr>
      <w:r>
        <w:rPr>
          <w:b/>
        </w:rPr>
        <w:t>2. Sistemi kontra d-droni</w:t>
      </w:r>
    </w:p>
    <w:p w:rsidR="00D544CF" w:rsidRPr="00D5726B" w:rsidP="00D544CF" w14:paraId="119E82F3" w14:textId="77777777">
      <w:pPr>
        <w:spacing w:after="240"/>
      </w:pPr>
      <w:r>
        <w:t>Il-protezzjoni fiżika tal-impjant bħalissa taqa’ barra mill-kamp ta’ applikazzjoni tal-programm Ignalina u tibqa’ r-responsabbiltà tal-Istat Litwan. Madankollu, f’dawn l-aħħar snin, l-impjanti tal-enerġija nukleari saru l-mira ta’ attakki militari, bħal pereżempju fi Frar 2025, meta dron ikkawża ħsara kważi irreparabbli lis-sarkofagu tar-reattur ta’ Chernobyl, u dan irriżulta f’kost ekonomiku sinifikanti. Għaldaqstant, ir-Rapporteur jipproponi li l-protezzjoni tas-sit kontra d-droni tiġi inkluża fil-kamp ta</w:t>
      </w:r>
      <w:r>
        <w:t xml:space="preserve">’ applikazzjoni tal-programm biex tiġi ssalvagwardjata l-popolazzjoni u jiġi evitat telf ambjentali u ekonomiku. Dan iservi wkoll biex jipproteġi l-investimenti li l-Unjoni għamlet matul is-snin fid-dekummissjonar ta’ dan l-oġġett. </w:t>
      </w:r>
    </w:p>
    <w:p w:rsidR="00D544CF" w:rsidRPr="00D5726B" w:rsidP="00D544CF" w14:paraId="09126A44" w14:textId="77777777">
      <w:pPr>
        <w:spacing w:after="240"/>
        <w:rPr>
          <w:b/>
          <w:bCs/>
        </w:rPr>
      </w:pPr>
      <w:r>
        <w:rPr>
          <w:b/>
        </w:rPr>
        <w:t>3. It-tisħiħ tas-sovranità teknoloġika tal-Unjoni</w:t>
      </w:r>
    </w:p>
    <w:p w:rsidR="00D544CF" w:rsidRPr="00D5726B" w:rsidP="00D544CF" w14:paraId="22836458" w14:textId="77777777">
      <w:pPr>
        <w:spacing w:after="240"/>
      </w:pPr>
      <w:r>
        <w:t>Fl-opinjoni tar-Rapporteur, il-finanzjament tal-Unjoni permezz tal-programm Ignalina għandu jkun limitat għal entitajiet ġuridiċi stabbiliti fi Stat Membru jew f’pajjiż assoċjat ma’ programmi rilevanti tal-Unjoni, sakemm ma jkunx iġġustifikat mod ieħor minn neċessità teknika jew ta’ sigurtà debitament sostanzjata. Il-fatt li tiġi limitata l-eliġibbiltà jsaħħaħ il-protezzjoni ta’ teknoloġiji sensittivi, infrastruttura kritika u għarfien strateġiku. Jappoġġa wkoll l-objettiv tal-Unjoni li ssaħħaħ is-sovranità</w:t>
      </w:r>
      <w:r>
        <w:t xml:space="preserve"> teknoloġika u l-awtonomija strateġika. Eċċezzjonijiet jistgħu jsiru biss permezz ta’ sigurtà sostanzjali jew neċessità teknika.Sabiex jissaħħu s-sovranità teknoloġika u l-awtonomija strateġika tal-Unjoni fis-settur tad-dekummissjonar nukleari, l-għarfien iġġenerat fil-kuntest tal-programm għandu primarjament isaħħaħ il-kapaċitajiet industrijali u teknoloġiċi tal-Unjoni, filwaqt li d-disseminazzjoni lil hinn mill-Unjoni għandha titwettaq b’mod li jissalvagwardja l-interessi tas-sigurtà, il-proprjetà intelle</w:t>
      </w:r>
      <w:r>
        <w:t>ttwali u t-tmexxija teknoloġika tal-Unjoni.Il-kondiviżjoni tal-għarfien b’mod indiskriminat tirriskja li tagħti s-setgħa lill-kompetituri tal-Ewropa, inkluż ir-rivali ġeopolitiċi għad-detriment tal-interess tal-Unjoni.</w:t>
      </w:r>
    </w:p>
    <w:p w:rsidR="00D544CF" w:rsidRPr="00D5726B" w:rsidP="00D544CF" w14:paraId="25AD578E" w14:textId="77777777">
      <w:pPr>
        <w:spacing w:after="240"/>
        <w:rPr>
          <w:b/>
          <w:bCs/>
        </w:rPr>
      </w:pPr>
      <w:r>
        <w:rPr>
          <w:b/>
        </w:rPr>
        <w:t>4. Repożitorju ġeoloġiku</w:t>
      </w:r>
    </w:p>
    <w:p w:rsidR="00D544CF" w:rsidRPr="00D5726B" w:rsidP="00D544CF" w14:paraId="06049AAC" w14:textId="77777777">
      <w:pPr>
        <w:spacing w:after="240"/>
      </w:pPr>
      <w:r>
        <w:t>Il-proposta tal-Kummissjoni teskludi r-rimi tal-fjuwil użat u tal-iskart radjuattiv f’repożitorju ġeoloġiku fond, filwaqt li r-Rapporteur jitlob li dan jinżamm fil-programm. Minħabba l-għeluq prematur, l-impjant tal-enerġija nukleari ta’ Ignalina ma setax jiġġenera riżorsi finanzjarji għar-rimi finali tal-fjuwil użat u tal-iskart radjuattiv iġġenerat matul l-operat tiegħu u ma setax jissodisfa r-responsabbiltà tiegħu bħala ġeneratur tal-iskart radjuattiv kif previst fl-Artikolu 9 tad-Direttiva tal-Kunsill 2</w:t>
      </w:r>
      <w:r>
        <w:t>011/70/Euratom u fl-atti legali nazzjonali.Għalkemm il-Litwanja għandha terfa’ r-responsabbiltà għall-ġestjoni tal-fjuwil użat u tal-iskart radjuattiv, inkluż ir-rimi finali, il-kobor tal-piż finanzjarju mqiegħed fuq il-Litwanja (biex tikkofinanzja d-dekummissjonar tal-impjant tal-enerġija nukleari ta’ Ignalina u fl-istess ħin tiffinanzja l-implimentazzjoni tar-repożitorju ġeoloġiku fond) ipoġġi lil-Litwanja f’sitwazzjoni eċċezzjonalment problematika. Il-kost tar-rimi finali huwa stmat għall-ammont impressj</w:t>
      </w:r>
      <w:r>
        <w:t>onanti ta’ EUR 6,5 biljun. Is-solidarjetà tal-UE għalhekk trid tiġi riflessa wkoll fl-appoġġ finanzjarju għall-isforz tal-Litwanja biex timplimenta soluzzjonijiet ta’ rimi finali u tevita piż żejjed għall-ġenerazzjonijiet futuri.</w:t>
      </w:r>
    </w:p>
    <w:p w:rsidR="000A6F7B" w:rsidRPr="00D5726B" w14:paraId="79AE7D87" w14:textId="77777777">
      <w:pPr>
        <w:widowControl/>
        <w:sectPr w:rsidSect="00B375CF">
          <w:headerReference w:type="even" r:id="rId12"/>
          <w:headerReference w:type="default" r:id="rId13"/>
          <w:headerReference w:type="first" r:id="rId14"/>
          <w:footerReference w:type="first" r:id="rId15"/>
          <w:pgSz w:w="11894" w:h="15840"/>
          <w:pgMar w:top="1700" w:right="1417" w:bottom="1417" w:left="1417" w:header="720" w:footer="720" w:gutter="0"/>
          <w:cols w:space="720"/>
          <w:noEndnote/>
          <w:docGrid w:linePitch="326"/>
        </w:sectPr>
      </w:pPr>
    </w:p>
    <w:p w:rsidR="000A6F7B" w:rsidRPr="00D5726B" w14:paraId="36129FB7" w14:textId="77777777">
      <w:pPr>
        <w:widowControl/>
      </w:pPr>
    </w:p>
    <w:p w:rsidR="000A6F7B" w:rsidRPr="00D5726B" w:rsidP="007041CC" w14:paraId="0385EE80" w14:textId="77777777">
      <w:pPr>
        <w:pStyle w:val="PageHeading"/>
      </w:pPr>
      <w:bookmarkStart w:id="18" w:name="FootprintPageRR"/>
      <w:bookmarkStart w:id="19" w:name="_Toc236753718"/>
      <w:r>
        <w:t>ANNESS: DIKJARAZZJONI TAL-KONTRIBUT</w:t>
      </w:r>
      <w:bookmarkEnd w:id="19"/>
    </w:p>
    <w:p w:rsidR="000A6F7B" w:rsidRPr="00D5726B" w:rsidP="00B31C6A" w14:paraId="441B4EC2" w14:textId="77777777">
      <w:pPr>
        <w:pStyle w:val="Normal24a"/>
        <w:spacing w:after="240"/>
      </w:pPr>
      <w:r w:rsidRPr="00604C5F">
        <w:rPr>
          <w:rStyle w:val="HideTWBExt"/>
        </w:rPr>
        <w:t>&lt;FootprintIntro&gt;</w:t>
      </w:r>
      <w:r>
        <w:t>F’konformità mal-Artikolu 8 tal-Anness I tar-Regoli ta’ Proċedura, ir-rapporteur jiddikjara li fir-rapport tiegħu inkluda kontribut dwar kwistjonijiet li għandhom x’jaqsmu mas-suġġett tal-fajl li rċieva, għat-tħejjija tar-rapport, qabel l-adozzjoni tiegħu fil-kumitat, mingħand ir-rappreżentanti ta’ gruppi ta’ interess li jaqgħu fil-kamp ta’ applikazzjoni tal-Ftehim Interistituzzjonali dwar Reġistru Obbligatorju ta’ Trasparenza</w:t>
      </w:r>
      <w:r>
        <w:rPr>
          <w:rStyle w:val="FootnoteReference"/>
        </w:rPr>
        <w:footnoteReference w:id="19"/>
      </w:r>
      <w:r>
        <w:t xml:space="preserve"> li ġejjin, jew mingħand ir-rappreżentanti ta’ awtoritajiet pubbliċi ta’ pajjiżi terzi, inklużi l-missjonijiet diplomatiċi u l-ambaxxati tagħhom, li ġejjin:</w:t>
      </w:r>
      <w:r w:rsidRPr="00604C5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08F1519D"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0A6F7B" w:rsidRPr="00D5726B" w:rsidP="00F42F07" w14:paraId="66A95366" w14:textId="77777777">
            <w:pPr>
              <w:pStyle w:val="NormalBoldCenter"/>
            </w:pPr>
            <w:r>
              <w:t xml:space="preserve">1. Rappreżentanti ta’ gruppi ta’ interess li jaqgħu fil-kamp ta’ applikazzjoni tal-Ftehim Interistituzzjonali dwar Reġistru </w:t>
            </w:r>
            <w:r>
              <w:t>Obbligatorju ta’ Trasparenza</w:t>
            </w:r>
          </w:p>
        </w:tc>
      </w:tr>
    </w:tbl>
    <w:tbl>
      <w:tblPr>
        <w:tblStyle w:val="TableGrid"/>
        <w:tblW w:w="9360" w:type="dxa"/>
        <w:tblLayout w:type="fixed"/>
        <w:tblLook w:val="01E0"/>
      </w:tblPr>
      <w:tblGrid>
        <w:gridCol w:w="9360"/>
      </w:tblGrid>
      <w:tr w14:paraId="78053D69" w14:textId="77777777" w:rsidTr="000A6F7B">
        <w:tblPrEx>
          <w:tblW w:w="9360" w:type="dxa"/>
          <w:tblLayout w:type="fixed"/>
          <w:tblLook w:val="01E0"/>
        </w:tblPrEx>
        <w:trPr>
          <w:trHeight w:val="318"/>
        </w:trPr>
        <w:tc>
          <w:tcPr>
            <w:tcW w:w="9360" w:type="dxa"/>
            <w:tcBorders>
              <w:top w:val="single" w:sz="4" w:space="0" w:color="auto"/>
              <w:left w:val="single" w:sz="4" w:space="0" w:color="auto"/>
              <w:bottom w:val="single" w:sz="4" w:space="0" w:color="auto"/>
              <w:right w:val="single" w:sz="4" w:space="0" w:color="auto"/>
            </w:tcBorders>
            <w:hideMark/>
          </w:tcPr>
          <w:p w:rsidR="000A6F7B" w:rsidRPr="00D5726B" w:rsidP="00D90B19" w14:paraId="2CD4BA8B" w14:textId="77777777">
            <w:pPr>
              <w:rPr>
                <w:sz w:val="22"/>
                <w:szCs w:val="22"/>
              </w:rPr>
            </w:pPr>
            <w:r>
              <w:rPr>
                <w:sz w:val="22"/>
              </w:rPr>
              <w:t xml:space="preserve">Mayor of Visaginas, Parko g. 14, 31140 Visaginas, +370 386 31 233, </w:t>
            </w:r>
            <w:hyperlink r:id="rId16" w:history="1">
              <w:r>
                <w:rPr>
                  <w:rStyle w:val="Hyperlink"/>
                  <w:sz w:val="22"/>
                </w:rPr>
                <w:t>erlandas.galaguz@visaginas.lt</w:t>
              </w:r>
            </w:hyperlink>
            <w:r>
              <w:rPr>
                <w:sz w:val="22"/>
              </w:rPr>
              <w:t xml:space="preserve"> </w:t>
            </w:r>
          </w:p>
        </w:tc>
      </w:tr>
      <w:tr w14:paraId="53E36CBC" w14:textId="77777777" w:rsidTr="000A6F7B">
        <w:tblPrEx>
          <w:tblW w:w="9360" w:type="dxa"/>
          <w:tblLayout w:type="fixed"/>
          <w:tblLook w:val="01E0"/>
        </w:tblPrEx>
        <w:trPr>
          <w:trHeight w:val="318"/>
        </w:trPr>
        <w:tc>
          <w:tcPr>
            <w:tcW w:w="9360" w:type="dxa"/>
            <w:tcBorders>
              <w:top w:val="single" w:sz="4" w:space="0" w:color="auto"/>
              <w:left w:val="single" w:sz="4" w:space="0" w:color="auto"/>
              <w:bottom w:val="single" w:sz="4" w:space="0" w:color="auto"/>
              <w:right w:val="single" w:sz="4" w:space="0" w:color="auto"/>
            </w:tcBorders>
            <w:hideMark/>
          </w:tcPr>
          <w:p w:rsidR="000A6F7B" w:rsidRPr="00D5726B" w:rsidP="00D90B19" w14:paraId="7C11D9F4" w14:textId="77777777">
            <w:pPr>
              <w:spacing w:after="240"/>
              <w:rPr>
                <w:sz w:val="22"/>
                <w:szCs w:val="22"/>
              </w:rPr>
            </w:pPr>
            <w:r>
              <w:rPr>
                <w:b/>
                <w:sz w:val="22"/>
              </w:rPr>
              <w:t>Altra</w:t>
            </w:r>
            <w:r>
              <w:rPr>
                <w:sz w:val="22"/>
              </w:rPr>
              <w:t xml:space="preserve"> (State Enterprise Ignalina Nuclear Power Plant) ) </w:t>
            </w:r>
            <w:hyperlink r:id="rId17" w:tgtFrame="_blank" w:history="1">
              <w:r>
                <w:rPr>
                  <w:rStyle w:val="Hyperlink"/>
                  <w:sz w:val="22"/>
                </w:rPr>
                <w:t>Elektrinės g.</w:t>
              </w:r>
            </w:hyperlink>
            <w:hyperlink r:id="rId17" w:tgtFrame="_blank" w:history="1">
              <w:r>
                <w:rPr>
                  <w:rStyle w:val="Hyperlink"/>
                  <w:sz w:val="22"/>
                </w:rPr>
                <w:t xml:space="preserve"> 4 K 47 , Drūkšinių k., LT- 3 1152 Visaginas</w:t>
              </w:r>
            </w:hyperlink>
            <w:r>
              <w:rPr>
                <w:sz w:val="22"/>
              </w:rPr>
              <w:t xml:space="preserve">, </w:t>
            </w:r>
            <w:hyperlink r:id="rId18" w:history="1">
              <w:r>
                <w:rPr>
                  <w:rStyle w:val="Hyperlink"/>
                  <w:sz w:val="22"/>
                </w:rPr>
                <w:t>+370 694 96193</w:t>
              </w:r>
            </w:hyperlink>
            <w:r>
              <w:rPr>
                <w:sz w:val="22"/>
              </w:rPr>
              <w:t xml:space="preserve">, </w:t>
            </w:r>
            <w:hyperlink r:id="rId19" w:history="1">
              <w:r>
                <w:rPr>
                  <w:rStyle w:val="Hyperlink"/>
                  <w:sz w:val="22"/>
                </w:rPr>
                <w:t>iae@altra.lt</w:t>
              </w:r>
            </w:hyperlink>
            <w:r>
              <w:rPr>
                <w:sz w:val="22"/>
              </w:rPr>
              <w:t xml:space="preserve">  </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6B08E947"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0A6F7B" w:rsidRPr="00D5726B" w:rsidP="00D47F5D" w14:paraId="56CF5551" w14:textId="77777777">
            <w:pPr>
              <w:pStyle w:val="NormalSingle"/>
            </w:pPr>
          </w:p>
        </w:tc>
      </w:tr>
      <w:tr w14:paraId="670E1244" w14:textId="77777777" w:rsidTr="00A81CDF">
        <w:tblPrEx>
          <w:tblW w:w="0" w:type="auto"/>
          <w:tblLook w:val="04A0"/>
        </w:tblPrEx>
        <w:tc>
          <w:tcPr>
            <w:tcW w:w="9060" w:type="dxa"/>
            <w:shd w:val="clear" w:color="auto" w:fill="auto"/>
          </w:tcPr>
          <w:p w:rsidR="000A6F7B" w:rsidRPr="00D5726B" w:rsidP="001666EA" w14:paraId="4FEA355D" w14:textId="77777777">
            <w:pPr>
              <w:pStyle w:val="NormalBoldCenter"/>
            </w:pPr>
            <w:r>
              <w:t xml:space="preserve">2. Rappreżentanti ta’ awtoritajiet pubbliċi ta’ </w:t>
            </w:r>
            <w:r>
              <w:t>pajjiżi terzi, inklużi l-missjonijiet diplomatiċi u l-ambaxxati tagħhom</w:t>
            </w:r>
          </w:p>
        </w:tc>
      </w:tr>
      <w:tr w14:paraId="1B213559" w14:textId="77777777" w:rsidTr="00A81CDF">
        <w:tblPrEx>
          <w:tblW w:w="0" w:type="auto"/>
          <w:tblLook w:val="04A0"/>
        </w:tblPrEx>
        <w:tc>
          <w:tcPr>
            <w:tcW w:w="9060" w:type="dxa"/>
            <w:shd w:val="clear" w:color="auto" w:fill="auto"/>
          </w:tcPr>
          <w:p w:rsidR="000A6F7B" w:rsidRPr="00D5726B" w:rsidP="00C6630E" w14:paraId="21DFA09C" w14:textId="77777777">
            <w:r>
              <w:t>Xejn</w:t>
            </w:r>
          </w:p>
        </w:tc>
      </w:tr>
    </w:tbl>
    <w:p w:rsidR="000A6F7B" w:rsidRPr="00D5726B" w:rsidP="00086351" w14:paraId="64086568" w14:textId="77777777">
      <w:pPr>
        <w:pStyle w:val="Footprint12b"/>
      </w:pPr>
      <w:r>
        <w:t>Il-lista ta’ hawn fuq hija mfassla taħt ir-responsabbiltà esklużiva tar-rapporteur.</w:t>
      </w:r>
    </w:p>
    <w:p w:rsidR="000A6F7B" w:rsidRPr="00D5726B" w:rsidP="00B7198C" w14:paraId="31272AF6" w14:textId="77777777">
      <w:pPr>
        <w:pStyle w:val="Footprint12b"/>
      </w:pPr>
      <w:r>
        <w:t xml:space="preserve">Meta persuni fiżiċi jkunu identifikati fil-lista b’isimhom, bil-funzjoni tagħhom jew </w:t>
      </w:r>
      <w:r>
        <w:t>bit-tnejn li huma, ir-rapporteur jiddikjara li ppreżenta lill-persuni fiżiċi kkonċernati l-Avviż tal-Parlament Ewropew Nru 484 dwar il-Protezzjoni tad-Data (</w:t>
      </w:r>
      <w:hyperlink r:id="rId20" w:tooltip="https://www.europarl.europa.eu/data-protect/index.do" w:history="1">
        <w:r>
          <w:rPr>
            <w:rStyle w:val="Hyperlink"/>
          </w:rPr>
          <w:t>https://www.europarl.europa.eu/data-protect/index.do</w:t>
        </w:r>
      </w:hyperlink>
      <w:r>
        <w:t>), li jistabbilixxi l-kundizzjonijiet applikabbli għall-ipproċessar tad-data personali tagħhom u d-drittijiet marbuta ma’ dak l-ipproċessar.</w:t>
      </w:r>
    </w:p>
    <w:bookmarkEnd w:id="18"/>
    <w:p w:rsidR="000A6F7B" w:rsidRPr="00D5726B" w14:paraId="46A7F396" w14:textId="77777777">
      <w:pPr>
        <w:widowControl/>
        <w:sectPr w:rsidSect="00B375CF">
          <w:pgSz w:w="11894" w:h="15840"/>
          <w:pgMar w:top="1700" w:right="1417" w:bottom="1417" w:left="1417" w:header="720" w:footer="720" w:gutter="0"/>
          <w:cols w:space="720"/>
          <w:noEndnote/>
          <w:docGrid w:linePitch="326"/>
        </w:sectPr>
      </w:pPr>
    </w:p>
    <w:p w:rsidR="000A6F7B" w:rsidRPr="00D5726B" w:rsidP="000A6F7B" w14:paraId="3438A1A0" w14:textId="77777777">
      <w:pPr>
        <w:pStyle w:val="Normal24a"/>
      </w:pPr>
      <w:r w:rsidRPr="00604C5F">
        <w:rPr>
          <w:rStyle w:val="HideTWBExt"/>
        </w:rPr>
        <w:t>&lt;Date&gt;</w:t>
      </w:r>
      <w:r w:rsidRPr="00604C5F">
        <w:rPr>
          <w:rStyle w:val="HideTWBInt"/>
        </w:rPr>
        <w:t>{03/06/2026}</w:t>
      </w:r>
      <w:r>
        <w:t>3.6.2026</w:t>
      </w:r>
      <w:r w:rsidRPr="00604C5F">
        <w:rPr>
          <w:rStyle w:val="HideTWBExt"/>
        </w:rPr>
        <w:t>&lt;/Date&gt;</w:t>
      </w:r>
    </w:p>
    <w:p w:rsidR="000A6F7B" w:rsidRPr="00D5726B" w:rsidP="000A6F7B" w14:paraId="7B9D52AF" w14:textId="77777777">
      <w:pPr>
        <w:pStyle w:val="PageHeading"/>
      </w:pPr>
      <w:r w:rsidRPr="00604C5F">
        <w:rPr>
          <w:rStyle w:val="HideTWBExt"/>
          <w:b w:val="0"/>
        </w:rPr>
        <w:t>&lt;CommissionResp&gt;</w:t>
      </w:r>
      <w:bookmarkStart w:id="20" w:name="OpinionToc_1"/>
      <w:bookmarkStart w:id="21" w:name="_Toc236753719"/>
      <w:r>
        <w:t>VALUTAZZJONI BAĠITARJA TAL-KUMITAT GĦALL-BAĠITS</w:t>
      </w:r>
      <w:bookmarkEnd w:id="20"/>
      <w:bookmarkEnd w:id="21"/>
      <w:r w:rsidRPr="00604C5F">
        <w:rPr>
          <w:rStyle w:val="HideTWBExt"/>
          <w:b w:val="0"/>
        </w:rPr>
        <w:t>&lt;/CommissionResp&gt;</w:t>
      </w:r>
    </w:p>
    <w:p w:rsidR="000A6F7B" w:rsidRPr="00D5726B" w:rsidP="000A6F7B" w14:paraId="5D7A026D" w14:textId="77777777">
      <w:pPr>
        <w:pStyle w:val="Normal12a"/>
      </w:pPr>
      <w:r w:rsidRPr="00604C5F">
        <w:rPr>
          <w:rStyle w:val="HideTWBExt"/>
        </w:rPr>
        <w:t>&lt;CommissionInt&gt;</w:t>
      </w:r>
      <w:r>
        <w:t>għall-Kumitat għall-Industrija, ir-Riċerka u l-Enerġija</w:t>
      </w:r>
      <w:r w:rsidRPr="00604C5F">
        <w:rPr>
          <w:rStyle w:val="HideTWBExt"/>
        </w:rPr>
        <w:t>&lt;/CommissionInt&gt;</w:t>
      </w:r>
    </w:p>
    <w:p w:rsidR="000A6F7B" w:rsidRPr="00D5726B" w:rsidP="000A6F7B" w14:paraId="2CBBFD5E" w14:textId="77777777">
      <w:r w:rsidRPr="00604C5F">
        <w:rPr>
          <w:rStyle w:val="HideTWBExt"/>
        </w:rPr>
        <w:t>&lt;Titre&gt;</w:t>
      </w:r>
      <w:r>
        <w:t>dwar il-proposta għal regolament tal-Kunsill li jistabbilixxi l-programm ta’ assistenza għad-dekummissjonar nukleari tal-impjant tal-enerġija nukleari ta’ Ignalina fil-Litwanja għall-perjodu 2028-2034, u li jħassar ir-Regolament (UE) 2021/101</w:t>
      </w:r>
      <w:r w:rsidRPr="00604C5F">
        <w:rPr>
          <w:rStyle w:val="HideTWBExt"/>
        </w:rPr>
        <w:t>&lt;/Titre&gt;</w:t>
      </w:r>
    </w:p>
    <w:p w:rsidR="000A6F7B" w:rsidRPr="00D5726B" w:rsidP="000A6F7B" w14:paraId="42F3DCF5" w14:textId="77777777">
      <w:pPr>
        <w:pStyle w:val="Normal12a"/>
      </w:pPr>
      <w:r w:rsidRPr="00604C5F">
        <w:rPr>
          <w:rStyle w:val="HideTWBExt"/>
        </w:rPr>
        <w:t>&lt;DocRef&gt;</w:t>
      </w:r>
      <w:r>
        <w:t>(COM(2025)0476 – C10</w:t>
      </w:r>
      <w:r>
        <w:noBreakHyphen/>
        <w:t>0271/2025 – 2025/0268(NLE))</w:t>
      </w:r>
      <w:r w:rsidRPr="00604C5F">
        <w:rPr>
          <w:rStyle w:val="HideTWBExt"/>
        </w:rPr>
        <w:t>&lt;/DocRef&gt;</w:t>
      </w:r>
    </w:p>
    <w:p w:rsidR="000A6F7B" w:rsidRPr="00604C5F" w:rsidP="000A6F7B" w14:paraId="20708CBB" w14:textId="77777777">
      <w:pPr>
        <w:pStyle w:val="Normal24a"/>
        <w:rPr>
          <w:rStyle w:val="HideTWBExt"/>
        </w:rPr>
      </w:pPr>
      <w:r>
        <w:t xml:space="preserve">Rapporteur għal valutazzjoni baġitarja: </w:t>
      </w:r>
      <w:r w:rsidRPr="00604C5F">
        <w:rPr>
          <w:rStyle w:val="HideTWBExt"/>
        </w:rPr>
        <w:t>&lt;Depute&gt;</w:t>
      </w:r>
      <w:r>
        <w:t>Rasmus Nordqvist</w:t>
      </w:r>
      <w:r w:rsidRPr="00604C5F">
        <w:rPr>
          <w:rStyle w:val="HideTWBExt"/>
        </w:rPr>
        <w:t>&lt;/Depute&gt;</w:t>
      </w:r>
    </w:p>
    <w:p w:rsidR="000A6F7B" w:rsidRPr="00D5726B" w:rsidP="00E856D2" w14:paraId="18D3A0BA" w14:textId="77777777">
      <w:pPr>
        <w:widowControl/>
        <w:tabs>
          <w:tab w:val="center" w:pos="4677"/>
        </w:tabs>
      </w:pPr>
    </w:p>
    <w:p w:rsidR="000A6F7B" w:rsidRPr="00D5726B" w:rsidP="000A6F7B" w14:paraId="09C9BB4B" w14:textId="77777777">
      <w:pPr>
        <w:pStyle w:val="Normal12a"/>
      </w:pPr>
      <w:r w:rsidRPr="00604C5F">
        <w:rPr>
          <w:rStyle w:val="HideTWBExt"/>
        </w:rPr>
        <w:t>&lt;Intro&gt;</w:t>
      </w:r>
      <w:r>
        <w:t>Bis-saħħa tal-Artikolu 58 tar-Regoli ta’ Proċedura, il-Kumitat għall-Baġits ħareġ valutazzjoni tal-proposta u kkonkluda dan li ġej:</w:t>
      </w:r>
      <w:r w:rsidRPr="00604C5F">
        <w:rPr>
          <w:rStyle w:val="HideTWBExt"/>
        </w:rPr>
        <w:t>&lt;/Intro&gt;</w:t>
      </w:r>
    </w:p>
    <w:p w:rsidR="000A6F7B" w:rsidRPr="00D5726B" w:rsidP="008201DA" w14:paraId="1B22D6CF" w14:textId="77777777">
      <w:pPr>
        <w:pStyle w:val="EPComma"/>
      </w:pPr>
      <w:r>
        <w:rPr>
          <w:i/>
        </w:rPr>
        <w:t>Il-Kumitat għall-Baġits</w:t>
      </w:r>
      <w:r>
        <w:t>,</w:t>
      </w:r>
    </w:p>
    <w:p w:rsidR="000A6F7B" w:rsidRPr="00D5726B" w:rsidP="008201DA" w14:paraId="22977D45" w14:textId="77777777">
      <w:pPr>
        <w:pStyle w:val="NormalHanging12a"/>
        <w:jc w:val="both"/>
      </w:pPr>
      <w:r>
        <w:t>A.</w:t>
      </w:r>
      <w:r>
        <w:tab/>
        <w:t>billi l-għan tal-programm ta’ assistenza għad-dekummissjonar nukleari tal-impjant tal-enerġija nukleari ta’ Ignalina fil-Litwanja (il-programm Ignalina) huwa li jgħin lil-Litwanja tindirizza l-isfidi tas-sikurezza assoċjati mad-dekummissjonar ta’ impjant tal-enerġija nukleari, filwaqt li jiġġenera għarfien biex jinqasam bejn l-Istati Membri tal-UE u l-pajjiżi mhux tal-UE għall-attivitajiet tad-dekummissjonar tagħhom stess; billi l-programm propost huwa tkomplija tal-attivitajiet li ilhom jitwettqu mill-bid</w:t>
      </w:r>
      <w:r>
        <w:t>u tas-snin 2000 u li mistennijin jibqgħu għaddejjin sal-2049;</w:t>
      </w:r>
    </w:p>
    <w:p w:rsidR="000A6F7B" w:rsidRPr="00D5726B" w:rsidP="008201DA" w14:paraId="28AD9124" w14:textId="77777777">
      <w:pPr>
        <w:pStyle w:val="NormalHanging12a"/>
        <w:jc w:val="both"/>
      </w:pPr>
      <w:r>
        <w:t xml:space="preserve">B. </w:t>
      </w:r>
      <w:r>
        <w:tab/>
        <w:t>billi s-sikurezza nukleari hija ben pubbliku, u l-programmi tal-imgħoddi wrew il-valur miżjud tal-ġbir u tat-tixrid tal-għarfien marbut mas-sikurezza nukleari u mad-dekummissjonar tal-impjanti tal-enerġija nukleari;</w:t>
      </w:r>
    </w:p>
    <w:p w:rsidR="000A6F7B" w:rsidRPr="00D5726B" w:rsidP="008201DA" w14:paraId="25A5DA16" w14:textId="77777777">
      <w:pPr>
        <w:pStyle w:val="NormalHanging12a"/>
        <w:jc w:val="both"/>
      </w:pPr>
      <w:r>
        <w:t>C.</w:t>
      </w:r>
      <w:r>
        <w:tab/>
        <w:t>billi livelli għoljin ta’ sikurezza nukleari jillimitaw ir-riskji assoċjati mal-ġestjoni tal-faċilitajiet nukleari;</w:t>
      </w:r>
    </w:p>
    <w:p w:rsidR="000A6F7B" w:rsidRPr="00D5726B" w:rsidP="008201DA" w14:paraId="66AC46D2" w14:textId="77777777">
      <w:pPr>
        <w:pStyle w:val="NormalHanging12a"/>
        <w:jc w:val="both"/>
      </w:pPr>
      <w:r>
        <w:t>D.</w:t>
      </w:r>
      <w:r>
        <w:tab/>
        <w:t>billi l-kontribut finanzjarju u tekniku tal-UE għad-dekummissjonar tal-impjant tal-enerġija ta’ Ignalina huwa minqux fit-Trattat ta’ Adeżjoni tal-Litwanja bħala turija tas-solidarjetà Ewropea;</w:t>
      </w:r>
    </w:p>
    <w:p w:rsidR="000A6F7B" w:rsidRPr="00D5726B" w:rsidP="008201DA" w14:paraId="7A25D568" w14:textId="77777777">
      <w:pPr>
        <w:pStyle w:val="NormalHanging12a"/>
        <w:jc w:val="both"/>
      </w:pPr>
      <w:r>
        <w:t>1.</w:t>
      </w:r>
      <w:r>
        <w:tab/>
        <w:t>Jaqbel li l-pakkett tal-programm għandu jiġi stabbilit għal EUR 678 000 000 fi prezzijiet attwali (EUR 602 720 000 fi prezzijiet tal-2025) sabiex jiġu ssodisfati l-objettivi tal-programm;</w:t>
      </w:r>
    </w:p>
    <w:p w:rsidR="000A6F7B" w:rsidRPr="00D5726B" w:rsidP="008201DA" w14:paraId="1878DEEF" w14:textId="77777777">
      <w:pPr>
        <w:pStyle w:val="NormalHanging12a"/>
        <w:jc w:val="both"/>
      </w:pPr>
      <w:r>
        <w:t>2.</w:t>
      </w:r>
      <w:r>
        <w:tab/>
        <w:t>Iqis li jridu jkunu disponibbli biżżejjed riżorsi umani u tekniċi mill-bidu nett u matul il-perjodu kollu ta’ programmazzjoni tal-qafas finanzjarju pluriennali 2028-2034 bil-għan li tiġi żgurata l-implimentazzjoni effettiva tal-programm Ignalina;</w:t>
      </w:r>
    </w:p>
    <w:p w:rsidR="000A6F7B" w:rsidRPr="00D5726B" w:rsidP="008201DA" w14:paraId="700D3CE1" w14:textId="77777777">
      <w:pPr>
        <w:pStyle w:val="NormalHanging12a"/>
        <w:jc w:val="both"/>
      </w:pPr>
      <w:r>
        <w:t>3.</w:t>
      </w:r>
      <w:r>
        <w:tab/>
        <w:t>Jisħaq li l-attivitajiet ta’ dekummissjonar jissodisfaw l-obbligi legali u tekniċi fit-tul; iqis, għalhekk, li programmazzjoni finanzjarja stabbli u prevedibbli hija kundizzjoni għal ġestjoni baġitarja tajba;</w:t>
      </w:r>
    </w:p>
    <w:p w:rsidR="000A6F7B" w:rsidRPr="00D5726B" w:rsidP="008201DA" w14:paraId="46E57D92" w14:textId="77777777">
      <w:pPr>
        <w:pStyle w:val="NormalHanging12a"/>
        <w:jc w:val="both"/>
      </w:pPr>
      <w:r>
        <w:t>4.</w:t>
      </w:r>
      <w:r>
        <w:tab/>
        <w:t xml:space="preserve">Jieħu nota tal-komplementarjetà ssuġġerita bejn il-programm Ignalina u programmi oħrajn, bħall-Istrument għal Kooperazzjoni fil-qasam tas-Sikurezza Nukleari u d-Dekummissjonar u l-Fond ta’ Koeżjoni; jisħaq li komplementarjetà msaħħa bejn l-istrumenti ma tridx issir għad-detriment tat-traċċabbiltà tan-nefqa jew tal-prerogattivi tal-awtorità baġitarja; jisħaq, f’dan ir-rigward, li kwalunkwe kontribut ta’ dan it-tip trid tiġi riflessa kif xieraq fid-dikjarazzjoni tal-prestazzjoni tal-programmi għall-programm </w:t>
      </w:r>
      <w:r>
        <w:t xml:space="preserve">Ignalina; jinsisti li l-awtorità baġitarja għandha żżomm il-kontroll totali fuq il-mod kif ir-riżorsi jiġu kkombinati bejn l-istrumenti u fuq il-kontribut effettiv ta’ kull programm għall-prijoritajiet tal-UE, partikolarment permezz ta’ nomenklatura baġitarja dettaljata; jisħaq li komplementarjetà msaħħa bejn il-programmi ma tridx twassal għal kumplessità sproporzjonata għall-benefiċjarji; jitlob li l-finanzjament tal-UE jkun aktar ċar, aktar aċċessibbli u aktar koerenti sabiex tiġi ffaċilitata l-adozzjoni </w:t>
      </w:r>
      <w:r>
        <w:t>u jiġi massimizzat l-impatt tal-investimenti;</w:t>
      </w:r>
    </w:p>
    <w:p w:rsidR="000A6F7B" w:rsidRPr="00D5726B" w:rsidP="008201DA" w14:paraId="6D0F315D" w14:textId="77777777">
      <w:pPr>
        <w:pStyle w:val="NormalHanging12a"/>
        <w:jc w:val="both"/>
      </w:pPr>
      <w:r>
        <w:t>5.</w:t>
      </w:r>
      <w:r>
        <w:tab/>
        <w:t xml:space="preserve">Jisħaq li l-użu tad-dħul assenjat estern fl-ambitu tal-programm Ignalina jrid ikun ċirkoskritt b’mod ċar, totalment trasparenti u suġġett għal skrutinju parlamentari effettiv; jieħu nota, f’dan ir-rigward, tad-dispożizzjonijiet relatati mal-kontribuzzjonijiet finanzjarji ta’ pajjiżi terzi parteċipanti u ta’ donaturi oħrajn; jissottolinja li, jekk il-Kumitat għall-Industrija, ir-Riċerka u l-Enerġija jikkunsidra li jemenda d-dispożizzjonijiet relatati mad-dħul assenjat estern, dan għandu jsir f’koordinament </w:t>
      </w:r>
      <w:r>
        <w:t>mal-Kumitat għall-Baġits u mal-kumitati l-oħra sabiex jiġi żgurat li l-approċċ adottat ikun konsistenti;</w:t>
      </w:r>
    </w:p>
    <w:p w:rsidR="000A6F7B" w:rsidRPr="00D5726B" w:rsidP="008201DA" w14:paraId="7AE5A921" w14:textId="77777777">
      <w:pPr>
        <w:pStyle w:val="NormalHanging12a"/>
        <w:jc w:val="both"/>
      </w:pPr>
      <w:r>
        <w:t>6.</w:t>
      </w:r>
      <w:r>
        <w:tab/>
        <w:t>Ifakkar fil-proposta għal regolament li jistabbilixxi qafas ta’ traċċar u ta’ prestazzjoni tan-nefqa baġitarja u regoli orizzontali oħra għall-programmi u għall-attivitajiet tal-Unjoni</w:t>
      </w:r>
      <w:r>
        <w:rPr>
          <w:rStyle w:val="FootnoteReference"/>
        </w:rPr>
        <w:footnoteReference w:id="20"/>
      </w:r>
      <w:r>
        <w:t xml:space="preserve"> (ir-Regolament dwar il-Prestazzjoni), li jistabbilixxi lista unika u razzjonalizzata ta’ indikaturi tal-prestazzjoni u dispożizzjonijiet ta’ monitoraġġ u ta’ evalwazzjoni, li wħud minnhom huma rilevanti għall-programm Ignalina; jissottolinja li kwalunkwe bidla fl-arkitettura, fl-objettivi u fl-azzjonijiet eliġibbli fl-ambitu tal-programm jeħtieġ li tiġi riflessa b’mod xieraq fl-Anness I tar-Regolament dwar il-Prestazzjoni, bħala parti mill-proċess ta’ emendar u ta’ negozjar ta’ dak ir-regolament. jirrimark</w:t>
      </w:r>
      <w:r>
        <w:t>a li, filwaqt li l-leġiżlazzjoni settorjali tista’ tissupplimenta r-Regolament dwar il-Pestazzjoni, pereżempju fir-rigward tal-evalwazzjonijiet tal-programmi, għandha tibqa’ konsistenti mad-dispożizzjonijiet ta’ dak ir-regolament;</w:t>
      </w:r>
    </w:p>
    <w:p w:rsidR="000A6F7B" w:rsidRPr="00D5726B" w:rsidP="008201DA" w14:paraId="57964A01" w14:textId="77777777">
      <w:pPr>
        <w:pStyle w:val="NormalHanging12a"/>
        <w:jc w:val="both"/>
      </w:pPr>
      <w:r>
        <w:t>7.</w:t>
      </w:r>
      <w:r>
        <w:tab/>
        <w:t>Ifakkar li, skont l-Artikolu 6(2) u (3) tar-Regolament (UE, Euratom) 2024/2509</w:t>
      </w:r>
      <w:r>
        <w:rPr>
          <w:rStyle w:val="FootnoteReference"/>
        </w:rPr>
        <w:footnoteReference w:id="21"/>
      </w:r>
      <w:r>
        <w:t xml:space="preserve"> (ir-Regolament Finanzjarju), reġim ġenerali ta’ kundizzjonalità f’każijiet ta’ ksur tal-istat tad-dritt japplika għall-istabbiliment u l-implimentazzjoni tal-baġit; jissottolinja, barra minn hekk, li l-Istati Membri u l-Kummissjoni jeħtiġilhom, fl-implimentazzjoni tal-baġit, jiżguraw konformità mal-Karta tad-Drittijiet Fundamentali tal-Unjoni Ewropea u jirrispettaw il-valuri li fuqhom hija msejsa l-UE, kif minqux fl-Artikolu 2 tat-Trattat dwar l-Unjoni Ewropea.</w:t>
      </w:r>
    </w:p>
    <w:p w:rsidR="000A6F7B" w:rsidRPr="00D5726B" w:rsidP="008201DA" w14:paraId="3BA1DB4F" w14:textId="77777777">
      <w:pPr>
        <w:sectPr w:rsidSect="00B375CF">
          <w:headerReference w:type="even" r:id="rId21"/>
          <w:headerReference w:type="default" r:id="rId22"/>
          <w:headerReference w:type="first" r:id="rId23"/>
          <w:footerReference w:type="first" r:id="rId24"/>
          <w:pgSz w:w="11894" w:h="15840"/>
          <w:pgMar w:top="1700" w:right="1417" w:bottom="1417" w:left="1417" w:header="720" w:footer="720" w:gutter="0"/>
          <w:cols w:space="720"/>
          <w:noEndnote/>
          <w:docGrid w:linePitch="326"/>
        </w:sectPr>
      </w:pPr>
    </w:p>
    <w:p w:rsidR="000A6F7B" w:rsidRPr="00D5726B" w:rsidP="008201DA" w14:paraId="4B674276" w14:textId="77777777">
      <w:pPr>
        <w:pStyle w:val="PageHeadingNotTOC"/>
      </w:pPr>
      <w:r>
        <w:t>EMENDA</w:t>
      </w:r>
    </w:p>
    <w:p w:rsidR="000A6F7B" w:rsidRPr="00D5726B" w:rsidP="008201DA" w14:paraId="536D7DC3" w14:textId="77777777">
      <w:pPr>
        <w:pStyle w:val="Normal12a"/>
      </w:pPr>
      <w:r>
        <w:t>Fil-qafas tal-valutazzjoni baġitarja tiegħu, il-Kumitat għall-Baġits jippreżenta wkoll l-emendi li ġejjin għall-proposta:</w:t>
      </w:r>
    </w:p>
    <w:p w:rsidR="000A6F7B" w:rsidRPr="00D5726B" w:rsidP="008201DA" w14:paraId="2A7E73F7" w14:textId="77777777">
      <w:pPr>
        <w:pStyle w:val="AmNumberTabs"/>
        <w:keepNext/>
      </w:pPr>
      <w:r w:rsidRPr="00604C5F">
        <w:rPr>
          <w:rStyle w:val="HideTWBExt"/>
          <w:b w:val="0"/>
        </w:rPr>
        <w:t>&lt;RepeatBlock-Amend&gt;</w:t>
      </w:r>
      <w:bookmarkStart w:id="22" w:name="restart"/>
      <w:r w:rsidRPr="00604C5F">
        <w:rPr>
          <w:rStyle w:val="HideTWBExt"/>
          <w:b w:val="0"/>
        </w:rPr>
        <w:t>&lt;Amend&gt;</w:t>
      </w:r>
      <w:r>
        <w:t>Emenda</w:t>
      </w:r>
      <w:r>
        <w:tab/>
      </w:r>
      <w:r>
        <w:tab/>
      </w:r>
      <w:r w:rsidRPr="00604C5F">
        <w:rPr>
          <w:rStyle w:val="HideTWBExt"/>
          <w:b w:val="0"/>
        </w:rPr>
        <w:t>&lt;NumAm&gt;</w:t>
      </w:r>
      <w:r>
        <w:t>1</w:t>
      </w:r>
      <w:r w:rsidRPr="00604C5F">
        <w:rPr>
          <w:rStyle w:val="HideTWBExt"/>
          <w:b w:val="0"/>
        </w:rPr>
        <w:t>&lt;/NumAm&gt;</w:t>
      </w:r>
    </w:p>
    <w:p w:rsidR="000A6F7B" w:rsidRPr="00D5726B" w:rsidP="008201DA" w14:paraId="50338134" w14:textId="77777777">
      <w:pPr>
        <w:pStyle w:val="NormalBold12b"/>
        <w:keepNext/>
      </w:pPr>
      <w:r w:rsidRPr="00604C5F">
        <w:rPr>
          <w:rStyle w:val="HideTWBExt"/>
          <w:b w:val="0"/>
        </w:rPr>
        <w:t>&lt;DocAmend&gt;</w:t>
      </w:r>
      <w:r>
        <w:t>Proposta għal regolament</w:t>
      </w:r>
      <w:r w:rsidRPr="00604C5F">
        <w:rPr>
          <w:rStyle w:val="HideTWBExt"/>
          <w:b w:val="0"/>
        </w:rPr>
        <w:t>&lt;/DocAmend&gt;</w:t>
      </w:r>
    </w:p>
    <w:p w:rsidR="000A6F7B" w:rsidRPr="00D5726B" w:rsidP="008201DA" w14:paraId="62F083C0" w14:textId="77777777">
      <w:pPr>
        <w:pStyle w:val="NormalBold"/>
      </w:pPr>
      <w:r w:rsidRPr="00604C5F">
        <w:rPr>
          <w:rStyle w:val="HideTWBExt"/>
          <w:b w:val="0"/>
        </w:rPr>
        <w:t>&lt;Article&gt;</w:t>
      </w:r>
      <w:r>
        <w:t>Artikolu 4 – paragrafu 1</w:t>
      </w:r>
      <w:r w:rsidRPr="00604C5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763A2BF" w14:textId="77777777" w:rsidTr="0061070D">
        <w:tblPrEx>
          <w:tblW w:w="9752" w:type="dxa"/>
          <w:jc w:val="center"/>
          <w:tblLayout w:type="fixed"/>
          <w:tblCellMar>
            <w:left w:w="340" w:type="dxa"/>
            <w:right w:w="340" w:type="dxa"/>
          </w:tblCellMar>
          <w:tblLook w:val="04A0"/>
        </w:tblPrEx>
        <w:trPr>
          <w:jc w:val="center"/>
        </w:trPr>
        <w:tc>
          <w:tcPr>
            <w:tcW w:w="9752" w:type="dxa"/>
            <w:gridSpan w:val="2"/>
          </w:tcPr>
          <w:p w:rsidR="000A6F7B" w:rsidRPr="00D5726B" w:rsidP="0061070D" w14:paraId="3FFB511D" w14:textId="77777777">
            <w:pPr>
              <w:keepNext/>
            </w:pPr>
          </w:p>
        </w:tc>
      </w:tr>
      <w:tr w14:paraId="602C7199" w14:textId="77777777" w:rsidTr="0061070D">
        <w:tblPrEx>
          <w:tblW w:w="9752" w:type="dxa"/>
          <w:jc w:val="center"/>
          <w:tblLayout w:type="fixed"/>
          <w:tblCellMar>
            <w:left w:w="340" w:type="dxa"/>
            <w:right w:w="340" w:type="dxa"/>
          </w:tblCellMar>
          <w:tblLook w:val="04A0"/>
        </w:tblPrEx>
        <w:trPr>
          <w:jc w:val="center"/>
        </w:trPr>
        <w:tc>
          <w:tcPr>
            <w:tcW w:w="4876" w:type="dxa"/>
            <w:hideMark/>
          </w:tcPr>
          <w:p w:rsidR="000A6F7B" w:rsidRPr="00D5726B" w:rsidP="0061070D" w14:paraId="346751BA" w14:textId="77777777">
            <w:pPr>
              <w:pStyle w:val="AmColumnHeading"/>
              <w:keepNext/>
            </w:pPr>
            <w:r>
              <w:t>Test propost mill-Kummissjoni</w:t>
            </w:r>
          </w:p>
        </w:tc>
        <w:tc>
          <w:tcPr>
            <w:tcW w:w="4876" w:type="dxa"/>
            <w:hideMark/>
          </w:tcPr>
          <w:p w:rsidR="000A6F7B" w:rsidRPr="00D5726B" w:rsidP="0061070D" w14:paraId="7AB72C53" w14:textId="77777777">
            <w:pPr>
              <w:pStyle w:val="AmColumnHeading"/>
              <w:keepNext/>
            </w:pPr>
            <w:r>
              <w:t>Emenda</w:t>
            </w:r>
          </w:p>
        </w:tc>
      </w:tr>
      <w:tr w14:paraId="53D7C976" w14:textId="77777777" w:rsidTr="0061070D">
        <w:tblPrEx>
          <w:tblW w:w="9752" w:type="dxa"/>
          <w:jc w:val="center"/>
          <w:tblLayout w:type="fixed"/>
          <w:tblCellMar>
            <w:left w:w="340" w:type="dxa"/>
            <w:right w:w="340" w:type="dxa"/>
          </w:tblCellMar>
          <w:tblLook w:val="04A0"/>
        </w:tblPrEx>
        <w:trPr>
          <w:jc w:val="center"/>
        </w:trPr>
        <w:tc>
          <w:tcPr>
            <w:tcW w:w="4876" w:type="dxa"/>
            <w:hideMark/>
          </w:tcPr>
          <w:p w:rsidR="000A6F7B" w:rsidRPr="00D5726B" w:rsidP="0061070D" w14:paraId="240EE7C1" w14:textId="77777777">
            <w:pPr>
              <w:pStyle w:val="Normal6a"/>
            </w:pPr>
            <w:r>
              <w:t xml:space="preserve">Il-pakkett </w:t>
            </w:r>
            <w:r>
              <w:rPr>
                <w:b/>
                <w:i/>
              </w:rPr>
              <w:t>finanzjarju indikattiv</w:t>
            </w:r>
            <w:r>
              <w:t xml:space="preserve"> għall-implimentazzjoni tal-Programm għall-perjodu mill-1 ta’ Jannar 2028 sal-31 ta’ Diċembru 2034 huwa ffissat għal EUR 678 000 000 </w:t>
            </w:r>
            <w:r>
              <w:rPr>
                <w:b/>
                <w:i/>
              </w:rPr>
              <w:t>bi</w:t>
            </w:r>
            <w:r>
              <w:rPr>
                <w:b/>
              </w:rPr>
              <w:t xml:space="preserve"> </w:t>
            </w:r>
            <w:r>
              <w:t>prezzijiet attwali.</w:t>
            </w:r>
          </w:p>
        </w:tc>
        <w:tc>
          <w:tcPr>
            <w:tcW w:w="4876" w:type="dxa"/>
            <w:hideMark/>
          </w:tcPr>
          <w:p w:rsidR="000A6F7B" w:rsidRPr="00D5726B" w:rsidP="0061070D" w14:paraId="6ADDA38A" w14:textId="77777777">
            <w:pPr>
              <w:pStyle w:val="Normal6a"/>
            </w:pPr>
            <w:r>
              <w:t xml:space="preserve">Il-pakkett </w:t>
            </w:r>
            <w:r>
              <w:rPr>
                <w:b/>
                <w:i/>
              </w:rPr>
              <w:t>tal-programm</w:t>
            </w:r>
            <w:r>
              <w:t xml:space="preserve"> għall-implimentazzjoni tal-Programm għall-perjodu mill-1 ta’ Jannar 2028 sal-31 ta’ Diċembru 2034 huwa ffissat għal EUR 678 000 000 </w:t>
            </w:r>
            <w:r>
              <w:rPr>
                <w:b/>
                <w:i/>
              </w:rPr>
              <w:t>fi</w:t>
            </w:r>
            <w:r>
              <w:t xml:space="preserve"> prezzijiet attwali </w:t>
            </w:r>
            <w:r>
              <w:rPr>
                <w:b/>
                <w:i/>
              </w:rPr>
              <w:t>(EUR 602 720 000 fi prezzijiet tal-2025)</w:t>
            </w:r>
            <w:r>
              <w:t>.</w:t>
            </w:r>
          </w:p>
        </w:tc>
      </w:tr>
    </w:tbl>
    <w:p w:rsidR="000A6F7B" w:rsidRPr="00D5726B" w:rsidP="008201DA" w14:paraId="1858961A" w14:textId="77777777">
      <w:r w:rsidRPr="00604C5F">
        <w:rPr>
          <w:rStyle w:val="HideTWBExt"/>
        </w:rPr>
        <w:t>&lt;/Amend&gt;</w:t>
      </w:r>
      <w:bookmarkEnd w:id="22"/>
    </w:p>
    <w:p w:rsidR="000A6F7B" w:rsidRPr="00D5726B" w:rsidP="008201DA" w14:paraId="19831BF2" w14:textId="77777777">
      <w:r w:rsidRPr="00604C5F">
        <w:rPr>
          <w:rStyle w:val="HideTWBExt"/>
        </w:rPr>
        <w:t>&lt;/RepeatBlock-Amend&gt;</w:t>
      </w:r>
    </w:p>
    <w:p w:rsidR="000A6F7B" w:rsidRPr="00D5726B" w:rsidP="008201DA" w14:paraId="55D3C4BE" w14:textId="77777777">
      <w:pPr>
        <w:widowControl/>
        <w:sectPr w:rsidSect="00B375CF">
          <w:headerReference w:type="even" r:id="rId25"/>
          <w:head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r>
        <w:br w:type="page"/>
      </w:r>
    </w:p>
    <w:p w:rsidR="000A6F7B" w:rsidRPr="00D5726B" w:rsidP="00B375CF" w14:paraId="382F7ED9" w14:textId="77777777">
      <w:pPr>
        <w:pStyle w:val="PageHeading"/>
      </w:pPr>
      <w:bookmarkStart w:id="23" w:name="_Toc236753720"/>
      <w:r>
        <w:t>ANNESS: DIKJARAZZJONI TAL-KONTRIBUT</w:t>
      </w:r>
      <w:bookmarkEnd w:id="23"/>
    </w:p>
    <w:p w:rsidR="000A6F7B" w:rsidRPr="00D5726B" w:rsidP="00037518" w14:paraId="11220BCC" w14:textId="77777777">
      <w:pPr>
        <w:pStyle w:val="Normal24a"/>
      </w:pPr>
      <w:r w:rsidRPr="00604C5F">
        <w:rPr>
          <w:rStyle w:val="HideTWBExt"/>
        </w:rPr>
        <w:t>&lt;FootprintIntro&gt;</w:t>
      </w:r>
      <w:r>
        <w:t>Ir-rapporteur għal valutazzjoni baġitarja jiddikjara, taħt ir-responsabbiltà esklużiva tiegħu, li fil-valutazzjoni baġitarja tiegħu ma inkludiex kontribut mingħand rappreżentanti ta’ gruppi ta’ interess li jaqgħu fil-kamp ta’ applikazzjoni tal-Ftehim Interistituzzjonali dwar Reġistru Obbligatorju ta’ Trasparenza</w:t>
      </w:r>
      <w:r>
        <w:rPr>
          <w:rStyle w:val="FootnoteReference"/>
        </w:rPr>
        <w:footnoteReference w:id="22"/>
      </w:r>
      <w:r>
        <w:t>, jew mingħand rappreżentanti ta’ awtoritajiet pubbliċi ta’ pajjiżi terzi, inklużi l-missjonijiet diplomatiċi u l-ambaxxati tagħhom, li għandhom jiġu elenkati f’dan l-Anness f’konformità mal-Artikolu 8 tal-Anness I tar-Regoli ta’ Proċedura.</w:t>
      </w:r>
      <w:r w:rsidRPr="00604C5F">
        <w:rPr>
          <w:rStyle w:val="HideTWBExt"/>
        </w:rPr>
        <w:t>&lt;/FootprintIntro&gt;</w:t>
      </w:r>
    </w:p>
    <w:p w:rsidR="000A6F7B" w:rsidRPr="00D5726B" w:rsidP="008201DA" w14:paraId="622B5717" w14:textId="77777777">
      <w:pPr>
        <w:pStyle w:val="PageHeadingNotTOC"/>
      </w:pPr>
    </w:p>
    <w:p w:rsidR="000A6F7B" w:rsidRPr="00D5726B" w:rsidP="008201DA" w14:paraId="33B90039" w14:textId="77777777">
      <w:pPr>
        <w:sectPr w:rsidSect="00B375C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A6F7B" w:rsidRPr="00D5726B" w:rsidP="000A4536" w14:paraId="5B4A4FA4" w14:textId="77777777">
      <w:pPr>
        <w:pStyle w:val="PageHeadingNotTOC"/>
        <w:ind w:right="-567"/>
      </w:pPr>
      <w:r>
        <w:t xml:space="preserve">PROĊEDURA TAL-KUMITAT LI JINTALAB JOĦROĠ </w:t>
      </w:r>
      <w:r>
        <w:t>VALUTAZZJONI BAĠITARJA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46729C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4CDE249D" w14:textId="77777777">
            <w:pPr>
              <w:autoSpaceDE w:val="0"/>
              <w:autoSpaceDN w:val="0"/>
              <w:adjustRightInd w:val="0"/>
              <w:rPr>
                <w:b/>
                <w:bCs/>
                <w:color w:val="000000"/>
                <w:sz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012F734E" w14:textId="77777777">
            <w:pPr>
              <w:autoSpaceDE w:val="0"/>
              <w:autoSpaceDN w:val="0"/>
              <w:adjustRightInd w:val="0"/>
              <w:rPr>
                <w:color w:val="000000"/>
                <w:sz w:val="20"/>
              </w:rPr>
            </w:pPr>
            <w:r>
              <w:rPr>
                <w:color w:val="000000"/>
                <w:sz w:val="20"/>
              </w:rPr>
              <w:t>Il-programm ta’ assistenza għad-dekummissjonar nukleari tal-impjant tal-enerġija nukleari ta’ Ignalina fil-Litwanja għall-perjodu 2028–2034, u t-tħassir tar-Regolament (UE) 2021/101</w:t>
            </w:r>
          </w:p>
        </w:tc>
      </w:tr>
      <w:tr w14:paraId="32A06B0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54BA010C" w14:textId="77777777">
            <w:pPr>
              <w:autoSpaceDE w:val="0"/>
              <w:autoSpaceDN w:val="0"/>
              <w:adjustRightInd w:val="0"/>
              <w:rPr>
                <w:b/>
                <w:bCs/>
                <w:color w:val="000000"/>
                <w:sz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A6F7B" w:rsidRPr="00D5726B" w14:paraId="7EC6FB37" w14:textId="77777777">
            <w:pPr>
              <w:autoSpaceDE w:val="0"/>
              <w:autoSpaceDN w:val="0"/>
              <w:adjustRightInd w:val="0"/>
              <w:rPr>
                <w:color w:val="000000"/>
                <w:sz w:val="20"/>
              </w:rPr>
            </w:pPr>
            <w:r>
              <w:rPr>
                <w:color w:val="000000"/>
                <w:sz w:val="20"/>
              </w:rPr>
              <w:t>COM(2025)0476 – C10-0271/2025 – 2025/0268(NLE)</w:t>
            </w:r>
          </w:p>
        </w:tc>
      </w:tr>
      <w:tr w14:paraId="0945D29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4F3619A5" w14:textId="77777777">
            <w:pPr>
              <w:autoSpaceDE w:val="0"/>
              <w:autoSpaceDN w:val="0"/>
              <w:adjustRightInd w:val="0"/>
              <w:rPr>
                <w:b/>
                <w:bCs/>
                <w:color w:val="000000"/>
                <w:sz w:val="20"/>
              </w:rPr>
            </w:pPr>
            <w:r>
              <w:rPr>
                <w:b/>
                <w:color w:val="000000"/>
                <w:sz w:val="20"/>
              </w:rPr>
              <w:t>Kumitat(i) responsabbli</w:t>
            </w:r>
          </w:p>
          <w:p w:rsidR="000A6F7B" w:rsidRPr="00D5726B" w14:paraId="6982BAB0" w14:textId="77777777">
            <w:pPr>
              <w:autoSpaceDE w:val="0"/>
              <w:autoSpaceDN w:val="0"/>
              <w:adjustRightInd w:val="0"/>
              <w:rPr>
                <w:color w:val="000000"/>
                <w:sz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5740D36B" w14:textId="77777777">
            <w:pPr>
              <w:autoSpaceDE w:val="0"/>
              <w:autoSpaceDN w:val="0"/>
              <w:adjustRightInd w:val="0"/>
              <w:rPr>
                <w:color w:val="000000"/>
                <w:sz w:val="20"/>
              </w:rPr>
            </w:pPr>
            <w:r>
              <w:rPr>
                <w:color w:val="000000"/>
                <w:sz w:val="20"/>
              </w:rPr>
              <w:t>ITRE</w:t>
            </w:r>
          </w:p>
          <w:p w:rsidR="000A6F7B" w:rsidRPr="00D5726B" w14:paraId="6CFB95C5" w14:textId="77777777">
            <w:pPr>
              <w:autoSpaceDE w:val="0"/>
              <w:autoSpaceDN w:val="0"/>
              <w:adjustRightInd w:val="0"/>
              <w:rPr>
                <w:color w:val="000000"/>
                <w:sz w:val="20"/>
              </w:rPr>
            </w:pPr>
            <w:r>
              <w:rPr>
                <w:color w:val="000000"/>
                <w:sz w:val="20"/>
              </w:rPr>
              <w:t>24.11.2025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0AADA7F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4311A33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16B06CAC" w14:textId="77777777">
            <w:pPr>
              <w:autoSpaceDE w:val="0"/>
              <w:autoSpaceDN w:val="0"/>
              <w:adjustRightInd w:val="0"/>
              <w:rPr>
                <w:rFonts w:ascii="sans-serif" w:hAnsi="sans-serif" w:cs="sans-serif"/>
                <w:color w:val="000000"/>
              </w:rPr>
            </w:pPr>
          </w:p>
        </w:tc>
      </w:tr>
      <w:tr w14:paraId="5051E80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56AC7EA3" w14:textId="77777777">
            <w:pPr>
              <w:autoSpaceDE w:val="0"/>
              <w:autoSpaceDN w:val="0"/>
              <w:adjustRightInd w:val="0"/>
              <w:rPr>
                <w:b/>
                <w:bCs/>
                <w:color w:val="000000"/>
                <w:sz w:val="20"/>
              </w:rPr>
            </w:pPr>
            <w:r>
              <w:rPr>
                <w:b/>
                <w:color w:val="000000"/>
                <w:sz w:val="20"/>
              </w:rPr>
              <w:t>Valutazzjoni baġitarja maħruġa minn</w:t>
            </w:r>
          </w:p>
          <w:p w:rsidR="000A6F7B" w:rsidRPr="00D5726B" w14:paraId="32830B42" w14:textId="77777777">
            <w:pPr>
              <w:autoSpaceDE w:val="0"/>
              <w:autoSpaceDN w:val="0"/>
              <w:adjustRightInd w:val="0"/>
              <w:rPr>
                <w:color w:val="000000"/>
                <w:sz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6853A6DC" w14:textId="77777777">
            <w:pPr>
              <w:autoSpaceDE w:val="0"/>
              <w:autoSpaceDN w:val="0"/>
              <w:adjustRightInd w:val="0"/>
              <w:rPr>
                <w:color w:val="000000"/>
                <w:sz w:val="20"/>
              </w:rPr>
            </w:pPr>
            <w:r>
              <w:rPr>
                <w:color w:val="000000"/>
                <w:sz w:val="20"/>
              </w:rPr>
              <w:t>BUDG</w:t>
            </w:r>
          </w:p>
          <w:p w:rsidR="000A6F7B" w:rsidRPr="00D5726B" w14:paraId="6C35357D" w14:textId="77777777">
            <w:pPr>
              <w:autoSpaceDE w:val="0"/>
              <w:autoSpaceDN w:val="0"/>
              <w:adjustRightInd w:val="0"/>
              <w:rPr>
                <w:color w:val="000000"/>
                <w:sz w:val="20"/>
              </w:rPr>
            </w:pPr>
            <w:r>
              <w:rPr>
                <w:color w:val="000000"/>
                <w:sz w:val="20"/>
              </w:rPr>
              <w:t>24.11.2025</w:t>
            </w:r>
          </w:p>
        </w:tc>
      </w:tr>
      <w:tr w14:paraId="152F29F1"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713E6845" w14:textId="77777777">
            <w:pPr>
              <w:autoSpaceDE w:val="0"/>
              <w:autoSpaceDN w:val="0"/>
              <w:adjustRightInd w:val="0"/>
              <w:rPr>
                <w:b/>
                <w:bCs/>
                <w:color w:val="000000"/>
                <w:sz w:val="20"/>
              </w:rPr>
            </w:pPr>
            <w:r>
              <w:rPr>
                <w:b/>
                <w:color w:val="000000"/>
                <w:sz w:val="20"/>
              </w:rPr>
              <w:t>Rapporteur għal valutazzjoni baġitarja</w:t>
            </w:r>
          </w:p>
          <w:p w:rsidR="000A6F7B" w:rsidRPr="00D5726B" w14:paraId="02330D37" w14:textId="77777777">
            <w:pPr>
              <w:autoSpaceDE w:val="0"/>
              <w:autoSpaceDN w:val="0"/>
              <w:adjustRightInd w:val="0"/>
              <w:rPr>
                <w:color w:val="000000"/>
                <w:sz w:val="20"/>
              </w:rPr>
            </w:pPr>
            <w:r>
              <w:rPr>
                <w:color w:val="000000"/>
                <w:sz w:val="20"/>
              </w:rPr>
              <w:t xml:space="preserve">       Data </w:t>
            </w:r>
            <w:r>
              <w:rPr>
                <w:color w:val="000000"/>
                <w:sz w:val="20"/>
              </w:rPr>
              <w:t>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7B8EAB0D" w14:textId="77777777">
            <w:pPr>
              <w:autoSpaceDE w:val="0"/>
              <w:autoSpaceDN w:val="0"/>
              <w:adjustRightInd w:val="0"/>
              <w:rPr>
                <w:color w:val="000000"/>
                <w:sz w:val="20"/>
              </w:rPr>
            </w:pPr>
            <w:r>
              <w:rPr>
                <w:color w:val="000000"/>
                <w:sz w:val="20"/>
              </w:rPr>
              <w:t>Rasmus Nordqvist</w:t>
            </w:r>
          </w:p>
          <w:p w:rsidR="000A6F7B" w:rsidRPr="00D5726B" w14:paraId="2B451B25" w14:textId="77777777">
            <w:pPr>
              <w:autoSpaceDE w:val="0"/>
              <w:autoSpaceDN w:val="0"/>
              <w:adjustRightInd w:val="0"/>
              <w:rPr>
                <w:color w:val="000000"/>
                <w:sz w:val="20"/>
              </w:rPr>
            </w:pPr>
            <w:r>
              <w:rPr>
                <w:color w:val="000000"/>
                <w:sz w:val="20"/>
              </w:rPr>
              <w:t>10.2.2026</w:t>
            </w:r>
          </w:p>
        </w:tc>
      </w:tr>
      <w:tr w14:paraId="48220DF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4D68D1AD" w14:textId="77777777">
            <w:pPr>
              <w:autoSpaceDE w:val="0"/>
              <w:autoSpaceDN w:val="0"/>
              <w:adjustRightInd w:val="0"/>
              <w:rPr>
                <w:b/>
                <w:bCs/>
                <w:color w:val="000000"/>
                <w:sz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4940AC7E" w14:textId="77777777">
            <w:pPr>
              <w:autoSpaceDE w:val="0"/>
              <w:autoSpaceDN w:val="0"/>
              <w:adjustRightInd w:val="0"/>
              <w:rPr>
                <w:color w:val="000000"/>
                <w:sz w:val="20"/>
              </w:rPr>
            </w:pPr>
            <w:r>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5126450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4432DC8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6E442A92" w14:textId="77777777">
            <w:pPr>
              <w:autoSpaceDE w:val="0"/>
              <w:autoSpaceDN w:val="0"/>
              <w:adjustRightInd w:val="0"/>
              <w:rPr>
                <w:rFonts w:ascii="sans-serif" w:hAnsi="sans-serif" w:cs="sans-serif"/>
                <w:color w:val="000000"/>
              </w:rPr>
            </w:pPr>
          </w:p>
        </w:tc>
      </w:tr>
    </w:tbl>
    <w:p w:rsidR="000A6F7B" w:rsidRPr="00D5726B" w:rsidP="008201DA" w14:paraId="5D7E77FF" w14:textId="77777777"/>
    <w:p w:rsidR="000A6F7B" w:rsidRPr="00D5726B" w:rsidP="008201DA" w14:paraId="57CE657A" w14:textId="77777777">
      <w:pPr>
        <w:sectPr w:rsidSect="00B375CF">
          <w:pgSz w:w="11906" w:h="16838" w:code="9"/>
          <w:pgMar w:top="1700" w:right="1417" w:bottom="1417" w:left="1417" w:header="720" w:footer="720" w:gutter="0"/>
          <w:cols w:space="720"/>
          <w:noEndnote/>
          <w:docGrid w:linePitch="326"/>
        </w:sectPr>
      </w:pPr>
    </w:p>
    <w:p w:rsidR="000A6F7B" w:rsidRPr="00D5726B" w:rsidP="00C36610" w14:paraId="2417CC1E" w14:textId="77777777">
      <w:pPr>
        <w:pStyle w:val="PageHeadingNotTOC"/>
      </w:pPr>
      <w:r>
        <w:t>VOTAZZJONI FINALI B’SEJĦA TAL-ISMIJIET</w:t>
      </w:r>
      <w:r>
        <w:br/>
        <w:t>MILL-KUMITAT LI JINTALAB JOĦROĠ VALUTAZZJONI BAĠITARJA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61F05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A6F7B" w:rsidRPr="00D5726B" w:rsidP="003858C5" w14:paraId="3FFE69B9" w14:textId="77777777">
            <w:pPr>
              <w:pStyle w:val="RollCallVotes"/>
            </w:pPr>
            <w:r>
              <w:t>23</w:t>
            </w:r>
          </w:p>
        </w:tc>
        <w:tc>
          <w:tcPr>
            <w:tcW w:w="7371" w:type="dxa"/>
            <w:shd w:val="pct10" w:color="000000" w:fill="FFFFFF"/>
          </w:tcPr>
          <w:p w:rsidR="000A6F7B" w:rsidRPr="00D5726B" w:rsidP="003858C5" w14:paraId="1E2ABB58" w14:textId="77777777">
            <w:pPr>
              <w:pStyle w:val="RollCallSymbols14pt"/>
            </w:pPr>
            <w:r>
              <w:t>+</w:t>
            </w:r>
          </w:p>
        </w:tc>
      </w:tr>
      <w:tr w14:paraId="3C6668B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104E1D7D" w14:textId="77777777">
            <w:pPr>
              <w:pStyle w:val="RollCallTable"/>
            </w:pPr>
            <w:r>
              <w:t>ECR</w:t>
            </w:r>
          </w:p>
        </w:tc>
        <w:tc>
          <w:tcPr>
            <w:tcW w:w="7371" w:type="dxa"/>
            <w:shd w:val="clear" w:color="auto" w:fill="FFFFFF"/>
          </w:tcPr>
          <w:p w:rsidR="000A6F7B" w:rsidRPr="00D5726B" w:rsidP="003858C5" w14:paraId="1FCDFCC2" w14:textId="77777777">
            <w:pPr>
              <w:pStyle w:val="RollCallTable"/>
            </w:pPr>
            <w:r>
              <w:t>Bogdan Rzońca</w:t>
            </w:r>
          </w:p>
        </w:tc>
      </w:tr>
      <w:tr w14:paraId="5AEEB30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3FCCA7FF" w14:textId="77777777">
            <w:pPr>
              <w:pStyle w:val="RollCallTable"/>
            </w:pPr>
            <w:r>
              <w:t>ESN</w:t>
            </w:r>
          </w:p>
        </w:tc>
        <w:tc>
          <w:tcPr>
            <w:tcW w:w="7371" w:type="dxa"/>
            <w:shd w:val="clear" w:color="auto" w:fill="FFFFFF"/>
          </w:tcPr>
          <w:p w:rsidR="000A6F7B" w:rsidRPr="00D5726B" w:rsidP="003858C5" w14:paraId="2955C837" w14:textId="77777777">
            <w:pPr>
              <w:pStyle w:val="RollCallTable"/>
            </w:pPr>
            <w:r>
              <w:t>Markus Buchheit</w:t>
            </w:r>
          </w:p>
        </w:tc>
      </w:tr>
      <w:tr w14:paraId="60CF780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12562314" w14:textId="77777777">
            <w:pPr>
              <w:pStyle w:val="RollCallTable"/>
            </w:pPr>
            <w:r>
              <w:t>NI</w:t>
            </w:r>
          </w:p>
        </w:tc>
        <w:tc>
          <w:tcPr>
            <w:tcW w:w="7371" w:type="dxa"/>
            <w:shd w:val="clear" w:color="auto" w:fill="FFFFFF"/>
          </w:tcPr>
          <w:p w:rsidR="000A6F7B" w:rsidRPr="00D5726B" w:rsidP="003858C5" w14:paraId="0D8C7775" w14:textId="77777777">
            <w:pPr>
              <w:pStyle w:val="RollCallTable"/>
            </w:pPr>
            <w:r>
              <w:t>Thomas Geisel</w:t>
            </w:r>
          </w:p>
        </w:tc>
      </w:tr>
      <w:tr w14:paraId="523C095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123C8B0C" w14:textId="77777777">
            <w:pPr>
              <w:pStyle w:val="RollCallTable"/>
            </w:pPr>
            <w:r>
              <w:t>PPE</w:t>
            </w:r>
          </w:p>
        </w:tc>
        <w:tc>
          <w:tcPr>
            <w:tcW w:w="7371" w:type="dxa"/>
            <w:shd w:val="clear" w:color="auto" w:fill="FFFFFF"/>
          </w:tcPr>
          <w:p w:rsidR="000A6F7B" w:rsidRPr="00D5726B" w:rsidP="003858C5" w14:paraId="37AF116B" w14:textId="77777777">
            <w:pPr>
              <w:pStyle w:val="RollCallTable"/>
            </w:pPr>
            <w:r>
              <w:t>Georgios Aftias, Isabel Benjumea Benjumea, Esther Herranz García, Monika Hohlmeier, Danuše Nerudová, Jacek Protas, Jüri Ratas, Karlo Ressler</w:t>
            </w:r>
          </w:p>
        </w:tc>
      </w:tr>
      <w:tr w14:paraId="404B18E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643F35C8" w14:textId="77777777">
            <w:pPr>
              <w:pStyle w:val="RollCallTable"/>
            </w:pPr>
            <w:r>
              <w:t>Renew</w:t>
            </w:r>
          </w:p>
        </w:tc>
        <w:tc>
          <w:tcPr>
            <w:tcW w:w="7371" w:type="dxa"/>
            <w:shd w:val="clear" w:color="auto" w:fill="FFFFFF"/>
          </w:tcPr>
          <w:p w:rsidR="000A6F7B" w:rsidRPr="00D5726B" w:rsidP="003858C5" w14:paraId="67FF1810" w14:textId="77777777">
            <w:pPr>
              <w:pStyle w:val="RollCallTable"/>
            </w:pPr>
            <w:r>
              <w:t>Stine Bosse, Olivier Chastel, Lucia Yar</w:t>
            </w:r>
          </w:p>
        </w:tc>
      </w:tr>
      <w:tr w14:paraId="541EA3E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1C07D9EC" w14:textId="77777777">
            <w:pPr>
              <w:pStyle w:val="RollCallTable"/>
            </w:pPr>
            <w:r>
              <w:t>S&amp;D</w:t>
            </w:r>
          </w:p>
        </w:tc>
        <w:tc>
          <w:tcPr>
            <w:tcW w:w="7371" w:type="dxa"/>
            <w:shd w:val="clear" w:color="auto" w:fill="FFFFFF"/>
          </w:tcPr>
          <w:p w:rsidR="000A6F7B" w:rsidRPr="00D5726B" w:rsidP="003858C5" w14:paraId="743FF172" w14:textId="77777777">
            <w:pPr>
              <w:pStyle w:val="RollCallTable"/>
            </w:pPr>
            <w:r>
              <w:t>Mohammed Chahim, Matthias Ecke, Nikolas Farantouris, Jean-Marc Germain, Sandra Gómez López, Giuseppe Lupo, Nils Ušakovs</w:t>
            </w:r>
          </w:p>
        </w:tc>
      </w:tr>
      <w:tr w14:paraId="121D2C2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368236DF" w14:textId="77777777">
            <w:pPr>
              <w:pStyle w:val="RollCallTable"/>
            </w:pPr>
            <w:r>
              <w:t>Verts/ALE</w:t>
            </w:r>
          </w:p>
        </w:tc>
        <w:tc>
          <w:tcPr>
            <w:tcW w:w="7371" w:type="dxa"/>
            <w:shd w:val="clear" w:color="auto" w:fill="FFFFFF"/>
          </w:tcPr>
          <w:p w:rsidR="000A6F7B" w:rsidRPr="00D5726B" w:rsidP="003858C5" w14:paraId="3C7FE912" w14:textId="77777777">
            <w:pPr>
              <w:pStyle w:val="RollCallTable"/>
            </w:pPr>
            <w:r>
              <w:t>Rasmus Nordqvist, Nicolae Ștefănuță</w:t>
            </w:r>
          </w:p>
        </w:tc>
      </w:tr>
    </w:tbl>
    <w:p w:rsidR="000A6F7B" w:rsidRPr="00D5726B" w:rsidP="00147FBF" w14:paraId="0432F0F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DACC20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A6F7B" w:rsidRPr="00D5726B" w:rsidP="003858C5" w14:paraId="3152FAB0" w14:textId="77777777">
            <w:pPr>
              <w:pStyle w:val="RollCallVotes"/>
            </w:pPr>
            <w:r>
              <w:t>1</w:t>
            </w:r>
          </w:p>
        </w:tc>
        <w:tc>
          <w:tcPr>
            <w:tcW w:w="7371" w:type="dxa"/>
            <w:shd w:val="pct10" w:color="000000" w:fill="FFFFFF"/>
          </w:tcPr>
          <w:p w:rsidR="000A6F7B" w:rsidRPr="00D5726B" w:rsidP="003858C5" w14:paraId="57680C4D" w14:textId="77777777">
            <w:pPr>
              <w:pStyle w:val="RollCallSymbols14pt"/>
            </w:pPr>
            <w:r>
              <w:t>-</w:t>
            </w:r>
          </w:p>
        </w:tc>
      </w:tr>
      <w:tr w14:paraId="0BC8E0D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779D9C5A" w14:textId="77777777">
            <w:pPr>
              <w:pStyle w:val="RollCallTable"/>
            </w:pPr>
            <w:r>
              <w:t>PfE</w:t>
            </w:r>
          </w:p>
        </w:tc>
        <w:tc>
          <w:tcPr>
            <w:tcW w:w="7371" w:type="dxa"/>
            <w:shd w:val="clear" w:color="auto" w:fill="FFFFFF"/>
          </w:tcPr>
          <w:p w:rsidR="000A6F7B" w:rsidRPr="00D5726B" w:rsidP="003858C5" w14:paraId="74841FE7" w14:textId="77777777">
            <w:pPr>
              <w:pStyle w:val="RollCallTable"/>
            </w:pPr>
            <w:r>
              <w:t>Tomasz Buczek</w:t>
            </w:r>
          </w:p>
        </w:tc>
      </w:tr>
    </w:tbl>
    <w:p w:rsidR="000A6F7B" w:rsidRPr="00D5726B" w:rsidP="00147FBF" w14:paraId="3465B487"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61084B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A6F7B" w:rsidRPr="00D5726B" w:rsidP="003858C5" w14:paraId="3CCB6986" w14:textId="77777777">
            <w:pPr>
              <w:pStyle w:val="RollCallVotes"/>
            </w:pPr>
            <w:r>
              <w:t>4</w:t>
            </w:r>
          </w:p>
        </w:tc>
        <w:tc>
          <w:tcPr>
            <w:tcW w:w="7371" w:type="dxa"/>
            <w:shd w:val="pct10" w:color="000000" w:fill="FFFFFF"/>
          </w:tcPr>
          <w:p w:rsidR="000A6F7B" w:rsidRPr="00D5726B" w:rsidP="003858C5" w14:paraId="629C0249" w14:textId="77777777">
            <w:pPr>
              <w:pStyle w:val="RollCallSymbols14pt"/>
            </w:pPr>
            <w:r>
              <w:t>0</w:t>
            </w:r>
          </w:p>
        </w:tc>
      </w:tr>
      <w:tr w14:paraId="2439426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0A6F7B" w:rsidRPr="00D5726B" w:rsidP="003858C5" w14:paraId="12C0EE73" w14:textId="77777777">
            <w:pPr>
              <w:pStyle w:val="RollCallTable"/>
            </w:pPr>
            <w:r>
              <w:t>PfE</w:t>
            </w:r>
          </w:p>
        </w:tc>
        <w:tc>
          <w:tcPr>
            <w:tcW w:w="7371" w:type="dxa"/>
            <w:shd w:val="clear" w:color="auto" w:fill="FFFFFF"/>
          </w:tcPr>
          <w:p w:rsidR="000A6F7B" w:rsidRPr="00D5726B" w:rsidP="003858C5" w14:paraId="0E887691" w14:textId="77777777">
            <w:pPr>
              <w:pStyle w:val="RollCallTable"/>
            </w:pPr>
            <w:r>
              <w:t>Angéline Furet, Jana Nagyová, Jaroslava Pokorná Jermanová, Julien Sanchez</w:t>
            </w:r>
          </w:p>
        </w:tc>
      </w:tr>
    </w:tbl>
    <w:p w:rsidR="000A6F7B" w:rsidRPr="00D5726B" w:rsidP="00147FBF" w14:paraId="43B596A7" w14:textId="77777777">
      <w:pPr>
        <w:pStyle w:val="Normal12a"/>
      </w:pPr>
    </w:p>
    <w:p w:rsidR="000A6F7B" w:rsidRPr="00D5726B" w:rsidP="00B735E3" w14:paraId="28615CB6" w14:textId="77777777">
      <w:r>
        <w:t>Tifsira tas-simboli użati:</w:t>
      </w:r>
    </w:p>
    <w:p w:rsidR="000A6F7B" w:rsidRPr="00D5726B" w:rsidP="003858C5" w14:paraId="3A2E7601" w14:textId="77777777">
      <w:pPr>
        <w:pStyle w:val="RollCallTabs"/>
      </w:pPr>
      <w:r>
        <w:t>+</w:t>
      </w:r>
      <w:r>
        <w:tab/>
        <w:t>:</w:t>
      </w:r>
      <w:r>
        <w:tab/>
      </w:r>
      <w:r>
        <w:t>favur</w:t>
      </w:r>
    </w:p>
    <w:p w:rsidR="000A6F7B" w:rsidRPr="00D5726B" w:rsidP="003858C5" w14:paraId="2371CD92" w14:textId="77777777">
      <w:pPr>
        <w:pStyle w:val="RollCallTabs"/>
      </w:pPr>
      <w:r>
        <w:t>-</w:t>
      </w:r>
      <w:r>
        <w:tab/>
        <w:t>:</w:t>
      </w:r>
      <w:r>
        <w:tab/>
        <w:t>kontra</w:t>
      </w:r>
    </w:p>
    <w:p w:rsidR="000A6F7B" w:rsidRPr="00D5726B" w:rsidP="000D3EA7" w14:paraId="5FE81F45" w14:textId="77777777">
      <w:pPr>
        <w:pStyle w:val="RollCallTabs"/>
      </w:pPr>
      <w:r>
        <w:t>0</w:t>
      </w:r>
      <w:r>
        <w:tab/>
        <w:t>:</w:t>
      </w:r>
      <w:r>
        <w:tab/>
        <w:t>astensjoni</w:t>
      </w:r>
    </w:p>
    <w:p w:rsidR="000A6F7B" w:rsidRPr="00D5726B" w:rsidP="000A6F7B" w14:paraId="670493F9" w14:textId="77777777">
      <w:pPr>
        <w:sectPr w:rsidSect="00B375CF">
          <w:pgSz w:w="11894" w:h="15840"/>
          <w:pgMar w:top="1700" w:right="1417" w:bottom="1417" w:left="1417" w:header="720" w:footer="720" w:gutter="0"/>
          <w:cols w:space="720"/>
          <w:noEndnote/>
          <w:docGrid w:linePitch="326"/>
        </w:sectPr>
      </w:pPr>
    </w:p>
    <w:p w:rsidR="000A6F7B" w:rsidRPr="00D5726B" w14:paraId="35ADA59A" w14:textId="77777777">
      <w:pPr>
        <w:widowControl/>
      </w:pPr>
    </w:p>
    <w:p w:rsidR="000A6F7B" w:rsidRPr="00D5726B" w:rsidP="000A6F7B" w14:paraId="61B6DF3B" w14:textId="77777777">
      <w:pPr>
        <w:pStyle w:val="PageHeading"/>
      </w:pPr>
      <w:bookmarkStart w:id="24" w:name="ProcPageRR"/>
      <w:bookmarkStart w:id="25" w:name="_Toc236753721"/>
      <w:r>
        <w:t>PROĊEDURA TAL-KUMITAT RESPONSABBLI</w:t>
      </w:r>
      <w:bookmarkEnd w:id="25"/>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C417EB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3F9ED5EA" w14:textId="77777777">
            <w:pPr>
              <w:autoSpaceDE w:val="0"/>
              <w:autoSpaceDN w:val="0"/>
              <w:adjustRightInd w:val="0"/>
              <w:rPr>
                <w:b/>
                <w:bCs/>
                <w:color w:val="000000"/>
                <w:sz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4B815909" w14:textId="77777777">
            <w:pPr>
              <w:autoSpaceDE w:val="0"/>
              <w:autoSpaceDN w:val="0"/>
              <w:adjustRightInd w:val="0"/>
              <w:rPr>
                <w:color w:val="000000"/>
                <w:sz w:val="20"/>
              </w:rPr>
            </w:pPr>
            <w:r>
              <w:rPr>
                <w:color w:val="000000"/>
                <w:sz w:val="20"/>
              </w:rPr>
              <w:t xml:space="preserve">Il-programm ta’ assistenza għad-dekummissjonar nukleari tal-impjant tal-enerġija nukleari ta’ Ignalina fil-Litwanja għall-perjodu 2028–2034, u t-tħassir </w:t>
            </w:r>
            <w:r>
              <w:rPr>
                <w:color w:val="000000"/>
                <w:sz w:val="20"/>
              </w:rPr>
              <w:t>tar-Regolament (UE) 2021/101</w:t>
            </w:r>
          </w:p>
        </w:tc>
      </w:tr>
      <w:tr w14:paraId="189B9ACE"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37A81C03" w14:textId="77777777">
            <w:pPr>
              <w:autoSpaceDE w:val="0"/>
              <w:autoSpaceDN w:val="0"/>
              <w:adjustRightInd w:val="0"/>
              <w:rPr>
                <w:b/>
                <w:bCs/>
                <w:color w:val="000000"/>
                <w:sz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A6F7B" w:rsidRPr="00D5726B" w14:paraId="47476286" w14:textId="77777777">
            <w:pPr>
              <w:autoSpaceDE w:val="0"/>
              <w:autoSpaceDN w:val="0"/>
              <w:adjustRightInd w:val="0"/>
              <w:rPr>
                <w:color w:val="000000"/>
                <w:sz w:val="20"/>
              </w:rPr>
            </w:pPr>
            <w:r>
              <w:rPr>
                <w:color w:val="000000"/>
                <w:sz w:val="20"/>
              </w:rPr>
              <w:t>COM(2025)0476 – C10-0271/2025 – 2025/0268(NLE)</w:t>
            </w:r>
          </w:p>
        </w:tc>
      </w:tr>
      <w:tr w14:paraId="2ACF92E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248E886F" w14:textId="77777777">
            <w:pPr>
              <w:autoSpaceDE w:val="0"/>
              <w:autoSpaceDN w:val="0"/>
              <w:adjustRightInd w:val="0"/>
              <w:rPr>
                <w:b/>
                <w:bCs/>
                <w:color w:val="000000"/>
                <w:sz w:val="20"/>
              </w:rPr>
            </w:pPr>
            <w:r>
              <w:rPr>
                <w:b/>
                <w:color w:val="000000"/>
                <w:sz w:val="20"/>
              </w:rPr>
              <w:t>Data tal-konsultazzjoni jew tat-talba għal approvazzjoni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0B14DBA0" w14:textId="77777777">
            <w:pPr>
              <w:autoSpaceDE w:val="0"/>
              <w:autoSpaceDN w:val="0"/>
              <w:adjustRightInd w:val="0"/>
              <w:rPr>
                <w:color w:val="000000"/>
                <w:sz w:val="20"/>
              </w:rPr>
            </w:pPr>
            <w:r>
              <w:rPr>
                <w:color w:val="000000"/>
                <w:sz w:val="20"/>
              </w:rPr>
              <w:t>28.10.2025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3A3A3FA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67A98C5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6E78C94D" w14:textId="77777777">
            <w:pPr>
              <w:autoSpaceDE w:val="0"/>
              <w:autoSpaceDN w:val="0"/>
              <w:adjustRightInd w:val="0"/>
              <w:rPr>
                <w:rFonts w:ascii="sans-serif" w:hAnsi="sans-serif" w:cs="sans-serif"/>
                <w:color w:val="000000"/>
              </w:rPr>
            </w:pPr>
          </w:p>
        </w:tc>
      </w:tr>
      <w:tr w14:paraId="48DC2DE9"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78443CA0" w14:textId="77777777">
            <w:pPr>
              <w:autoSpaceDE w:val="0"/>
              <w:autoSpaceDN w:val="0"/>
              <w:adjustRightInd w:val="0"/>
              <w:rPr>
                <w:b/>
                <w:bCs/>
                <w:color w:val="000000"/>
                <w:sz w:val="20"/>
              </w:rPr>
            </w:pPr>
            <w:r>
              <w:rPr>
                <w:b/>
                <w:color w:val="000000"/>
                <w:sz w:val="20"/>
              </w:rPr>
              <w:t>Kumitat(i) responsabbli</w:t>
            </w:r>
          </w:p>
          <w:p w:rsidR="000A6F7B" w:rsidRPr="00D5726B" w14:paraId="6CD6BE9B" w14:textId="77777777">
            <w:pPr>
              <w:autoSpaceDE w:val="0"/>
              <w:autoSpaceDN w:val="0"/>
              <w:adjustRightInd w:val="0"/>
              <w:rPr>
                <w:color w:val="000000"/>
                <w:sz w:val="20"/>
              </w:rPr>
            </w:pPr>
            <w:r>
              <w:rPr>
                <w:color w:val="000000"/>
                <w:sz w:val="20"/>
              </w:rPr>
              <w:t>       Data tat-tħabbir fis-seduta plenarja</w:t>
            </w:r>
          </w:p>
        </w:tc>
        <w:tc>
          <w:tcPr>
            <w:tcW w:w="1530" w:type="dxa"/>
            <w:tcBorders>
              <w:top w:val="nil"/>
              <w:left w:val="nil"/>
              <w:bottom w:val="single" w:sz="8" w:space="0" w:color="000000"/>
              <w:right w:val="nil"/>
            </w:tcBorders>
            <w:tcMar>
              <w:top w:w="79" w:type="dxa"/>
              <w:left w:w="79" w:type="dxa"/>
              <w:bottom w:w="79" w:type="dxa"/>
              <w:right w:w="79" w:type="dxa"/>
            </w:tcMar>
          </w:tcPr>
          <w:p w:rsidR="000A6F7B" w:rsidRPr="00D5726B" w14:paraId="055B4383" w14:textId="77777777">
            <w:pPr>
              <w:autoSpaceDE w:val="0"/>
              <w:autoSpaceDN w:val="0"/>
              <w:adjustRightInd w:val="0"/>
              <w:rPr>
                <w:color w:val="000000"/>
                <w:sz w:val="20"/>
              </w:rPr>
            </w:pPr>
            <w:r>
              <w:rPr>
                <w:color w:val="000000"/>
                <w:sz w:val="20"/>
              </w:rPr>
              <w:t>ITRE</w:t>
            </w:r>
          </w:p>
          <w:p w:rsidR="000A6F7B" w:rsidRPr="00D5726B" w14:paraId="1939AE2B" w14:textId="77777777">
            <w:pPr>
              <w:autoSpaceDE w:val="0"/>
              <w:autoSpaceDN w:val="0"/>
              <w:adjustRightInd w:val="0"/>
              <w:rPr>
                <w:color w:val="000000"/>
                <w:sz w:val="20"/>
              </w:rPr>
            </w:pPr>
            <w:r>
              <w:rPr>
                <w:color w:val="000000"/>
                <w:sz w:val="20"/>
              </w:rPr>
              <w:t>24.11.2025</w:t>
            </w: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54DB563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7D87C828"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A6F7B" w:rsidRPr="00D5726B" w14:paraId="5D16A59C" w14:textId="77777777">
            <w:pPr>
              <w:autoSpaceDE w:val="0"/>
              <w:autoSpaceDN w:val="0"/>
              <w:adjustRightInd w:val="0"/>
              <w:rPr>
                <w:rFonts w:ascii="sans-serif" w:hAnsi="sans-serif" w:cs="sans-serif"/>
                <w:color w:val="000000"/>
              </w:rPr>
            </w:pPr>
          </w:p>
        </w:tc>
      </w:tr>
      <w:tr w14:paraId="6AED371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41DA0E20" w14:textId="77777777">
            <w:pPr>
              <w:autoSpaceDE w:val="0"/>
              <w:autoSpaceDN w:val="0"/>
              <w:adjustRightInd w:val="0"/>
              <w:rPr>
                <w:b/>
                <w:bCs/>
                <w:color w:val="000000"/>
                <w:sz w:val="20"/>
              </w:rPr>
            </w:pPr>
            <w:r>
              <w:rPr>
                <w:b/>
                <w:color w:val="000000"/>
                <w:sz w:val="20"/>
              </w:rPr>
              <w:t>Kumitati mitluba jagħtu opinjoni</w:t>
            </w:r>
          </w:p>
          <w:p w:rsidR="000A6F7B" w:rsidRPr="00D5726B" w14:paraId="655CAA3B" w14:textId="77777777">
            <w:pPr>
              <w:autoSpaceDE w:val="0"/>
              <w:autoSpaceDN w:val="0"/>
              <w:adjustRightInd w:val="0"/>
              <w:rPr>
                <w:color w:val="000000"/>
                <w:sz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2EFB73A6" w14:textId="77777777">
            <w:pPr>
              <w:autoSpaceDE w:val="0"/>
              <w:autoSpaceDN w:val="0"/>
              <w:adjustRightInd w:val="0"/>
              <w:rPr>
                <w:color w:val="000000"/>
                <w:sz w:val="20"/>
              </w:rPr>
            </w:pPr>
            <w:r>
              <w:rPr>
                <w:color w:val="000000"/>
                <w:sz w:val="20"/>
              </w:rPr>
              <w:t>BUDG</w:t>
            </w:r>
          </w:p>
          <w:p w:rsidR="000A6F7B" w:rsidRPr="00D5726B" w14:paraId="7F907574" w14:textId="77777777">
            <w:pPr>
              <w:autoSpaceDE w:val="0"/>
              <w:autoSpaceDN w:val="0"/>
              <w:adjustRightInd w:val="0"/>
              <w:rPr>
                <w:color w:val="000000"/>
                <w:sz w:val="20"/>
              </w:rPr>
            </w:pPr>
            <w:r>
              <w:rPr>
                <w:color w:val="000000"/>
                <w:sz w:val="20"/>
              </w:rPr>
              <w:t>24.11.2025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63F6CE4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0E54BD2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63E8896E" w14:textId="77777777">
            <w:pPr>
              <w:autoSpaceDE w:val="0"/>
              <w:autoSpaceDN w:val="0"/>
              <w:adjustRightInd w:val="0"/>
              <w:rPr>
                <w:rFonts w:ascii="sans-serif" w:hAnsi="sans-serif" w:cs="sans-serif"/>
                <w:color w:val="000000"/>
              </w:rPr>
            </w:pPr>
          </w:p>
        </w:tc>
      </w:tr>
      <w:tr w14:paraId="5935E6E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29688B43" w14:textId="77777777">
            <w:pPr>
              <w:autoSpaceDE w:val="0"/>
              <w:autoSpaceDN w:val="0"/>
              <w:adjustRightInd w:val="0"/>
              <w:rPr>
                <w:b/>
                <w:bCs/>
                <w:color w:val="000000"/>
                <w:sz w:val="20"/>
              </w:rPr>
            </w:pPr>
            <w:r>
              <w:rPr>
                <w:b/>
                <w:color w:val="000000"/>
                <w:sz w:val="20"/>
              </w:rPr>
              <w:t>Rapporteurs</w:t>
            </w:r>
          </w:p>
          <w:p w:rsidR="000A6F7B" w:rsidRPr="00D5726B" w14:paraId="2AB34B81" w14:textId="77777777">
            <w:pPr>
              <w:autoSpaceDE w:val="0"/>
              <w:autoSpaceDN w:val="0"/>
              <w:adjustRightInd w:val="0"/>
              <w:rPr>
                <w:color w:val="000000"/>
                <w:sz w:val="20"/>
              </w:rPr>
            </w:pPr>
            <w:r>
              <w:rPr>
                <w:color w:val="000000"/>
                <w:sz w:val="20"/>
              </w:rPr>
              <w:t>       Data tal-ħatra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3B645640" w14:textId="77777777">
            <w:pPr>
              <w:autoSpaceDE w:val="0"/>
              <w:autoSpaceDN w:val="0"/>
              <w:adjustRightInd w:val="0"/>
              <w:rPr>
                <w:color w:val="000000"/>
                <w:sz w:val="20"/>
              </w:rPr>
            </w:pPr>
            <w:r>
              <w:rPr>
                <w:color w:val="000000"/>
                <w:sz w:val="20"/>
              </w:rPr>
              <w:t>Virginijus Sinkevičius</w:t>
            </w:r>
          </w:p>
          <w:p w:rsidR="000A6F7B" w:rsidRPr="00D5726B" w14:paraId="134DAC8B" w14:textId="77777777">
            <w:pPr>
              <w:autoSpaceDE w:val="0"/>
              <w:autoSpaceDN w:val="0"/>
              <w:adjustRightInd w:val="0"/>
              <w:rPr>
                <w:color w:val="000000"/>
                <w:sz w:val="20"/>
              </w:rPr>
            </w:pPr>
            <w:r>
              <w:rPr>
                <w:color w:val="000000"/>
                <w:sz w:val="20"/>
              </w:rPr>
              <w:t>10.12.2025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25E11B6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47E5F0A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5B4DF827" w14:textId="77777777">
            <w:pPr>
              <w:autoSpaceDE w:val="0"/>
              <w:autoSpaceDN w:val="0"/>
              <w:adjustRightInd w:val="0"/>
              <w:rPr>
                <w:rFonts w:ascii="sans-serif" w:hAnsi="sans-serif" w:cs="sans-serif"/>
                <w:color w:val="000000"/>
              </w:rPr>
            </w:pPr>
          </w:p>
        </w:tc>
      </w:tr>
      <w:tr w14:paraId="2017DD8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rsidR="000A6F7B" w:rsidRPr="00D5726B" w14:paraId="03E90E7C" w14:textId="77777777">
            <w:pPr>
              <w:autoSpaceDE w:val="0"/>
              <w:autoSpaceDN w:val="0"/>
              <w:adjustRightInd w:val="0"/>
              <w:rPr>
                <w:b/>
                <w:bCs/>
                <w:color w:val="000000"/>
                <w:sz w:val="20"/>
              </w:rPr>
            </w:pPr>
            <w:r>
              <w:rPr>
                <w:b/>
                <w:color w:val="000000"/>
                <w:sz w:val="20"/>
              </w:rPr>
              <w:t>Valutazzjoni baġitarja</w:t>
            </w:r>
          </w:p>
          <w:p w:rsidR="000A6F7B" w:rsidRPr="00D5726B" w14:paraId="1EDD4C3E" w14:textId="77777777">
            <w:pPr>
              <w:autoSpaceDE w:val="0"/>
              <w:autoSpaceDN w:val="0"/>
              <w:adjustRightInd w:val="0"/>
              <w:rPr>
                <w:color w:val="000000"/>
                <w:sz w:val="20"/>
              </w:rPr>
            </w:pPr>
            <w:r>
              <w:rPr>
                <w:color w:val="000000"/>
                <w:sz w:val="20"/>
              </w:rPr>
              <w:t>       Data tal-valutazzjoni baġitarja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2AC2ABE9" w14:textId="77777777">
            <w:pPr>
              <w:autoSpaceDE w:val="0"/>
              <w:autoSpaceDN w:val="0"/>
              <w:adjustRightInd w:val="0"/>
              <w:rPr>
                <w:color w:val="000000"/>
                <w:sz w:val="20"/>
              </w:rPr>
            </w:pPr>
            <w:r>
              <w:rPr>
                <w:color w:val="000000"/>
                <w:sz w:val="20"/>
              </w:rPr>
              <w:t>BUDG</w:t>
            </w:r>
          </w:p>
          <w:p w:rsidR="000A6F7B" w:rsidRPr="00D5726B" w14:paraId="0949C4C4" w14:textId="77777777">
            <w:pPr>
              <w:autoSpaceDE w:val="0"/>
              <w:autoSpaceDN w:val="0"/>
              <w:adjustRightInd w:val="0"/>
              <w:rPr>
                <w:color w:val="000000"/>
                <w:sz w:val="20"/>
              </w:rPr>
            </w:pPr>
            <w:r>
              <w:rPr>
                <w:color w:val="000000"/>
                <w:sz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6E0E52B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36891E1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455319F6" w14:textId="77777777">
            <w:pPr>
              <w:autoSpaceDE w:val="0"/>
              <w:autoSpaceDN w:val="0"/>
              <w:adjustRightInd w:val="0"/>
              <w:rPr>
                <w:rFonts w:ascii="sans-serif" w:hAnsi="sans-serif" w:cs="sans-serif"/>
                <w:color w:val="000000"/>
              </w:rPr>
            </w:pPr>
          </w:p>
        </w:tc>
      </w:tr>
      <w:tr w14:paraId="097B5459"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4E99E10D" w14:textId="77777777">
            <w:pPr>
              <w:autoSpaceDE w:val="0"/>
              <w:autoSpaceDN w:val="0"/>
              <w:adjustRightInd w:val="0"/>
              <w:rPr>
                <w:b/>
                <w:bCs/>
                <w:color w:val="000000"/>
                <w:sz w:val="20"/>
              </w:rPr>
            </w:pPr>
            <w:r>
              <w:rPr>
                <w:b/>
                <w:color w:val="000000"/>
                <w:sz w:val="20"/>
              </w:rPr>
              <w:t>Eżami fil-kumitat</w:t>
            </w:r>
          </w:p>
        </w:tc>
        <w:tc>
          <w:tcPr>
            <w:tcW w:w="1530" w:type="dxa"/>
            <w:tcBorders>
              <w:top w:val="nil"/>
              <w:left w:val="nil"/>
              <w:bottom w:val="single" w:sz="8" w:space="0" w:color="000000"/>
              <w:right w:val="nil"/>
            </w:tcBorders>
            <w:tcMar>
              <w:top w:w="79" w:type="dxa"/>
              <w:left w:w="79" w:type="dxa"/>
              <w:bottom w:w="79" w:type="dxa"/>
              <w:right w:w="79" w:type="dxa"/>
            </w:tcMar>
          </w:tcPr>
          <w:p w:rsidR="000A6F7B" w:rsidRPr="00D5726B" w14:paraId="005B903C"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53B8FF79" w14:textId="77777777">
            <w:pPr>
              <w:autoSpaceDE w:val="0"/>
              <w:autoSpaceDN w:val="0"/>
              <w:adjustRightInd w:val="0"/>
              <w:rPr>
                <w:color w:val="000000"/>
                <w:sz w:val="20"/>
              </w:rPr>
            </w:pPr>
            <w:r>
              <w:rPr>
                <w:color w:val="000000"/>
                <w:sz w:val="20"/>
              </w:rPr>
              <w:t>24.3.2026</w:t>
            </w: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7B2DAF34"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A6F7B" w:rsidRPr="00D5726B" w14:paraId="22A75BD9" w14:textId="77777777">
            <w:pPr>
              <w:autoSpaceDE w:val="0"/>
              <w:autoSpaceDN w:val="0"/>
              <w:adjustRightInd w:val="0"/>
              <w:rPr>
                <w:rFonts w:ascii="sans-serif" w:hAnsi="sans-serif" w:cs="sans-serif"/>
                <w:color w:val="000000"/>
              </w:rPr>
            </w:pPr>
          </w:p>
        </w:tc>
      </w:tr>
      <w:tr w14:paraId="477F9DC4"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5B5F9CDE" w14:textId="77777777">
            <w:pPr>
              <w:autoSpaceDE w:val="0"/>
              <w:autoSpaceDN w:val="0"/>
              <w:adjustRightInd w:val="0"/>
              <w:rPr>
                <w:b/>
                <w:bCs/>
                <w:color w:val="000000"/>
                <w:sz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0A6F7B" w:rsidRPr="00D5726B" w14:paraId="7E11D5E0" w14:textId="77777777">
            <w:pPr>
              <w:autoSpaceDE w:val="0"/>
              <w:autoSpaceDN w:val="0"/>
              <w:adjustRightInd w:val="0"/>
              <w:rPr>
                <w:color w:val="000000"/>
                <w:sz w:val="20"/>
              </w:rPr>
            </w:pPr>
            <w:r>
              <w:rPr>
                <w:color w:val="000000"/>
                <w:sz w:val="20"/>
              </w:rPr>
              <w:t>24.6.2026</w:t>
            </w: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0D46DB6E"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A6F7B" w:rsidRPr="00D5726B" w14:paraId="725CB18C"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A6F7B" w:rsidRPr="00D5726B" w14:paraId="6914369A" w14:textId="77777777">
            <w:pPr>
              <w:autoSpaceDE w:val="0"/>
              <w:autoSpaceDN w:val="0"/>
              <w:adjustRightInd w:val="0"/>
              <w:rPr>
                <w:rFonts w:ascii="sans-serif" w:hAnsi="sans-serif" w:cs="sans-serif"/>
                <w:color w:val="000000"/>
              </w:rPr>
            </w:pPr>
          </w:p>
        </w:tc>
      </w:tr>
      <w:tr w14:paraId="4A2BB55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05D450A8" w14:textId="77777777">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A6F7B" w:rsidRPr="00D5726B" w14:paraId="3D26F873" w14:textId="77777777">
            <w:pPr>
              <w:autoSpaceDE w:val="0"/>
              <w:autoSpaceDN w:val="0"/>
              <w:adjustRightInd w:val="0"/>
              <w:rPr>
                <w:color w:val="000000"/>
                <w:sz w:val="20"/>
              </w:rPr>
            </w:pPr>
            <w:r>
              <w:rPr>
                <w:color w:val="000000"/>
                <w:sz w:val="20"/>
              </w:rPr>
              <w:t>+:</w:t>
            </w:r>
          </w:p>
          <w:p w:rsidR="000A6F7B" w:rsidRPr="00D5726B" w14:paraId="1B162F31" w14:textId="77777777">
            <w:pPr>
              <w:autoSpaceDE w:val="0"/>
              <w:autoSpaceDN w:val="0"/>
              <w:adjustRightInd w:val="0"/>
              <w:rPr>
                <w:color w:val="000000"/>
                <w:sz w:val="20"/>
              </w:rPr>
            </w:pPr>
            <w:r>
              <w:rPr>
                <w:color w:val="000000"/>
                <w:sz w:val="20"/>
              </w:rPr>
              <w:t>–:</w:t>
            </w:r>
          </w:p>
          <w:p w:rsidR="000A6F7B" w:rsidRPr="00D5726B" w14:paraId="3D1D355B"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2494B3A2" w14:textId="77777777">
            <w:pPr>
              <w:autoSpaceDE w:val="0"/>
              <w:autoSpaceDN w:val="0"/>
              <w:adjustRightInd w:val="0"/>
              <w:rPr>
                <w:color w:val="000000"/>
                <w:sz w:val="20"/>
              </w:rPr>
            </w:pPr>
            <w:r>
              <w:rPr>
                <w:color w:val="000000"/>
                <w:sz w:val="20"/>
              </w:rPr>
              <w:t>78</w:t>
            </w:r>
          </w:p>
          <w:p w:rsidR="000A6F7B" w:rsidRPr="00D5726B" w14:paraId="77BC23F1" w14:textId="77777777">
            <w:pPr>
              <w:autoSpaceDE w:val="0"/>
              <w:autoSpaceDN w:val="0"/>
              <w:adjustRightInd w:val="0"/>
              <w:rPr>
                <w:color w:val="000000"/>
                <w:sz w:val="20"/>
              </w:rPr>
            </w:pPr>
            <w:r>
              <w:rPr>
                <w:color w:val="000000"/>
                <w:sz w:val="20"/>
              </w:rPr>
              <w:t>2</w:t>
            </w:r>
          </w:p>
          <w:p w:rsidR="000A6F7B" w:rsidRPr="00D5726B" w14:paraId="07BBC971" w14:textId="77777777">
            <w:pPr>
              <w:autoSpaceDE w:val="0"/>
              <w:autoSpaceDN w:val="0"/>
              <w:adjustRightInd w:val="0"/>
              <w:rPr>
                <w:color w:val="000000"/>
                <w:sz w:val="20"/>
              </w:rPr>
            </w:pPr>
            <w:r>
              <w:rPr>
                <w:color w:val="000000"/>
                <w:sz w:val="20"/>
              </w:rPr>
              <w:t>1</w:t>
            </w:r>
          </w:p>
        </w:tc>
      </w:tr>
      <w:tr w14:paraId="2B079E8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A6F7B" w:rsidRPr="00D5726B" w14:paraId="09D79FEC" w14:textId="77777777">
            <w:pPr>
              <w:autoSpaceDE w:val="0"/>
              <w:autoSpaceDN w:val="0"/>
              <w:adjustRightInd w:val="0"/>
              <w:rPr>
                <w:b/>
                <w:bCs/>
                <w:color w:val="000000"/>
                <w:sz w:val="20"/>
              </w:rPr>
            </w:pPr>
            <w:r>
              <w:rPr>
                <w:b/>
                <w:color w:val="000000"/>
                <w:sz w:val="20"/>
              </w:rPr>
              <w:t>Data tat-tressiq</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A6F7B" w:rsidRPr="00D5726B" w14:paraId="301EDCC1" w14:textId="77777777">
            <w:pPr>
              <w:autoSpaceDE w:val="0"/>
              <w:autoSpaceDN w:val="0"/>
              <w:adjustRightInd w:val="0"/>
              <w:rPr>
                <w:color w:val="000000"/>
                <w:sz w:val="20"/>
              </w:rPr>
            </w:pPr>
            <w:r>
              <w:rPr>
                <w:color w:val="000000"/>
                <w:sz w:val="20"/>
              </w:rPr>
              <w:t>6.7.2026</w:t>
            </w:r>
          </w:p>
        </w:tc>
      </w:tr>
    </w:tbl>
    <w:p w:rsidR="000A6F7B" w:rsidRPr="00D5726B" w:rsidP="00B375CF" w14:paraId="5E5A30CE" w14:textId="77777777"/>
    <w:bookmarkEnd w:id="24"/>
    <w:p w:rsidR="00B375CF" w:rsidRPr="00D5726B" w:rsidP="000A6F7B" w14:paraId="450F47C5" w14:textId="77777777">
      <w:pPr>
        <w:sectPr w:rsidSect="00B375CF">
          <w:pgSz w:w="11894" w:h="15840"/>
          <w:pgMar w:top="1700" w:right="1417" w:bottom="1417" w:left="1417" w:header="720" w:footer="720" w:gutter="0"/>
          <w:cols w:space="720"/>
          <w:noEndnote/>
          <w:docGrid w:linePitch="326"/>
        </w:sectPr>
      </w:pPr>
    </w:p>
    <w:p w:rsidR="00B375CF" w:rsidRPr="00D5726B" w:rsidP="008B71C9" w14:paraId="764130D9" w14:textId="77777777">
      <w:pPr>
        <w:pStyle w:val="PageHeading"/>
      </w:pPr>
      <w:bookmarkStart w:id="26" w:name="RollCallPageRR"/>
      <w:bookmarkStart w:id="27" w:name="_Toc236753722"/>
      <w:r>
        <w:t>VOTAZZJONI FINALI B’SEJĦA TAL-ISMIJIET MILL-KUMITAT RESPONSABBLI</w:t>
      </w:r>
      <w:bookmarkEnd w:id="2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7DEF4111" w14:textId="77777777" w:rsidTr="00D90B19">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75CF" w:rsidRPr="00D5726B" w:rsidP="00D90B19" w14:paraId="3DFBDE55" w14:textId="77777777">
            <w:pPr>
              <w:pStyle w:val="RollCallVotes"/>
            </w:pPr>
            <w:r>
              <w:t>78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75CF" w:rsidRPr="00D5726B" w:rsidP="00D90B19" w14:paraId="028D3322" w14:textId="77777777">
            <w:pPr>
              <w:pStyle w:val="RollCallSymbols14pt"/>
            </w:pPr>
            <w:r>
              <w:t>+</w:t>
            </w:r>
          </w:p>
        </w:tc>
      </w:tr>
      <w:tr w14:paraId="6F17B1FB"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5EA01F57" w14:textId="77777777">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3FDF283E" w14:textId="77777777">
            <w:pPr>
              <w:pStyle w:val="RollCallTable"/>
            </w:pPr>
            <w:r>
              <w:t>Alessandro Ciriani, Ondřej Krutílek, Daniel Obajtek, Gheorghe Piperea, Diego Solier, Beata Szydło, Francesco Torselli, Kris Van Dijck, Mariateresa Vivaldini, Anna Zalewska</w:t>
            </w:r>
          </w:p>
        </w:tc>
      </w:tr>
      <w:tr w14:paraId="6451A091"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7B13D3C1" w14:textId="77777777">
            <w:pPr>
              <w:pStyle w:val="RollCallTable"/>
            </w:pPr>
            <w:r>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42AF90C5" w14:textId="77777777">
            <w:pPr>
              <w:pStyle w:val="RollCallTable"/>
            </w:pPr>
            <w:r>
              <w:t>Milan Mazurek, Volker Schnurrbusch</w:t>
            </w:r>
          </w:p>
        </w:tc>
      </w:tr>
      <w:tr w14:paraId="0280E07D"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2A89D410" w14:textId="77777777">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0499272F" w14:textId="77777777">
            <w:pPr>
              <w:pStyle w:val="RollCallTable"/>
            </w:pPr>
            <w:r>
              <w:t xml:space="preserve">Hildegard Bentele, Alexander </w:t>
            </w:r>
            <w:r>
              <w:t>Bernhuber, Ioan-Rareş Bogdan, Paulo Cunha, Jan Farský, Kamila Gasiuk-Pihowicz, Michalis Hadjipantela, Niels Flemming Hansen, Radan Kanev, Seán Kelly, Willemien Koning, Eszter Lakos, Letizia Moratti, Fernando Navarrete Rojas, Angelika Niebler, Andrey Novakov, Mirosława Nykiel, Massimiliano Salini, Aura Salla, Paulius Saudargas, Oliver Schenk, Susana Solís Pérez, Riho Terras, Angelika Winzig</w:t>
            </w:r>
          </w:p>
        </w:tc>
      </w:tr>
      <w:tr w14:paraId="254D21D3"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2530C78B" w14:textId="77777777">
            <w:pPr>
              <w:pStyle w:val="RollCallTable"/>
            </w:pPr>
            <w:r>
              <w:t>PfE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5B63F8D0" w14:textId="77777777">
            <w:pPr>
              <w:pStyle w:val="RollCallTable"/>
            </w:pPr>
            <w:r>
              <w:t>Paolo Borchia, András Gyürk, Tomáš Kubín, András László, Jana Nagyová, Aleksandar Nikolic, Julie Rechagneux, Raffaele Stancanelli, Pierre-Romain Thionnet</w:t>
            </w:r>
          </w:p>
        </w:tc>
      </w:tr>
      <w:tr w14:paraId="2222C294"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1B176276" w14:textId="77777777">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6B29154B" w14:textId="77777777">
            <w:pPr>
              <w:pStyle w:val="RollCallTable"/>
            </w:pPr>
            <w:r>
              <w:t>Oihane Agirregoitia Martínez, Sigrid Friis, Bart Groothuis, Christophe Grudler, Michał Kobosko, Brigitte van den Berg, Yvan Verougstraete, Sophie Wilmès</w:t>
            </w:r>
          </w:p>
        </w:tc>
      </w:tr>
      <w:tr w14:paraId="1ED04A4F"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2A8F63A3" w14:textId="77777777">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59EE1CB6" w14:textId="77777777">
            <w:pPr>
              <w:pStyle w:val="RollCallTable"/>
            </w:pPr>
            <w:r>
              <w:t xml:space="preserve">Annalisa Corrado, Matthias Ecke, Sofie </w:t>
            </w:r>
            <w:r>
              <w:t>Eriksson, Niels Fuglsang, Lina Gálvez, Jens Geier, Sérgio Gonçalves, Nicolás González Casares, Giorgio Gori, Eero Heinäluoma, Thomas Pellerin-Carlin, Tsvetelina Penkova, Elena Sancho Murillo, Bruno Tobback, Nicola Zingaretti</w:t>
            </w:r>
          </w:p>
        </w:tc>
      </w:tr>
      <w:tr w14:paraId="79F63AEC"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375CF" w:rsidRPr="00D5726B" w:rsidP="00D90B19" w14:paraId="37BF8A86" w14:textId="77777777">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375CF" w:rsidRPr="00D5726B" w:rsidP="00D90B19" w14:paraId="4A31F7A4" w14:textId="77777777">
            <w:pPr>
              <w:pStyle w:val="RollCallTable"/>
            </w:pPr>
            <w:r>
              <w:t>Marc Botenga, Per Clausen, Marina Mesure, Dario Tamburrano</w:t>
            </w:r>
          </w:p>
        </w:tc>
      </w:tr>
      <w:tr w14:paraId="0A64DFB9"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75CF" w:rsidRPr="00D5726B" w:rsidP="00D90B19" w14:paraId="763F6299" w14:textId="77777777">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75CF" w:rsidRPr="00D5726B" w:rsidP="00D90B19" w14:paraId="78B672F3" w14:textId="77777777">
            <w:pPr>
              <w:pStyle w:val="RollCallTable"/>
            </w:pPr>
            <w:r>
              <w:t>Alexandra Geese, Ville Niinistö, Jutta Paulus, Benedetta Scuderi, Virginijus Sinkevičius, Villy Søvndal</w:t>
            </w:r>
          </w:p>
        </w:tc>
      </w:tr>
    </w:tbl>
    <w:p w:rsidR="00B375CF" w:rsidRPr="00D5726B" w:rsidP="00B375CF" w14:paraId="5AE7710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1"/>
        <w:gridCol w:w="7371"/>
      </w:tblGrid>
      <w:tr w14:paraId="688DC5BE" w14:textId="77777777" w:rsidTr="00D90B19">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75CF" w:rsidRPr="00D5726B" w:rsidP="00D90B19" w14:paraId="7BE81BEA" w14:textId="77777777">
            <w:pPr>
              <w:pStyle w:val="RollCallVotes"/>
            </w:pPr>
            <w:r>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75CF" w:rsidRPr="00D5726B" w:rsidP="00D90B19" w14:paraId="1283E250" w14:textId="77777777">
            <w:pPr>
              <w:pStyle w:val="RollCallSymbols14pt"/>
            </w:pPr>
            <w:r>
              <w:t>-</w:t>
            </w:r>
          </w:p>
        </w:tc>
      </w:tr>
      <w:tr w14:paraId="3BD7F352" w14:textId="77777777" w:rsidTr="00D90B19">
        <w:tblPrEx>
          <w:tblW w:w="0" w:type="auto"/>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75CF" w:rsidRPr="00D5726B" w:rsidP="00D90B19" w14:paraId="21E7EA15" w14:textId="77777777">
            <w:pPr>
              <w:pStyle w:val="RollCallTable"/>
            </w:pPr>
            <w:r>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75CF" w:rsidRPr="00D5726B" w:rsidP="00D90B19" w14:paraId="590BFC39" w14:textId="77777777">
            <w:pPr>
              <w:pStyle w:val="RollCallTable"/>
            </w:pPr>
            <w:r>
              <w:t>Georg Mayer, Auke Zijlstra</w:t>
            </w:r>
          </w:p>
        </w:tc>
      </w:tr>
    </w:tbl>
    <w:p w:rsidR="00B375CF" w:rsidRPr="00D5726B" w:rsidP="00B375CF" w14:paraId="669E57BE" w14:textId="77777777"/>
    <w:tbl>
      <w:tblPr>
        <w:tblW w:w="9075"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
      <w:tblGrid>
        <w:gridCol w:w="1702"/>
        <w:gridCol w:w="7373"/>
      </w:tblGrid>
      <w:tr w14:paraId="4A2725A6" w14:textId="77777777" w:rsidTr="00D90B19">
        <w:tblPrEx>
          <w:tblW w:w="9075"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tblPrEx>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375CF" w:rsidRPr="00D5726B" w:rsidP="00D90B19" w14:paraId="639914C0" w14:textId="77777777">
            <w:pPr>
              <w:pStyle w:val="RollCallVotes"/>
            </w:pPr>
            <w: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375CF" w:rsidRPr="00D5726B" w:rsidP="00D90B19" w14:paraId="02BDE5D7" w14:textId="77777777">
            <w:pPr>
              <w:pStyle w:val="RollCallSymbols14pt"/>
            </w:pPr>
            <w:r>
              <w:t>0</w:t>
            </w:r>
          </w:p>
        </w:tc>
      </w:tr>
      <w:tr w14:paraId="74989357" w14:textId="77777777" w:rsidTr="00D90B19">
        <w:tblPrEx>
          <w:tblW w:w="9075" w:type="dxa"/>
          <w:tblInd w:w="145" w:type="dxa"/>
          <w:tblLayout w:type="fixed"/>
          <w:tblCellMar>
            <w:left w:w="145" w:type="dxa"/>
            <w:right w:w="145" w:type="dxa"/>
          </w:tblCellMar>
          <w:tblLook w:val="04A0"/>
        </w:tblPrEx>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375CF" w:rsidRPr="00D5726B" w:rsidP="00D90B19" w14:paraId="5ADC2227" w14:textId="77777777">
            <w:pPr>
              <w:pStyle w:val="RollCallTable"/>
            </w:pPr>
            <w:r>
              <w:t>ESN</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375CF" w:rsidRPr="00D5726B" w:rsidP="00D90B19" w14:paraId="4A1722A3" w14:textId="77777777">
            <w:pPr>
              <w:pStyle w:val="RollCallTable"/>
            </w:pPr>
            <w:r>
              <w:t>Siegbert Frank Droese</w:t>
            </w:r>
          </w:p>
        </w:tc>
      </w:tr>
    </w:tbl>
    <w:p w:rsidR="00B375CF" w:rsidRPr="00D5726B" w:rsidP="00147FBF" w14:paraId="1C595F6D" w14:textId="77777777">
      <w:pPr>
        <w:pStyle w:val="Normal12a"/>
      </w:pPr>
    </w:p>
    <w:p w:rsidR="00B375CF" w:rsidRPr="00D5726B" w:rsidP="00B735E3" w14:paraId="2BAEA4F3" w14:textId="77777777">
      <w:r>
        <w:t xml:space="preserve">Tifsira tas-simboli </w:t>
      </w:r>
      <w:r>
        <w:t>użati:</w:t>
      </w:r>
    </w:p>
    <w:p w:rsidR="00B375CF" w:rsidRPr="00D5726B" w:rsidP="001C6342" w14:paraId="65FADBA3" w14:textId="77777777">
      <w:pPr>
        <w:pStyle w:val="RollCallTabs"/>
      </w:pPr>
      <w:r>
        <w:t>+</w:t>
      </w:r>
      <w:r>
        <w:tab/>
        <w:t>:</w:t>
      </w:r>
      <w:r>
        <w:tab/>
        <w:t>favur</w:t>
      </w:r>
    </w:p>
    <w:p w:rsidR="00B375CF" w:rsidRPr="00D5726B" w:rsidP="001C6342" w14:paraId="63C8E27D" w14:textId="77777777">
      <w:pPr>
        <w:pStyle w:val="RollCallTabs"/>
      </w:pPr>
      <w:r>
        <w:t>-</w:t>
      </w:r>
      <w:r>
        <w:tab/>
        <w:t>:</w:t>
      </w:r>
      <w:r>
        <w:tab/>
        <w:t>kontra</w:t>
      </w:r>
    </w:p>
    <w:p w:rsidR="00B375CF" w:rsidRPr="00D5726B" w:rsidP="001C6342" w14:paraId="2CA5D34B" w14:textId="77777777">
      <w:pPr>
        <w:pStyle w:val="RollCallTabs"/>
      </w:pPr>
      <w:r>
        <w:t>0</w:t>
      </w:r>
      <w:r>
        <w:tab/>
        <w:t>:</w:t>
      </w:r>
      <w:r>
        <w:tab/>
        <w:t>astensjoni</w:t>
      </w:r>
    </w:p>
    <w:p w:rsidR="00B375CF" w:rsidRPr="00D5726B" w:rsidP="00AD5932" w14:paraId="70A79DB7" w14:textId="77777777"/>
    <w:bookmarkEnd w:id="26"/>
    <w:p w:rsidR="00F41899" w:rsidRPr="00D5726B" w:rsidP="000A6F7B" w14:paraId="695A5B88" w14:textId="77777777"/>
    <w:sectPr w:rsidSect="00B375CF">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26B" w:rsidRPr="00D5726B" w:rsidP="00D5726B" w14:paraId="70751C6E" w14:textId="77777777">
    <w:pPr>
      <w:pStyle w:val="EPFooter"/>
    </w:pPr>
    <w:r w:rsidRPr="00D5726B">
      <w:t>PE</w:t>
    </w:r>
    <w:r w:rsidRPr="00604C5F">
      <w:rPr>
        <w:rStyle w:val="HideTWBExt"/>
      </w:rPr>
      <w:t>&lt;NoPE&gt;</w:t>
    </w:r>
    <w:r w:rsidRPr="00D5726B">
      <w:t>785.118</w:t>
    </w:r>
    <w:r w:rsidRPr="00604C5F">
      <w:rPr>
        <w:rStyle w:val="HideTWBExt"/>
      </w:rPr>
      <w:t>&lt;/NoPE&gt;&lt;Version&gt;</w:t>
    </w:r>
    <w:r w:rsidRPr="00D5726B">
      <w:t>v02-00</w:t>
    </w:r>
    <w:r w:rsidRPr="00604C5F">
      <w:rPr>
        <w:rStyle w:val="HideTWBExt"/>
      </w:rPr>
      <w:t>&lt;/Version&gt;</w:t>
    </w:r>
    <w:r w:rsidRPr="00D5726B">
      <w:tab/>
    </w:r>
    <w:r w:rsidRPr="00D5726B">
      <w:fldChar w:fldCharType="begin"/>
    </w:r>
    <w:r w:rsidRPr="00D5726B">
      <w:instrText xml:space="preserve"> PAGE  \* MERGEFORMAT </w:instrText>
    </w:r>
    <w:r w:rsidRPr="00D5726B">
      <w:fldChar w:fldCharType="separate"/>
    </w:r>
    <w:r w:rsidRPr="00D5726B">
      <w:rPr>
        <w:noProof/>
      </w:rPr>
      <w:t>2</w:t>
    </w:r>
    <w:r w:rsidRPr="00D5726B">
      <w:fldChar w:fldCharType="end"/>
    </w:r>
    <w:r w:rsidRPr="00D5726B">
      <w:t>/</w:t>
    </w:r>
    <w:r w:rsidRPr="00D5726B">
      <w:fldChar w:fldCharType="begin"/>
    </w:r>
    <w:r>
      <w:instrText xml:space="preserve"> NUMPAGES  \* MERGEFORMAT </w:instrText>
    </w:r>
    <w:r w:rsidRPr="00D5726B">
      <w:fldChar w:fldCharType="separate"/>
    </w:r>
    <w:r w:rsidRPr="00D5726B">
      <w:rPr>
        <w:noProof/>
      </w:rPr>
      <w:t>35</w:t>
    </w:r>
    <w:r w:rsidRPr="00D5726B">
      <w:rPr>
        <w:noProof/>
      </w:rPr>
      <w:fldChar w:fldCharType="end"/>
    </w:r>
    <w:r w:rsidRPr="00D5726B">
      <w:tab/>
    </w:r>
    <w:r w:rsidRPr="00604C5F">
      <w:rPr>
        <w:rStyle w:val="HideTWBExt"/>
      </w:rPr>
      <w:t>&lt;PathFdR&gt;</w:t>
    </w:r>
    <w:r w:rsidRPr="00D5726B">
      <w:t>RR\1347506MT.docx</w:t>
    </w:r>
    <w:r w:rsidRPr="00604C5F">
      <w:rPr>
        <w:rStyle w:val="HideTWBExt"/>
      </w:rPr>
      <w:t>&lt;/PathFdR&gt;</w:t>
    </w:r>
  </w:p>
  <w:p w:rsidR="00D544CF" w:rsidRPr="00D5726B" w:rsidP="00D5726B" w14:paraId="57D0A444" w14:textId="77777777">
    <w:pPr>
      <w:pStyle w:val="EPFooter2"/>
    </w:pPr>
    <w:r w:rsidRPr="00D5726B">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26B" w:rsidRPr="00D5726B" w:rsidP="00D5726B" w14:paraId="37DAF568" w14:textId="77777777">
    <w:pPr>
      <w:pStyle w:val="EPFooter"/>
    </w:pPr>
    <w:r w:rsidRPr="00604C5F">
      <w:rPr>
        <w:rStyle w:val="HideTWBExt"/>
      </w:rPr>
      <w:t>&lt;PathFdR&gt;</w:t>
    </w:r>
    <w:r w:rsidRPr="00D5726B">
      <w:t>RR\1347506MT.docx</w:t>
    </w:r>
    <w:r w:rsidRPr="00604C5F">
      <w:rPr>
        <w:rStyle w:val="HideTWBExt"/>
      </w:rPr>
      <w:t>&lt;/PathFdR&gt;</w:t>
    </w:r>
    <w:r w:rsidRPr="00D5726B">
      <w:tab/>
    </w:r>
    <w:r w:rsidRPr="00D5726B">
      <w:fldChar w:fldCharType="begin"/>
    </w:r>
    <w:r w:rsidRPr="00D5726B">
      <w:instrText xml:space="preserve"> PAGE  \* MERGEFORMAT </w:instrText>
    </w:r>
    <w:r w:rsidRPr="00D5726B">
      <w:fldChar w:fldCharType="separate"/>
    </w:r>
    <w:r w:rsidRPr="00D5726B">
      <w:rPr>
        <w:noProof/>
      </w:rPr>
      <w:t>3</w:t>
    </w:r>
    <w:r w:rsidRPr="00D5726B">
      <w:fldChar w:fldCharType="end"/>
    </w:r>
    <w:r w:rsidRPr="00D5726B">
      <w:t>/</w:t>
    </w:r>
    <w:r w:rsidRPr="00D5726B">
      <w:fldChar w:fldCharType="begin"/>
    </w:r>
    <w:r>
      <w:instrText xml:space="preserve"> NUMPAGES  \* MERGEFORMAT </w:instrText>
    </w:r>
    <w:r w:rsidRPr="00D5726B">
      <w:fldChar w:fldCharType="separate"/>
    </w:r>
    <w:r w:rsidRPr="00D5726B">
      <w:rPr>
        <w:noProof/>
      </w:rPr>
      <w:t>35</w:t>
    </w:r>
    <w:r w:rsidRPr="00D5726B">
      <w:rPr>
        <w:noProof/>
      </w:rPr>
      <w:fldChar w:fldCharType="end"/>
    </w:r>
    <w:r w:rsidRPr="00D5726B">
      <w:tab/>
      <w:t>PE</w:t>
    </w:r>
    <w:r w:rsidRPr="00604C5F">
      <w:rPr>
        <w:rStyle w:val="HideTWBExt"/>
      </w:rPr>
      <w:t>&lt;NoPE&gt;</w:t>
    </w:r>
    <w:r w:rsidRPr="00D5726B">
      <w:t>785.118</w:t>
    </w:r>
    <w:r w:rsidRPr="00604C5F">
      <w:rPr>
        <w:rStyle w:val="HideTWBExt"/>
      </w:rPr>
      <w:t>&lt;/NoPE&gt;&lt;Version&gt;</w:t>
    </w:r>
    <w:r w:rsidRPr="00D5726B">
      <w:t>v02-00</w:t>
    </w:r>
    <w:r w:rsidRPr="00604C5F">
      <w:rPr>
        <w:rStyle w:val="HideTWBExt"/>
      </w:rPr>
      <w:t>&lt;/Version&gt;</w:t>
    </w:r>
  </w:p>
  <w:p w:rsidR="00D544CF" w:rsidRPr="00D5726B" w:rsidP="00D5726B" w14:paraId="660573EA" w14:textId="77777777">
    <w:pPr>
      <w:pStyle w:val="EPFooter2"/>
    </w:pPr>
    <w:r w:rsidRPr="00D5726B">
      <w:tab/>
    </w:r>
    <w:r w:rsidRPr="00D5726B">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26B" w:rsidRPr="00D5726B" w:rsidP="00D5726B" w14:paraId="0A1D1D9E" w14:textId="77777777">
    <w:pPr>
      <w:pStyle w:val="EPFooter"/>
    </w:pPr>
    <w:r w:rsidRPr="00604C5F">
      <w:rPr>
        <w:rStyle w:val="HideTWBExt"/>
      </w:rPr>
      <w:t>&lt;PathFdR&gt;</w:t>
    </w:r>
    <w:r w:rsidRPr="00D5726B">
      <w:t>RR\1347506MT.docx</w:t>
    </w:r>
    <w:r w:rsidRPr="00604C5F">
      <w:rPr>
        <w:rStyle w:val="HideTWBExt"/>
      </w:rPr>
      <w:t>&lt;/PathFdR&gt;</w:t>
    </w:r>
    <w:r w:rsidRPr="00D5726B">
      <w:tab/>
    </w:r>
    <w:r w:rsidRPr="00D5726B">
      <w:tab/>
      <w:t>PE</w:t>
    </w:r>
    <w:r w:rsidRPr="00604C5F">
      <w:rPr>
        <w:rStyle w:val="HideTWBExt"/>
      </w:rPr>
      <w:t>&lt;NoPE&gt;</w:t>
    </w:r>
    <w:r w:rsidRPr="00D5726B">
      <w:t>785.118</w:t>
    </w:r>
    <w:r w:rsidRPr="00604C5F">
      <w:rPr>
        <w:rStyle w:val="HideTWBExt"/>
      </w:rPr>
      <w:t>&lt;/NoPE&gt;&lt;Version&gt;</w:t>
    </w:r>
    <w:r w:rsidRPr="00D5726B">
      <w:t>v02-00</w:t>
    </w:r>
    <w:r w:rsidRPr="00604C5F">
      <w:rPr>
        <w:rStyle w:val="HideTWBExt"/>
      </w:rPr>
      <w:t>&lt;/Version&gt;</w:t>
    </w:r>
  </w:p>
  <w:p w:rsidR="00D544CF" w:rsidRPr="00D5726B" w:rsidP="00D5726B" w14:paraId="1A05E5FB" w14:textId="77777777">
    <w:pPr>
      <w:pStyle w:val="EPFooter2"/>
    </w:pPr>
    <w:r w:rsidRPr="00D5726B">
      <w:t>MT</w:t>
    </w:r>
    <w:r w:rsidRPr="00D5726B">
      <w:tab/>
    </w:r>
    <w:r w:rsidRPr="00D5726B">
      <w:rPr>
        <w:b w:val="0"/>
        <w:i/>
        <w:color w:val="C0C0C0"/>
        <w:sz w:val="22"/>
      </w:rPr>
      <w:t>Magħquda fid-diversità</w:t>
    </w:r>
    <w:r w:rsidRPr="00D5726B">
      <w:tab/>
      <w:t>MT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899" w:rsidRPr="00D5726B" w:rsidP="00F41899" w14:paraId="0D7F6FB9" w14:textId="77777777">
    <w:pPr>
      <w:pStyle w:val="EPFooter"/>
    </w:pPr>
    <w:r w:rsidRPr="00604C5F">
      <w:rPr>
        <w:rStyle w:val="HideTWBExt"/>
      </w:rPr>
      <w:t>&lt;PathFdR&gt;</w:t>
    </w:r>
    <w:r w:rsidRPr="00D5726B">
      <w:t>RR\1347506MT.docx</w:t>
    </w:r>
    <w:r w:rsidRPr="00604C5F">
      <w:rPr>
        <w:rStyle w:val="HideTWBExt"/>
      </w:rPr>
      <w:t>&lt;/PathFdR&gt;</w:t>
    </w:r>
    <w:r w:rsidRPr="00D5726B">
      <w:tab/>
    </w:r>
    <w:r w:rsidRPr="00D5726B">
      <w:tab/>
      <w:t>PE</w:t>
    </w:r>
    <w:r w:rsidRPr="00604C5F">
      <w:rPr>
        <w:rStyle w:val="HideTWBExt"/>
      </w:rPr>
      <w:t>&lt;NoPE&gt;</w:t>
    </w:r>
    <w:r w:rsidRPr="00D5726B">
      <w:t>785.118</w:t>
    </w:r>
    <w:r w:rsidRPr="00604C5F">
      <w:rPr>
        <w:rStyle w:val="HideTWBExt"/>
      </w:rPr>
      <w:t>&lt;/NoPE&gt;&lt;Version&gt;</w:t>
    </w:r>
    <w:r w:rsidRPr="00D5726B">
      <w:t>v01-00</w:t>
    </w:r>
    <w:r w:rsidRPr="00604C5F">
      <w:rPr>
        <w:rStyle w:val="HideTWBExt"/>
      </w:rPr>
      <w:t>&lt;/Version&gt;</w:t>
    </w:r>
  </w:p>
  <w:p w:rsidR="00C7423A" w:rsidRPr="00D5726B" w:rsidP="00F41899" w14:paraId="6CEDBE7B" w14:textId="77777777">
    <w:pPr>
      <w:pStyle w:val="EPFooter2"/>
    </w:pPr>
    <w:r w:rsidRPr="00D5726B">
      <w:t>MT</w:t>
    </w:r>
    <w:r w:rsidRPr="00D5726B">
      <w:tab/>
    </w:r>
    <w:r w:rsidRPr="00D5726B">
      <w:rPr>
        <w:b w:val="0"/>
        <w:i/>
        <w:color w:val="C0C0C0"/>
        <w:sz w:val="22"/>
      </w:rPr>
      <w:t>Magħquda fid-diversità</w:t>
    </w:r>
    <w:r w:rsidRPr="00D5726B">
      <w:tab/>
      <w:t>MT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rsidRPr="00D5726B" w:rsidP="00CD5561" w14:paraId="1D88172D" w14:textId="77777777">
    <w:pPr>
      <w:pStyle w:val="EPFooter"/>
    </w:pPr>
    <w:r w:rsidRPr="00604C5F">
      <w:rPr>
        <w:rStyle w:val="HideTWBExt"/>
      </w:rPr>
      <w:t>&lt;PathFdR&gt;</w:t>
    </w:r>
    <w:r w:rsidRPr="00D5726B">
      <w:t>AD\1344850MT.docx</w:t>
    </w:r>
    <w:r w:rsidRPr="00604C5F">
      <w:rPr>
        <w:rStyle w:val="HideTWBExt"/>
      </w:rPr>
      <w:t>&lt;/PathFdR&gt;</w:t>
    </w:r>
    <w:r w:rsidRPr="00D5726B">
      <w:tab/>
    </w:r>
    <w:r w:rsidRPr="00D5726B">
      <w:tab/>
      <w:t>PE</w:t>
    </w:r>
    <w:r w:rsidRPr="00604C5F">
      <w:rPr>
        <w:rStyle w:val="HideTWBExt"/>
      </w:rPr>
      <w:t>&lt;NoPE&gt;</w:t>
    </w:r>
    <w:r w:rsidRPr="00D5726B">
      <w:t>785.292</w:t>
    </w:r>
    <w:r w:rsidRPr="00604C5F">
      <w:rPr>
        <w:rStyle w:val="HideTWBExt"/>
      </w:rPr>
      <w:t>&lt;/NoPE&gt;&lt;Version&gt;</w:t>
    </w:r>
    <w:r w:rsidRPr="00D5726B">
      <w:t>v02-00</w:t>
    </w:r>
    <w:r w:rsidRPr="00604C5F">
      <w:rPr>
        <w:rStyle w:val="HideTWBExt"/>
      </w:rPr>
      <w:t>&lt;/Version&gt;</w:t>
    </w:r>
  </w:p>
  <w:p w:rsidR="000A6F7B" w:rsidRPr="00D5726B" w:rsidP="00CD5561" w14:paraId="08EDD452" w14:textId="77777777">
    <w:pPr>
      <w:pStyle w:val="EPFooter2"/>
    </w:pPr>
    <w:r w:rsidRPr="00D5726B">
      <w:t>MT</w:t>
    </w:r>
    <w:r w:rsidRPr="00D5726B">
      <w:tab/>
    </w:r>
    <w:r w:rsidRPr="00D5726B">
      <w:rPr>
        <w:b w:val="0"/>
        <w:i/>
        <w:color w:val="C0C0C0"/>
        <w:sz w:val="22"/>
      </w:rPr>
      <w:t>Magħquda fid-diversità</w:t>
    </w:r>
    <w:r w:rsidRPr="00D5726B">
      <w:tab/>
      <w:t>MT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rsidRPr="00D5726B" w:rsidP="007B4AD8" w14:paraId="539C34B0" w14:textId="77777777">
    <w:pPr>
      <w:pStyle w:val="EPFooter"/>
    </w:pPr>
    <w:r w:rsidRPr="00604C5F">
      <w:rPr>
        <w:rStyle w:val="HideTWBExt"/>
      </w:rPr>
      <w:t>&lt;PathFdR&gt;</w:t>
    </w:r>
    <w:r w:rsidRPr="00D5726B">
      <w:t>AD\1344850MT.docx</w:t>
    </w:r>
    <w:r w:rsidRPr="00604C5F">
      <w:rPr>
        <w:rStyle w:val="HideTWBExt"/>
      </w:rPr>
      <w:t>&lt;/PathFdR&gt;</w:t>
    </w:r>
    <w:r w:rsidRPr="00D5726B">
      <w:tab/>
    </w:r>
    <w:r w:rsidRPr="00D5726B">
      <w:tab/>
      <w:t>PE</w:t>
    </w:r>
    <w:r w:rsidRPr="00604C5F">
      <w:rPr>
        <w:rStyle w:val="HideTWBExt"/>
      </w:rPr>
      <w:t>&lt;NoPE&gt;</w:t>
    </w:r>
    <w:r w:rsidRPr="00D5726B">
      <w:t>785.292</w:t>
    </w:r>
    <w:r w:rsidRPr="00604C5F">
      <w:rPr>
        <w:rStyle w:val="HideTWBExt"/>
      </w:rPr>
      <w:t>&lt;/NoPE&gt;&lt;Version&gt;</w:t>
    </w:r>
    <w:r w:rsidRPr="00D5726B">
      <w:t>v02-00</w:t>
    </w:r>
    <w:r w:rsidRPr="00604C5F">
      <w:rPr>
        <w:rStyle w:val="HideTWBExt"/>
      </w:rPr>
      <w:t>&lt;/Version&gt;</w:t>
    </w:r>
  </w:p>
  <w:p w:rsidR="000A6F7B" w:rsidRPr="00D5726B" w:rsidP="007B4AD8" w14:paraId="2A9E1FBA" w14:textId="77777777">
    <w:pPr>
      <w:pStyle w:val="EPFooter2"/>
    </w:pPr>
    <w:r w:rsidRPr="00D5726B">
      <w:t>XT</w:t>
    </w:r>
    <w:r w:rsidRPr="00D5726B">
      <w:tab/>
    </w:r>
    <w:r w:rsidRPr="00D5726B">
      <w:rPr>
        <w:b w:val="0"/>
        <w:i/>
        <w:color w:val="C0C0C0"/>
        <w:sz w:val="22"/>
      </w:rPr>
      <w:t>United in diversity</w:t>
    </w:r>
    <w:r w:rsidRPr="00D5726B">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A0590" w:rsidRPr="00D5726B" w14:paraId="7B3AD031" w14:textId="77777777">
      <w:r w:rsidRPr="00D5726B">
        <w:separator/>
      </w:r>
    </w:p>
    <w:p w:rsidR="008A0590" w:rsidRPr="00D5726B" w14:paraId="1A51E469" w14:textId="77777777"/>
  </w:footnote>
  <w:footnote w:type="continuationSeparator" w:id="1">
    <w:p w:rsidR="008A0590" w:rsidRPr="00D5726B" w14:paraId="68FA77C7" w14:textId="77777777">
      <w:r w:rsidRPr="00D5726B">
        <w:continuationSeparator/>
      </w:r>
    </w:p>
    <w:p w:rsidR="008A0590" w:rsidRPr="00D5726B" w14:paraId="6BD1EBC6" w14:textId="77777777"/>
  </w:footnote>
  <w:footnote w:id="2">
    <w:p w:rsidR="00D544CF" w:rsidRPr="00D5726B" w:rsidP="00D544CF" w14:paraId="674C6DC2" w14:textId="77777777">
      <w:pPr>
        <w:pStyle w:val="FootnoteText"/>
      </w:pPr>
      <w:r>
        <w:rPr>
          <w:rStyle w:val="FootnoteReference"/>
        </w:rPr>
        <w:footnoteRef/>
      </w:r>
      <w:r>
        <w:tab/>
        <w:t xml:space="preserve">ĠU L 236, 23.9.2003, p. 944, ELI: </w:t>
      </w:r>
      <w:hyperlink r:id="rId1" w:history="1">
        <w:r>
          <w:rPr>
            <w:rStyle w:val="Hyperlink"/>
          </w:rPr>
          <w:t>http://data.europa.eu/eli/treaty/acc_2003/act_1/pro_4/sign</w:t>
        </w:r>
      </w:hyperlink>
      <w:r>
        <w:t>.</w:t>
      </w:r>
    </w:p>
  </w:footnote>
  <w:footnote w:id="3">
    <w:p w:rsidR="00D544CF" w:rsidRPr="00D5726B" w:rsidP="00D544CF" w14:paraId="7A1B8EC1" w14:textId="77777777">
      <w:pPr>
        <w:pStyle w:val="FootnoteText"/>
      </w:pPr>
      <w:r>
        <w:rPr>
          <w:rStyle w:val="FootnoteReference"/>
        </w:rPr>
        <w:footnoteRef/>
      </w:r>
      <w:r>
        <w:tab/>
        <w:t xml:space="preserve">Id-Direttiva tal-Kunsill 2009/71/Euratom tal-25 ta’ Ġunju 2009 li tistabbilixxi qafas Komunitarju għas-sigurtà tal-installazzjonijiet nukleari (ĠU L 172, 2.7.2009, p. 18, ELI: </w:t>
      </w:r>
      <w:hyperlink r:id="rId2" w:history="1">
        <w:r>
          <w:rPr>
            <w:rStyle w:val="Hyperlink"/>
          </w:rPr>
          <w:t>http://data.europa.eu/eli/dir/2009/71/oj</w:t>
        </w:r>
      </w:hyperlink>
      <w:r>
        <w:t>).</w:t>
      </w:r>
    </w:p>
  </w:footnote>
  <w:footnote w:id="4">
    <w:p w:rsidR="00D544CF" w:rsidRPr="00D5726B" w:rsidP="00D544CF" w14:paraId="0E4075CE" w14:textId="77777777">
      <w:pPr>
        <w:pStyle w:val="FootnoteText"/>
      </w:pPr>
      <w:r>
        <w:rPr>
          <w:rStyle w:val="FootnoteReference"/>
        </w:rPr>
        <w:footnoteRef/>
      </w:r>
      <w:r>
        <w:tab/>
        <w:t xml:space="preserve">Id-Direttiva tal-Kunsill 2011/70/Euratom tad-19 ta’ Lulju 2011 li tistabbilixxi qafas Komunitarju għall-ġestjoni responsabbli u sikura ta’ fjuwil użat u skart radjuattiv (ĠU L 199, 2.8.2011, p. 48, ELI: </w:t>
      </w:r>
      <w:hyperlink r:id="rId3" w:history="1">
        <w:r>
          <w:rPr>
            <w:rStyle w:val="Hyperlink"/>
          </w:rPr>
          <w:t>http://data.europa.eu/eli/dir/2011/70/oj</w:t>
        </w:r>
      </w:hyperlink>
      <w:r>
        <w:t>).</w:t>
      </w:r>
    </w:p>
  </w:footnote>
  <w:footnote w:id="5">
    <w:p w:rsidR="00D544CF" w:rsidRPr="00D5726B" w:rsidP="00D544CF" w14:paraId="59F424B2" w14:textId="77777777">
      <w:pPr>
        <w:pStyle w:val="FootnoteText"/>
      </w:pPr>
      <w:r>
        <w:rPr>
          <w:rStyle w:val="FootnoteReference"/>
        </w:rPr>
        <w:footnoteRef/>
      </w:r>
      <w:r>
        <w:t xml:space="preserve"> </w:t>
      </w:r>
      <w:r>
        <w:tab/>
        <w:t>Ir-Regolament tal-Kunsill (UE) …/… li jistabbilixxi l-Istrument għal Kooperazzjoni fil-qasam tas-Sikurezza Nukleari u d-Dekummissjonar għall-perjodu 2028-2034 u li jħassar ir-Regolamenti (Euratom) 2021/100 u (Euratom) 2021/948 (ĠU, …, … ELI: …).</w:t>
      </w:r>
    </w:p>
  </w:footnote>
  <w:footnote w:id="6">
    <w:p w:rsidR="00D544CF" w:rsidRPr="00D5726B" w:rsidP="00D544CF" w14:paraId="063097BC" w14:textId="77777777">
      <w:pPr>
        <w:pStyle w:val="FootnoteText"/>
      </w:pPr>
      <w:r>
        <w:rPr>
          <w:rStyle w:val="FootnoteReference"/>
        </w:rPr>
        <w:footnoteRef/>
      </w:r>
      <w:r>
        <w:tab/>
        <w:t xml:space="preserve">Ir-Regolament (UE, Euratom) 2024/2509 tal-Parlament Ewropew u tal-Kunsill tat-23 ta’ Settembru 2024 dwar ir-regoli finanzjarji applikabbli għall-baġit ġenerali tal-Unjoni (ĠU L, 2024/2509, 26.9.2024, ELI: </w:t>
      </w:r>
      <w:hyperlink r:id="rId4" w:history="1">
        <w:r>
          <w:rPr>
            <w:rStyle w:val="Hyperlink"/>
          </w:rPr>
          <w:t>http://data.europa.eu/eli/reg/2024/2509/oj</w:t>
        </w:r>
      </w:hyperlink>
      <w:r>
        <w:t>).</w:t>
      </w:r>
    </w:p>
  </w:footnote>
  <w:footnote w:id="7">
    <w:p w:rsidR="00D544CF" w:rsidRPr="00D5726B" w:rsidP="00D544CF" w14:paraId="1139BD53" w14:textId="77777777">
      <w:pPr>
        <w:pStyle w:val="FootnoteText"/>
      </w:pPr>
      <w:r>
        <w:rPr>
          <w:rStyle w:val="FootnoteReference"/>
        </w:rPr>
        <w:footnoteRef/>
      </w:r>
      <w:r>
        <w:tab/>
        <w:t xml:space="preserve">Ir-Regolament (UE, Euratom) Nru 883/2013 tal-Parlament Ewropew u tal-Kunsill tal-11 ta’ Settembru 2013 dwar investigazzjonijiet immexxija mill-Uffiċċju Ewropew Kontra l-Frodi (OLAF) u li jħassar ir-Regolament tal-Parlament Ewropew u tal-Kunsill (KE) Nru 1073/1999 u r-Regolament tal-Kunsill (Euratom) Nru 1074/1999 (ĠU L 248, 18.9.2013, p. 1, ELI: </w:t>
      </w:r>
      <w:hyperlink r:id="rId5" w:history="1">
        <w:r>
          <w:rPr>
            <w:rStyle w:val="Hyperlink"/>
          </w:rPr>
          <w:t>http://data.europa.eu/eli/reg/2013/883/oj</w:t>
        </w:r>
      </w:hyperlink>
      <w:r>
        <w:t>).</w:t>
      </w:r>
    </w:p>
  </w:footnote>
  <w:footnote w:id="8">
    <w:p w:rsidR="00D544CF" w:rsidRPr="00D5726B" w:rsidP="00D544CF" w14:paraId="6F20CB34" w14:textId="77777777">
      <w:pPr>
        <w:pStyle w:val="FootnoteText"/>
      </w:pPr>
      <w:r>
        <w:rPr>
          <w:rStyle w:val="FootnoteReference"/>
        </w:rPr>
        <w:footnoteRef/>
      </w:r>
      <w:r>
        <w:tab/>
        <w:t xml:space="preserve">Ir-Regolament tal-Kunsill (KE, Euratom) Nru 2988/95 tat-18 ta’ Diċembru 1995 dwar il-protezzjoni tal-interessi finanzjarji tal-Komunità Ewropea (ĠU L 312, 23.12.95, p. 1, ELI: </w:t>
      </w:r>
      <w:hyperlink r:id="rId6" w:history="1">
        <w:r>
          <w:rPr>
            <w:rStyle w:val="Hyperlink"/>
          </w:rPr>
          <w:t>http://data.europa.eu/eli/reg/1995/2988/oj</w:t>
        </w:r>
      </w:hyperlink>
      <w:r>
        <w:t>).</w:t>
      </w:r>
    </w:p>
  </w:footnote>
  <w:footnote w:id="9">
    <w:p w:rsidR="00D544CF" w:rsidRPr="00D5726B" w:rsidP="00D544CF" w14:paraId="5820709E" w14:textId="77777777">
      <w:pPr>
        <w:pStyle w:val="FootnoteText"/>
      </w:pPr>
      <w:r>
        <w:rPr>
          <w:rStyle w:val="FootnoteReference"/>
        </w:rPr>
        <w:footnoteRef/>
      </w:r>
      <w:r>
        <w:tab/>
        <w:t xml:space="preserve">Ir-Regolament tal-Kunsill (Euratom, KE) Nru 2185/96 tal-11 ta’ Novembru 1996 dwar il-verifiki u l-ispezzjonijiet fuq il-post imwettqa mill-Kummissjoni sabiex tipproteġi l-interessi finanzjarji tal-Komunità Ewropea kontra l-frodi u irregolaritajiet oħra (ĠU L 292,15.11.96, p. 2, ELI: </w:t>
      </w:r>
      <w:hyperlink r:id="rId7" w:history="1">
        <w:r>
          <w:rPr>
            <w:rStyle w:val="Hyperlink"/>
          </w:rPr>
          <w:t>http://data.europa.eu/eli/reg/1996/2185/oj</w:t>
        </w:r>
      </w:hyperlink>
      <w:r>
        <w:t>).</w:t>
      </w:r>
    </w:p>
  </w:footnote>
  <w:footnote w:id="10">
    <w:p w:rsidR="00D544CF" w:rsidRPr="00D5726B" w:rsidP="00D544CF" w14:paraId="6F8D386F" w14:textId="77777777">
      <w:pPr>
        <w:pStyle w:val="FootnoteText"/>
      </w:pPr>
      <w:r>
        <w:rPr>
          <w:rStyle w:val="FootnoteReference"/>
        </w:rPr>
        <w:footnoteRef/>
      </w:r>
      <w:r>
        <w:tab/>
        <w:t>Ir-Regolament tal-Kunsill (UE) 2017/1939 tat-12 ta’ Ottubru 2017 li jimplimenta kooperazzjoni msaħħa dwar l-istabbiliment tal-Uffiċċju tal-Prosekutur Pubbliku Ewropew (“l-UPPE”) (ĠU L 283, 31.10.2017, p. 1, ELI: http://data.europa.eu/eli/reg/2017/1939/oj).</w:t>
      </w:r>
    </w:p>
  </w:footnote>
  <w:footnote w:id="11">
    <w:p w:rsidR="00D544CF" w:rsidRPr="00D5726B" w:rsidP="00D544CF" w14:paraId="17BAEEC4" w14:textId="77777777">
      <w:pPr>
        <w:pStyle w:val="FootnoteText"/>
      </w:pPr>
      <w:r>
        <w:rPr>
          <w:rStyle w:val="FootnoteReference"/>
        </w:rPr>
        <w:footnoteRef/>
      </w:r>
      <w:r>
        <w:tab/>
        <w:t xml:space="preserve">Id-Direttiva (UE) 2017/1371 tal-Parlament Ewropew u tal-Kunsill tal-5 ta’ Lulju 2017 dwar il-ġlieda kontra l-frodi tal-interessi finanzjarji tal-Unjoni permezz tal-liġi kriminali (ĠU L 198, 28.7.2017, p. 29, </w:t>
      </w:r>
      <w:hyperlink r:id="rId8" w:history="1">
        <w:r>
          <w:rPr>
            <w:rStyle w:val="Hyperlink"/>
          </w:rPr>
          <w:t>ELI: http://data.europa.eu/eli/dir/2017/1371/oj</w:t>
        </w:r>
      </w:hyperlink>
      <w:r>
        <w:t>).</w:t>
      </w:r>
    </w:p>
  </w:footnote>
  <w:footnote w:id="12">
    <w:p w:rsidR="00D544CF" w:rsidRPr="00D5726B" w:rsidP="00D544CF" w14:paraId="7966932A" w14:textId="77777777">
      <w:pPr>
        <w:pStyle w:val="FootnoteText"/>
      </w:pPr>
      <w:r>
        <w:rPr>
          <w:rStyle w:val="FootnoteReference"/>
        </w:rPr>
        <w:footnoteRef/>
      </w:r>
      <w:r>
        <w:tab/>
        <w:t>ĠU L.., p.</w:t>
      </w:r>
    </w:p>
  </w:footnote>
  <w:footnote w:id="13">
    <w:p w:rsidR="00D544CF" w:rsidRPr="00D5726B" w:rsidP="00D544CF" w14:paraId="6F28BAC6" w14:textId="77777777">
      <w:pPr>
        <w:pStyle w:val="FootnoteText"/>
      </w:pPr>
      <w:r>
        <w:rPr>
          <w:rStyle w:val="FootnoteReference"/>
        </w:rPr>
        <w:footnoteRef/>
      </w:r>
      <w:r>
        <w:tab/>
        <w:t>ĠU L.., p.</w:t>
      </w:r>
    </w:p>
  </w:footnote>
  <w:footnote w:id="14">
    <w:p w:rsidR="00D544CF" w:rsidRPr="00D5726B" w:rsidP="00D544CF" w14:paraId="08923C56" w14:textId="77777777">
      <w:pPr>
        <w:pStyle w:val="FootnoteText"/>
      </w:pPr>
      <w:r>
        <w:rPr>
          <w:rStyle w:val="FootnoteReference"/>
        </w:rPr>
        <w:footnoteRef/>
      </w:r>
      <w:r>
        <w:tab/>
        <w:t>ĠU L.., p.</w:t>
      </w:r>
    </w:p>
  </w:footnote>
  <w:footnote w:id="15">
    <w:p w:rsidR="00D544CF" w:rsidRPr="00D5726B" w:rsidP="00D544CF" w14:paraId="6D217333" w14:textId="77777777">
      <w:pPr>
        <w:pStyle w:val="FootnoteText"/>
      </w:pPr>
      <w:r>
        <w:rPr>
          <w:rStyle w:val="FootnoteReference"/>
        </w:rPr>
        <w:footnoteRef/>
      </w:r>
      <w:r>
        <w:tab/>
        <w:t xml:space="preserve">Ir-Regolament tal-Kunsill (UE) 2021/101 tal-25 ta’ Jannar 2021 li jistabbilixxi l-programm ta’ assistenza għad-dekummissjonar nukleari tal-impjant tal-enerġija nukleari ta’ Ignalina fil-Litwanja u li jħassar ir-Regolament (UE) Nru 1369/2013 (ĠU L 34, 1.2.2021, p. 6, ELI: </w:t>
      </w:r>
      <w:hyperlink r:id="rId9" w:history="1">
        <w:r>
          <w:rPr>
            <w:rStyle w:val="Hyperlink"/>
          </w:rPr>
          <w:t>http://data.europa.eu/eli/reg/2021/101/oj</w:t>
        </w:r>
      </w:hyperlink>
      <w:r>
        <w:t>).</w:t>
      </w:r>
    </w:p>
  </w:footnote>
  <w:footnote w:id="16">
    <w:p w:rsidR="00D544CF" w:rsidRPr="00D5726B" w:rsidP="00D544CF" w14:paraId="374D6211" w14:textId="77777777">
      <w:pPr>
        <w:pStyle w:val="FootnoteText"/>
      </w:pPr>
      <w:r>
        <w:rPr>
          <w:rStyle w:val="FootnoteReference"/>
        </w:rPr>
        <w:footnoteRef/>
      </w:r>
      <w:r>
        <w:t xml:space="preserve"> </w:t>
      </w:r>
      <w:r>
        <w:tab/>
        <w:t>Ir-Regolament tal-Kunsill 1369/2013 u r-Regolament tal-Kunsill (UE) 2021/101 dwar l-appoġġ tal-Unjoni għall-programm ta’ assistenza għad-dekummissjonar nukleari fil-Litwanja (ĠU L 346, 20.12.2013, p. 7, ELI: </w:t>
      </w:r>
      <w:hyperlink r:id="rId10" w:tooltip="Jagħti aċċess għal dan id-dokument permezz tal-URI tal-ELI." w:history="1">
        <w:r>
          <w:rPr>
            <w:rStyle w:val="Hyperlink"/>
          </w:rPr>
          <w:t>http://data.europa.eu/eli/reg/2013/1369/oj</w:t>
        </w:r>
      </w:hyperlink>
      <w:r>
        <w:t>).</w:t>
      </w:r>
    </w:p>
  </w:footnote>
  <w:footnote w:id="17">
    <w:p w:rsidR="00D544CF" w:rsidRPr="00D5726B" w:rsidP="00D544CF" w14:paraId="2EB7E771" w14:textId="77777777">
      <w:pPr>
        <w:pStyle w:val="FootnoteText"/>
      </w:pPr>
      <w:r>
        <w:rPr>
          <w:rStyle w:val="FootnoteReference"/>
        </w:rPr>
        <w:footnoteRef/>
      </w:r>
      <w:r>
        <w:tab/>
        <w:t xml:space="preserve">Ir-Rapport Speċjali Nru 22/2016 – “Programmi ta’ għajnuna tal-UE għad-dekummissjonar ta’ impjanti nukleari fil-Litwanja, fil-Bulgarija u s-Slovakkja: seħħ xi progress mill-2011 ’l hawn, iżda sfidi kruċjali huma mistennija </w:t>
      </w:r>
      <w:r>
        <w:t>fil-ġejjieni”, il-Qorti Ewropea tal-Awdituri.</w:t>
      </w:r>
    </w:p>
  </w:footnote>
  <w:footnote w:id="18">
    <w:p w:rsidR="00D544CF" w:rsidRPr="00D5726B" w:rsidP="00D544CF" w14:paraId="6036958B" w14:textId="77777777">
      <w:pPr>
        <w:pStyle w:val="FootnoteText"/>
      </w:pPr>
      <w:r>
        <w:rPr>
          <w:rStyle w:val="FootnoteReference"/>
        </w:rPr>
        <w:footnoteRef/>
      </w:r>
      <w:r>
        <w:tab/>
        <w:t xml:space="preserve">Ir-Regolament (UE) Nru 182/2011 tal-Parlament Ewropew u tal-Kunsill tas-16 ta’ Frar 2011 li jistabbilixxi r-regoli u l-prinċipji ġenerali dwar il-modalitajiet ta’ kontroll mill-Istati Membri tal-eżerċizzju mill-Kummissjoni tas-setgħat ta’ implimentazzjoni (ĠU L 55, 28.2.2011, p. 13, ELI: </w:t>
      </w:r>
      <w:hyperlink r:id="rId11" w:history="1">
        <w:r>
          <w:rPr>
            <w:rStyle w:val="Hyperlink"/>
          </w:rPr>
          <w:t>http://data.europa.eu/eli/reg/2011/182/oj</w:t>
        </w:r>
      </w:hyperlink>
      <w:r>
        <w:t>).</w:t>
      </w:r>
    </w:p>
  </w:footnote>
  <w:footnote w:id="19">
    <w:p w:rsidR="000A6F7B" w:rsidRPr="00D5726B" w14:paraId="2913D7E1" w14:textId="77777777">
      <w:pPr>
        <w:pStyle w:val="FootnoteText"/>
      </w:pPr>
      <w:r>
        <w:rPr>
          <w:rStyle w:val="FootnoteReference"/>
        </w:rPr>
        <w:footnoteRef/>
      </w:r>
      <w:r>
        <w:t xml:space="preserve"> Il-Ftehim Interistituzzjonali tal-20 ta’ Mejju 2021 bejn il-Parlament Ewropew, il-Kunsill tal-Unjoni Ewropea u l-Kummissjoni Ewropea dwar Reġistru Obbligatorju ta’ Trasparenza (ĠU L 207, 11.6.2021, p. 1, ELI: </w:t>
      </w:r>
      <w:hyperlink r:id="rId12" w:tooltip="http://data.europa.eu/eli/agree_interinstit/2021/611/oj" w:history="1">
        <w:r>
          <w:rPr>
            <w:rStyle w:val="Hyperlink"/>
          </w:rPr>
          <w:t>http://data.europa.eu/eli/agree_interinstit/2021/611/oj</w:t>
        </w:r>
      </w:hyperlink>
      <w:r>
        <w:t>).</w:t>
      </w:r>
    </w:p>
  </w:footnote>
  <w:footnote w:id="20">
    <w:p w:rsidR="000A6F7B" w:rsidRPr="00D5726B" w:rsidP="0095287B" w14:paraId="794D992B" w14:textId="77777777">
      <w:pPr>
        <w:pStyle w:val="FootnoteText"/>
      </w:pPr>
      <w:r>
        <w:rPr>
          <w:rStyle w:val="FootnoteReference"/>
        </w:rPr>
        <w:footnoteRef/>
      </w:r>
      <w:r>
        <w:t xml:space="preserve"> Il-proposta għal regolament tal-Parlament Ewropew u tal-Kunsill li jistabbilixxi qafas ta’ traċċar u ta’ prestazzjoni tan-nefqa baġitarja u regoli orizzontali oħra għall-programmi u għall-attivitajiet tal-Unjoni (COM(2025)0545).</w:t>
      </w:r>
    </w:p>
  </w:footnote>
  <w:footnote w:id="21">
    <w:p w:rsidR="000A6F7B" w:rsidRPr="00D5726B" w14:paraId="30F9FCEF" w14:textId="77777777">
      <w:pPr>
        <w:pStyle w:val="FootnoteText"/>
      </w:pPr>
      <w:r>
        <w:rPr>
          <w:rStyle w:val="FootnoteReference"/>
        </w:rPr>
        <w:footnoteRef/>
      </w:r>
      <w:r>
        <w:t xml:space="preserve"> Ir-Regolament (UE, Euratom) 2024/2509 tal-Parlament Ewropew u tal-Kunsill tat-23 ta’ Settembru 2024 dwar ir-regoli finanzjarji applikabbli għall-baġit ġenerali tal-Unjoni (ĠU L, 2024/2509, 26.9.2024, ELI: </w:t>
      </w:r>
      <w:hyperlink r:id="rId4" w:history="1">
        <w:r>
          <w:rPr>
            <w:rStyle w:val="Hyperlink"/>
          </w:rPr>
          <w:t>http://data.europa.eu/eli/reg/2024/2509/oj</w:t>
        </w:r>
      </w:hyperlink>
      <w:r>
        <w:t>).</w:t>
      </w:r>
    </w:p>
  </w:footnote>
  <w:footnote w:id="22">
    <w:p w:rsidR="000A6F7B" w:rsidRPr="00D5726B" w14:paraId="01692F79" w14:textId="77777777">
      <w:pPr>
        <w:pStyle w:val="FootnoteText"/>
      </w:pPr>
      <w:r>
        <w:rPr>
          <w:rStyle w:val="FootnoteReference"/>
        </w:rPr>
        <w:footnoteRef/>
      </w:r>
      <w:r>
        <w:t xml:space="preserve"> Il-Ftehim Interistituzzjonali tal-20 ta’ Mejju 2021 bejn il-Parlament Ewropew, il-Kunsill tal-Unjoni Ewropea u l-Kummissjoni Ewropea dwar Reġistru Obbligatorju ta’ Trasparenza (ĠU L 207, 11.6.2021, p. 1, ELI: </w:t>
      </w:r>
      <w:hyperlink r:id="rId1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D66" w14:paraId="7FC9BB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D66" w14:paraId="27CF992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D66" w14:paraId="09FA8FE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899" w14:paraId="19F60B7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899" w14:paraId="13987F4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1899" w14:paraId="08E227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6D2EA2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5E6F736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523C56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6CB082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7A958CDB"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F7B" w14:paraId="6331887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F13283C"/>
    <w:multiLevelType w:val="hybridMultilevel"/>
    <w:tmpl w:val="5B46F14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90"/>
    <w:rsid w:val="00001657"/>
    <w:rsid w:val="00006604"/>
    <w:rsid w:val="00015145"/>
    <w:rsid w:val="00030EC9"/>
    <w:rsid w:val="00037518"/>
    <w:rsid w:val="00041F5F"/>
    <w:rsid w:val="000426E6"/>
    <w:rsid w:val="00086351"/>
    <w:rsid w:val="00093D90"/>
    <w:rsid w:val="000A4536"/>
    <w:rsid w:val="000A6F7B"/>
    <w:rsid w:val="000B0781"/>
    <w:rsid w:val="000C3AE7"/>
    <w:rsid w:val="000D3EA7"/>
    <w:rsid w:val="000E6E7C"/>
    <w:rsid w:val="001018CD"/>
    <w:rsid w:val="00144FDA"/>
    <w:rsid w:val="00147FBF"/>
    <w:rsid w:val="00151370"/>
    <w:rsid w:val="001530A6"/>
    <w:rsid w:val="00163233"/>
    <w:rsid w:val="0016521D"/>
    <w:rsid w:val="001666EA"/>
    <w:rsid w:val="001673D1"/>
    <w:rsid w:val="00187D09"/>
    <w:rsid w:val="001A03FF"/>
    <w:rsid w:val="001C6342"/>
    <w:rsid w:val="001D0944"/>
    <w:rsid w:val="001E2509"/>
    <w:rsid w:val="00231EA7"/>
    <w:rsid w:val="002413CE"/>
    <w:rsid w:val="00281103"/>
    <w:rsid w:val="002A29C9"/>
    <w:rsid w:val="002B14C1"/>
    <w:rsid w:val="00304041"/>
    <w:rsid w:val="003409AC"/>
    <w:rsid w:val="0036124C"/>
    <w:rsid w:val="003858C5"/>
    <w:rsid w:val="0039667E"/>
    <w:rsid w:val="003C01A7"/>
    <w:rsid w:val="003C1D56"/>
    <w:rsid w:val="00422BB2"/>
    <w:rsid w:val="00477DD4"/>
    <w:rsid w:val="004C3AA7"/>
    <w:rsid w:val="004D7111"/>
    <w:rsid w:val="004E281B"/>
    <w:rsid w:val="00540649"/>
    <w:rsid w:val="005536D9"/>
    <w:rsid w:val="00556490"/>
    <w:rsid w:val="00572F84"/>
    <w:rsid w:val="00576D96"/>
    <w:rsid w:val="00586427"/>
    <w:rsid w:val="005A17F6"/>
    <w:rsid w:val="005B43A9"/>
    <w:rsid w:val="00604ACF"/>
    <w:rsid w:val="00604C5F"/>
    <w:rsid w:val="0061070D"/>
    <w:rsid w:val="00621CA3"/>
    <w:rsid w:val="006272C3"/>
    <w:rsid w:val="006321DA"/>
    <w:rsid w:val="00662DA9"/>
    <w:rsid w:val="006679DD"/>
    <w:rsid w:val="00685CEB"/>
    <w:rsid w:val="0069092A"/>
    <w:rsid w:val="006A2838"/>
    <w:rsid w:val="006A42A6"/>
    <w:rsid w:val="006D2610"/>
    <w:rsid w:val="006D5F2F"/>
    <w:rsid w:val="006D7BAD"/>
    <w:rsid w:val="006F69A1"/>
    <w:rsid w:val="007041CC"/>
    <w:rsid w:val="007152AF"/>
    <w:rsid w:val="00732D8B"/>
    <w:rsid w:val="00744EE7"/>
    <w:rsid w:val="00756663"/>
    <w:rsid w:val="0076354C"/>
    <w:rsid w:val="007B4AD8"/>
    <w:rsid w:val="007C041E"/>
    <w:rsid w:val="007E1042"/>
    <w:rsid w:val="007E58F5"/>
    <w:rsid w:val="007F1406"/>
    <w:rsid w:val="007F43F3"/>
    <w:rsid w:val="00817C1B"/>
    <w:rsid w:val="008201DA"/>
    <w:rsid w:val="00843FB1"/>
    <w:rsid w:val="0086183C"/>
    <w:rsid w:val="00861888"/>
    <w:rsid w:val="008707DB"/>
    <w:rsid w:val="00872C49"/>
    <w:rsid w:val="00882082"/>
    <w:rsid w:val="00883396"/>
    <w:rsid w:val="00894923"/>
    <w:rsid w:val="008A0590"/>
    <w:rsid w:val="008B0D5D"/>
    <w:rsid w:val="008B53A5"/>
    <w:rsid w:val="008B71C9"/>
    <w:rsid w:val="008E77EC"/>
    <w:rsid w:val="008F1A2D"/>
    <w:rsid w:val="00907308"/>
    <w:rsid w:val="00913305"/>
    <w:rsid w:val="009156B7"/>
    <w:rsid w:val="0094657E"/>
    <w:rsid w:val="0095287B"/>
    <w:rsid w:val="00956AEB"/>
    <w:rsid w:val="00964E01"/>
    <w:rsid w:val="009847F2"/>
    <w:rsid w:val="009A6DB6"/>
    <w:rsid w:val="009C6A9F"/>
    <w:rsid w:val="009F1D66"/>
    <w:rsid w:val="00A42861"/>
    <w:rsid w:val="00A459D6"/>
    <w:rsid w:val="00A5505B"/>
    <w:rsid w:val="00A80721"/>
    <w:rsid w:val="00A972F9"/>
    <w:rsid w:val="00AD5932"/>
    <w:rsid w:val="00AD6272"/>
    <w:rsid w:val="00AE7353"/>
    <w:rsid w:val="00B31C6A"/>
    <w:rsid w:val="00B375CF"/>
    <w:rsid w:val="00B37E07"/>
    <w:rsid w:val="00B410F4"/>
    <w:rsid w:val="00B7198C"/>
    <w:rsid w:val="00B735E3"/>
    <w:rsid w:val="00B83AC9"/>
    <w:rsid w:val="00B85286"/>
    <w:rsid w:val="00B90B7F"/>
    <w:rsid w:val="00BD0A00"/>
    <w:rsid w:val="00BD4F4F"/>
    <w:rsid w:val="00C15A48"/>
    <w:rsid w:val="00C26019"/>
    <w:rsid w:val="00C35B55"/>
    <w:rsid w:val="00C36610"/>
    <w:rsid w:val="00C4159D"/>
    <w:rsid w:val="00C53F0D"/>
    <w:rsid w:val="00C57E83"/>
    <w:rsid w:val="00C6355A"/>
    <w:rsid w:val="00C65A0D"/>
    <w:rsid w:val="00C6630E"/>
    <w:rsid w:val="00C7423A"/>
    <w:rsid w:val="00C85D0F"/>
    <w:rsid w:val="00CB1C53"/>
    <w:rsid w:val="00CD5561"/>
    <w:rsid w:val="00D431C0"/>
    <w:rsid w:val="00D44372"/>
    <w:rsid w:val="00D47F5D"/>
    <w:rsid w:val="00D544CF"/>
    <w:rsid w:val="00D5726B"/>
    <w:rsid w:val="00D87A68"/>
    <w:rsid w:val="00D87B1F"/>
    <w:rsid w:val="00D90B19"/>
    <w:rsid w:val="00DB0E0E"/>
    <w:rsid w:val="00DC4160"/>
    <w:rsid w:val="00E36568"/>
    <w:rsid w:val="00E568FC"/>
    <w:rsid w:val="00E57F50"/>
    <w:rsid w:val="00E66846"/>
    <w:rsid w:val="00E828BD"/>
    <w:rsid w:val="00E856D2"/>
    <w:rsid w:val="00EF03A3"/>
    <w:rsid w:val="00F00C08"/>
    <w:rsid w:val="00F24C34"/>
    <w:rsid w:val="00F261A9"/>
    <w:rsid w:val="00F27170"/>
    <w:rsid w:val="00F36B5C"/>
    <w:rsid w:val="00F41899"/>
    <w:rsid w:val="00F42F07"/>
    <w:rsid w:val="00F772D8"/>
    <w:rsid w:val="00FC46C1"/>
    <w:rsid w:val="00FC5EBC"/>
    <w:rsid w:val="00FD229D"/>
    <w:rsid w:val="00FE03B4"/>
    <w:rsid w:val="00FF3597"/>
    <w:rsid w:val="00FF5ECD"/>
  </w:rsids>
  <w:docVars>
    <w:docVar w:name="AUTHORMFPMNU" w:val=" 1"/>
    <w:docVar w:name="COMKEY" w:val="ITRE"/>
    <w:docVar w:name="CONTRIBUTIONMNU" w:val=" 1"/>
    <w:docVar w:name="LastEditedSection" w:val=" 1"/>
    <w:docVar w:name="NVAR1" w:val="0"/>
    <w:docVar w:name="RepeatBlock-Amend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1\fbidi \froman\fcharset238\fprq2 Times New Roman CE;}{\f1352\fbidi \froman\fcharset204\fprq2 Times New Roman Cyr;}&#13;_x000a_{\f1354\fbidi \froman\fcharset161\fprq2 Times New Roman Greek;}{\f1355\fbidi \froman\fcharset162\fprq2 Times New Roman Tur;}{\f1356\fbidi \froman\fcharset177\fprq2 Times New Roman (Hebrew);}&#13;_x000a_{\f1357\fbidi \froman\fcharset178\fprq2 Times New Roman (Arabic);}{\f1358\fbidi \froman\fcharset186\fprq2 Times New Roman Baltic;}{\f1359\fbidi \froman\fcharset163\fprq2 Times New Roman (Vietnamese);}{\f1361\fbidi \fswiss\fcharset238\fprq2 Arial CE;}&#13;_x000a_{\f1362\fbidi \fswiss\fcharset204\fprq2 Arial Cyr;}{\f1364\fbidi \fswiss\fcharset161\fprq2 Arial Greek;}{\f1365\fbidi \fswiss\fcharset162\fprq2 Arial Tur;}{\f1366\fbidi \fswiss\fcharset177\fprq2 Arial (Hebrew);}&#13;_x000a_{\f1367\fbidi \fswiss\fcharset178\fprq2 Arial (Arabic);}{\f1368\fbidi \fswiss\fcharset186\fprq2 Arial Baltic;}{\f1369\fbidi \fswiss\fcharset163\fprq2 Arial (Vietnamese);}{\f1691\fbidi \froman\fcharset238\fprq2 Cambria Math CE;}&#13;_x000a_{\f1692\fbidi \froman\fcharset204\fprq2 Cambria Math Cyr;}{\f1694\fbidi \froman\fcharset161\fprq2 Cambria Math Greek;}{\f1695\fbidi \froman\fcharset162\fprq2 Cambria Math Tur;}{\f1698\fbidi \froman\fcharset186\fprq2 Cambria Math Baltic;}&#13;_x000a_{\f1699\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10516 HideTWBExt;}{\*\cs18 \additive \v\f1\fs20\cf15 &#13;_x000a_\spriority0 \styrsid810516 HideTWBInt;}{\s19\ql \li0\ri0\sa120\nowidctlpar\wrapdefault\aspalpha\aspnum\faauto\adjustright\rin0\lin0\itap0 \rtlch\fcs1 \af0\afs20\alang1025 \ltrch\fcs0 \fs24\lang1082\langfe2057\cgrid\langnp1082\langfenp2057 &#13;_x000a_\sbasedon0 \snext19 \spriority0 \styrsid810516 Normal6a;}{\s20\ql \li0\ri0\nowidctlpar\wrapdefault\aspalpha\aspnum\faauto\adjustright\rin0\lin0\itap0 \rtlch\fcs1 \af0\afs20\alang1025 \ltrch\fcs0 \b\fs24\lang1082\langfe2057\cgrid\langnp1082\langfenp2057 &#13;_x000a_\sbasedon0 \snext20 \spriority0 \styrsid810516 NormalBold;}{\s21\ql \li0\ri0\sa240\nowidctlpar\wrapdefault\aspalpha\aspnum\faauto\adjustright\rin0\lin0\itap0 \rtlch\fcs1 \af0\afs20\alang1025 \ltrch\fcs0 &#13;_x000a_\i\fs24\lang1082\langfe2057\cgrid\langnp1082\langfenp2057 \sbasedon0 \snext21 \spriority0 \styrsid810516 AmJustText;}{\s22\qc \li0\ri0\sb240\sa240\nowidctlpar\wrapdefault\aspalpha\aspnum\faauto\adjustright\rin0\lin0\itap0 \rtlch\fcs1 \af0\afs20\alang1025 &#13;_x000a_\ltrch\fcs0 \i\fs24\lang1082\langfe2057\cgrid\langnp1082\langfenp2057 \sbasedon0 \snext22 \spriority0 \styrsid810516 AmCrossRef;}{\s23\qc \li0\ri0\sb240\sa240\keepn\nowidctlpar\wrapdefault\aspalpha\aspnum\faauto\adjustright\rin0\lin0\itap0 \rtlch\fcs1 &#13;_x000a_\af0\afs20\alang1025 \ltrch\fcs0 \i\fs24\lang1082\langfe2057\cgrid\langnp1082\langfenp2057 \sbasedon0 \snext21 \spriority0 \styrsid810516 AmJustTitle;}{&#13;_x000a_\s24\qr \li0\ri0\sb240\sa240\nowidctlpar\wrapdefault\aspalpha\aspnum\faauto\adjustright\rin0\lin0\itap0 \rtlch\fcs1 \af0\afs20\alang1025 \ltrch\fcs0 \fs24\lang1082\langfe2057\cgrid\langnp1082\langfenp2057 \sbasedon0 \snext24 \spriority0 \styrsid810516 &#13;_x000a_AmOrLang;}{\s25\qc \li0\ri0\sa240\nowidctlpar\wrapdefault\aspalpha\aspnum\faauto\adjustright\rin0\lin0\itap0 \rtlch\fcs1 \af0\afs20\alang1025 \ltrch\fcs0 \i\fs24\lang1082\langfe2057\cgrid\langnp1082\langfenp2057 &#13;_x000a_\sbasedon0 \snext25 \spriority0 \styrsid81051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82\langfe2057\cgrid\langnp1082\langfenp2057 \sbasedon0 \snext26 \spriority0 \styrsid810516 AmNumberTabs;}{\s27\ql \li0\ri0\sa240\nowidctlpar\wrapdefault\aspalpha\aspnum\faauto\adjustright\rin0\lin0\itap0 \rtlch\fcs1 &#13;_x000a_\af0\afs20\alang1025 \ltrch\fcs0 \b\fs24\lang1082\langfe2057\cgrid\langnp1082\langfenp2057 \sbasedon0 \snext27 \spriority0 \styrsid810516 NormalBold12a;}}{\*\rsidtbl \rsid24658\rsid223860\rsid735077\rsid810516\rsid997658\rsid1718133\rsid2892074&#13;_x000a_\rsid3565327\rsid3831831\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SCIRTO GAUCI Lindsay}{\operator SCIRTO GAUCI Lindsay}{\creatim\yr2026\mo7\dy13\hr12\min25}{\revtim\yr2026\mo7\dy13\hr12\min25}{\version1}&#13;_x000a_{\edmins0}{\nofpages1}{\nofwords94}{\nofchars677}{\nofcharsws76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10516\newtblstyruls\nogrowautofit\usenormstyforlist\noindnmbrts\felnbrelev\nocxsptable\indrlsweleven\noafcnsttbl\afelev\utinl\hwelev\spltpgpar\notcvasp\notbrkcnstfrctbl\notvatxbx\krnprsnet\cachedcolbal \nouicompat \fet0&#13;_x000a_{\*\wgrffmtfilter 013f}\nofeaturethrottle1\ilfomacatclnup0{\*\template C:\\Users\\LSCIRT~1\\AppData\\Local\\Temp\\Blank1.dotx}{\*\ftnsep \ltrpar \pard\plain \ltrpar\ql \li0\ri0\widctlpar\wrapdefault\aspalpha\aspnum\faauto\adjustright\rin0\lin0\itap0 &#13;_x000a_\rtlch\fcs1 \af0\afs20\alang1025 \ltrch\fcs0 \fs24\lang2057\langfe2057\cgrid\langnp2057\langfenp2057 {\rtlch\fcs1 \af0 \ltrch\fcs0 \insrsid3831831 \chftnsep &#13;_x000a_\par }}{\*\ftnsepc \ltrpar \pard\plain \ltrpar\ql \li0\ri0\widctlpar\wrapdefault\aspalpha\aspnum\faauto\adjustright\rin0\lin0\itap0 \rtlch\fcs1 \af0\afs20\alang1025 \ltrch\fcs0 \fs24\lang2057\langfe2057\cgrid\langnp2057\langfenp2057 {\rtlch\fcs1 \af0 &#13;_x000a_\ltrch\fcs0 \insrsid3831831 \chftnsepc &#13;_x000a_\par }}{\*\aftnsep \ltrpar \pard\plain \ltrpar\ql \li0\ri0\widctlpar\wrapdefault\aspalpha\aspnum\faauto\adjustright\rin0\lin0\itap0 \rtlch\fcs1 \af0\afs20\alang1025 \ltrch\fcs0 \fs24\lang2057\langfe2057\cgrid\langnp2057\langfenp2057 {\rtlch\fcs1 \af0 &#13;_x000a_\ltrch\fcs0 \insrsid3831831 \chftnsep &#13;_x000a_\par }}{\*\aftnsepc \ltrpar \pard\plain \ltrpar\ql \li0\ri0\widctlpar\wrapdefault\aspalpha\aspnum\faauto\adjustright\rin0\lin0\itap0 \rtlch\fcs1 \af0\afs20\alang1025 \ltrch\fcs0 \fs24\lang2057\langfe2057\cgrid\langnp2057\langfenp2057 {\rtlch\fcs1 \af0 &#13;_x000a_\ltrch\fcs0 \insrsid383183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810516 \rtlch\fcs1 &#13;_x000a_\af0\afs20\alang1025 \ltrch\fcs0 \b\fs24\lang1082\langfe2057\cgrid\langnp1082\langfenp2057 {\rtlch\fcs1 \af0 \ltrch\fcs0 \cs17\b0\v\fs20\cf9\lang1024\langfe1024\loch\af1\hich\af1\dbch\af31501\noproof\insrsid810516\charrsid598108 {\*\bkmkstart restart}&#13;_x000a_\hich\af1\dbch\af31501\loch\f1 &lt;Amend&gt;}{\rtlch\fcs1 \af0 \ltrch\fcs0 \insrsid810516\charrsid598108 Emenda\tab \tab }{\rtlch\fcs1 \af0 \ltrch\fcs0 \cs17\b0\v\fs20\cf9\lang1024\langfe1024\loch\af1\hich\af1\dbch\af31501\noproof\insrsid810516\charrsid598108 &#13;_x000a_\hich\af1\dbch\af31501\loch\f1 &lt;NumAm&gt;}{\rtlch\fcs1 \af0 \ltrch\fcs0 \insrsid810516\charrsid598108 #}{\rtlch\fcs1 \af1 \ltrch\fcs0 \cs18\v\f1\fs20\cf15\insrsid810516\charrsid598108 ENMIENDA@NRAM@}{\rtlch\fcs1 \af0 \ltrch\fcs0 &#13;_x000a_\insrsid810516\charrsid598108 #}{\rtlch\fcs1 \af0 \ltrch\fcs0 \cs17\b0\v\fs20\cf9\lang1024\langfe1024\loch\af1\hich\af1\dbch\af31501\noproof\insrsid810516\charrsid598108 \hich\af1\dbch\af31501\loch\f1 &lt;/NumAm&gt;}{\rtlch\fcs1 \af0 \ltrch\fcs0 &#13;_x000a_\insrsid810516\charrsid598108 &#13;_x000a_\par }\pard\plain \ltrpar\s27\ql \li0\ri0\sa240\keepn\nowidctlpar\wrapdefault\aspalpha\aspnum\faauto\adjustright\rin0\lin0\itap0\pararsid810516 \rtlch\fcs1 \af0\afs20\alang1025 \ltrch\fcs0 \b\fs24\lang1082\langfe2057\cgrid\langnp1082\langfenp2057 {\rtlch\fcs1 &#13;_x000a_\af0 \ltrch\fcs0 \cs17\b0\v\fs20\cf9\lang1024\langfe1024\loch\af1\hich\af1\dbch\af31501\noproof\insrsid810516\charrsid598108 \hich\af1\dbch\af31501\loch\f1 &lt;DocAmend&gt;}{\rtlch\fcs1 \af0 \ltrch\fcs0 \insrsid810516\charrsid598108 #}{\rtlch\fcs1 \af1 &#13;_x000a_\ltrch\fcs0 \cs18\v\f1\fs20\cf15\insrsid810516\charrsid598108 MNU[PROPCOM][PROPCOM][PROPCOUNC][PROPCOUNC][PROPCOUNC][PROPCOUNC]@CHOICE@TITLEMNU}{\rtlch\fcs1 \af0 \ltrch\fcs0 \insrsid810516\charrsid598108 # #}{\rtlch\fcs1 \af1 \ltrch\fcs0 &#13;_x000a_\cs18\v\f1\fs20\cf15\insrsid810516\charrsid598108 MNU[DOC1][DOC2][DOC3][DOC4]@CHOICE@DOCMNU}{\rtlch\fcs1 \af0 \ltrch\fcs0 \insrsid810516\charrsid598108 ##}{\rtlch\fcs1 \af1 \ltrch\fcs0 \cs18\v\f1\fs20\cf15\insrsid810516\charrsid598108 &#13;_x000a_MNU[AMACTYES][NOTAPP]@CHOICE@AMACTMNU}{\rtlch\fcs1 \af0 \ltrch\fcs0 \insrsid810516\charrsid598108 #}{\rtlch\fcs1 \af0 \ltrch\fcs0 \cs17\b0\v\fs20\cf9\lang1024\langfe1024\loch\af1\hich\af1\dbch\af31501\noproof\insrsid810516\charrsid598108 &#13;_x000a_\hich\af1\dbch\af31501\loch\f1 &lt;/DocAmend&gt;}{\rtlch\fcs1 \af0 \ltrch\fcs0 \insrsid810516\charrsid598108 &#13;_x000a_\par }\pard\plain \ltrpar\s20\ql \li0\ri0\keepn\nowidctlpar\wrapdefault\aspalpha\aspnum\faauto\adjustright\rin0\lin0\itap0\pararsid810516 \rtlch\fcs1 \af0\afs20\alang1025 \ltrch\fcs0 \b\fs24\lang1082\langfe2057\cgrid\langnp1082\langfenp2057 {\rtlch\fcs1 \af0 &#13;_x000a_\ltrch\fcs0 \cs17\b0\v\fs20\cf9\lang1024\langfe1024\loch\af1\hich\af1\dbch\af31501\noproof\insrsid810516\charrsid598108 \hich\af1\dbch\af31501\loch\f1 &lt;Article&gt;}{\rtlch\fcs1 \af0 \ltrch\fcs0 \insrsid810516\charrsid598108 #}{\rtlch\fcs1 \af1 \ltrch\fcs0 &#13;_x000a_\cs18\v\f1\fs20\cf15\insrsid810516\charrsid598108 MNU[AMACTPARTYES][AMACTPARTNO]@CHOICE@AMACTMNU}{\rtlch\fcs1 \af0 \ltrch\fcs0 \insrsid810516\charrsid598108 #}{\rtlch\fcs1 \af0 \ltrch\fcs0 &#13;_x000a_\cs17\b0\v\fs20\cf9\lang1024\langfe1024\loch\af1\hich\af1\dbch\af31501\noproof\insrsid810516\charrsid598108 \hich\af1\dbch\af31501\loch\f1 &lt;/Article&gt;}{\rtlch\fcs1 \af0 \ltrch\fcs0 \insrsid810516\charrsid598108 &#13;_x000a_\par }\pard\plain \ltrpar\ql \li0\ri0\keepn\widctlpar\wrapdefault\aspalpha\aspnum\faauto\adjustright\rin0\lin0\itap0\pararsid810516 \rtlch\fcs1 \af0\afs20\alang1025 \ltrch\fcs0 \fs24\lang2057\langfe2057\cgrid\langnp2057\langfenp2057 {\rtlch\fcs1 \af0 &#13;_x000a_\ltrch\fcs0 \cs17\v\fs20\cf9\lang1024\langfe1024\loch\af1\hich\af1\dbch\af31501\noproof\langnp1082\insrsid810516\charrsid598108 \hich\af1\dbch\af31501\loch\f1 &lt;DocAmend2&gt;&lt;OptDel&gt;}{\rtlch\fcs1 \af0 \ltrch\fcs0 &#13;_x000a_\lang1082\langfe2057\langnp1082\insrsid810516\charrsid598108 #}{\rtlch\fcs1 \af1 \ltrch\fcs0 \cs18\v\f1\fs20\cf15\lang1082\langfe2057\langnp1082\insrsid810516\charrsid598108 MNU[OPTNRACTYES][NOTAPP]@CHOICE@AMACTMNU}{\rtlch\fcs1 \af0 \ltrch\fcs0 &#13;_x000a_\lang1082\langfe2057\langnp1082\insrsid810516\charrsid598108 #}{\rtlch\fcs1 \af0 \ltrch\fcs0 \cs17\v\fs20\cf9\lang1024\langfe1024\loch\af1\hich\af1\dbch\af31501\noproof\langnp1082\insrsid810516\charrsid598108 \hich\af1\dbch\af31501\loch\f1 &#13;_x000a_&lt;/OptDel&gt;&lt;/DocAmend2&gt;}{\rtlch\fcs1 \af0 \ltrch\fcs0 \lang1082\langfe2057\langnp1082\insrsid810516\charrsid598108 &#13;_x000a_\par }\pard \ltrpar\ql \li0\ri0\widctlpar\wrapdefault\aspalpha\aspnum\faauto\adjustright\rin0\lin0\itap0\pararsid810516 {\rtlch\fcs1 \af0 \ltrch\fcs0 &#13;_x000a_\cs17\v\fs20\cf9\lang1024\langfe1024\loch\af1\hich\af1\dbch\af31501\noproof\langnp1082\insrsid810516\charrsid598108 \hich\af1\dbch\af31501\loch\f1 &lt;Article2&gt;&lt;OptDel&gt;}{\rtlch\fcs1 \af0 \ltrch\fcs0 &#13;_x000a_\lang1082\langfe2057\langnp1082\insrsid810516\charrsid598108 #}{\rtlch\fcs1 \af1 \ltrch\fcs0 \cs18\v\f1\fs20\cf15\lang1082\langfe2057\langnp1082\insrsid810516\charrsid598108 MNU[OPTACTPARTYES][NOTAPP]@CHOICE@AMACTMNU}{\rtlch\fcs1 \af0 \ltrch\fcs0 &#13;_x000a_\lang1082\langfe2057\langnp1082\insrsid810516\charrsid598108 #}{\rtlch\fcs1 \af0 \ltrch\fcs0 \cs17\v\fs20\cf9\lang1024\langfe1024\loch\af1\hich\af1\dbch\af31501\noproof\langnp1082\insrsid810516\charrsid598108 \hich\af1\dbch\af31501\loch\f1 &#13;_x000a_&lt;/OptDel&gt;&lt;/Article2&gt;}{\rtlch\fcs1 \af0 \ltrch\fcs0 \lang1082\langfe2057\langnp1082\insrsid810516\charrsid598108 &#13;_x000a_\par \ltrrow}\trowd \ltrrow\ts11\trqc\trgaph340\trleft0\trftsWidth3\trwWidth9752\trftsWidthB3\trpaddl340\trpaddr340\trpaddfl3\trpaddft3\trpaddfb3\trpaddfr3\tblrsid9850369\tblind0\tblindtype3 \clvertalt\clbrdrt\brdrtbl \clbrdrl\brdrtbl \clbrdrb\brdrtbl \clbrdrr&#13;_x000a_\brdrtbl \cltxlrtb\clftsWidth3\clwWidth9752\clshdrawnil \cellx9752\pard\plain \ltrpar\ql \li0\ri0\keepn\widctlpar\intbl\wrapdefault\aspalpha\aspnum\faauto\adjustright\rin0\lin0\pararsid5719 \rtlch\fcs1 \af0\afs20\alang1025 \ltrch\fcs0 &#13;_x000a_\fs24\lang2057\langfe2057\cgrid\langnp2057\langfenp2057 {\rtlch\fcs1 \af0 \ltrch\fcs0 \lang1082\langfe2057\langnp1082\insrsid810516\charrsid598108 \cell }\pard\plain \ltrpar&#13;_x000a_\ql \li0\ri0\widctlpar\intbl\wrapdefault\aspalpha\aspnum\faauto\adjustright\rin0\lin0 \rtlch\fcs1 \af0\afs20\alang1025 \ltrch\fcs0 \fs24\lang2057\langfe2057\cgrid\langnp2057\langfenp2057 {\rtlch\fcs1 \af0 \ltrch\fcs0 &#13;_x000a_\lang1082\langfe2057\langnp1082\insrsid810516\charrsid598108 \trowd \ltrrow\ts11\trqc\trgaph340\trleft0\trftsWidth3\trwWidth9752\trftsWidthB3\trpaddl340\trpaddr340\trpaddfl3\trpaddft3\trpaddfb3\trpaddfr3\tblrsid9850369\tblind0\tblindtype3 \clvertalt&#13;_x000a_\clbrdrt\brdrtbl \clbrdrl\brdrtbl \clbrdrb\brdrtbl \clbrdrr\brdrtbl \cltxlrtb\clftsWidth3\clwWidth9752\clshdrawnil \cellx9752\row \ltrrow}\trowd \ltrrow&#13;_x000a_\ts11\trqc\trgaph340\trleft0\trftsWidth3\trwWidth9752\trftsWidthB3\trpaddl340\trpaddr340\trpaddfl3\trpaddft3\trpaddfb3\trpaddfr3\tblrsid9850369\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5\qc \li0\ri0\sa240\keepn\nowidctlpar\intbl\wrapdefault\aspalpha\aspnum\faauto\adjustright\rin0\lin0\pararsid5719 \rtlch\fcs1 \af0\afs20\alang1025 \ltrch\fcs0 \i\fs24\lang1082\langfe2057\cgrid\langnp1082\langfenp2057 {\rtlch\fcs1 \af0 \ltrch\fcs0 &#13;_x000a_\insrsid810516\charrsid598108 #}{\rtlch\fcs1 \af1 \ltrch\fcs0 \cs18\v\f1\fs20\cf15\insrsid810516\charrsid598108 MNU[OPTLEFTAMACT][LEFTPROP]@CHOICE@AMACTMNU}{\rtlch\fcs1 \af0 \ltrch\fcs0 \insrsid810516\charrsid598108 #\cell Emenda\cell }\pard\plain \ltrpar&#13;_x000a_\ql \li0\ri0\widctlpar\intbl\wrapdefault\aspalpha\aspnum\faauto\adjustright\rin0\lin0 \rtlch\fcs1 \af0\afs20\alang1025 \ltrch\fcs0 \fs24\lang2057\langfe2057\cgrid\langnp2057\langfenp2057 {\rtlch\fcs1 \af0 \ltrch\fcs0 &#13;_x000a_\lang1082\langfe2057\langnp1082\insrsid810516\charrsid598108 \trowd \ltrrow\ts11\trqc\trgaph340\trleft0\trftsWidth3\trwWidth9752\trftsWidthB3\trpaddl340\trpaddr340\trpaddfl3\trpaddft3\trpaddfb3\trpaddfr3\tblrsid9850369\tblind0\tblindtype3 \clvertalt&#13;_x000a_\clbrdrt\brdrtbl \clbrdrl\brdrtbl \clbrdrb\brdrtbl \clbrdrr\brdrtbl \cltxlrtb\clftsWidth3\clwWidth4876\clshdrawnil \cellx4876\clvertalt\clbrdrt\brdrtbl \clbrdrl\brdrtbl \clbrdrb\brdrtbl \clbrdrr\brdrtbl \cltxlrtb\clftsWidth3\clwWidth4876\clshdrawnil &#13;_x000a_\cellx9752\row \ltrrow}\pard\plain \ltrpar\s19\ql \li0\ri0\sa120\nowidctlpar\intbl\wrapdefault\aspalpha\aspnum\faauto\adjustright\rin0\lin0\pararsid9850369 \rtlch\fcs1 \af0\afs20\alang1025 \ltrch\fcs0 &#13;_x000a_\fs24\lang1082\langfe2057\cgrid\langnp1082\langfenp2057 {\rtlch\fcs1 \af0 \ltrch\fcs0 \insrsid810516\charrsid598108 ##\cell ##}{\rtlch\fcs1 \af0\afs24 \ltrch\fcs0 \insrsid810516\charrsid598108 \cell }\pard\plain \ltrpar&#13;_x000a_\ql \li0\ri0\widctlpar\intbl\wrapdefault\aspalpha\aspnum\faauto\adjustright\rin0\lin0 \rtlch\fcs1 \af0\afs20\alang1025 \ltrch\fcs0 \fs24\lang2057\langfe2057\cgrid\langnp2057\langfenp2057 {\rtlch\fcs1 \af0 \ltrch\fcs0 &#13;_x000a_\lang1082\langfe2057\langnp1082\insrsid810516\charrsid598108 \trowd \lastrow \ltrrow\ts11\trqc\trgaph340\trleft0\trftsWidth3\trwWidth9752\trftsWidthB3\trpaddl340\trpaddr340\trpaddfl3\trpaddft3\trpaddfb3\trpaddfr3\tblrsid985036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row }\pard\plain \ltrpar\s24\qr \li0\ri0\sb240\sa240\nowidctlpar\wrapdefault\aspalpha\aspnum\faauto\adjustright\rin0\lin0\itap0\pararsid810516 \rtlch\fcs1 \af0\afs20\alang1025 \ltrch\fcs0 &#13;_x000a_\fs24\lang1082\langfe2057\cgrid\langnp1082\langfenp2057 {\rtlch\fcs1 \af0 \ltrch\fcs0 \insrsid810516\charrsid598108 Or. }{\rtlch\fcs1 \af0 \ltrch\fcs0 &#13;_x000a_\cs17\v\fs20\cf9\lang1024\langfe1024\loch\af1\hich\af1\dbch\af31501\noproof\insrsid810516\charrsid598108 \hich\af1\dbch\af31501\loch\f1 &lt;Original&gt;}{\rtlch\fcs1 \af0 \ltrch\fcs0 \insrsid810516\charrsid598108 #}{\rtlch\fcs1 \af1 \ltrch\fcs0 &#13;_x000a_\cs18\v\f1\fs20\cf15\insrsid810516\charrsid598108 MNU[ORLANGONE][ORLANGMORE]@CHOICE@ORLANGMNU}{\rtlch\fcs1 \af0 \ltrch\fcs0 \insrsid810516\charrsid598108 #}{\rtlch\fcs1 \af0 \ltrch\fcs0 &#13;_x000a_\cs17\v\fs20\cf9\lang1024\langfe1024\loch\af1\hich\af1\dbch\af31501\noproof\insrsid810516\charrsid598108 \hich\af1\dbch\af31501\loch\f1 &lt;/Original&gt;}{\rtlch\fcs1 \af0 \ltrch\fcs0 \insrsid810516\charrsid598108 &#13;_x000a_\par }\pard\plain \ltrpar\s22\qc \li0\ri0\sb240\sa240\nowidctlpar\wrapdefault\aspalpha\aspnum\faauto\adjustright\rin0\lin0\itap0\pararsid810516 \rtlch\fcs1 \af0\afs20\alang1025 \ltrch\fcs0 \i\fs24\lang1082\langfe2057\cgrid\langnp1082\langfenp2057 {\rtlch\fcs1 &#13;_x000a_\af0 \ltrch\fcs0 \cs17\i0\v\fs20\cf9\lang1024\langfe1024\loch\af1\hich\af1\dbch\af31501\noproof\insrsid810516\charrsid598108 \hich\af1\dbch\af31501\loch\f1 &lt;OptDel&gt;}{\rtlch\fcs1 \af0 \ltrch\fcs0 \insrsid810516\charrsid598108 #}{\rtlch\fcs1 \af1 &#13;_x000a_\ltrch\fcs0 \cs18\v\f1\fs20\cf15\insrsid810516\charrsid598108 MNU[CROSSREFNO][CROSSREFYES]@CHOICE@}{\rtlch\fcs1 \af0 \ltrch\fcs0 \insrsid810516\charrsid598108 #}{\rtlch\fcs1 \af0 \ltrch\fcs0 &#13;_x000a_\cs17\i0\v\fs20\cf9\lang1024\langfe1024\loch\af1\hich\af1\dbch\af31501\noproof\insrsid810516\charrsid598108 \hich\af1\dbch\af31501\loch\f1 &lt;/OptDel&gt;}{\rtlch\fcs1 \af0 \ltrch\fcs0 \insrsid810516\charrsid598108 &#13;_x000a_\par }\pard\plain \ltrpar\s23\qc \li0\ri0\sb240\sa240\keepn\nowidctlpar\wrapdefault\aspalpha\aspnum\faauto\adjustright\rin0\lin0\itap0\pararsid810516 \rtlch\fcs1 \af0\afs20\alang1025 \ltrch\fcs0 \i\fs24\lang1082\langfe2057\cgrid\langnp1082\langfenp2057 {&#13;_x000a_\rtlch\fcs1 \af0 \ltrch\fcs0 \cs17\i0\v\fs20\cf9\lang1024\langfe1024\loch\af1\hich\af1\dbch\af31501\noproof\insrsid810516\charrsid598108 \hich\af1\dbch\af31501\loch\f1 &lt;TitreJust&gt;}{\rtlch\fcs1 \af0 \ltrch\fcs0 \insrsid810516\charrsid598108 \u288\'47&#13;_x000a_ustifikazzjoni}{\rtlch\fcs1 \af0 \ltrch\fcs0 \cs17\i0\v\fs20\cf9\lang1024\langfe1024\loch\af1\hich\af1\dbch\af31501\noproof\insrsid810516\charrsid598108 \hich\af1\dbch\af31501\loch\f1 &lt;/TitreJust&gt;}{\rtlch\fcs1 \af0 \ltrch\fcs0 &#13;_x000a_\insrsid810516\charrsid598108 &#13;_x000a_\par }\pard\plain \ltrpar\s21\ql \li0\ri0\sa240\nowidctlpar\wrapdefault\aspalpha\aspnum\faauto\adjustright\rin0\lin0\itap0\pararsid810516 \rtlch\fcs1 \af0\afs20\alang1025 \ltrch\fcs0 \i\fs24\lang1082\langfe2057\cgrid\langnp1082\langfenp2057 {\rtlch\fcs1 \af0 &#13;_x000a_\ltrch\fcs0 \cs17\i0\v\fs20\cf9\lang1024\langfe1024\loch\af1\hich\af1\dbch\af31501\noproof\insrsid810516\charrsid598108 \hich\af1\dbch\af31501\loch\f1 &lt;OptDelPrev&gt;}{\rtlch\fcs1 \af0 \ltrch\fcs0 \insrsid810516\charrsid598108 #}{\rtlch\fcs1 \af1 &#13;_x000a_\ltrch\fcs0 \cs18\v\f1\fs20\cf15\insrsid810516\charrsid598108 MNU[TEXTJUSTYES][TEXTJUSTNO]@CHOICE@}{\rtlch\fcs1 \af0 \ltrch\fcs0 \insrsid810516\charrsid598108 #}{\rtlch\fcs1 \af0 \ltrch\fcs0 &#13;_x000a_\cs17\i0\v\fs20\cf9\lang1024\langfe1024\loch\af1\hich\af1\dbch\af31501\noproof\insrsid810516\charrsid598108 \hich\af1\dbch\af31501\loch\f1 &lt;/OptDelPrev&gt;}{\rtlch\fcs1 \af0 \ltrch\fcs0 \insrsid810516\charrsid598108 &#13;_x000a_\par }\pard\plain \ltrpar\ql \li0\ri0\widctlpar\wrapdefault\aspalpha\aspnum\faauto\adjustright\rin0\lin0\itap0\pararsid810516 \rtlch\fcs1 \af0\afs20\alang1025 \ltrch\fcs0 \fs24\lang2057\langfe2057\cgrid\langnp2057\langfenp2057 {\rtlch\fcs1 \af0 \ltrch\fcs0 &#13;_x000a_\cs17\v\fs20\cf9\lang1024\langfe1024\loch\af1\hich\af1\dbch\af31501\noproof\langnp1082\insrsid810516\charrsid598108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f&#13;_x000a_f3dfb1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0\fbidi \froman\fcharset238\fprq2 Times New Roman CE;}{\f1351\fbidi \froman\fcharset204\fprq2 Times New Roman Cyr;}&#13;_x000a_{\f1353\fbidi \froman\fcharset161\fprq2 Times New Roman Greek;}{\f1354\fbidi \froman\fcharset162\fprq2 Times New Roman Tur;}{\f1355\fbidi \froman\fcharset177\fprq2 Times New Roman (Hebrew);}&#13;_x000a_{\f1356\fbidi \froman\fcharset178\fprq2 Times New Roman (Arabic);}{\f1357\fbidi \froman\fcharset186\fprq2 Times New Roman Baltic;}{\f1358\fbidi \froman\fcharset163\fprq2 Times New Roman (Vietnamese);}{\f1360\fbidi \fswiss\fcharset238\fprq2 Arial CE;}&#13;_x000a_{\f1361\fbidi \fswiss\fcharset204\fprq2 Arial Cyr;}{\f1363\fbidi \fswiss\fcharset161\fprq2 Arial Greek;}{\f1364\fbidi \fswiss\fcharset162\fprq2 Arial Tur;}{\f1365\fbidi \fswiss\fcharset177\fprq2 Arial (Hebrew);}&#13;_x000a_{\f1366\fbidi \fswiss\fcharset178\fprq2 Arial (Arabic);}{\f1367\fbidi \fswiss\fcharset186\fprq2 Arial Baltic;}{\f1368\fbidi \fswiss\fcharset163\fprq2 Arial (Vietnamese);}{\f1690\fbidi \froman\fcharset238\fprq2 Cambria Math CE;}&#13;_x000a_{\f1691\fbidi \froman\fcharset204\fprq2 Cambria Math Cyr;}{\f1693\fbidi \froman\fcharset161\fprq2 Cambria Math Greek;}{\f1694\fbidi \froman\fcharset162\fprq2 Cambria Math Tur;}{\f1697\fbidi \froman\fcharset186\fprq2 Cambria Math Baltic;}&#13;_x000a_{\f1698\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81977 HideTWBExt;}{&#13;_x000a_\s18\ql \li0\ri0\sa120\nowidctlpar\wrapdefault\aspalpha\aspnum\faauto\adjustright\rin0\lin0\itap0 \rtlch\fcs1 \af0\afs20\alang1025 \ltrch\fcs0 \fs24\lang2057\langfe2057\cgrid\langnp2057\langfenp2057 \sbasedon0 \snext18 \spriority0 \styrsid881977 &#13;_x000a_Normal6a;}{\s19\ql \li0\ri0\nowidctlpar\wrapdefault\aspalpha\aspnum\faauto\adjustright\rin0\lin0\itap0 \rtlch\fcs1 \af0\afs20\alang1025 \ltrch\fcs0 \b\fs24\lang2057\langfe2057\cgrid\langnp2057\langfenp2057 \sbasedon0 \snext19 \spriority0 \styrsid881977 &#13;_x000a_NormalBold;}{\s20\ql \li0\ri0\sa240\nowidctlpar\wrapdefault\aspalpha\aspnum\faauto\adjustright\rin0\lin0\itap0 \rtlch\fcs1 \af0\afs20\alang1025 \ltrch\fcs0 \i\fs24\lang2057\langfe2057\cgrid\langnp2057\langfenp2057 &#13;_x000a_\sbasedon0 \snext20 \spriority0 \styrsid881977 AmJustText;}{\s21\qc \li0\ri0\sb240\sa240\nowidctlpar\wrapdefault\aspalpha\aspnum\faauto\adjustright\rin0\lin0\itap0 \rtlch\fcs1 \af0\afs20\alang1025 \ltrch\fcs0 &#13;_x000a_\i\fs24\lang2057\langfe2057\cgrid\langnp2057\langfenp2057 \sbasedon0 \snext21 \spriority0 \styrsid881977 AmCrossRef;}{\s22\qc \li0\ri0\sb240\sa240\keepn\nowidctlpar\wrapdefault\aspalpha\aspnum\faauto\adjustright\rin0\lin0\itap0 \rtlch\fcs1 &#13;_x000a_\af0\afs20\alang1025 \ltrch\fcs0 \i\fs24\lang2057\langfe2057\cgrid\langnp2057\langfenp2057 \sbasedon0 \snext20 \spriority0 \styrsid881977 AmJustTitle;}{\s23\qc \li0\ri0\sa240\nowidctlpar\wrapdefault\aspalpha\aspnum\faauto\adjustright\rin0\lin0\itap0 &#13;_x000a_\rtlch\fcs1 \af0\afs20\alang1025 \ltrch\fcs0 \i\fs24\lang2057\langfe2057\cgrid\langnp2057\langfenp2057 \sbasedon0 \snext23 \spriority0 \styrsid881977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881977 AmNumberTabs;}{\s25\ql \li0\ri0\sa240\nowidctlpar\wrapdefault\aspalpha\aspnum\faauto\adjustright\rin0\lin0\itap0 \rtlch\fcs1 &#13;_x000a_\af0\afs20\alang1025 \ltrch\fcs0 \b\fs24\lang2057\langfe2057\cgrid\langnp2057\langfenp2057 \sbasedon0 \snext25 \spriority0 \styrsid881977 NormalBold12a;}}{\*\rsidtbl \rsid24658\rsid223860\rsid735077\rsid881977\rsid1718133\rsid2892074\rsid3565327&#13;_x000a_\rsid4666813\rsid6641733\rsid7548299\rsid7823322\rsid9636012\rsid10376864\rsid10377208\rsid11215221\rsid11549030\rsid12154954\rsid14382809\rsid14424199\rsid15204470\rsid15285974\rsid15950462\rsid16324206\rsid16662270}{\mmathPr\mmathFont34\mbrkBin0&#13;_x000a_\mbrkBinSub0\msmallFrac0\mdispDef1\mlMargin0\mrMargin0\mdefJc1\mwrapIndent1440\mintLim0\mnaryLim1}{\info{\author SCIRTO GAUCI Lindsay}{\operator SCIRTO GAUCI Lindsay}{\creatim\yr2026\mo7\dy13\hr14\min2}{\revtim\yr2026\mo7\dy13\hr14\min2}{\version1}&#13;_x000a_{\edmins0}{\nofpages1}{\nofwords54}{\nofchars313}{\nofcharsws36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80\pgbrdrhead\pgbrdrfoot\splytwnine\ftnlytwnine\htmautsp\nolnhtadjtbl\useltbaln\alntblind\lytcalctblwd\lyttblrtgr\lnbrkrule\nobrkwrptbl\snaptogridincell\allowfieldendsel\wrppunct&#13;_x000a_\asianbrkrule\nojkernpunct\rsidroot881977\newtblstyruls\nogrowautofit\usenormstyforlist\noindnmbrts\felnbrelev\nocxsptable\indrlsweleven\noafcnsttbl\afelev\utinl\hwelev\spltpgpar\notcvasp\notbrkcnstfrctbl\notvatxbx\krnprsnet\cachedcolbal \nouicompat \fet0&#13;_x000a_{\*\wgrffmtfilter 013f}\nofeaturethrottle1\ilfomacatclnup0{\*\template C:\\Users\\LSCIRT~1\\AppData\\Local\\Temp\\Blank1.dotx}{\*\ftnsep \ltrpar \pard\plain \ltrpar\ql \li0\ri0\widctlpar\wrapdefault\aspalpha\aspnum\faauto\adjustright\rin0\lin0\itap0 &#13;_x000a_\rtlch\fcs1 \af0\afs20\alang1025 \ltrch\fcs0 \fs24\lang2057\langfe2057\cgrid\langnp2057\langfenp2057 {\rtlch\fcs1 \af0 \ltrch\fcs0 \insrsid10376864 \chftnsep &#13;_x000a_\par }}{\*\ftnsepc \ltrpar \pard\plain \ltrpar\ql \li0\ri0\widctlpar\wrapdefault\aspalpha\aspnum\faauto\adjustright\rin0\lin0\itap0 \rtlch\fcs1 \af0\afs20\alang1025 \ltrch\fcs0 \fs24\lang2057\langfe2057\cgrid\langnp2057\langfenp2057 {\rtlch\fcs1 \af0 &#13;_x000a_\ltrch\fcs0 \insrsid10376864 \chftnsepc &#13;_x000a_\par }}{\*\aftnsep \ltrpar \pard\plain \ltrpar\ql \li0\ri0\widctlpar\wrapdefault\aspalpha\aspnum\faauto\adjustright\rin0\lin0\itap0 \rtlch\fcs1 \af0\afs20\alang1025 \ltrch\fcs0 \fs24\lang2057\langfe2057\cgrid\langnp2057\langfenp2057 {\rtlch\fcs1 \af0 &#13;_x000a_\ltrch\fcs0 \insrsid10376864 \chftnsep &#13;_x000a_\par }}{\*\aftnsepc \ltrpar \pard\plain \ltrpar\ql \li0\ri0\widctlpar\wrapdefault\aspalpha\aspnum\faauto\adjustright\rin0\lin0\itap0 \rtlch\fcs1 \af0\afs20\alang1025 \ltrch\fcs0 \fs24\lang2057\langfe2057\cgrid\langnp2057\langfenp2057 {\rtlch\fcs1 \af0 &#13;_x000a_\ltrch\fcs0 \insrsid1037686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482941 \rtlch\fcs1 &#13;_x000a_\af0\afs20\alang1025 \ltrch\fcs0 \b\fs24\lang2057\langfe2057\cgrid\langnp2057\langfenp2057 {\rtlch\fcs1 \af0 \ltrch\fcs0 \cs17\b0\v\fs20\cf9\lang1024\langfe1024\loch\af1\hich\af1\dbch\af31501\noproof\langnp1031\insrsid881977\charrsid272102 &#13;_x000a_{\*\bkmkstart restart}\hich\af1\dbch\af31501\loch\f1 &lt;Amend&gt;}{\rtlch\fcs1 \af0 \ltrch\fcs0 \lang1031\langfe2057\langnp1031\insrsid881977\charrsid272102 [ZAMENDMENT]\tab \tab }{\rtlch\fcs1 \af0 \ltrch\fcs0 &#13;_x000a_\cs17\b0\v\fs20\cf9\lang1024\langfe1024\loch\af1\hich\af1\dbch\af31501\noproof\langnp1031\insrsid881977\charrsid272102 \hich\af1\dbch\af31501\loch\f1 &lt;NumAm&gt;}{\rtlch\fcs1 \af0 \ltrch\fcs0 \lang1031\langfe2057\langnp1031\insrsid881977\charrsid272102 &#13;_x000a_[ZNRAM]}{\rtlch\fcs1 \af0 \ltrch\fcs0 \cs17\b0\v\fs20\cf9\lang1024\langfe1024\loch\af1\hich\af1\dbch\af31501\noproof\langnp1031\insrsid881977\charrsid272102 \hich\af1\dbch\af31501\loch\f1 &lt;/NumAm&gt;}{\rtlch\fcs1 \af0 \ltrch\fcs0 &#13;_x000a_\lang1031\langfe2057\langnp1031\insrsid881977\charrsid272102 &#13;_x000a_\par }\pard\plain \ltrpar\s25\ql \li0\ri0\sa240\keepn\nowidctlpar\wrapdefault\aspalpha\aspnum\faauto\adjustright\rin0\lin0\itap0\pararsid11482941 \rtlch\fcs1 \af0\afs20\alang1025 \ltrch\fcs0 \b\fs24\lang2057\langfe2057\cgrid\langnp2057\langfenp2057 {&#13;_x000a_\rtlch\fcs1 \af0 \ltrch\fcs0 \cs17\b0\v\fs20\cf9\lang1024\langfe1024\loch\af1\hich\af1\dbch\af31501\noproof\langnp1031\insrsid881977\charrsid272102 \hich\af1\dbch\af31501\loch\f1 &lt;DocAmend&gt;}{\rtlch\fcs1 \af0 \ltrch\fcs0 &#13;_x000a_\lang1031\langfe2057\langnp1031\insrsid881977\charrsid272102 [ZPROPOSAL][ZAMACT]}{\rtlch\fcs1 \af0 \ltrch\fcs0 \cs17\b0\v\fs20\cf9\lang1024\langfe1024\loch\af1\hich\af1\dbch\af31501\noproof\langnp1031\insrsid881977\charrsid272102 &#13;_x000a_\hich\af1\dbch\af31501\loch\f1 &lt;/DocAmend&gt;}{\rtlch\fcs1 \af0 \ltrch\fcs0 \lang1031\langfe2057\langnp1031\insrsid881977\charrsid272102 &#13;_x000a_\par }\pard\plain \ltrpar\s19\ql \li0\ri0\keepn\nowidctlpar\wrapdefault\aspalpha\aspnum\faauto\adjustright\rin0\lin0\itap0\pararsid11482941 \rtlch\fcs1 \af0\afs20\alang1025 \ltrch\fcs0 \b\fs24\lang2057\langfe2057\cgrid\langnp2057\langfenp2057 {\rtlch\fcs1 &#13;_x000a_\af0 \ltrch\fcs0 \cs17\b0\v\fs20\cf9\lang1024\langfe1024\loch\af1\hich\af1\dbch\af31501\noproof\langnp1031\insrsid881977\charrsid272102 \hich\af1\dbch\af31501\loch\f1 &lt;Article&gt;}{\rtlch\fcs1 \af0 \ltrch\fcs0 &#13;_x000a_\lang1031\langfe2057\langnp1031\insrsid881977\charrsid272102 [ZAMPART]}{\rtlch\fcs1 \af0 \ltrch\fcs0 \cs17\b0\v\fs20\cf9\lang1024\langfe1024\loch\af1\hich\af1\dbch\af31501\noproof\langnp1031\insrsid881977\charrsid272102 \hich\af1\dbch\af31501\loch\f1 &#13;_x000a_&lt;/Article&gt;}{\rtlch\fcs1 \af0 \ltrch\fcs0 \lang1031\langfe2057\langnp1031\insrsid881977\charrsid272102 &#13;_x000a_\par }\pard\plain \ltrpar\ql \li0\ri0\keepn\widctlpar\wrapdefault\aspalpha\aspnum\faauto\adjustright\rin0\lin0\itap0\pararsid11482941 \rtlch\fcs1 \af0\afs20\alang1025 \ltrch\fcs0 \fs24\lang2057\langfe2057\cgrid\langnp2057\langfenp2057 {\rtlch\fcs1 \af0 &#13;_x000a_\ltrch\fcs0 \cs17\v\fs20\cf9\lang1024\langfe1024\loch\af1\hich\af1\dbch\af31501\noproof\langnp1031\insrsid881977\charrsid272102 \hich\af1\dbch\af31501\loch\f1 &lt;DocAmend2&gt;&lt;OptDel&gt;}{\rtlch\fcs1 \af0 \ltrch\fcs0 &#13;_x000a_\lang1031\langfe2057\langnp1031\insrsid881977\charrsid272102 [ZNRACT]}{\rtlch\fcs1 \af0 \ltrch\fcs0 \cs17\v\fs20\cf9\lang1024\langfe1024\loch\af1\hich\af1\dbch\af31501\noproof\langnp1031\insrsid881977\charrsid272102 \hich\af1\dbch\af31501\loch\f1 &#13;_x000a_&lt;/OptDel&gt;&lt;/DocAmend2&gt;}{\rtlch\fcs1 \af0 \ltrch\fcs0 \lang1031\langfe2057\langnp1031\insrsid881977\charrsid272102 &#13;_x000a_\par }\pard \ltrpar\ql \li0\ri0\widctlpar\wrapdefault\aspalpha\aspnum\faauto\adjustright\rin0\lin0\itap0\pararsid11482941 {\rtlch\fcs1 \af0 \ltrch\fcs0 &#13;_x000a_\cs17\v\fs20\cf9\lang1024\langfe1024\loch\af1\hich\af1\dbch\af31501\noproof\langnp1036\insrsid881977\charrsid12942979 \hich\af1\dbch\af31501\loch\f1 &lt;Article2&gt;&lt;OptDel&gt;}{\rtlch\fcs1 \af0 \ltrch\fcs0 &#13;_x000a_\lang1036\langfe2057\langnp1036\insrsid881977\charrsid12942979 [ZACTPART]}{\rtlch\fcs1 \af0 \ltrch\fcs0 \cs17\v\fs20\cf9\lang1024\langfe1024\loch\af1\hich\af1\dbch\af31501\noproof\langnp1036\insrsid881977\charrsid12942979 \hich\af1\dbch\af31501\loch\f1 &#13;_x000a_&lt;/OptDel&gt;&lt;/Article2&gt;}{\rtlch\fcs1 \af0 \ltrch\fcs0 \lang1036\langfe2057\langnp1036\insrsid881977\charrsid12942979 &#13;_x000a_\par \ltrrow}\trowd \ltrrow\ts11\trqc\trgaph340\trleft-340\trftsWidth3\trwWidth9752\trftsWidthB3\trpaddl340\trpaddr340\trpaddfl3\trpaddft3\trpaddfb3\trpaddfr3\tblrsid9850369\tblind0\tblindtype3 \clvertalt\clbrdrt\brdrtbl \clbrdrl\brdrtbl \clbrdrb\brdrtbl &#13;_x000a_\clbrdrr\brdrtbl \cltxlrtb\clftsWidth3\clwWidth9752\clshdrawnil \cellx9412\pard \ltrpar\ql \li0\ri0\keepn\widctlpar\intbl\wrapdefault\aspalpha\aspnum\faauto\adjustright\rin0\lin0\pararsid5719 {\rtlch\fcs1 \af0 \ltrch\fcs0 &#13;_x000a_\lang1036\langfe2057\langnp1036\insrsid881977\charrsid12942979 \cell }\pard \ltrpar\ql \li0\ri0\widctlpar\intbl\wrapdefault\aspalpha\aspnum\faauto\adjustright\rin0\lin0 {\rtlch\fcs1 \af0 \ltrch\fcs0 \insrsid881977\charrsid272102 \trowd \ltrrow&#13;_x000a_\ts11\trqc\trgaph340\trleft-340\trftsWidth3\trwWidth9752\trftsWidthB3\trpaddl340\trpaddr340\trpaddfl3\trpaddft3\trpaddfb3\trpaddfr3\tblrsid9850369\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9850369\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5719 \rtlch\fcs1 \af0\afs20\alang1025 \ltrch\fcs0 &#13;_x000a_\i\fs24\lang2057\langfe2057\cgrid\langnp2057\langfenp2057 {\rtlch\fcs1 \af0 \ltrch\fcs0 \insrsid881977\charrsid11800820 [ZLEFT]\cell [ZRIGHT]\cell }\pard\plain \ltrpar\ql \li0\ri0\widctlpar\intbl\wrapdefault\aspalpha\aspnum\faauto\adjustright\rin0\lin0 &#13;_x000a_\rtlch\fcs1 \af0\afs20\alang1025 \ltrch\fcs0 \fs24\lang2057\langfe2057\cgrid\langnp2057\langfenp2057 {\rtlch\fcs1 \af0 \ltrch\fcs0 \insrsid881977\charrsid11800820 \trowd \ltrrow&#13;_x000a_\ts11\trqc\trgaph340\trleft-340\trftsWidth3\trwWidth9752\trftsWidthB3\trpaddl340\trpaddr340\trpaddfl3\trpaddft3\trpaddfb3\trpaddfr3\tblrsid985036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9850369 \rtlch\fcs1 \af0\afs20\alang1025 \ltrch\fcs0 \fs24\lang2057\langfe2057\cgrid\langnp2057\langfenp2057 {\rtlch\fcs1 \af0 \ltrch\fcs0 &#13;_x000a_\insrsid881977\charrsid11800820 [ZTEXTL]\cell [ZTEXTR]}{\rtlch\fcs1 \af0\afs24 \ltrch\fcs0 \insrsid881977\charrsid11800820 \cell }\pard\plain \ltrpar\ql \li0\ri0\widctlpar\intbl\wrapdefault\aspalpha\aspnum\faauto\adjustright\rin0\lin0 \rtlch\fcs1 &#13;_x000a_\af0\afs20\alang1025 \ltrch\fcs0 \fs24\lang2057\langfe2057\cgrid\langnp2057\langfenp2057 {\rtlch\fcs1 \af0 \ltrch\fcs0 \insrsid881977\charrsid11800820 \trowd \lastrow \ltrrow&#13;_x000a_\ts11\trqc\trgaph340\trleft-340\trftsWidth3\trwWidth9752\trftsWidthB3\trpaddl340\trpaddr340\trpaddfl3\trpaddft3\trpaddfb3\trpaddfr3\tblrsid985036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1482941 \rtlch\fcs1 \af0\afs20\alang1025 \ltrch\fcs0 \i\fs24\lang2057\langfe2057\cgrid\langnp2057\langfenp2057 {\rtlch\fcs1 \af0 \ltrch\fcs0 &#13;_x000a_\cs17\i0\v\fs20\cf9\lang1024\langfe1024\loch\af1\hich\af1\dbch\af31501\noproof\insrsid881977\charrsid11800820 \hich\af1\dbch\af31501\loch\f1 &lt;OptDel&gt;}{\rtlch\fcs1 \af0 \ltrch\fcs0 \insrsid881977\charrsid11800820 [ZCROSSREF]}{\rtlch\fcs1 \af0 \ltrch\fcs0 &#13;_x000a_\cs17\i0\v\fs20\cf9\lang1024\langfe1024\loch\af1\hich\af1\dbch\af31501\noproof\insrsid881977\charrsid11800820 \hich\af1\dbch\af31501\loch\f1 &lt;/OptDel&gt;}{\rtlch\fcs1 \af0 \ltrch\fcs0 \insrsid881977\charrsid11800820 &#13;_x000a_\par }\pard\plain \ltrpar\s22\qc \li0\ri0\sb240\sa240\keepn\nowidctlpar\wrapdefault\aspalpha\aspnum\faauto\adjustright\rin0\lin0\itap0\pararsid11482941 \rtlch\fcs1 \af0\afs20\alang1025 \ltrch\fcs0 \i\fs24\lang2057\langfe2057\cgrid\langnp2057\langfenp2057 {&#13;_x000a_\rtlch\fcs1 \af0 \ltrch\fcs0 \cs17\i0\v\fs20\cf9\lang1024\langfe1024\loch\af1\hich\af1\dbch\af31501\noproof\insrsid881977\charrsid11800820 \hich\af1\dbch\af31501\loch\f1 &lt;TitreJust&gt;}{\rtlch\fcs1 \af0 \ltrch\fcs0 \insrsid881977\charrsid11800820 &#13;_x000a_[ZJUSTIFICATION]}{\rtlch\fcs1 \af0 \ltrch\fcs0 \cs17\i0\v\fs20\cf9\lang1024\langfe1024\loch\af1\hich\af1\dbch\af31501\noproof\insrsid881977\charrsid11800820 \hich\af1\dbch\af31501\loch\f1 &lt;/TitreJust&gt;}{\rtlch\fcs1 \af0 \ltrch\fcs0 &#13;_x000a_\insrsid881977\charrsid11800820 &#13;_x000a_\par }\pard\plain \ltrpar\s20\ql \li0\ri0\sa240\nowidctlpar\wrapdefault\aspalpha\aspnum\faauto\adjustright\rin0\lin0\itap0\pararsid11482941 \rtlch\fcs1 \af0\afs20\alang1025 \ltrch\fcs0 \i\fs24\lang2057\langfe2057\cgrid\langnp2057\langfenp2057 {\rtlch\fcs1 &#13;_x000a_\af0 \ltrch\fcs0 \cs17\i0\v\fs20\cf9\lang1024\langfe1024\loch\af1\hich\af1\dbch\af31501\noproof\insrsid881977\charrsid11800820 \hich\af1\dbch\af31501\loch\f1 &lt;OptDelPrev&gt;}{\rtlch\fcs1 \af0 \ltrch\fcs0 \insrsid881977\charrsid11800820 [ZTEXTJUST]}{&#13;_x000a_\rtlch\fcs1 \af0 \ltrch\fcs0 \cs17\i0\v\fs20\cf9\lang1024\langfe1024\loch\af1\hich\af1\dbch\af31501\noproof\insrsid881977\charrsid11800820 \hich\af1\dbch\af31501\loch\f1 &lt;/OptDelPrev&gt;}{\rtlch\fcs1 \af0 \ltrch\fcs0 \insrsid881977\charrsid11800820 &#13;_x000a_\par }\pard\plain \ltrpar\ql \li0\ri0\widctlpar\wrapdefault\aspalpha\aspnum\faauto\adjustright\rin0\lin0\itap0\pararsid11482941 \rtlch\fcs1 \af0\afs20\alang1025 \ltrch\fcs0 \fs24\lang2057\langfe2057\cgrid\langnp2057\langfenp2057 {\rtlch\fcs1 \af0 \ltrch\fcs0 &#13;_x000a_\cs17\v\fs20\cf9\lang1024\langfe1024\loch\af1\hich\af1\dbch\af31501\noproof\insrsid881977\charrsid11800820 \hich\af1\dbch\af31501\loch\f1 &lt;/Amend&gt;}{\rtlch\fcs1 \af0 \ltrch\fcs0 \insrsid881977\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df&#13;_x000a_5c86bf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NLE-CN_LegAct_am"/>
    <w:docVar w:name="strSubDir" w:val="1347"/>
    <w:docVar w:name="TXTLANGUE" w:val="MT"/>
    <w:docVar w:name="TXTLANGUEMIN" w:val="mt"/>
    <w:docVar w:name="TXTNRPE" w:val="785.118"/>
    <w:docVar w:name="TXTPEorAP" w:val="PE"/>
    <w:docVar w:name="TXTROUTE" w:val="RR\1347506MT.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C457DAD-3E07-4146-888F-98318763F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9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151370"/>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972F9"/>
    <w:pPr>
      <w:spacing w:before="80" w:after="80"/>
    </w:pPr>
    <w:rPr>
      <w:rFonts w:ascii="Arial Narrow" w:hAnsi="Arial Narrow" w:cs="Arial"/>
      <w:b/>
      <w:sz w:val="32"/>
      <w:szCs w:val="22"/>
    </w:rPr>
  </w:style>
  <w:style w:type="paragraph" w:customStyle="1" w:styleId="CoverNormal24a">
    <w:name w:val="CoverNormal24a"/>
    <w:basedOn w:val="Normal"/>
    <w:rsid w:val="00C2601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90730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C26019"/>
    <w:pPr>
      <w:spacing w:after="480"/>
      <w:ind w:left="1418"/>
    </w:pPr>
    <w:rPr>
      <w:rFonts w:ascii="Arial" w:hAnsi="Arial"/>
      <w:b/>
      <w:sz w:val="48"/>
    </w:rPr>
  </w:style>
  <w:style w:type="paragraph" w:customStyle="1" w:styleId="CoverDate">
    <w:name w:val="CoverDate"/>
    <w:basedOn w:val="Normal"/>
    <w:rsid w:val="00907308"/>
    <w:pPr>
      <w:spacing w:before="240" w:after="1200"/>
    </w:pPr>
  </w:style>
  <w:style w:type="paragraph" w:styleId="Header">
    <w:name w:val="header"/>
    <w:basedOn w:val="Normal"/>
    <w:link w:val="HeaderChar"/>
    <w:semiHidden/>
    <w:rsid w:val="00882082"/>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a">
    <w:name w:val="NormalBold12a"/>
    <w:basedOn w:val="Normal"/>
    <w:rsid w:val="00F772D8"/>
    <w:pPr>
      <w:spacing w:after="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0730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972F9"/>
    <w:pPr>
      <w:spacing w:after="80"/>
    </w:pPr>
    <w:rPr>
      <w:rFonts w:ascii="Arial" w:hAnsi="Arial" w:cs="Arial"/>
      <w:sz w:val="20"/>
      <w:szCs w:val="22"/>
    </w:rPr>
  </w:style>
  <w:style w:type="paragraph" w:customStyle="1" w:styleId="EPLogo">
    <w:name w:val="EPLogo"/>
    <w:basedOn w:val="Normal"/>
    <w:qFormat/>
    <w:rsid w:val="00A972F9"/>
    <w:pPr>
      <w:jc w:val="right"/>
    </w:pPr>
  </w:style>
  <w:style w:type="paragraph" w:customStyle="1" w:styleId="EPFooter">
    <w:name w:val="EPFooter"/>
    <w:basedOn w:val="Normal"/>
    <w:rsid w:val="00C26019"/>
    <w:pPr>
      <w:tabs>
        <w:tab w:val="center" w:pos="4535"/>
        <w:tab w:val="right" w:pos="9071"/>
      </w:tabs>
      <w:spacing w:before="240" w:after="240"/>
    </w:pPr>
    <w:rPr>
      <w:color w:val="010000"/>
      <w:sz w:val="22"/>
    </w:rPr>
  </w:style>
  <w:style w:type="paragraph" w:customStyle="1" w:styleId="EPComma">
    <w:name w:val="EPComma"/>
    <w:basedOn w:val="Normal"/>
    <w:rsid w:val="00907308"/>
    <w:pPr>
      <w:spacing w:before="480" w:after="240"/>
    </w:pPr>
  </w:style>
  <w:style w:type="character" w:customStyle="1" w:styleId="HeaderChar">
    <w:name w:val="Header Char"/>
    <w:basedOn w:val="DefaultParagraphFont"/>
    <w:link w:val="Header"/>
    <w:semiHidden/>
    <w:rsid w:val="00882082"/>
    <w:rPr>
      <w:sz w:val="24"/>
    </w:rPr>
  </w:style>
  <w:style w:type="paragraph" w:customStyle="1" w:styleId="Lgendesigne">
    <w:name w:val="Légende signe"/>
    <w:basedOn w:val="Normal"/>
    <w:rsid w:val="006321DA"/>
    <w:pPr>
      <w:tabs>
        <w:tab w:val="right" w:pos="454"/>
        <w:tab w:val="left" w:pos="737"/>
      </w:tabs>
      <w:ind w:left="737" w:hanging="737"/>
    </w:pPr>
    <w:rPr>
      <w:snapToGrid w:val="0"/>
      <w:sz w:val="18"/>
      <w:lang w:eastAsia="en-US"/>
    </w:rPr>
  </w:style>
  <w:style w:type="paragraph" w:customStyle="1" w:styleId="Lgendetitre">
    <w:name w:val="Légende titre"/>
    <w:basedOn w:val="Normal"/>
    <w:rsid w:val="006321DA"/>
    <w:pPr>
      <w:spacing w:before="240" w:after="240"/>
    </w:pPr>
    <w:rPr>
      <w:b/>
      <w:i/>
      <w:snapToGrid w:val="0"/>
      <w:lang w:eastAsia="en-US"/>
    </w:rPr>
  </w:style>
  <w:style w:type="paragraph" w:customStyle="1" w:styleId="Lgendestandard">
    <w:name w:val="Légende standard"/>
    <w:basedOn w:val="Lgendesigne"/>
    <w:rsid w:val="006321DA"/>
    <w:pPr>
      <w:ind w:left="0" w:firstLine="0"/>
    </w:pPr>
  </w:style>
  <w:style w:type="character" w:styleId="Hyperlink">
    <w:name w:val="Hyperlink"/>
    <w:unhideWhenUsed/>
    <w:rsid w:val="00D544CF"/>
    <w:rPr>
      <w:color w:val="0000FF"/>
      <w:u w:val="single"/>
    </w:rPr>
  </w:style>
  <w:style w:type="paragraph" w:styleId="FootnoteText">
    <w:name w:val="footnote text"/>
    <w:basedOn w:val="Normal"/>
    <w:link w:val="FootnoteTextChar"/>
    <w:unhideWhenUsed/>
    <w:rsid w:val="00D544CF"/>
    <w:pPr>
      <w:widowControl/>
    </w:pPr>
    <w:rPr>
      <w:sz w:val="20"/>
    </w:rPr>
  </w:style>
  <w:style w:type="character" w:customStyle="1" w:styleId="FootnoteTextChar">
    <w:name w:val="Footnote Text Char"/>
    <w:basedOn w:val="DefaultParagraphFont"/>
    <w:link w:val="FootnoteText"/>
    <w:rsid w:val="00D544CF"/>
  </w:style>
  <w:style w:type="paragraph" w:customStyle="1" w:styleId="Titreobjet">
    <w:name w:val="Titre objet"/>
    <w:basedOn w:val="Normal"/>
    <w:next w:val="Normal"/>
    <w:rsid w:val="00D544C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544CF"/>
    <w:pPr>
      <w:widowControl/>
      <w:spacing w:before="360"/>
      <w:jc w:val="center"/>
    </w:pPr>
    <w:rPr>
      <w:rFonts w:eastAsiaTheme="minorHAnsi"/>
      <w:b/>
      <w:szCs w:val="22"/>
      <w:lang w:eastAsia="en-US"/>
    </w:rPr>
  </w:style>
  <w:style w:type="paragraph" w:customStyle="1" w:styleId="Statut">
    <w:name w:val="Statut"/>
    <w:basedOn w:val="Normal"/>
    <w:next w:val="Typedudocument"/>
    <w:rsid w:val="00D544C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544CF"/>
    <w:pPr>
      <w:widowControl/>
      <w:ind w:left="5103"/>
    </w:pPr>
    <w:rPr>
      <w:rFonts w:eastAsiaTheme="minorHAnsi"/>
      <w:szCs w:val="22"/>
      <w:lang w:eastAsia="en-US"/>
    </w:rPr>
  </w:style>
  <w:style w:type="paragraph" w:customStyle="1" w:styleId="NormalCentered">
    <w:name w:val="Normal Centered"/>
    <w:basedOn w:val="Normal"/>
    <w:rsid w:val="00D544CF"/>
    <w:pPr>
      <w:widowControl/>
      <w:spacing w:before="120" w:after="120"/>
      <w:jc w:val="center"/>
    </w:pPr>
    <w:rPr>
      <w:rFonts w:eastAsiaTheme="minorHAnsi"/>
      <w:szCs w:val="22"/>
      <w:lang w:eastAsia="en-US"/>
    </w:rPr>
  </w:style>
  <w:style w:type="paragraph" w:customStyle="1" w:styleId="Point0">
    <w:name w:val="Point 0"/>
    <w:basedOn w:val="Normal"/>
    <w:rsid w:val="00D544CF"/>
    <w:pPr>
      <w:widowControl/>
      <w:spacing w:before="120" w:after="120"/>
      <w:ind w:left="850" w:hanging="850"/>
      <w:jc w:val="both"/>
    </w:pPr>
    <w:rPr>
      <w:rFonts w:eastAsiaTheme="minorHAnsi"/>
      <w:szCs w:val="22"/>
      <w:lang w:eastAsia="en-US"/>
    </w:rPr>
  </w:style>
  <w:style w:type="paragraph" w:customStyle="1" w:styleId="Point1">
    <w:name w:val="Point 1"/>
    <w:basedOn w:val="Normal"/>
    <w:rsid w:val="00D544CF"/>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rsid w:val="00D544CF"/>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D544CF"/>
    <w:pPr>
      <w:widowControl/>
      <w:numPr>
        <w:numId w:val="41"/>
      </w:numPr>
      <w:spacing w:before="120" w:after="120"/>
      <w:jc w:val="both"/>
    </w:pPr>
    <w:rPr>
      <w:rFonts w:eastAsiaTheme="minorHAnsi"/>
      <w:szCs w:val="22"/>
      <w:lang w:eastAsia="en-US"/>
    </w:rPr>
  </w:style>
  <w:style w:type="paragraph" w:customStyle="1" w:styleId="Point1number">
    <w:name w:val="Point 1 (number)"/>
    <w:basedOn w:val="Normal"/>
    <w:rsid w:val="00D544CF"/>
    <w:pPr>
      <w:widowControl/>
      <w:numPr>
        <w:ilvl w:val="2"/>
        <w:numId w:val="41"/>
      </w:numPr>
      <w:spacing w:before="120" w:after="120"/>
      <w:jc w:val="both"/>
    </w:pPr>
    <w:rPr>
      <w:rFonts w:eastAsiaTheme="minorHAnsi"/>
      <w:szCs w:val="22"/>
      <w:lang w:eastAsia="en-US"/>
    </w:rPr>
  </w:style>
  <w:style w:type="paragraph" w:customStyle="1" w:styleId="Point2number">
    <w:name w:val="Point 2 (number)"/>
    <w:basedOn w:val="Normal"/>
    <w:rsid w:val="00D544CF"/>
    <w:pPr>
      <w:widowControl/>
      <w:numPr>
        <w:ilvl w:val="4"/>
        <w:numId w:val="41"/>
      </w:numPr>
      <w:spacing w:before="120" w:after="120"/>
      <w:jc w:val="both"/>
    </w:pPr>
    <w:rPr>
      <w:rFonts w:eastAsiaTheme="minorHAnsi"/>
      <w:szCs w:val="22"/>
      <w:lang w:eastAsia="en-US"/>
    </w:rPr>
  </w:style>
  <w:style w:type="paragraph" w:customStyle="1" w:styleId="Point3number">
    <w:name w:val="Point 3 (number)"/>
    <w:basedOn w:val="Normal"/>
    <w:rsid w:val="00D544CF"/>
    <w:pPr>
      <w:widowControl/>
      <w:numPr>
        <w:ilvl w:val="6"/>
        <w:numId w:val="41"/>
      </w:numPr>
      <w:spacing w:before="120" w:after="120"/>
      <w:jc w:val="both"/>
    </w:pPr>
    <w:rPr>
      <w:rFonts w:eastAsiaTheme="minorHAnsi"/>
      <w:szCs w:val="22"/>
      <w:lang w:eastAsia="en-US"/>
    </w:rPr>
  </w:style>
  <w:style w:type="paragraph" w:customStyle="1" w:styleId="Point0letter">
    <w:name w:val="Point 0 (letter)"/>
    <w:basedOn w:val="Normal"/>
    <w:rsid w:val="00D544CF"/>
    <w:pPr>
      <w:widowControl/>
      <w:numPr>
        <w:ilvl w:val="1"/>
        <w:numId w:val="41"/>
      </w:numPr>
      <w:spacing w:before="120" w:after="120"/>
      <w:jc w:val="both"/>
    </w:pPr>
    <w:rPr>
      <w:rFonts w:eastAsiaTheme="minorHAnsi"/>
      <w:szCs w:val="22"/>
      <w:lang w:eastAsia="en-US"/>
    </w:rPr>
  </w:style>
  <w:style w:type="paragraph" w:customStyle="1" w:styleId="Point1letter">
    <w:name w:val="Point 1 (letter)"/>
    <w:basedOn w:val="Normal"/>
    <w:rsid w:val="00D544CF"/>
    <w:pPr>
      <w:widowControl/>
      <w:numPr>
        <w:ilvl w:val="3"/>
        <w:numId w:val="41"/>
      </w:numPr>
      <w:spacing w:before="120" w:after="120"/>
      <w:jc w:val="both"/>
    </w:pPr>
    <w:rPr>
      <w:rFonts w:eastAsiaTheme="minorHAnsi"/>
      <w:szCs w:val="22"/>
      <w:lang w:eastAsia="en-US"/>
    </w:rPr>
  </w:style>
  <w:style w:type="paragraph" w:customStyle="1" w:styleId="Point2letter">
    <w:name w:val="Point 2 (letter)"/>
    <w:basedOn w:val="Normal"/>
    <w:rsid w:val="00D544CF"/>
    <w:pPr>
      <w:widowControl/>
      <w:numPr>
        <w:ilvl w:val="5"/>
        <w:numId w:val="41"/>
      </w:numPr>
      <w:spacing w:before="120" w:after="120"/>
      <w:jc w:val="both"/>
    </w:pPr>
    <w:rPr>
      <w:rFonts w:eastAsiaTheme="minorHAnsi"/>
      <w:szCs w:val="22"/>
      <w:lang w:eastAsia="en-US"/>
    </w:rPr>
  </w:style>
  <w:style w:type="paragraph" w:customStyle="1" w:styleId="Point3letter">
    <w:name w:val="Point 3 (letter)"/>
    <w:basedOn w:val="Normal"/>
    <w:rsid w:val="00D544CF"/>
    <w:pPr>
      <w:widowControl/>
      <w:numPr>
        <w:ilvl w:val="7"/>
        <w:numId w:val="41"/>
      </w:numPr>
      <w:spacing w:before="120" w:after="120"/>
      <w:jc w:val="both"/>
    </w:pPr>
    <w:rPr>
      <w:rFonts w:eastAsiaTheme="minorHAnsi"/>
      <w:szCs w:val="22"/>
      <w:lang w:eastAsia="en-US"/>
    </w:rPr>
  </w:style>
  <w:style w:type="paragraph" w:customStyle="1" w:styleId="Point4letter">
    <w:name w:val="Point 4 (letter)"/>
    <w:basedOn w:val="Normal"/>
    <w:rsid w:val="00D544CF"/>
    <w:pPr>
      <w:widowControl/>
      <w:numPr>
        <w:ilvl w:val="8"/>
        <w:numId w:val="41"/>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D544C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544C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544CF"/>
    <w:pPr>
      <w:widowControl/>
      <w:spacing w:before="480" w:after="120"/>
      <w:jc w:val="both"/>
    </w:pPr>
    <w:rPr>
      <w:rFonts w:eastAsiaTheme="minorHAnsi"/>
      <w:szCs w:val="22"/>
      <w:lang w:eastAsia="en-US"/>
    </w:rPr>
  </w:style>
  <w:style w:type="paragraph" w:customStyle="1" w:styleId="Personnequisigne">
    <w:name w:val="Personne qui signe"/>
    <w:basedOn w:val="Normal"/>
    <w:next w:val="Institutionquisigne"/>
    <w:rsid w:val="00D544CF"/>
    <w:pPr>
      <w:widowControl/>
      <w:tabs>
        <w:tab w:val="left" w:pos="4252"/>
      </w:tabs>
    </w:pPr>
    <w:rPr>
      <w:rFonts w:eastAsiaTheme="minorHAnsi"/>
      <w:i/>
      <w:szCs w:val="22"/>
      <w:lang w:eastAsia="en-US"/>
    </w:rPr>
  </w:style>
  <w:style w:type="paragraph" w:customStyle="1" w:styleId="Titrearticle">
    <w:name w:val="Titre article"/>
    <w:basedOn w:val="Normal"/>
    <w:next w:val="Normal"/>
    <w:rsid w:val="00D544C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544C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544C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544CF"/>
    <w:pPr>
      <w:widowControl/>
      <w:spacing w:before="120" w:after="120"/>
      <w:ind w:left="709" w:hanging="709"/>
      <w:jc w:val="both"/>
    </w:pPr>
    <w:rPr>
      <w:rFonts w:eastAsiaTheme="minorHAnsi"/>
      <w:szCs w:val="22"/>
      <w:lang w:eastAsia="en-US"/>
    </w:rPr>
  </w:style>
  <w:style w:type="paragraph" w:customStyle="1" w:styleId="Annexetitre">
    <w:name w:val="Annexe titre"/>
    <w:basedOn w:val="Normal"/>
    <w:next w:val="Normal"/>
    <w:rsid w:val="00D544CF"/>
    <w:pPr>
      <w:widowControl/>
      <w:spacing w:before="120" w:after="120"/>
      <w:jc w:val="center"/>
    </w:pPr>
    <w:rPr>
      <w:rFonts w:eastAsiaTheme="minorHAnsi"/>
      <w:b/>
      <w:szCs w:val="22"/>
      <w:u w:val="single"/>
      <w:lang w:eastAsia="en-US"/>
    </w:rPr>
  </w:style>
  <w:style w:type="character" w:styleId="FootnoteReference">
    <w:name w:val="footnote reference"/>
    <w:unhideWhenUsed/>
    <w:rsid w:val="00D544CF"/>
    <w:rPr>
      <w:vertAlign w:val="superscript"/>
    </w:rPr>
  </w:style>
  <w:style w:type="character" w:customStyle="1" w:styleId="normaltextrun">
    <w:name w:val="normaltextrun"/>
    <w:basedOn w:val="DefaultParagraphFont"/>
    <w:rsid w:val="00D544CF"/>
  </w:style>
  <w:style w:type="character" w:customStyle="1" w:styleId="eop">
    <w:name w:val="eop"/>
    <w:basedOn w:val="DefaultParagraphFont"/>
    <w:rsid w:val="00D544CF"/>
  </w:style>
  <w:style w:type="paragraph" w:customStyle="1" w:styleId="Normal24a">
    <w:name w:val="Normal24a"/>
    <w:basedOn w:val="Normal"/>
    <w:rsid w:val="000A6F7B"/>
    <w:pPr>
      <w:spacing w:after="480"/>
    </w:pPr>
  </w:style>
  <w:style w:type="paragraph" w:customStyle="1" w:styleId="NormalBoldCenter">
    <w:name w:val="NormalBoldCenter"/>
    <w:basedOn w:val="Normal"/>
    <w:rsid w:val="000A6F7B"/>
    <w:pPr>
      <w:jc w:val="center"/>
    </w:pPr>
    <w:rPr>
      <w:b/>
    </w:rPr>
  </w:style>
  <w:style w:type="paragraph" w:customStyle="1" w:styleId="Footprint12b">
    <w:name w:val="Footprint12b"/>
    <w:basedOn w:val="Normal"/>
    <w:rsid w:val="000A6F7B"/>
    <w:pPr>
      <w:spacing w:before="240"/>
    </w:pPr>
    <w:rPr>
      <w:szCs w:val="24"/>
    </w:rPr>
  </w:style>
  <w:style w:type="paragraph" w:customStyle="1" w:styleId="NormalSingle">
    <w:name w:val="NormalSingle"/>
    <w:basedOn w:val="Normal"/>
    <w:qFormat/>
    <w:rsid w:val="000A6F7B"/>
    <w:rPr>
      <w:szCs w:val="24"/>
    </w:rPr>
  </w:style>
  <w:style w:type="character" w:customStyle="1" w:styleId="UnresolvedMention">
    <w:name w:val="Unresolved Mention"/>
    <w:basedOn w:val="DefaultParagraphFont"/>
    <w:uiPriority w:val="99"/>
    <w:semiHidden/>
    <w:unhideWhenUsed/>
    <w:rsid w:val="000A6F7B"/>
    <w:rPr>
      <w:color w:val="605E5C"/>
      <w:shd w:val="clear" w:color="auto" w:fill="E1DFDD"/>
    </w:rPr>
  </w:style>
  <w:style w:type="paragraph" w:customStyle="1" w:styleId="Normal12a">
    <w:name w:val="Normal12a"/>
    <w:basedOn w:val="Normal"/>
    <w:rsid w:val="000A6F7B"/>
    <w:pPr>
      <w:spacing w:after="240"/>
    </w:pPr>
  </w:style>
  <w:style w:type="paragraph" w:customStyle="1" w:styleId="PageHeadingNotTOC">
    <w:name w:val="PageHeadingNotTOC"/>
    <w:basedOn w:val="Normal"/>
    <w:rsid w:val="000A6F7B"/>
    <w:pPr>
      <w:keepNext/>
      <w:spacing w:after="480"/>
      <w:jc w:val="center"/>
    </w:pPr>
    <w:rPr>
      <w:rFonts w:ascii="Arial" w:hAnsi="Arial" w:cs="Arial"/>
      <w:b/>
    </w:rPr>
  </w:style>
  <w:style w:type="paragraph" w:customStyle="1" w:styleId="NormalBold12b">
    <w:name w:val="NormalBold12b"/>
    <w:basedOn w:val="Normal"/>
    <w:rsid w:val="000A6F7B"/>
    <w:pPr>
      <w:spacing w:before="240"/>
    </w:pPr>
    <w:rPr>
      <w:b/>
    </w:rPr>
  </w:style>
  <w:style w:type="paragraph" w:customStyle="1" w:styleId="RollCallSymbols14pt">
    <w:name w:val="RollCallSymbols14pt"/>
    <w:basedOn w:val="Normal"/>
    <w:rsid w:val="000A6F7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6F7B"/>
    <w:pPr>
      <w:tabs>
        <w:tab w:val="center" w:pos="284"/>
        <w:tab w:val="left" w:pos="426"/>
      </w:tabs>
    </w:pPr>
    <w:rPr>
      <w:snapToGrid w:val="0"/>
      <w:lang w:eastAsia="en-US"/>
    </w:rPr>
  </w:style>
  <w:style w:type="paragraph" w:customStyle="1" w:styleId="RollCallVotes">
    <w:name w:val="RollCallVotes"/>
    <w:basedOn w:val="Normal"/>
    <w:rsid w:val="000A6F7B"/>
    <w:pPr>
      <w:spacing w:before="120" w:after="120"/>
      <w:jc w:val="center"/>
    </w:pPr>
    <w:rPr>
      <w:b/>
      <w:bCs/>
      <w:snapToGrid w:val="0"/>
      <w:sz w:val="16"/>
      <w:lang w:eastAsia="en-US"/>
    </w:rPr>
  </w:style>
  <w:style w:type="paragraph" w:customStyle="1" w:styleId="RollCallTable">
    <w:name w:val="RollCallTable"/>
    <w:basedOn w:val="Normal"/>
    <w:rsid w:val="000A6F7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yperlink" Target="mailto:erlandas.galaguz@visaginas.lt" TargetMode="External" /><Relationship Id="rId17" Type="http://schemas.openxmlformats.org/officeDocument/2006/relationships/hyperlink" Target="https://maps.app.goo.gl/GtwLwZc3S3DnZz5i8" TargetMode="External" /><Relationship Id="rId18" Type="http://schemas.openxmlformats.org/officeDocument/2006/relationships/hyperlink" Target="tel:+37069496193" TargetMode="External" /><Relationship Id="rId19" Type="http://schemas.openxmlformats.org/officeDocument/2006/relationships/hyperlink" Target="mailto:iae@altra.lt" TargetMode="External" /><Relationship Id="rId2" Type="http://schemas.openxmlformats.org/officeDocument/2006/relationships/settings" Target="settings.xml" /><Relationship Id="rId20" Type="http://schemas.openxmlformats.org/officeDocument/2006/relationships/hyperlink" Target="https://www.europarl.europa.eu/data-protect/index.do" TargetMode="Externa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header" Target="header9.xml" /><Relationship Id="rId24" Type="http://schemas.openxmlformats.org/officeDocument/2006/relationships/footer" Target="footer5.xml" /><Relationship Id="rId25" Type="http://schemas.openxmlformats.org/officeDocument/2006/relationships/header" Target="header10.xml" /><Relationship Id="rId26" Type="http://schemas.openxmlformats.org/officeDocument/2006/relationships/header" Target="header11.xml" /><Relationship Id="rId27" Type="http://schemas.openxmlformats.org/officeDocument/2006/relationships/header" Target="header12.xml" /><Relationship Id="rId28" Type="http://schemas.openxmlformats.org/officeDocument/2006/relationships/footer" Target="footer6.xml" /><Relationship Id="rId29" Type="http://schemas.openxmlformats.org/officeDocument/2006/relationships/theme" Target="theme/theme1.xml" /><Relationship Id="rId3" Type="http://schemas.openxmlformats.org/officeDocument/2006/relationships/webSettings" Target="webSettings.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treaty/acc_2003/act_1/pro_4/sign" TargetMode="External" /><Relationship Id="rId10" Type="http://schemas.openxmlformats.org/officeDocument/2006/relationships/hyperlink" Target="http://data.europa.eu/eli/reg/2013/1369/oj" TargetMode="External" /><Relationship Id="rId11" Type="http://schemas.openxmlformats.org/officeDocument/2006/relationships/hyperlink" Target="http://data.europa.eu/eli/reg/2011/182/oj" TargetMode="External" /><Relationship Id="rId12" Type="http://schemas.openxmlformats.org/officeDocument/2006/relationships/hyperlink" Target="http://data.europa.eu/eli/agree_interinstit/2021/611/oj" TargetMode="External" /><Relationship Id="rId2" Type="http://schemas.openxmlformats.org/officeDocument/2006/relationships/hyperlink" Target="http://data.europa.eu/eli/dir/2009/71/oj" TargetMode="External" /><Relationship Id="rId3" Type="http://schemas.openxmlformats.org/officeDocument/2006/relationships/hyperlink" Target="http://data.europa.eu/eli/dir/2011/70/oj" TargetMode="External" /><Relationship Id="rId4" Type="http://schemas.openxmlformats.org/officeDocument/2006/relationships/hyperlink" Target="http://data.europa.eu/eli/reg/2024/2509/oj" TargetMode="External" /><Relationship Id="rId5" Type="http://schemas.openxmlformats.org/officeDocument/2006/relationships/hyperlink" Target="http://data.europa.eu/eli/reg/2013/883/oj" TargetMode="External" /><Relationship Id="rId6" Type="http://schemas.openxmlformats.org/officeDocument/2006/relationships/hyperlink" Target="http://data.europa.eu/eli/reg/1995/2988/oj" TargetMode="External" /><Relationship Id="rId7" Type="http://schemas.openxmlformats.org/officeDocument/2006/relationships/hyperlink" Target="http://data.europa.eu/eli/reg/1996/2185/oj" TargetMode="External" /><Relationship Id="rId8" Type="http://schemas.openxmlformats.org/officeDocument/2006/relationships/hyperlink" Target="http://data.europa.eu/eli/dir/2017/1371/oj" TargetMode="External" /><Relationship Id="rId9" Type="http://schemas.openxmlformats.org/officeDocument/2006/relationships/hyperlink" Target="http://data.europa.eu/eli/reg/2021/1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7289</Words>
  <Characters>51029</Characters>
  <Application>Microsoft Office Word</Application>
  <DocSecurity>0</DocSecurity>
  <Lines>1000</Lines>
  <Paragraphs>413</Paragraphs>
  <ScaleCrop>false</ScaleCrop>
  <HeadingPairs>
    <vt:vector size="2" baseType="variant">
      <vt:variant>
        <vt:lpstr>Title</vt:lpstr>
      </vt:variant>
      <vt:variant>
        <vt:i4>1</vt:i4>
      </vt:variant>
    </vt:vector>
  </HeadingPairs>
  <TitlesOfParts>
    <vt:vector size="1" baseType="lpstr">
      <vt:lpstr>PR_NLE-CN_LegAct_am</vt:lpstr>
    </vt:vector>
  </TitlesOfParts>
  <Company/>
  <LinksUpToDate>false</LinksUpToDate>
  <CharactersWithSpaces>57905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PR_NLE-CN_LegAct_am</dc:title>
  <dc:creator>European Parliament</dc:creator>
  <cp:lastModifiedBy>European Parliament</cp:lastModifiedBy>
  <cp:revision>2</cp:revision>
  <cp:lastPrinted>2005-10-13T14:57:00Z</cp:lastPrinted>
  <dcterms:created xsi:type="dcterms:W3CDTF">2026-08-04T14:35:00Z</dcterms:created>
  <dcterms:modified xsi:type="dcterms:W3CDTF">2026-08-04T14:35:00Z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1347506</vt:lpwstr>
  </property>
  <property fmtid="{D5CDD505-2E9C-101B-9397-08002B2CF9AE}" pid="4" name="&lt;Model&gt;">
    <vt:lpwstr>PR_NLE-CN_LegAct_am</vt:lpwstr>
  </property>
  <property fmtid="{D5CDD505-2E9C-101B-9397-08002B2CF9AE}" pid="5" name="&lt;ModelCod&gt;">
    <vt:lpwstr>\\eiciLUXpr1\pdocep$\DocEP\DOCS\General\PR\PR_Leg\NLE\NLE-CN_LegAct\PR_NLE-CN_LegAct_am.dotx(24/09/2024 09:50:00)</vt:lpwstr>
  </property>
  <property fmtid="{D5CDD505-2E9C-101B-9397-08002B2CF9AE}" pid="6" name="&lt;ModelTra&gt;">
    <vt:lpwstr>\\eiciLUXpr1\pdocep$\DocEP\TRANSFIL\MT\PR_NLE-CN_LegAct_am.MT(04/03/2026 13:35:13)</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RR\1347506MT.docx</vt:lpwstr>
  </property>
  <property fmtid="{D5CDD505-2E9C-101B-9397-08002B2CF9AE}" pid="10" name="LastEdited with">
    <vt:lpwstr>10.3.0 Build [20260401]</vt:lpwstr>
  </property>
  <property fmtid="{D5CDD505-2E9C-101B-9397-08002B2CF9AE}" pid="11" name="PE number">
    <vt:lpwstr>785.118</vt:lpwstr>
  </property>
  <property fmtid="{D5CDD505-2E9C-101B-9397-08002B2CF9AE}" pid="12" name="RegistreCheck">
    <vt:lpwstr>OK</vt:lpwstr>
  </property>
  <property fmtid="{D5CDD505-2E9C-101B-9397-08002B2CF9AE}" pid="13" name="SDLStudio">
    <vt:lpwstr/>
  </property>
</Properties>
</file>