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Istuntoasiakirja</w:t>
      </w:r>
    </w:p>
    <w:p>
      <w:pPr>
        <w:pStyle w:val="LineBottom"/>
      </w:pPr>
      <w:r>
        <w:t xml:space="preserve"> </w:t>
      </w:r>
    </w:p>
    <w:p>
      <w:pPr>
        <w:pStyle w:val="CoverReference"/>
      </w:pPr>
      <w:r>
        <w:rPr>
          <w:rStyle w:val="HideTWBExt"/>
        </w:rPr>
        <w:t>&lt;NoDocSe&gt;</w:t>
      </w:r>
      <w:r>
        <w:t>A10-0215/2026</w:t>
      </w:r>
      <w:r>
        <w:rPr>
          <w:rStyle w:val="HideTWBExt"/>
        </w:rPr>
        <w:t>&lt;/NoDocSe&gt;</w:t>
      </w:r>
    </w:p>
    <w:p>
      <w:pPr>
        <w:pStyle w:val="CoverDate"/>
      </w:pPr>
      <w:r>
        <w:rPr>
          <w:rStyle w:val="HideTWBExt"/>
        </w:rPr>
        <w:t>&lt;Date&gt;</w:t>
      </w:r>
      <w:r>
        <w:rPr>
          <w:rStyle w:val="HideTWBInt"/>
        </w:rPr>
        <w:t>{23/07/2026}</w:t>
      </w:r>
      <w:r>
        <w:t>23.07.2026</w:t>
      </w:r>
      <w:r>
        <w:rPr>
          <w:rStyle w:val="HideTWBExt"/>
        </w:rPr>
        <w:t>&lt;/Date&gt;</w:t>
      </w:r>
    </w:p>
    <w:p>
      <w:pPr>
        <w:pStyle w:val="CoverDocType"/>
      </w:pPr>
      <w:r>
        <w:rPr>
          <w:rStyle w:val="HideTWBExt"/>
        </w:rPr>
        <w:t>&lt;RefProcLect&gt;</w:t>
      </w:r>
      <w:r>
        <w:t>***I</w:t>
      </w:r>
      <w:r>
        <w:rPr>
          <w:rStyle w:val="HideTWBExt"/>
        </w:rPr>
        <w:t>&lt;/RefProcLect&gt;</w:t>
      </w:r>
    </w:p>
    <w:p>
      <w:pPr>
        <w:pStyle w:val="CoverDocType24a"/>
      </w:pPr>
      <w:r>
        <w:rPr>
          <w:rStyle w:val="HideTWBExt"/>
        </w:rPr>
        <w:t>&lt;TitreType&gt;</w:t>
      </w:r>
      <w:r>
        <w:t>MIETINTÖ</w:t>
      </w:r>
      <w:r>
        <w:rPr>
          <w:rStyle w:val="HideTWBExt"/>
        </w:rPr>
        <w:t>&lt;/TitreType&gt;</w:t>
      </w:r>
    </w:p>
    <w:p>
      <w:pPr>
        <w:pStyle w:val="CoverNormal"/>
      </w:pPr>
      <w:r>
        <w:rPr>
          <w:rStyle w:val="HideTWBExt"/>
        </w:rPr>
        <w:t>&lt;Titre&gt;</w:t>
      </w:r>
      <w:r>
        <w:t>ehdotuksesta Euroopan parlamentin ja neuvoston asetukseksi liikekiinteistöjä koskevista muista kuin rahoitustilastoista</w:t>
      </w:r>
      <w:r>
        <w:rPr>
          <w:rStyle w:val="HideTWBExt"/>
        </w:rPr>
        <w:t>&lt;/Titre&gt;</w:t>
      </w:r>
    </w:p>
    <w:p>
      <w:pPr>
        <w:pStyle w:val="CoverNormal24a"/>
      </w:pPr>
      <w:r>
        <w:rPr>
          <w:rStyle w:val="HideTWBExt"/>
        </w:rPr>
        <w:t>&lt;DocRef&gt;</w:t>
      </w:r>
      <w:r>
        <w:t>(COM(2025)0100 – C10-0046/2025 – 2025/0052(COD))</w:t>
      </w:r>
      <w:r>
        <w:rPr>
          <w:rStyle w:val="HideTWBExt"/>
        </w:rPr>
        <w:t>&lt;/DocRef&gt;</w:t>
      </w:r>
    </w:p>
    <w:p>
      <w:pPr>
        <w:pStyle w:val="CoverNormal24a"/>
      </w:pPr>
      <w:r>
        <w:rPr>
          <w:rStyle w:val="HideTWBExt"/>
        </w:rPr>
        <w:t>&lt;Commission&gt;</w:t>
      </w:r>
      <w:r>
        <w:rPr>
          <w:rStyle w:val="HideTWBInt"/>
        </w:rPr>
        <w:t>{ECON}</w:t>
      </w:r>
      <w:r>
        <w:t>Talous- ja raha-asioiden valiokunta</w:t>
      </w:r>
      <w:r>
        <w:rPr>
          <w:rStyle w:val="HideTWBExt"/>
        </w:rPr>
        <w:t>&lt;/Commission&gt;</w:t>
      </w:r>
    </w:p>
    <w:p>
      <w:pPr>
        <w:pStyle w:val="CoverNormal24a"/>
      </w:pPr>
      <w:r>
        <w:t xml:space="preserve">Esittelijä: </w:t>
      </w:r>
      <w:r>
        <w:rPr>
          <w:rStyle w:val="HideTWBExt"/>
        </w:rPr>
        <w:t>&lt;Depute&gt;</w:t>
      </w:r>
      <w:r>
        <w:t>Ľudovít Ódor</w:t>
      </w:r>
      <w:r>
        <w:rPr>
          <w:rStyle w:val="HideTWBExt"/>
        </w:rPr>
        <w:t>&lt;/Depute&gt;</w:t>
      </w:r>
    </w:p>
    <w:p>
      <w:r>
        <w:br w:type="page"/>
      </w:r>
      <w:r>
        <w:t>PR_COD_1amCom</w:t>
      </w:r>
    </w:p>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82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jc w:val="center"/>
        </w:trPr>
        <w:tc>
          <w:tcPr>
            <w:tcW w:w="5820" w:type="dxa"/>
            <w:tcBorders>
              <w:bottom w:val="nil"/>
            </w:tcBorders>
          </w:tcPr>
          <w:p>
            <w:pPr>
              <w:pStyle w:val="LegendTitle"/>
            </w:pPr>
            <w:r>
              <w:t>Menettelyjen symbolit</w:t>
            </w:r>
          </w:p>
        </w:tc>
      </w:tr>
      <w:tr>
        <w:tblPrEx>
          <w:tblW w:w="0" w:type="auto"/>
          <w:jc w:val="center"/>
          <w:tblLayout w:type="fixed"/>
          <w:tblCellMar>
            <w:left w:w="108" w:type="dxa"/>
            <w:right w:w="108" w:type="dxa"/>
          </w:tblCellMar>
        </w:tblPrEx>
        <w:trPr>
          <w:jc w:val="center"/>
        </w:trPr>
        <w:tc>
          <w:tcPr>
            <w:tcW w:w="5820" w:type="dxa"/>
            <w:tcBorders>
              <w:top w:val="nil"/>
            </w:tcBorders>
          </w:tcPr>
          <w:p>
            <w:pPr>
              <w:pStyle w:val="LegendSign"/>
            </w:pPr>
            <w:r>
              <w:tab/>
            </w:r>
            <w:r>
              <w:t>*</w:t>
            </w:r>
            <w:r>
              <w:tab/>
            </w:r>
            <w:r>
              <w:t>Kuulemismenettely</w:t>
            </w:r>
          </w:p>
          <w:p>
            <w:pPr>
              <w:pStyle w:val="LegendSign"/>
            </w:pPr>
            <w:r>
              <w:tab/>
            </w:r>
            <w:r>
              <w:t>***</w:t>
            </w:r>
            <w:r>
              <w:tab/>
            </w:r>
            <w:r>
              <w:t>Hyväksyntämenettely</w:t>
            </w:r>
          </w:p>
          <w:p>
            <w:pPr>
              <w:pStyle w:val="LegendSign"/>
            </w:pPr>
            <w:r>
              <w:tab/>
            </w:r>
            <w:r>
              <w:t>***I</w:t>
            </w:r>
            <w:r>
              <w:tab/>
            </w:r>
            <w:r>
              <w:t>Tavallinen lainsäätämisjärjestys (ensimmäinen käsittely)</w:t>
            </w:r>
          </w:p>
          <w:p>
            <w:pPr>
              <w:pStyle w:val="LegendSign"/>
            </w:pPr>
            <w:r>
              <w:tab/>
            </w:r>
            <w:r>
              <w:t>***II</w:t>
            </w:r>
            <w:r>
              <w:tab/>
            </w:r>
            <w:r>
              <w:t>Tavallinen lainsäätämisjärjestys (toinen käsittely)</w:t>
            </w:r>
          </w:p>
          <w:p>
            <w:pPr>
              <w:pStyle w:val="LegendSign"/>
            </w:pPr>
            <w:r>
              <w:tab/>
            </w:r>
            <w:r>
              <w:t>***III</w:t>
            </w:r>
            <w:r>
              <w:tab/>
            </w:r>
            <w:r>
              <w:t>Tavallinen lainsäätämisjärjestys (kolmas käsittely)</w:t>
            </w:r>
            <w:r>
              <w:cr/>
            </w:r>
          </w:p>
          <w:p>
            <w:pPr>
              <w:pStyle w:val="LegendStandard"/>
            </w:pPr>
            <w:r>
              <w:t>(Menettely määräytyy säädösesityksessä ehdotetun oikeusperustan mukaan.)</w:t>
            </w:r>
            <w:r>
              <w:cr/>
            </w:r>
          </w:p>
        </w:tc>
      </w:tr>
    </w:tbl>
    <w:p/>
    <w:p/>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82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jc w:val="center"/>
        </w:trPr>
        <w:tc>
          <w:tcPr>
            <w:tcW w:w="5820" w:type="dxa"/>
            <w:tcBorders>
              <w:bottom w:val="nil"/>
            </w:tcBorders>
          </w:tcPr>
          <w:p>
            <w:pPr>
              <w:pStyle w:val="LegendTitle"/>
            </w:pPr>
            <w:r>
              <w:t>Tarkistukset säädösesitykseen</w:t>
            </w:r>
          </w:p>
        </w:tc>
      </w:tr>
      <w:tr>
        <w:tblPrEx>
          <w:tblW w:w="0" w:type="auto"/>
          <w:jc w:val="center"/>
          <w:tblLayout w:type="fixed"/>
          <w:tblCellMar>
            <w:left w:w="108" w:type="dxa"/>
            <w:right w:w="108" w:type="dxa"/>
          </w:tblCellMar>
        </w:tblPrEx>
        <w:trPr>
          <w:jc w:val="center"/>
        </w:trPr>
        <w:tc>
          <w:tcPr>
            <w:tcW w:w="5820" w:type="dxa"/>
            <w:tcBorders>
              <w:top w:val="nil"/>
            </w:tcBorders>
          </w:tcPr>
          <w:p>
            <w:pPr>
              <w:pStyle w:val="LegendStandard"/>
            </w:pPr>
            <w:r>
              <w:rPr>
                <w:b/>
              </w:rPr>
              <w:t>Palstoina esitettävät parlamentin tarkistukset</w:t>
            </w:r>
            <w:r>
              <w:cr/>
            </w:r>
          </w:p>
          <w:p>
            <w:pPr>
              <w:pStyle w:val="LegendStandard"/>
            </w:pPr>
            <w:r>
              <w:t xml:space="preserve">Poistettava teksti merkitään vasempaan palstaan </w:t>
            </w:r>
            <w:r>
              <w:rPr>
                <w:b/>
                <w:i/>
              </w:rPr>
              <w:t>lihavoidulla kursiivilla</w:t>
            </w:r>
            <w:r>
              <w:t xml:space="preserve">. Tekstiä korvattaessa muutosmerkinnät tehdään molempiin palstoihin </w:t>
            </w:r>
            <w:r>
              <w:rPr>
                <w:b/>
                <w:i/>
              </w:rPr>
              <w:t>lihavoidulla kursiivilla</w:t>
            </w:r>
            <w:r>
              <w:t xml:space="preserve">. Uusi teksti merkitään oikeaan palstaan </w:t>
            </w:r>
            <w:r>
              <w:rPr>
                <w:b/>
                <w:i/>
              </w:rPr>
              <w:t>lihavoidulla kursiivilla</w:t>
            </w:r>
            <w:r>
              <w:t>.</w:t>
            </w:r>
            <w:r>
              <w:cr/>
            </w:r>
          </w:p>
          <w:p>
            <w:pPr>
              <w:pStyle w:val="LegendStandard"/>
            </w:pPr>
            <w:r>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r>
              <w:cr/>
            </w:r>
          </w:p>
          <w:p>
            <w:pPr>
              <w:pStyle w:val="LegendStandard"/>
            </w:pPr>
            <w:r>
              <w:rPr>
                <w:b/>
              </w:rPr>
              <w:t>Konsolidoituna tekstinä esitettävät parlamentin tarkistukset</w:t>
            </w:r>
            <w:r>
              <w:cr/>
            </w:r>
          </w:p>
          <w:p>
            <w:pPr>
              <w:pStyle w:val="LegendStandard"/>
            </w:pPr>
            <w:r>
              <w:t xml:space="preserve">Uusi teksti merkitään </w:t>
            </w:r>
            <w:r>
              <w:rPr>
                <w:b/>
                <w:i/>
              </w:rPr>
              <w:t>lihavoidulla kursiivilla</w:t>
            </w:r>
            <w:r>
              <w:t>. Poistettava teksti merkitään symbolilla ▌tai yliviivauksella. Tekstiä korvattaessa muutosmerkinnät tehdään siten, että uusi teksti merkitään</w:t>
            </w:r>
            <w:r>
              <w:rPr>
                <w:b/>
                <w:i/>
              </w:rPr>
              <w:t xml:space="preserve"> lihavoidulla kursiivilla</w:t>
            </w:r>
            <w:r>
              <w:t xml:space="preserve"> ja korvattava teksti poistetaan tai viivataan yli. </w:t>
            </w:r>
            <w:r>
              <w:br/>
            </w:r>
            <w:r>
              <w:t>Parlamentin yksiköiden tekemiä lopullisen tekstin teknisiä muutoksia ei merkitä.</w:t>
            </w:r>
            <w:r>
              <w:cr/>
            </w:r>
          </w:p>
        </w:tc>
      </w:tr>
    </w:tbl>
    <w:p/>
    <w:p/>
    <w:p/>
    <w:p>
      <w:r>
        <w:br w:type="page"/>
      </w:r>
    </w:p>
    <w:p>
      <w:pPr>
        <w:pStyle w:val="TOCHeading"/>
      </w:pPr>
      <w:r>
        <w:t>SISÄLTÖ</w:t>
      </w:r>
    </w:p>
    <w:p>
      <w:pPr>
        <w:pStyle w:val="TOCPage"/>
      </w:pPr>
      <w:r>
        <w:t>Sivu</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LUONNOS EUROOPAN PARLAMENTIN LAINSÄÄDÄNTÖPÄÄTÖSLAUSELMAKSI</w:t>
      </w:r>
      <w:r>
        <w:tab/>
      </w:r>
      <w:r>
        <w:fldChar w:fldCharType="begin"/>
      </w:r>
      <w:r>
        <w:instrText xml:space="preserve"> PAGEREF _Toc256000004 \h </w:instrText>
      </w:r>
      <w:r>
        <w:fldChar w:fldCharType="separate"/>
      </w:r>
      <w:r>
        <w:t>5</w:t>
      </w:r>
      <w:r>
        <w:fldChar w:fldCharType="end"/>
      </w:r>
    </w:p>
    <w:p>
      <w:pPr>
        <w:pStyle w:val="TOC1"/>
        <w:tabs>
          <w:tab w:val="right" w:leader="dot" w:pos="9065"/>
        </w:tabs>
        <w:rPr>
          <w:rFonts w:ascii="Calibri" w:hAnsi="Calibri"/>
          <w:noProof/>
          <w:sz w:val="22"/>
        </w:rPr>
      </w:pPr>
      <w:r>
        <w:t>LIITE: ILMOITUS SAADUISTA TIEDOISTA</w:t>
      </w:r>
      <w:r>
        <w:tab/>
      </w:r>
      <w:r>
        <w:fldChar w:fldCharType="begin"/>
      </w:r>
      <w:r>
        <w:instrText xml:space="preserve"> PAGEREF _Toc256000005 \h </w:instrText>
      </w:r>
      <w:r>
        <w:fldChar w:fldCharType="separate"/>
      </w:r>
      <w:r>
        <w:t>20</w:t>
      </w:r>
      <w:r>
        <w:fldChar w:fldCharType="end"/>
      </w:r>
    </w:p>
    <w:p>
      <w:pPr>
        <w:pStyle w:val="TOC1"/>
        <w:tabs>
          <w:tab w:val="right" w:leader="dot" w:pos="9065"/>
        </w:tabs>
        <w:rPr>
          <w:rFonts w:ascii="Calibri" w:hAnsi="Calibri"/>
          <w:noProof/>
          <w:sz w:val="22"/>
        </w:rPr>
      </w:pPr>
      <w:r>
        <w:t>ASIAN KÄSITTELY ASIASTA VASTAAVASSA VALIOKUNNASSA</w:t>
      </w:r>
      <w:r>
        <w:tab/>
      </w:r>
      <w:r>
        <w:fldChar w:fldCharType="begin"/>
      </w:r>
      <w:r>
        <w:instrText xml:space="preserve"> PAGEREF _Toc256000006 \h </w:instrText>
      </w:r>
      <w:r>
        <w:fldChar w:fldCharType="separate"/>
      </w:r>
      <w:r>
        <w:t>21</w:t>
      </w:r>
      <w:r>
        <w:fldChar w:fldCharType="end"/>
      </w:r>
    </w:p>
    <w:p>
      <w:pPr>
        <w:pStyle w:val="TOC1"/>
        <w:tabs>
          <w:tab w:val="right" w:leader="dot" w:pos="9065"/>
        </w:tabs>
        <w:rPr>
          <w:rFonts w:ascii="Calibri" w:hAnsi="Calibri"/>
          <w:noProof/>
          <w:sz w:val="22"/>
        </w:rPr>
      </w:pPr>
      <w:r>
        <w:t>LOPULLINEN ÄÄNESTYS NIMENHUUTOÄÄNESTYKSENÄ ASIASTA VASTAAVASSA VALIOKUNNASSA</w:t>
      </w:r>
      <w:r>
        <w:tab/>
      </w:r>
      <w:r>
        <w:fldChar w:fldCharType="begin"/>
      </w:r>
      <w:r>
        <w:instrText xml:space="preserve"> PAGEREF _Toc256000007 \h </w:instrText>
      </w:r>
      <w:r>
        <w:fldChar w:fldCharType="separate"/>
      </w:r>
      <w:r>
        <w:t>22</w:t>
      </w:r>
      <w:r>
        <w:fldChar w:fldCharType="end"/>
      </w:r>
    </w:p>
    <w:p>
      <w:pPr>
        <w:pStyle w:val="TOC1"/>
      </w:pPr>
      <w:r>
        <w:fldChar w:fldCharType="end"/>
      </w:r>
    </w:p>
    <w:p>
      <w:r>
        <w:br w:type="page"/>
      </w:r>
    </w:p>
    <w:p>
      <w:r>
        <w:br w:type="page"/>
      </w:r>
    </w:p>
    <w:p>
      <w:pPr>
        <w:pStyle w:val="PageHeading"/>
      </w:pPr>
      <w:bookmarkStart w:id="0" w:name="_Toc256000004"/>
      <w:r>
        <w:t>LUONNOS EUROOPAN PARLAMENTIN LAINSÄÄDÄNTÖPÄÄTÖSLAUSELMAKSI</w:t>
      </w:r>
      <w:bookmarkEnd w:id="0"/>
    </w:p>
    <w:p>
      <w:pPr>
        <w:pStyle w:val="NormalBold"/>
      </w:pPr>
      <w:r>
        <w:t>ehdotuksesta Euroopan parlamentin ja neuvoston asetukseksi liikekiinteistöjä koskevista muista kuin rahoitustilastoista</w:t>
      </w:r>
    </w:p>
    <w:p>
      <w:pPr>
        <w:pStyle w:val="NormalBold"/>
      </w:pPr>
    </w:p>
    <w:p>
      <w:pPr>
        <w:pStyle w:val="NormalBold12a"/>
      </w:pPr>
      <w:r>
        <w:t>(</w:t>
      </w:r>
      <w:r>
        <w:t>COM(2025)0100</w:t>
      </w:r>
      <w:r>
        <w:t xml:space="preserve"> – </w:t>
      </w:r>
      <w:r>
        <w:t>C10-0046/2025</w:t>
      </w:r>
      <w:r>
        <w:t xml:space="preserve"> – </w:t>
      </w:r>
      <w:r>
        <w:t>2025/0052(COD)</w:t>
      </w:r>
      <w:r>
        <w:t>)</w:t>
      </w:r>
    </w:p>
    <w:p>
      <w:pPr>
        <w:pStyle w:val="NormalBold12a"/>
      </w:pPr>
      <w:r>
        <w:t>(</w:t>
      </w:r>
      <w:r>
        <w:t>Tavallinen lainsäätämisjärjestys: ensimmäinen käsittely</w:t>
      </w:r>
      <w:r>
        <w:t>)</w:t>
      </w:r>
    </w:p>
    <w:p>
      <w:pPr>
        <w:pStyle w:val="Normal12"/>
      </w:pPr>
      <w:r>
        <w:rPr>
          <w:i/>
        </w:rPr>
        <w:t>Euroopan parlamentti</w:t>
      </w:r>
      <w:r>
        <w:t>, joka</w:t>
      </w:r>
    </w:p>
    <w:p>
      <w:pPr>
        <w:pStyle w:val="NormalHanging"/>
      </w:pPr>
      <w:r>
        <w:t>–</w:t>
      </w:r>
      <w:r>
        <w:tab/>
      </w:r>
      <w:r>
        <w:t>ottaa huomioon komission ehdotuksen Euroopan parlamentille ja neuvostolle (COM(2025)0100),</w:t>
      </w:r>
    </w:p>
    <w:p>
      <w:pPr>
        <w:pStyle w:val="NormalHanging"/>
      </w:pPr>
      <w:r>
        <w:t>–</w:t>
      </w:r>
      <w:r>
        <w:tab/>
      </w:r>
      <w:r>
        <w:t>ottaa huomioon Euroopan unionin toiminnasta tehdyn sopimuksen 294 artiklan 2 kohdan ja 338 artiklan 1 kohdan, joiden mukaisesti komissio on antanut ehdotuksen Euroopan parlamentille (C10-0046/2025),</w:t>
      </w:r>
    </w:p>
    <w:p>
      <w:pPr>
        <w:pStyle w:val="NormalHanging"/>
      </w:pPr>
      <w:r>
        <w:t>–</w:t>
      </w:r>
      <w:r>
        <w:tab/>
      </w:r>
      <w:r>
        <w:t>ottaa huomioon Euroopan unionin toiminnasta tehdyn sopimuksen 294 artiklan 3 kohdan,</w:t>
      </w:r>
    </w:p>
    <w:p>
      <w:pPr>
        <w:pStyle w:val="NormalHanging"/>
      </w:pPr>
      <w:r>
        <w:t>–</w:t>
      </w:r>
      <w:r>
        <w:tab/>
      </w:r>
      <w:r>
        <w:t>ottaa huomioon budjettivaliokunnan talousarvionäkökohtia koskevan arvion,</w:t>
      </w:r>
    </w:p>
    <w:p>
      <w:pPr>
        <w:pStyle w:val="NormalHanging"/>
      </w:pPr>
      <w:r>
        <w:t>–</w:t>
      </w:r>
      <w:r>
        <w:tab/>
      </w:r>
      <w:r>
        <w:t>ottaa huomioon Euroopan keskuspankin 2. syyskuuta 2025 antaman lausunnon</w:t>
      </w:r>
      <w:r>
        <w:rPr>
          <w:rStyle w:val="FootnoteReference"/>
        </w:rPr>
        <w:footnoteReference w:customMarkFollows="1" w:id="2"/>
        <w:t xml:space="preserve">1</w:t>
      </w:r>
      <w:r>
        <w:t>,</w:t>
      </w:r>
    </w:p>
    <w:p>
      <w:pPr>
        <w:pStyle w:val="NormalHanging"/>
      </w:pPr>
      <w:r>
        <w:t>–</w:t>
      </w:r>
      <w:r>
        <w:tab/>
      </w:r>
      <w:r>
        <w:t>ottaa huomioon työjärjestyksen 60 artiklan,</w:t>
      </w:r>
    </w:p>
    <w:p>
      <w:pPr>
        <w:pStyle w:val="NormalHanging"/>
      </w:pPr>
      <w:r>
        <w:t>–</w:t>
      </w:r>
      <w:r>
        <w:tab/>
      </w:r>
      <w:r>
        <w:t>ottaa huomioon talous- ja raha-asioiden valiokunnan mietinnön (A10-0215/2026),</w:t>
      </w:r>
    </w:p>
    <w:p>
      <w:pPr>
        <w:pStyle w:val="NormalHanging12a"/>
      </w:pPr>
      <w:r>
        <w:t>1.</w:t>
      </w:r>
      <w:r>
        <w:tab/>
      </w:r>
      <w:r>
        <w:t>vahvistaa jäljempänä esitetyn ensimmäisen käsittelyn kannan;</w:t>
      </w:r>
    </w:p>
    <w:p>
      <w:pPr>
        <w:pStyle w:val="NormalHanging12a"/>
      </w:pPr>
      <w:r>
        <w:t>2.</w:t>
      </w:r>
      <w:r>
        <w:tab/>
      </w:r>
      <w:r>
        <w:t>pyytää komissiota antamaan asian uudelleen Euroopan parlamentin käsiteltäväksi, jos se korvaa ehdotuksensa, muuttaa sitä huomattavasti tai aikoo muuttaa sitä huomattavasti;</w:t>
      </w:r>
    </w:p>
    <w:p>
      <w:pPr>
        <w:pStyle w:val="NormalHanging12a"/>
      </w:pPr>
      <w:r>
        <w:t>3.</w:t>
      </w:r>
      <w:r>
        <w:tab/>
      </w:r>
      <w:r>
        <w:t>kehottaa puhemiestä välittämään parlamentin kannan neuvostolle ja komissiolle sekä kansallisille parlamenteille.</w:t>
      </w:r>
    </w:p>
    <w:p>
      <w:r>
        <w:br w:type="page"/>
      </w:r>
    </w:p>
    <w:p>
      <w:pPr>
        <w:pStyle w:val="AmNumberTabs"/>
      </w:pP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Kiinteistömarkkinoiden kehitystä koskevat tilastot ovat olennaisen tärkeitä talous- ja rahapolitiikan, järjestelmäriskien seurannan ja makrovakauspolitiikan kannalta.</w:t>
            </w:r>
          </w:p>
        </w:tc>
        <w:tc>
          <w:tcPr>
            <w:tcW w:w="4876" w:type="dxa"/>
            <w:tcBorders>
              <w:top w:val="nil"/>
              <w:left w:val="nil"/>
              <w:bottom w:val="nil"/>
              <w:right w:val="nil"/>
            </w:tcBorders>
          </w:tcPr>
          <w:p>
            <w:pPr>
              <w:pStyle w:val="Normal6a"/>
            </w:pPr>
            <w:r>
              <w:t>(1)</w:t>
            </w:r>
            <w:r>
              <w:tab/>
            </w:r>
            <w:r>
              <w:t>Kiinteistömarkkinoiden kehitystä koskevat tilastot ovat olennaisen tärkeitä talous- ja rahapolitiikan, järjestelmäriskien seurannan ja makrovakauspolitiikan kannalta.</w:t>
            </w:r>
            <w:r>
              <w:rPr>
                <w:b/>
                <w:i/>
              </w:rPr>
              <w:t xml:space="preserve"> Aiemmat finanssikriisit ovat osoittaneet, että kiinteistömarkkinoiden kehitys voi heijastua koko rahoitusjärjestelmään ja vaikuttaa vakavasti reaalitalouteen.</w:t>
            </w:r>
          </w:p>
        </w:tc>
      </w:tr>
    </w:tbl>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2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Finanssimarkkinoiden vakauden valvontaryhmä yksilöi 19 päivänä kesäkuuta 2025 antamassaan raportissa ”Vulnerabilities in Non-bank Commercial Real Estate Investors” tärkeimmät liikekiinteistöalasta johtuvat haavoittuvuudet. Raportissa tuodaan esiin tiedoissa vielä olevia puutteita, jotka hankaloittavat makrovakausvalvonnasta vastaavien viranomaisten toimeksiannon toteuttamista.</w:t>
            </w:r>
          </w:p>
        </w:tc>
      </w:tr>
    </w:tbl>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Samassa vuoden 2019 suosituksessa EJRK määritteli fyysisen liikekiinteistön miksi tahansa tuloa tuottavaksi kiinteistöksi, joka on joko olemassa tai rakenteilla, mukaan lukien vuokrakiinteistöt, tai joko olemassa tai rakenteilla olevaksi kiinteistöksi, jota sen omistajat käyttävät liiketoiminnan, tehtävän tai toiminnan harjoittamiseen, jota ei luokitella asuinkiinteistöksi</w:t>
            </w:r>
            <w:r>
              <w:rPr>
                <w:b/>
                <w:i/>
              </w:rPr>
              <w:t xml:space="preserve"> </w:t>
            </w:r>
            <w:r>
              <w:rPr>
                <w:b/>
                <w:i/>
              </w:rPr>
              <w:t>ja joka käsittää sosiaaliset vuokrakiinteistöt</w:t>
            </w:r>
            <w:r>
              <w:t>. Tämän asetuksen määritelmät ovat yhdenmukaisia EJRK:n vuonna 2019 suosittamien määritelmien kanssa.</w:t>
            </w:r>
          </w:p>
        </w:tc>
        <w:tc>
          <w:tcPr>
            <w:tcW w:w="4876" w:type="dxa"/>
            <w:tcBorders>
              <w:top w:val="nil"/>
              <w:left w:val="nil"/>
              <w:bottom w:val="nil"/>
              <w:right w:val="nil"/>
            </w:tcBorders>
          </w:tcPr>
          <w:p>
            <w:pPr>
              <w:pStyle w:val="Normal6a"/>
            </w:pPr>
            <w:r>
              <w:t>(6)</w:t>
            </w:r>
            <w:r>
              <w:tab/>
            </w:r>
            <w:r>
              <w:t>Samassa vuoden 2019 suosituksessa EJRK määritteli fyysisen liikekiinteistön miksi tahansa tuloa tuottavaksi kiinteistöksi, joka on joko olemassa tai rakenteilla, mukaan lukien vuokrakiinteistöt, tai joko olemassa tai rakenteilla olevaksi kiinteistöksi, jota sen omistajat käyttävät liiketoiminnan, tehtävän tai toiminnan harjoittamiseen, jota ei luokitella asuinkiinteistöksi. Tämän asetuksen määritelmät ovat yhdenmukaisia EJRK:n vuonna 2019 suosittamien määritelmien kanssa.</w:t>
            </w:r>
          </w:p>
        </w:tc>
      </w:tr>
    </w:tbl>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 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t>(10)</w:t>
            </w:r>
            <w:r>
              <w:tab/>
            </w:r>
            <w:r>
              <w:t xml:space="preserve">Asetuksen (EY) N:o 223/2009, sellaisena kuin se on muutettuna asetuksella (EU) 2024/3018, 17 b artiklan mukaisesti kansallisilla tilastolaitoksilla ja komissiolla (Eurostatilla) olisi myös oltava pääsy uusiin tietolähteisiin, mukaan lukien yksityisen tahon hallussa olevat tiedot, ja oikeus käyttää niitä tilastotarkoituksiin. Yksityisten tietojen haltijoiden olisi pyynnöstä asetettava tiedot ja merkitykselliset metatiedot maksutta kansallisten tilastolaitosten tai komission (Eurostatin) saataville, jos pyydetyt tiedot ovat ehdottomasti tarpeen Euroopan liikekiinteistöjä koskevien muiden kuin rahoitustilastojen kehittämiseksi, tuottamiseksi ja jakelemiseksi ja jos tietoja ei voida saada muilla tavoin tai niiden uudelleenkäyttö keventää huomattavasti tietojen haltijoille ja muille yrityksille aiheutuvaa vastausrasitetta. </w:t>
            </w:r>
            <w:r>
              <w:rPr>
                <w:b/>
                <w:i/>
              </w:rPr>
              <w:t>Kansallisten tilastolaitosten ja komission oikeus pyytää tietoja yksityisiltä tiedon haltijoilta ei saisi aiheuttaa kohtuutonta taloudellista rasitetta yrityksille tai yhdistyksille.</w:t>
            </w:r>
          </w:p>
        </w:tc>
      </w:tr>
    </w:tbl>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Jos tarvitaan uusia tietovaatimuksia tai parannuksia tämän asetuksen kattamiin tietokokonaisuuksiin, olisi käynnistettävä </w:t>
            </w:r>
            <w:r>
              <w:rPr>
                <w:b/>
                <w:i/>
              </w:rPr>
              <w:t>pilottitutkimuksia</w:t>
            </w:r>
            <w:r>
              <w:t xml:space="preserve">. Jäsenvaltioiden olisi voitava toteuttaa </w:t>
            </w:r>
            <w:r>
              <w:rPr>
                <w:b/>
                <w:i/>
              </w:rPr>
              <w:t>nämä</w:t>
            </w:r>
            <w:r>
              <w:t xml:space="preserve"> pilottitutkimukset vapaaehtoiselta pohjalta, ja samalla olisi varmistettava maiden </w:t>
            </w:r>
            <w:r>
              <w:rPr>
                <w:b/>
                <w:i/>
              </w:rPr>
              <w:t>edustavuus EU:n</w:t>
            </w:r>
            <w:r>
              <w:t xml:space="preserve"> tasolla.</w:t>
            </w:r>
          </w:p>
        </w:tc>
        <w:tc>
          <w:tcPr>
            <w:tcW w:w="4876" w:type="dxa"/>
            <w:tcBorders>
              <w:top w:val="nil"/>
              <w:left w:val="nil"/>
              <w:bottom w:val="nil"/>
              <w:right w:val="nil"/>
            </w:tcBorders>
          </w:tcPr>
          <w:p>
            <w:pPr>
              <w:pStyle w:val="Normal6a"/>
            </w:pPr>
            <w:r>
              <w:t>(14)</w:t>
            </w:r>
            <w:r>
              <w:tab/>
            </w:r>
            <w:r>
              <w:t xml:space="preserve">Jos tarvitaan uusia tietovaatimuksia tai parannuksia tämän asetuksen kattamiin tietokokonaisuuksiin </w:t>
            </w:r>
            <w:r>
              <w:rPr>
                <w:b/>
                <w:i/>
              </w:rPr>
              <w:t>liikekiinteistöalan riskien tehokkaan valvonnan helpottamiseksi, pilottitutkimukset, joita jäsenvaltiot toteuttavat tyhjillään olevien liikekiinteistöjen määrästä ja liikekiinteistöjen vuokratuotoista</w:t>
            </w:r>
            <w:r>
              <w:t xml:space="preserve">, olisi käynnistettävä </w:t>
            </w:r>
            <w:r>
              <w:rPr>
                <w:b/>
                <w:i/>
              </w:rPr>
              <w:t>ennen 1 päivää tammikuuta 2029.</w:t>
            </w:r>
            <w:r>
              <w:rPr>
                <w:b/>
                <w:i/>
              </w:rPr>
              <w:t xml:space="preserve"> </w:t>
            </w:r>
            <w:r>
              <w:rPr>
                <w:b/>
                <w:i/>
              </w:rPr>
              <w:t>Tällaisiin tutkimuksiin olisi sisällyttävä yksityiskohtainen arvio yksityisille tiedon haltijoille ja viranomaisille mahdollisesti aiheutuvista kustannuksista</w:t>
            </w:r>
            <w:r>
              <w:t xml:space="preserve">. Jäsenvaltioiden olisi voitava toteuttaa </w:t>
            </w:r>
            <w:r>
              <w:rPr>
                <w:b/>
                <w:i/>
              </w:rPr>
              <w:t>muut</w:t>
            </w:r>
            <w:r>
              <w:t xml:space="preserve"> pilottitutkimukset vapaaehtoiselta pohjalta, ja samalla olisi varmistettava maiden </w:t>
            </w:r>
            <w:r>
              <w:rPr>
                <w:b/>
                <w:i/>
              </w:rPr>
              <w:t>edustus unionin</w:t>
            </w:r>
            <w:r>
              <w:t xml:space="preserve"> tasolla.</w:t>
            </w:r>
            <w:r>
              <w:rPr>
                <w:b/>
                <w:i/>
              </w:rPr>
              <w:t xml:space="preserve"> Pilottitutkimuksissa olisi asetettava etusijalle tiedot, jotka liittyvät lyhytaikaiseen vuokramajoitukseen ja sen vaikutuksiin liikekiinteistöihin.</w:t>
            </w:r>
          </w:p>
        </w:tc>
      </w:tr>
    </w:tbl>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14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Sisämarkkina- ja tulliohjelma sisältyy monivuotiseen rahoituskehykseen 2028–2034, ja siitä rahoitetaan Euroopan tilastoja tukevia unionin toimia. Ohjelmassa mainitaan nimenomaisesti, että yksi sen tavoitteista on virallisten Euroopan tilastojen, kuten liikekiinteistöjä koskevien muiden kuin rahoitustilastojen, kehittäminen, tuottaminen ja levittäminen.</w:t>
            </w:r>
          </w:p>
        </w:tc>
      </w:tr>
    </w:tbl>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Jotta voidaan ottaa huomioon talouden ja tekniikan kehitys, </w:t>
            </w:r>
            <w:r>
              <w:rPr>
                <w:b/>
                <w:i/>
              </w:rPr>
              <w:t>komissiolle</w:t>
            </w:r>
            <w:r>
              <w:t xml:space="preserve"> olisi </w:t>
            </w:r>
            <w:r>
              <w:rPr>
                <w:b/>
                <w:i/>
              </w:rPr>
              <w:t>siirrettävä valta hyväksyä säädösvallan siirron nojalla annettavia delegoituja säädöksiä Euroopan unionin toiminnasta tehdyn sopimuksen 290 artiklan mukaisesti</w:t>
            </w:r>
            <w:r>
              <w:t xml:space="preserve"> liitteessä </w:t>
            </w:r>
            <w:r>
              <w:rPr>
                <w:b/>
                <w:i/>
              </w:rPr>
              <w:t>I vahvistettujen muuttujien luettelon muuttamiseksi.</w:t>
            </w:r>
            <w:r>
              <w:rPr>
                <w:b/>
                <w:i/>
              </w:rPr>
              <w:t xml:space="preserve"> </w:t>
            </w:r>
            <w:r>
              <w:rPr>
                <w:b/>
                <w:i/>
              </w:rPr>
              <w:t>On erityisen tärkeää, että komissio asiaa valmistellessaan toteuttaa asianmukaiset kuulemiset</w:t>
            </w:r>
            <w:r>
              <w:t xml:space="preserve">, myös </w:t>
            </w:r>
            <w:r>
              <w:rPr>
                <w:b/>
                <w:i/>
              </w:rPr>
              <w:t>asiantuntijatasolla</w:t>
            </w:r>
            <w:r>
              <w:t xml:space="preserve">, </w:t>
            </w:r>
            <w:r>
              <w:rPr>
                <w:b/>
                <w:i/>
              </w:rPr>
              <w:t>ja että nämä kuulemiset toteutetaan paremmasta lainsäädännöstä 13 päivänä huhtikuuta 2016 tehdyssä toimielinten välisessä sopimuksessa</w:t>
            </w:r>
            <w:r>
              <w:rPr>
                <w:b/>
                <w:i/>
                <w:vertAlign w:val="superscript"/>
              </w:rPr>
              <w:t>8</w:t>
            </w:r>
            <w:r>
              <w:rPr>
                <w:b/>
                <w:i/>
              </w:rPr>
              <w:t xml:space="preserve"> vahvistettujen periaatteiden mukaisesti.</w:t>
            </w:r>
            <w:r>
              <w:rPr>
                <w:b/>
                <w:i/>
              </w:rPr>
              <w:t xml:space="preserve"> </w:t>
            </w:r>
            <w:r>
              <w:rPr>
                <w:b/>
                <w:i/>
              </w:rPr>
              <w:t>Jotta voitaisiin erityisesti varmistaa tasavertainen osallistuminen delegoitujen säädösten valmisteluun</w:t>
            </w:r>
            <w:r>
              <w:t xml:space="preserve">, </w:t>
            </w:r>
            <w:r>
              <w:rPr>
                <w:b/>
                <w:i/>
              </w:rPr>
              <w:t>Euroopan parlamentille</w:t>
            </w:r>
            <w:r>
              <w:t xml:space="preserve"> ja </w:t>
            </w:r>
            <w:r>
              <w:rPr>
                <w:b/>
                <w:i/>
              </w:rPr>
              <w:t>neuvostolle toimitetaan kaikki asiakirjat samaan aikaan kuin jäsenvaltioiden asiantuntijoille, ja Euroopan parlamentin ja neuvoston asiantuntijoilla on järjestelmällisesti oikeus osallistua komission asiantuntijaryhmien kokouksiin</w:t>
            </w:r>
            <w:r>
              <w:t xml:space="preserve">, </w:t>
            </w:r>
            <w:r>
              <w:rPr>
                <w:b/>
                <w:i/>
              </w:rPr>
              <w:t>joissa valmistellaan delegoituja säädöksiä</w:t>
            </w:r>
            <w:r>
              <w:t>.</w:t>
            </w:r>
          </w:p>
        </w:tc>
        <w:tc>
          <w:tcPr>
            <w:tcW w:w="4876" w:type="dxa"/>
            <w:tcBorders>
              <w:top w:val="nil"/>
              <w:left w:val="nil"/>
              <w:bottom w:val="nil"/>
              <w:right w:val="nil"/>
            </w:tcBorders>
          </w:tcPr>
          <w:p>
            <w:pPr>
              <w:pStyle w:val="Normal6a"/>
            </w:pPr>
            <w:r>
              <w:t>(16)</w:t>
            </w:r>
            <w:r>
              <w:tab/>
            </w:r>
            <w:r>
              <w:rPr>
                <w:b/>
                <w:i/>
              </w:rPr>
              <w:t>Uudelleentarkastelulausekkeen puitteissa ja</w:t>
            </w:r>
            <w:r>
              <w:t xml:space="preserve"> jotta voidaan ottaa huomioon talouden ja tekniikan kehitys, </w:t>
            </w:r>
            <w:r>
              <w:rPr>
                <w:b/>
                <w:i/>
              </w:rPr>
              <w:t>komission</w:t>
            </w:r>
            <w:r>
              <w:t xml:space="preserve"> olisi </w:t>
            </w:r>
            <w:r>
              <w:rPr>
                <w:b/>
                <w:i/>
              </w:rPr>
              <w:t>arvioitava</w:t>
            </w:r>
            <w:r>
              <w:t xml:space="preserve"> liitteessä </w:t>
            </w:r>
            <w:r>
              <w:rPr>
                <w:b/>
                <w:i/>
              </w:rPr>
              <w:t>vahvistettuja muuttujia</w:t>
            </w:r>
            <w:r>
              <w:t xml:space="preserve">, myös </w:t>
            </w:r>
            <w:r>
              <w:rPr>
                <w:b/>
                <w:i/>
              </w:rPr>
              <w:t>sitä</w:t>
            </w:r>
            <w:r>
              <w:t xml:space="preserve">, </w:t>
            </w:r>
            <w:r>
              <w:rPr>
                <w:b/>
                <w:i/>
              </w:rPr>
              <w:t>vääristävätkö sosiaaliset vuokrakiinteistöt liikekiinteistöalan kehityksen seurantaa rahoitusvakauden osalta</w:t>
            </w:r>
            <w:r>
              <w:t xml:space="preserve">, ja </w:t>
            </w:r>
            <w:r>
              <w:rPr>
                <w:b/>
                <w:i/>
              </w:rPr>
              <w:t>tarvetta eritellä sosiaaliset vuokrakiinteistöt tietyissä muuttujissa</w:t>
            </w:r>
            <w:r>
              <w:t xml:space="preserve">, </w:t>
            </w:r>
            <w:r>
              <w:rPr>
                <w:b/>
                <w:i/>
              </w:rPr>
              <w:t>sekä arvioitava pilottitutkimuksia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EUVL L 123, 12.5.2016, s. 1.</w:t>
            </w:r>
          </w:p>
        </w:tc>
        <w:tc>
          <w:tcPr>
            <w:tcW w:w="4876" w:type="dxa"/>
            <w:tcBorders>
              <w:top w:val="nil"/>
              <w:left w:val="nil"/>
              <w:bottom w:val="nil"/>
              <w:right w:val="nil"/>
            </w:tcBorders>
          </w:tcPr>
          <w:p/>
        </w:tc>
      </w:tr>
    </w:tbl>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Jotta voidaan varmistaa tämän asetuksen yhdenmukainen täytäntöönpano muuttujien yksityiskohtien </w:t>
            </w:r>
            <w:r>
              <w:rPr>
                <w:b/>
                <w:i/>
              </w:rPr>
              <w:t>sekä muotoa</w:t>
            </w:r>
            <w:r>
              <w:t xml:space="preserve">, </w:t>
            </w:r>
            <w:r>
              <w:rPr>
                <w:b/>
                <w:i/>
              </w:rPr>
              <w:t>turvallisuutta ja salassapitoa koskevien toimenpiteiden ja salassapidettävien tietojen vaihdon, laatu- ja metatietojen selvitysten siirtoa, sisältöä ja määräaikoja koskevien järjestelyjen</w:t>
            </w:r>
            <w:r>
              <w:t xml:space="preserve">, </w:t>
            </w:r>
            <w:r>
              <w:rPr>
                <w:b/>
                <w:i/>
              </w:rPr>
              <w:t>tietojen ja metatietojen siirtoa koskevien standardien sekä</w:t>
            </w:r>
            <w:r>
              <w:t xml:space="preserve"> tämän asetuksen </w:t>
            </w:r>
            <w:r>
              <w:rPr>
                <w:b/>
                <w:i/>
              </w:rPr>
              <w:t>vaatimuksista tai tämän asetuksen nojalla annettujen delegoitujen säädösten</w:t>
            </w:r>
            <w:r>
              <w:t xml:space="preserve"> tai </w:t>
            </w:r>
            <w:r>
              <w:rPr>
                <w:b/>
                <w:i/>
              </w:rPr>
              <w:t>täytäntöönpanosäädösten vaatimuksista poikkeamisen osalta, komissiolle olisi siirrettävä täytäntöönpanovaltaa</w:t>
            </w:r>
            <w:r>
              <w:t>. Tätä valtaa olisi käytettävä Euroopan parlamentin ja neuvoston asetuksen (EU) N:o 182/2011</w:t>
            </w:r>
            <w:r>
              <w:rPr>
                <w:vertAlign w:val="superscript"/>
              </w:rPr>
              <w:t>9</w:t>
            </w:r>
            <w:r>
              <w:t xml:space="preserve"> mukaisesti.</w:t>
            </w:r>
          </w:p>
        </w:tc>
        <w:tc>
          <w:tcPr>
            <w:tcW w:w="4876" w:type="dxa"/>
            <w:tcBorders>
              <w:top w:val="nil"/>
              <w:left w:val="nil"/>
              <w:bottom w:val="nil"/>
              <w:right w:val="nil"/>
            </w:tcBorders>
          </w:tcPr>
          <w:p>
            <w:pPr>
              <w:pStyle w:val="Normal6a"/>
            </w:pPr>
            <w:r>
              <w:t>(17)</w:t>
            </w:r>
            <w:r>
              <w:tab/>
            </w:r>
            <w:r>
              <w:t xml:space="preserve">Jotta voidaan varmistaa tämän asetuksen yhdenmukainen täytäntöönpano muuttujien yksityiskohtien </w:t>
            </w:r>
            <w:r>
              <w:rPr>
                <w:b/>
                <w:i/>
              </w:rPr>
              <w:t>osalta</w:t>
            </w:r>
            <w:r>
              <w:t xml:space="preserve">, </w:t>
            </w:r>
            <w:r>
              <w:rPr>
                <w:b/>
                <w:i/>
              </w:rPr>
              <w:t>komissiolle olisi siirrettävä täytäntöönpanovaltaa.</w:t>
            </w:r>
            <w:r>
              <w:rPr>
                <w:b/>
                <w:i/>
              </w:rPr>
              <w:t xml:space="preserve"> </w:t>
            </w:r>
            <w:r>
              <w:rPr>
                <w:b/>
                <w:i/>
              </w:rPr>
              <w:t>Näiden täytäntöönpanosäädösten olisi koskettava ainoastaan tämän asetuksen soveltamiseksi tarvittavia teknisiä yksityiskohtia ja käytännön järjestelyjä, kuten muotojen</w:t>
            </w:r>
            <w:r>
              <w:t xml:space="preserve">, </w:t>
            </w:r>
            <w:r>
              <w:rPr>
                <w:b/>
                <w:i/>
              </w:rPr>
              <w:t>tiedonsiirtomenettelyjen, turvatoimien tai teknisten eritelmien vahvistamista, mukaan lukien</w:t>
            </w:r>
            <w:r>
              <w:t xml:space="preserve"> tämän asetuksen </w:t>
            </w:r>
            <w:r>
              <w:rPr>
                <w:b/>
                <w:i/>
              </w:rPr>
              <w:t>vaatimuksia koskevien poikkeusten määritteleminen.</w:t>
            </w:r>
            <w:r>
              <w:rPr>
                <w:b/>
                <w:i/>
              </w:rPr>
              <w:t xml:space="preserve"> </w:t>
            </w:r>
            <w:r>
              <w:rPr>
                <w:b/>
                <w:i/>
              </w:rPr>
              <w:t>Niillä ei pitäisi luoda jäsenvaltioille</w:t>
            </w:r>
            <w:r>
              <w:t xml:space="preserve"> tai </w:t>
            </w:r>
            <w:r>
              <w:rPr>
                <w:b/>
                <w:i/>
              </w:rPr>
              <w:t>tietojen toimittajille uusia raportointivelvoitteita tai laajentaa nykyisiä velvoitteita</w:t>
            </w:r>
            <w:r>
              <w:t>. Tätä valtaa olisi käytettävä Euroopan parlamentin ja neuvoston asetuksen (EU) N:o 182/2011</w:t>
            </w:r>
            <w:r>
              <w:rPr>
                <w:vertAlign w:val="superscript"/>
              </w:rPr>
              <w:t>9</w:t>
            </w:r>
            <w:r>
              <w:t xml:space="preserve">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EUVL L 55, 28.2.2011, s. 13.</w:t>
            </w:r>
          </w:p>
        </w:tc>
        <w:tc>
          <w:tcPr>
            <w:tcW w:w="4876" w:type="dxa"/>
            <w:tcBorders>
              <w:top w:val="nil"/>
              <w:left w:val="nil"/>
              <w:bottom w:val="nil"/>
              <w:right w:val="nil"/>
            </w:tcBorders>
          </w:tcPr>
          <w:p>
            <w:pPr>
              <w:pStyle w:val="Normal6a"/>
            </w:pPr>
            <w:r>
              <w:rPr>
                <w:vertAlign w:val="superscript"/>
              </w:rPr>
              <w:t>9</w:t>
            </w:r>
            <w:r>
              <w:t xml:space="preserve"> </w:t>
            </w:r>
            <w:r>
              <w:t>EUVL L 55, 28.2.2011, s. 13.</w:t>
            </w:r>
          </w:p>
        </w:tc>
      </w:tr>
    </w:tbl>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Jos tämän asetuksen tai tämän asetuksen nojalla annettujen täytäntöönpanosäädösten soveltaminen edellyttää merkittäviä mukautuksia jonkin jäsenvaltion kansalliseen tilastojärjestelmään, komission olisi voitava asianmukaisesti perustelluissa tapauksissa myöntää asianomaiselle jäsenvaltiolle poikkeuksia. Tällaisten poikkeusten olisi oltava väliaikaisia, ja ne olisi myönnettävä enintään </w:t>
            </w:r>
            <w:r>
              <w:rPr>
                <w:b/>
                <w:i/>
              </w:rPr>
              <w:t>kolmeksi</w:t>
            </w:r>
            <w:r>
              <w:t xml:space="preserve"> vuodeksi. Komission olisi tuettava asianomaisia jäsenvaltioita toimissa, joilla pyritään toteuttamaan niiden tilastojärjestelmiin mukautukset, joita vaaditaan, jotta poikkeuksista voidaan luopua mahdollisimman pian.</w:t>
            </w:r>
          </w:p>
        </w:tc>
        <w:tc>
          <w:tcPr>
            <w:tcW w:w="4876" w:type="dxa"/>
            <w:tcBorders>
              <w:top w:val="nil"/>
              <w:left w:val="nil"/>
              <w:bottom w:val="nil"/>
              <w:right w:val="nil"/>
            </w:tcBorders>
          </w:tcPr>
          <w:p>
            <w:pPr>
              <w:pStyle w:val="Normal6a"/>
            </w:pPr>
            <w:r>
              <w:t>(18)</w:t>
            </w:r>
            <w:r>
              <w:tab/>
            </w:r>
            <w:r>
              <w:t xml:space="preserve">Jos tämän asetuksen tai tämän asetuksen nojalla annettujen täytäntöönpanosäädösten soveltaminen edellyttää merkittäviä mukautuksia jonkin jäsenvaltion kansalliseen tilastojärjestelmään, </w:t>
            </w:r>
            <w:r>
              <w:rPr>
                <w:b/>
                <w:i/>
              </w:rPr>
              <w:t>erityisesti jos olennaisia osia tiedonkeruun edellyttämistä hallinnollisista menettelyistä ei ole vielä digitalisoitu,</w:t>
            </w:r>
            <w:r>
              <w:t xml:space="preserve"> komission olisi voitava asianmukaisesti perustelluissa tapauksissa myöntää asianomaiselle jäsenvaltiolle poikkeuksia. Tällaisten poikkeusten olisi oltava väliaikaisia, ja ne olisi myönnettävä enintään </w:t>
            </w:r>
            <w:r>
              <w:rPr>
                <w:b/>
                <w:i/>
              </w:rPr>
              <w:t>neljäksi</w:t>
            </w:r>
            <w:r>
              <w:t xml:space="preserve"> vuodeksi. Komission olisi tuettava asianomaisia jäsenvaltioita toimissa, joilla pyritään toteuttamaan niiden tilastojärjestelmiin mukautukset, joita vaaditaan, jotta poikkeuksista voidaan luopua mahdollisimman pian.</w:t>
            </w:r>
          </w:p>
        </w:tc>
      </w:tr>
    </w:tbl>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2 artikla – 1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sosiaalinen kiinteistö;</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Jos hallinnollisten tietojen avulla ei pystytä tuottamaan tilastoja, jotka täyttävät tämän asetuksen 6 artiklassa säädetyt laatuvaatimukset, jäsenvaltiot voivat käyttää lisäksi muita asiaankuuluvia tietolähteitä, mukaan lukien kyselytutkimukset ja yksityisten tahojen hallussa olevat tiedot, sekä tieteellisesti perusteltuja, hyvin dokumentoituja ja julkisesti saatavilla olevia menetelmiä tai innovatiivisia lähestymistapoja välttäen samalla liiallista rasitusta vastaajille.</w:t>
            </w:r>
          </w:p>
        </w:tc>
        <w:tc>
          <w:tcPr>
            <w:tcW w:w="4876" w:type="dxa"/>
            <w:tcBorders>
              <w:top w:val="nil"/>
              <w:left w:val="nil"/>
              <w:bottom w:val="nil"/>
              <w:right w:val="nil"/>
            </w:tcBorders>
          </w:tcPr>
          <w:p>
            <w:pPr>
              <w:pStyle w:val="Normal6a"/>
            </w:pPr>
            <w:r>
              <w:t>Jos hallinnollisten tietojen avulla ei pystytä tuottamaan tilastoja, jotka täyttävät tämän asetuksen 6 artiklassa säädetyt laatuvaatimukset, jäsenvaltiot voivat käyttää lisäksi muita asiaankuuluvia tietolähteitä, mukaan lukien kyselytutkimukset ja yksityisten tahojen hallussa olevat tiedot, sekä tieteellisesti perusteltuja, hyvin dokumentoituja ja julkisesti saatavilla olevia menetelmiä tai innovatiivisia lähestymistapoja välttäen samalla liiallista rasitusta vastaajille</w:t>
            </w:r>
            <w:r>
              <w:rPr>
                <w:b/>
                <w:i/>
              </w:rPr>
              <w:t>, mukaan lukien suhteeton taloudellinen rasite</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Tilastoyksiköiden, joilta liikekiinteistöjä koskevia tietoja saadaan, on tarvittaessa tehtävä yhteistyötä tietojen keräämisessä tai toimittamisessa. Tilastoyksiköiden on annettava oikea-aikaiset, tarkat ja kattavat tiedot, joita tarvitaan tässä asetuksessa säädettyjen tilastojen tuottamiseen. Tilastoyksiköiden on toimitettava kyseiset tiedot kansallisille tilastoviranomaisille, jotka vastaavat liikekiinteistöjä koskevien muiden kuin rahoitustilastojen kokoamisesta.</w:t>
            </w:r>
          </w:p>
        </w:tc>
        <w:tc>
          <w:tcPr>
            <w:tcW w:w="4876" w:type="dxa"/>
            <w:tcBorders>
              <w:top w:val="nil"/>
              <w:left w:val="nil"/>
              <w:bottom w:val="nil"/>
              <w:right w:val="nil"/>
            </w:tcBorders>
          </w:tcPr>
          <w:p>
            <w:pPr>
              <w:pStyle w:val="Normal6a"/>
            </w:pPr>
            <w:r>
              <w:t>2.</w:t>
            </w:r>
            <w:r>
              <w:tab/>
            </w:r>
            <w:r>
              <w:t xml:space="preserve">Tilastoyksiköiden, joilta liikekiinteistöjä koskevia tietoja saadaan, on tarvittaessa tehtävä yhteistyötä tietojen keräämisessä tai toimittamisessa. Tilastoyksiköiden on annettava oikea-aikaiset, tarkat ja kattavat tiedot, joita tarvitaan tässä asetuksessa säädettyjen tilastojen tuottamiseen. Tilastoyksiköiden on toimitettava kyseiset tiedot kansallisille tilastoviranomaisille, jotka vastaavat liikekiinteistöjä koskevien muiden kuin rahoitustilastojen kokoamisesta. </w:t>
            </w:r>
            <w:r>
              <w:rPr>
                <w:b/>
                <w:i/>
              </w:rPr>
              <w:t>Tiedot on annettava sähköisessä ja koneluettavassa muodossa.</w:t>
            </w:r>
          </w:p>
        </w:tc>
      </w:tr>
    </w:tbl>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Liikekiinteistöjä koskevien muiden kuin rahoitustilastojen kokoamisesta vastaavien kansallisten tilastoviranomaisten pyynnöstä tilastoyksiköiden on toimitettava liiketoimia koskevat sähköiset asiakirja-aineistot, jos sellaisia on saatavilla, niin yksityiskohtaisesti kuin on tarpeen liikekiinteistöjä koskevien muiden kuin rahoitustilastojen tuottamiseksi.</w:t>
            </w:r>
          </w:p>
        </w:tc>
        <w:tc>
          <w:tcPr>
            <w:tcW w:w="4876" w:type="dxa"/>
            <w:tcBorders>
              <w:top w:val="nil"/>
              <w:left w:val="nil"/>
              <w:bottom w:val="nil"/>
              <w:right w:val="nil"/>
            </w:tcBorders>
          </w:tcPr>
          <w:p>
            <w:pPr>
              <w:pStyle w:val="Normal6a"/>
            </w:pPr>
            <w:r>
              <w:t>3.</w:t>
            </w:r>
            <w:r>
              <w:tab/>
            </w:r>
            <w:r>
              <w:t xml:space="preserve">Liikekiinteistöjä koskevien muiden kuin rahoitustilastojen kokoamisesta vastaavien kansallisten tilastoviranomaisten pyynnöstä tilastoyksiköiden on toimitettava liiketoimia koskevat sähköiset </w:t>
            </w:r>
            <w:r>
              <w:rPr>
                <w:b/>
                <w:i/>
              </w:rPr>
              <w:t>ja koneluettavat</w:t>
            </w:r>
            <w:r>
              <w:t xml:space="preserve"> asiakirja-aineistot, jos sellaisia on saatavilla, niin yksityiskohtaisesti kuin on tarpeen liikekiinteistöjä koskevien muiden kuin rahoitustilastojen tuottamiseksi.</w:t>
            </w:r>
          </w:p>
        </w:tc>
      </w:tr>
    </w:tbl>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Asetuksen (EY) N:o 223/2009 17 a artiklan mukaisesti kansallisilla tilastolaitoksilla ja muilla kansallisilla tilastoviranomaisilla on oltava maksutta, viipymättä ja riittävällä tiheydellä ja tarkkuudella pääsy hallinnollisten tietolähteiden tietoihin ja merkityksellisiin metatietoihin, tietokantoihin, yhteentoimivuusjärjestelmiin ja kaikkiin liikekiinteistöjä koskevien muiden kuin rahoitustilastojen tuottamisessa merkityksellisiin ja tarpeellisiin tietoihin ja oikeus käyttää ja integroida niitä. Liikekiinteistöjä koskevien muiden kuin rahoitustilastojen laatimisesta vastaavien kansallisten tilastoviranomaisten pääsy tällaisiin tietoihin ja metatietoihin on rajoitettava hallinnollisiin rekistereihin niiden omissa julkisissa hallintojärjestelmissä.</w:t>
            </w:r>
          </w:p>
        </w:tc>
        <w:tc>
          <w:tcPr>
            <w:tcW w:w="4876" w:type="dxa"/>
            <w:tcBorders>
              <w:top w:val="nil"/>
              <w:left w:val="nil"/>
              <w:bottom w:val="nil"/>
              <w:right w:val="nil"/>
            </w:tcBorders>
          </w:tcPr>
          <w:p>
            <w:pPr>
              <w:pStyle w:val="Normal6a"/>
            </w:pPr>
            <w:r>
              <w:t>4.</w:t>
            </w:r>
            <w:r>
              <w:tab/>
            </w:r>
            <w:r>
              <w:t>Asetuksen (EY) N:o 223/2009 17 a artiklan mukaisesti kansallisilla tilastolaitoksilla ja muilla kansallisilla tilastoviranomaisilla on oltava maksutta, viipymättä ja riittävällä tiheydellä ja tarkkuudella pääsy hallinnollisten tietolähteiden tietoihin ja merkityksellisiin metatietoihin, tietokantoihin, yhteentoimivuusjärjestelmiin ja kaikkiin liikekiinteistöjä koskevien muiden kuin rahoitustilastojen tuottamisessa merkityksellisiin ja tarpeellisiin tietoihin ja oikeus käyttää ja integroida niitä</w:t>
            </w:r>
            <w:r>
              <w:rPr>
                <w:b/>
                <w:i/>
              </w:rPr>
              <w:t>, ja mainitun asetuksen 17 e artiklan mukaisesti, kun käytetään yksityisten tiedon haltijoiden tietoja</w:t>
            </w:r>
            <w:r>
              <w:t>. Liikekiinteistöjä koskevien muiden kuin rahoitustilastojen laatimisesta vastaavien kansallisten tilastoviranomaisten pääsy tällaisiin tietoihin ja metatietoihin on rajoitettava hallinnollisiin rekistereihin niiden omissa julkisissa hallintojärjestelmissä.</w:t>
            </w:r>
          </w:p>
        </w:tc>
      </w:tr>
    </w:tbl>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 tuottamiseksi ja levittämiseksi ja jos tietoja ei voida saada muilla tavoin tai niiden uudelleenkäyttö keventää huomattavasti tietojen haltijoille ja muille yrityksille aiheutuvaa vastausrasitetta.</w:t>
            </w:r>
          </w:p>
        </w:tc>
        <w:tc>
          <w:tcPr>
            <w:tcW w:w="4876" w:type="dxa"/>
            <w:tcBorders>
              <w:top w:val="nil"/>
              <w:left w:val="nil"/>
              <w:bottom w:val="nil"/>
              <w:right w:val="nil"/>
            </w:tcBorders>
          </w:tcPr>
          <w:p>
            <w:pPr>
              <w:pStyle w:val="Normal6a"/>
            </w:pPr>
            <w:r>
              <w:t>5.</w:t>
            </w:r>
            <w:r>
              <w:tab/>
            </w:r>
            <w:r>
              <w:t>Kansallinen tilastolaitos tai komissio (Eurostat) voi asetuksen (EY) N:o 223/2009 17 b artiklan mukaisesti pyytää yksityistä tiedon haltijaa asettamaan maksutta saataville tietoja ja merkityksellisiä metatietoja, jos pyydetyt tiedot ovat ehdottoman välttämättömiä Euroopan liikekiinteistöjä koskevien tilastojen kehittämiseksi, tuottamiseksi ja levittämiseksi ja jos tietoja ei voida saada muilla tavoin tai niiden uudelleenkäyttö keventää huomattavasti tietojen haltijoille ja muille yrityksille aiheutuvaa vastausrasitetta</w:t>
            </w:r>
            <w:r>
              <w:rPr>
                <w:b/>
                <w:i/>
              </w:rPr>
              <w:t>, ja mainitun asetuksen 17 e artiklan mukaisesti, kun käytetään yksityisten tiedon haltijoiden tietoja.</w:t>
            </w:r>
            <w:r>
              <w:rPr>
                <w:b/>
                <w:i/>
              </w:rPr>
              <w:t xml:space="preserve"> </w:t>
            </w:r>
            <w:r>
              <w:rPr>
                <w:b/>
                <w:i/>
              </w:rPr>
              <w:t>Yksityisiltä tiedon haltijoilta saatujen, kansallisen tilastolaitoksen tai komission (Eurostatin) toimivaltaan kuulumattomien salaamattomien tietojen ja metatietojen siirto, julkaiseminen tai muu käyttö edellyttää asianomaisen yksityisen tiedon haltijan nimenomaista kirjallista suostumusta</w:t>
            </w:r>
            <w:r>
              <w:t>.</w:t>
            </w:r>
          </w:p>
        </w:tc>
      </w:tr>
    </w:tbl>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p>
        </w:tc>
        <w:tc>
          <w:tcPr>
            <w:tcW w:w="4876" w:type="dxa"/>
            <w:tcBorders>
              <w:top w:val="nil"/>
              <w:left w:val="nil"/>
              <w:bottom w:val="nil"/>
              <w:right w:val="nil"/>
            </w:tcBorders>
          </w:tcPr>
          <w:p>
            <w:pPr>
              <w:pStyle w:val="Normal6a"/>
            </w:pPr>
            <w:r>
              <w:t>2.</w:t>
            </w:r>
            <w:r>
              <w:tab/>
            </w:r>
            <w:r>
              <w:t>Jäsenvaltioiden on koottava ja toimitettava komissiolle (Eurostatille) kunkin 1 kohdassa tarkoitetun muuttujan kannalta merkitykselliset tiedot.</w:t>
            </w:r>
            <w:r>
              <w:rPr>
                <w:b/>
                <w:i/>
              </w:rPr>
              <w:t> Tiedot on toimitettava myös NUTS 3 -tasolla, jos ne ovat saatavilla.</w:t>
            </w:r>
          </w:p>
        </w:tc>
      </w:tr>
    </w:tbl>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Siirretään komissiolle valta antaa delegoituja säädöksiä 9 artiklan mukaisesti liitteessä olevan muuttujien luettelon muuttamiseksi.</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b/>
            </w:r>
            <w:r>
              <w:rPr>
                <w:b/>
                <w:i/>
              </w:rPr>
              <w:t>-1. Komissio (Eurostat) käynnistää ennen 1 päivää tammikuuta 2029 pilottitutkimuksia tyhjillään olevien liikekiinteistöjen määrästä ja liikekiinteistöjen vuokratuotoista, ja jäsenvaltiot toteuttavat ne. Tällaisiin tutkimuksiin on sisällyttävä yksityiskohtainen arvio yksityisille tiedon haltijoille ja viranomaisille mahdollisesti aiheutuvista lisäkustannuksista.</w:t>
            </w:r>
          </w:p>
        </w:tc>
      </w:tr>
    </w:tbl>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1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Pilottitutkimukset voivat koskea muun muassa seuraavia aiheita:</w:t>
            </w:r>
          </w:p>
        </w:tc>
      </w:tr>
    </w:tbl>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w:t>
            </w:r>
            <w:r>
              <w:tab/>
            </w:r>
            <w:r>
              <w:rPr>
                <w:b/>
                <w:i/>
              </w:rPr>
              <w:t>lyhytaikainen vuokramajoitus ja sen vaikutus liikekiinteistöihin;</w:t>
            </w:r>
          </w:p>
        </w:tc>
      </w:tr>
    </w:tbl>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b)</w:t>
            </w:r>
            <w:r>
              <w:tab/>
            </w:r>
            <w:r>
              <w:rPr>
                <w:b/>
                <w:i/>
              </w:rPr>
              <w:t>keskeinen ja muu kuin keskeinen sijainti, ja sen vaikutus vuokratuottoon;</w:t>
            </w:r>
          </w:p>
        </w:tc>
      </w:tr>
    </w:tbl>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w:t>
            </w:r>
            <w:r>
              <w:tab/>
            </w:r>
            <w:r>
              <w:rPr>
                <w:b/>
                <w:i/>
              </w:rPr>
              <w:t>asumiseen tarkoitettujen liikekiinteistöjen ja muiden liikekiinteistöjen välinen ero;</w:t>
            </w:r>
          </w:p>
        </w:tc>
      </w:tr>
    </w:tbl>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1 kohta –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d)</w:t>
            </w:r>
            <w:r>
              <w:tab/>
            </w:r>
            <w:r>
              <w:rPr>
                <w:b/>
                <w:i/>
              </w:rPr>
              <w:t>sosiaalisten vuokrakiinteistöjen erittely liitteessä vahvistetussa muuttujien luettelossa.</w:t>
            </w:r>
          </w:p>
        </w:tc>
      </w:tr>
    </w:tbl>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Edellä 1 kohdassa tarkoitetut pilottitutkimukset on toteutettava uusien tietovaatimusten tai parannusten tarkoituksenmukaisuuden ja toteutettavuuden arvioimiseksi. Komissio tekee tarvittaessa ja pilottitutkimusten tulokset huomioon ottaen ehdotuksia uusien tietovaatimusten käyttöönottamiseksi.</w:t>
            </w:r>
          </w:p>
        </w:tc>
        <w:tc>
          <w:tcPr>
            <w:tcW w:w="4876" w:type="dxa"/>
            <w:tcBorders>
              <w:top w:val="nil"/>
              <w:left w:val="nil"/>
              <w:bottom w:val="nil"/>
              <w:right w:val="nil"/>
            </w:tcBorders>
          </w:tcPr>
          <w:p>
            <w:pPr>
              <w:pStyle w:val="Normal6a"/>
            </w:pPr>
            <w:r>
              <w:t>2.</w:t>
            </w:r>
            <w:r>
              <w:tab/>
            </w:r>
            <w:r>
              <w:t>Edellä 1 kohdassa tarkoitetut pilottitutkimukset on toteutettava uusien tietovaatimusten tai parannusten tarkoituksenmukaisuuden ja toteutettavuuden arvioimiseksi</w:t>
            </w:r>
            <w:r>
              <w:rPr>
                <w:b/>
                <w:i/>
              </w:rPr>
              <w:t>, ja niitä toteutettaessa on minimoitava yksityisille tiedon haltijoille aiheutuva rasite</w:t>
            </w:r>
            <w:r>
              <w:t>. Komissio tekee tarvittaessa ja pilottitutkimusten tulokset huomioon ottaen ehdotuksia uusien tietovaatimusten käyttöönottamiseksi.</w:t>
            </w:r>
          </w:p>
        </w:tc>
      </w:tr>
    </w:tbl>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Siirretyn säädösvallan käyttäminen</w:t>
            </w:r>
          </w:p>
        </w:tc>
        <w:tc>
          <w:tcPr>
            <w:tcW w:w="4876" w:type="dxa"/>
            <w:tcBorders>
              <w:top w:val="nil"/>
              <w:left w:val="nil"/>
              <w:bottom w:val="nil"/>
              <w:right w:val="nil"/>
            </w:tcBorders>
          </w:tcPr>
          <w:p>
            <w:pPr>
              <w:pStyle w:val="Normal6a"/>
            </w:pPr>
            <w:r>
              <w:rPr>
                <w:b/>
                <w:i/>
              </w:rPr>
              <w:t>Uudelleentarkastelu</w:t>
            </w:r>
          </w:p>
        </w:tc>
      </w:tr>
    </w:tbl>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Komissiolle siirrettyä valtaa antaa delegoituja säädöksiä koskevat tässä artiklassa säädetyt edellytykset.</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Komissio julkaisee 31 päivään joulukuuta 2029 mennessä arvioinnin liitteessä vahvistetusta muuttujien luettelosta, jossa arvioidaan myös, vääristävätkö sosiaaliset vuokrakiinteistöt liikekiinteistöalan kehityksen seurantaa rahoitusvakauden osalta, sekä tarpeesta eritellä sosiaaliset vuokrakiinteistöt liitteen muuttujissa a ja b. Arviointiin liitetään tarvittaessa lainsäädäntöehdotus tämän asetuksen muuttamisesta.</w:t>
            </w:r>
          </w:p>
        </w:tc>
      </w:tr>
    </w:tbl>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Siirretään komissiolle tämän asetuksen voimaantulopäivästä viiden vuoden ajaksi 5 artiklan 2 kohdassa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Komissio julkaisee viimeistään 31 päivänä joulukuuta 2031 arvioinnin 7 artiklassa säädetyistä pilottitutkimuksista. Arviointiin liitetään tarvittaessa lainsäädäntöehdotus tämän asetuksen muuttamisesta.</w:t>
            </w:r>
          </w:p>
        </w:tc>
      </w:tr>
    </w:tbl>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Euroopan parlamentti tai neuvosto voi milloin tahansa peruuttaa 5 artiklan 2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Heti kun komissio on antanut delegoidun säädöksen, komissio antaa sen tiedoksi yhtäaikaisesti Euroopan parlamentille ja neuvostolle.</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9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Edellä olevan 5 artiklan 2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Borders>
              <w:top w:val="nil"/>
              <w:left w:val="nil"/>
              <w:bottom w:val="nil"/>
              <w:right w:val="nil"/>
            </w:tcBorders>
          </w:tcPr>
          <w:p>
            <w:pPr>
              <w:pStyle w:val="Normal6a"/>
            </w:pPr>
            <w:r>
              <w:rPr>
                <w:b/>
                <w:i/>
              </w:rPr>
              <w:t>Poistetaan.</w:t>
            </w:r>
          </w:p>
        </w:tc>
      </w:tr>
    </w:tbl>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11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kolmeksi</w:t>
            </w:r>
            <w:r>
              <w:t xml:space="preserve"> vuodeksi.</w:t>
            </w:r>
          </w:p>
        </w:tc>
        <w:tc>
          <w:tcPr>
            <w:tcW w:w="4876" w:type="dxa"/>
            <w:tcBorders>
              <w:top w:val="nil"/>
              <w:left w:val="nil"/>
              <w:bottom w:val="nil"/>
              <w:right w:val="nil"/>
            </w:tcBorders>
          </w:tcPr>
          <w:p>
            <w:pPr>
              <w:pStyle w:val="Normal6a"/>
            </w:pPr>
            <w:r>
              <w:t>1.</w:t>
            </w:r>
            <w:r>
              <w:tab/>
            </w:r>
            <w:r>
              <w:t xml:space="preserve">Jos tämän asetuksen tai sen nojalla hyväksyttyjen täytäntöönpanotoimenpiteiden soveltaminen edellyttää huomattavia mukautuksia jonkin jäsenvaltion kansalliseen tilastojärjestelmään, komissio voi antaa täytäntöönpanosäädöksiä, joilla myönnetään asianomaiselle jäsenvaltiolle poikkeuksia enintään </w:t>
            </w:r>
            <w:r>
              <w:rPr>
                <w:b/>
                <w:i/>
              </w:rPr>
              <w:t>neljäksi</w:t>
            </w:r>
            <w:r>
              <w:t xml:space="preserve"> vuodeksi.</w:t>
            </w:r>
          </w:p>
        </w:tc>
      </w:tr>
    </w:tbl>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12b"/>
      </w:pPr>
      <w:r>
        <w:rPr>
          <w:rStyle w:val="HideTWBExt"/>
        </w:rPr>
        <w:t>&lt;DocAmend&gt;</w:t>
      </w:r>
      <w:r>
        <w:t>Ehdotus asetukseksi</w:t>
      </w:r>
      <w:r>
        <w:rPr>
          <w:rStyle w:val="HideTWBExt"/>
        </w:rPr>
        <w:t>&lt;/DocAmend&gt;</w:t>
      </w:r>
    </w:p>
    <w:p>
      <w:pPr>
        <w:pStyle w:val="NormalBold"/>
      </w:pPr>
      <w:r>
        <w:rPr>
          <w:rStyle w:val="HideTWBExt"/>
        </w:rPr>
        <w:t>&lt;Article&gt;</w:t>
      </w:r>
      <w:r>
        <w:t>13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Sitä sovelletaan 1 päivästä tammikuuta </w:t>
            </w:r>
            <w:r>
              <w:rPr>
                <w:b/>
                <w:i/>
              </w:rPr>
              <w:t>2026</w:t>
            </w:r>
            <w:r>
              <w:t>.</w:t>
            </w:r>
          </w:p>
        </w:tc>
        <w:tc>
          <w:tcPr>
            <w:tcW w:w="4876" w:type="dxa"/>
            <w:tcBorders>
              <w:top w:val="nil"/>
              <w:left w:val="nil"/>
              <w:bottom w:val="nil"/>
              <w:right w:val="nil"/>
            </w:tcBorders>
          </w:tcPr>
          <w:p>
            <w:pPr>
              <w:pStyle w:val="Normal6a"/>
            </w:pPr>
            <w:r>
              <w:t>Sitä sovelletaan 1 päivästä tammikuuta </w:t>
            </w:r>
            <w:r>
              <w:rPr>
                <w:b/>
                <w:i/>
              </w:rPr>
              <w:t>2028</w:t>
            </w:r>
            <w:r>
              <w:t>.</w:t>
            </w:r>
          </w:p>
        </w:tc>
      </w:tr>
    </w:tbl>
    <w:p>
      <w:r>
        <w:rPr>
          <w:rStyle w:val="HideTWBExt"/>
        </w:rPr>
        <w:t>&lt;/Amend&gt;</w:t>
      </w:r>
    </w:p>
    <w:p>
      <w:r>
        <w:rPr>
          <w:rStyle w:val="HideTWBExt"/>
        </w:rPr>
        <w:t>&lt;/RepeatBlock-Amend&gt;</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5"/>
      <w:r>
        <w:t>LIITE: ILMOITUS SAADUISTA TIEDOISTA</w:t>
      </w:r>
      <w:bookmarkEnd w:id="1"/>
    </w:p>
    <w:p>
      <w:pPr>
        <w:pStyle w:val="Normal12a"/>
      </w:pPr>
      <w:r>
        <w:rPr>
          <w:rStyle w:val="HideTWBExt"/>
        </w:rPr>
        <w:t>&lt;FootprintIntro&gt;</w:t>
      </w:r>
      <w:r>
        <w:rPr>
          <w:rStyle w:val="HideTWBExt"/>
        </w:rPr>
        <w:t>&lt;/FootprintIntro&gt;</w:t>
      </w:r>
    </w:p>
    <w:p>
      <w:pPr>
        <w:pStyle w:val="Normal12a"/>
      </w:pPr>
      <w:r>
        <w:t>Esittelijä ilmoittaa yksinomaisella vastuullaan, ettei hän ole sisällyttänyt mietintöönsä mitään tietoja pakollisesta avoimuusrekisteristä tehdyn toimielinten välisen sopimuksen</w:t>
      </w:r>
      <w:r>
        <w:rPr>
          <w:rStyle w:val="FootnoteReference"/>
        </w:rPr>
        <w:footnoteReference w:customMarkFollows="1" w:id="3"/>
        <w:t xml:space="preserve">1</w:t>
      </w:r>
      <w:r>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6"/>
      <w:r>
        <w:t>ASIAN KÄSITTELY</w:t>
        <w:br/>
        <w:t>ASIASTA VASTAAVASSA VALIOKUNNASSA</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Otsikko</w:t>
            </w:r>
          </w:p>
        </w:tc>
        <w:tc>
          <w:tcPr>
            <w:tcW w:w="6400" w:type="dxa"/>
            <w:tcBorders>
              <w:left w:val="dotted" w:sz="4" w:space="0" w:color="auto"/>
            </w:tcBorders>
          </w:tcPr>
          <w:p>
            <w:pPr>
              <w:pStyle w:val="ProcedureTable"/>
            </w:pPr>
            <w:r>
              <w:t>Liikekiinteistöjä koskevat muut kuin rahoitustilastot</w:t>
            </w:r>
          </w:p>
        </w:tc>
      </w:tr>
      <w:tr>
        <w:tblPrEx>
          <w:tblW w:w="0" w:type="auto"/>
          <w:tblLayout w:type="fixed"/>
          <w:tblCellMar>
            <w:left w:w="140" w:type="dxa"/>
            <w:right w:w="140" w:type="dxa"/>
          </w:tblCellMar>
        </w:tblPrEx>
        <w:tc>
          <w:tcPr>
            <w:tcW w:w="3600" w:type="dxa"/>
          </w:tcPr>
          <w:p>
            <w:pPr>
              <w:pStyle w:val="ProcedureTableBold"/>
            </w:pPr>
            <w:r>
              <w:t>Viiteasiakirjat</w:t>
            </w:r>
          </w:p>
        </w:tc>
        <w:tc>
          <w:tcPr>
            <w:tcW w:w="6400" w:type="dxa"/>
            <w:tcBorders>
              <w:left w:val="dotted" w:sz="4" w:space="0" w:color="auto"/>
            </w:tcBorders>
          </w:tcPr>
          <w:p>
            <w:pPr>
              <w:pStyle w:val="ProcedureTable"/>
            </w:pPr>
            <w:r>
              <w:t>COM(2025)0100 – C10-0046/2025 – 2025/0052(COD)</w:t>
            </w:r>
          </w:p>
        </w:tc>
      </w:tr>
      <w:tr>
        <w:tblPrEx>
          <w:tblW w:w="0" w:type="auto"/>
          <w:tblLayout w:type="fixed"/>
          <w:tblCellMar>
            <w:left w:w="140" w:type="dxa"/>
            <w:right w:w="140" w:type="dxa"/>
          </w:tblCellMar>
        </w:tblPrEx>
        <w:tc>
          <w:tcPr>
            <w:tcW w:w="3600" w:type="dxa"/>
          </w:tcPr>
          <w:p>
            <w:pPr>
              <w:pStyle w:val="ProcedureTableBold"/>
            </w:pPr>
            <w:r>
              <w:t>Annettu EP:lle (pvä)</w:t>
            </w:r>
          </w:p>
        </w:tc>
        <w:tc>
          <w:tcPr>
            <w:tcW w:w="6400" w:type="dxa"/>
            <w:tcBorders>
              <w:left w:val="dotted" w:sz="4" w:space="0" w:color="auto"/>
            </w:tcBorders>
          </w:tcPr>
          <w:p>
            <w:pPr>
              <w:pStyle w:val="ProcedureTable"/>
            </w:pPr>
            <w:r>
              <w:t>11.3.2025</w:t>
            </w:r>
          </w:p>
        </w:tc>
      </w:tr>
      <w:tr>
        <w:tblPrEx>
          <w:tblW w:w="0" w:type="auto"/>
          <w:tblLayout w:type="fixed"/>
          <w:tblCellMar>
            <w:left w:w="140" w:type="dxa"/>
            <w:right w:w="140" w:type="dxa"/>
          </w:tblCellMar>
        </w:tblPrEx>
        <w:tc>
          <w:tcPr>
            <w:tcW w:w="3600" w:type="dxa"/>
          </w:tcPr>
          <w:p>
            <w:pPr>
              <w:pStyle w:val="ProcedureTableBold"/>
            </w:pPr>
            <w:r>
              <w:t>Asiasta vastaava valiokunta</w:t>
            </w:r>
          </w:p>
          <w:p>
            <w:pPr>
              <w:pStyle w:val="ProcedureTable"/>
            </w:pPr>
            <w:r>
              <w:tab/>
            </w:r>
            <w:r>
              <w:t>Ilmoitettu istunnossa (pvä)</w:t>
            </w:r>
          </w:p>
        </w:tc>
        <w:tc>
          <w:tcPr>
            <w:tcW w:w="6400" w:type="dxa"/>
            <w:tcBorders>
              <w:left w:val="dotted" w:sz="4" w:space="0" w:color="auto"/>
            </w:tcBorders>
          </w:tcPr>
          <w:p>
            <w:pPr>
              <w:pStyle w:val="ProcedureTable"/>
            </w:pPr>
            <w:r>
              <w:t>ECON</w:t>
            </w:r>
            <w:r>
              <w:br/>
            </w:r>
            <w:r>
              <w:t>31.3.2025</w:t>
            </w:r>
          </w:p>
        </w:tc>
      </w:tr>
      <w:tr>
        <w:tblPrEx>
          <w:tblW w:w="0" w:type="auto"/>
          <w:tblLayout w:type="fixed"/>
          <w:tblCellMar>
            <w:left w:w="140" w:type="dxa"/>
            <w:right w:w="140" w:type="dxa"/>
          </w:tblCellMar>
        </w:tblPrEx>
        <w:tc>
          <w:tcPr>
            <w:tcW w:w="3600" w:type="dxa"/>
          </w:tcPr>
          <w:p>
            <w:pPr>
              <w:pStyle w:val="ProcedureTableBold"/>
            </w:pPr>
            <w:r>
              <w:t>Valiokunnat, joilta on pyydetty lausunto</w:t>
            </w:r>
          </w:p>
          <w:p>
            <w:pPr>
              <w:pStyle w:val="ProcedureTable"/>
            </w:pPr>
            <w:r>
              <w:tab/>
            </w:r>
            <w:r>
              <w:t>Ilmoitettu istunnossa (pvä)</w:t>
            </w:r>
          </w:p>
        </w:tc>
        <w:tc>
          <w:tcPr>
            <w:tcW w:w="6400" w:type="dxa"/>
            <w:tcBorders>
              <w:left w:val="dotted" w:sz="4" w:space="0" w:color="auto"/>
            </w:tcBorders>
          </w:tcPr>
          <w:p>
            <w:pPr>
              <w:pStyle w:val="ProcedureTable"/>
            </w:pPr>
            <w:r>
              <w:t>BUDG</w:t>
            </w:r>
            <w:r>
              <w:br/>
            </w:r>
            <w:r>
              <w:t>31.3.2025</w:t>
            </w:r>
          </w:p>
        </w:tc>
      </w:tr>
      <w:tr>
        <w:tblPrEx>
          <w:tblW w:w="0" w:type="auto"/>
          <w:tblLayout w:type="fixed"/>
          <w:tblCellMar>
            <w:left w:w="140" w:type="dxa"/>
            <w:right w:w="140" w:type="dxa"/>
          </w:tblCellMar>
        </w:tblPrEx>
        <w:tc>
          <w:tcPr>
            <w:tcW w:w="3600" w:type="dxa"/>
          </w:tcPr>
          <w:p>
            <w:pPr>
              <w:pStyle w:val="ProcedureTableBold"/>
            </w:pPr>
            <w:r>
              <w:t>Valiokunnat, jotka eivät antaneet lausuntoa</w:t>
            </w:r>
          </w:p>
          <w:p>
            <w:pPr>
              <w:pStyle w:val="ProcedureTable"/>
            </w:pPr>
            <w:r>
              <w:tab/>
            </w:r>
            <w:r>
              <w:t>Päätös tehty (pvä)</w:t>
            </w:r>
          </w:p>
        </w:tc>
        <w:tc>
          <w:tcPr>
            <w:tcW w:w="6400" w:type="dxa"/>
            <w:tcBorders>
              <w:left w:val="dotted" w:sz="4" w:space="0" w:color="auto"/>
            </w:tcBorders>
          </w:tcPr>
          <w:p>
            <w:pPr>
              <w:pStyle w:val="ProcedureTable"/>
            </w:pPr>
            <w:r>
              <w:t>BUDG</w:t>
            </w:r>
            <w:r>
              <w:br/>
            </w:r>
            <w:r>
              <w:t>20.3.2025</w:t>
            </w:r>
          </w:p>
        </w:tc>
      </w:tr>
      <w:tr>
        <w:tblPrEx>
          <w:tblW w:w="0" w:type="auto"/>
          <w:tblLayout w:type="fixed"/>
          <w:tblCellMar>
            <w:left w:w="140" w:type="dxa"/>
            <w:right w:w="140" w:type="dxa"/>
          </w:tblCellMar>
        </w:tblPrEx>
        <w:tc>
          <w:tcPr>
            <w:tcW w:w="3600" w:type="dxa"/>
          </w:tcPr>
          <w:p>
            <w:pPr>
              <w:pStyle w:val="ProcedureTableBold"/>
            </w:pPr>
            <w:r>
              <w:t>Valmistelija</w:t>
            </w:r>
          </w:p>
          <w:p>
            <w:pPr>
              <w:pStyle w:val="ProcedureTable"/>
            </w:pPr>
            <w:r>
              <w:tab/>
            </w:r>
            <w:r>
              <w:t>Nimitetty (pvä)</w:t>
            </w:r>
          </w:p>
        </w:tc>
        <w:tc>
          <w:tcPr>
            <w:tcW w:w="6400" w:type="dxa"/>
            <w:tcBorders>
              <w:left w:val="dotted" w:sz="4" w:space="0" w:color="auto"/>
            </w:tcBorders>
          </w:tcPr>
          <w:p>
            <w:pPr>
              <w:pStyle w:val="ProcedureTable"/>
            </w:pPr>
            <w:r>
              <w:t>Ľudovít Ódor</w:t>
            </w:r>
            <w:r>
              <w:br/>
            </w:r>
            <w:r>
              <w:t>23.6.2026</w:t>
            </w:r>
          </w:p>
        </w:tc>
      </w:tr>
      <w:tr>
        <w:tblPrEx>
          <w:tblW w:w="0" w:type="auto"/>
          <w:tblLayout w:type="fixed"/>
          <w:tblCellMar>
            <w:left w:w="140" w:type="dxa"/>
            <w:right w:w="140" w:type="dxa"/>
          </w:tblCellMar>
        </w:tblPrEx>
        <w:tc>
          <w:tcPr>
            <w:tcW w:w="3600" w:type="dxa"/>
          </w:tcPr>
          <w:p>
            <w:pPr>
              <w:pStyle w:val="ProcedureTableBold"/>
            </w:pPr>
            <w:r>
              <w:t>Alkuperäinen valmistelija</w:t>
            </w:r>
          </w:p>
        </w:tc>
        <w:tc>
          <w:tcPr>
            <w:tcW w:w="6400" w:type="dxa"/>
            <w:tcBorders>
              <w:left w:val="dotted" w:sz="4" w:space="0" w:color="auto"/>
            </w:tcBorders>
          </w:tcPr>
          <w:p>
            <w:pPr>
              <w:pStyle w:val="ProcedureTable"/>
            </w:pPr>
            <w:r>
              <w:t>Aurore Lalucq</w:t>
            </w:r>
          </w:p>
        </w:tc>
      </w:tr>
      <w:tr>
        <w:tblPrEx>
          <w:tblW w:w="0" w:type="auto"/>
          <w:tblLayout w:type="fixed"/>
          <w:tblCellMar>
            <w:left w:w="140" w:type="dxa"/>
            <w:right w:w="140" w:type="dxa"/>
          </w:tblCellMar>
        </w:tblPrEx>
        <w:tc>
          <w:tcPr>
            <w:tcW w:w="3600" w:type="dxa"/>
          </w:tcPr>
          <w:p>
            <w:pPr>
              <w:pStyle w:val="ProcedureTableBold"/>
            </w:pPr>
            <w:r>
              <w:t>Valiokuntakäsittely</w:t>
            </w:r>
          </w:p>
        </w:tc>
        <w:tc>
          <w:tcPr>
            <w:tcW w:w="6400" w:type="dxa"/>
            <w:tcBorders>
              <w:left w:val="dotted" w:sz="4" w:space="0" w:color="auto"/>
            </w:tcBorders>
          </w:tcPr>
          <w:p>
            <w:pPr>
              <w:pStyle w:val="ProcedureTable"/>
            </w:pPr>
            <w:r>
              <w:t>3.12.2025</w:t>
            </w:r>
          </w:p>
        </w:tc>
      </w:tr>
      <w:tr>
        <w:tblPrEx>
          <w:tblW w:w="0" w:type="auto"/>
          <w:tblLayout w:type="fixed"/>
          <w:tblCellMar>
            <w:left w:w="140" w:type="dxa"/>
            <w:right w:w="140" w:type="dxa"/>
          </w:tblCellMar>
        </w:tblPrEx>
        <w:tc>
          <w:tcPr>
            <w:tcW w:w="3600" w:type="dxa"/>
          </w:tcPr>
          <w:p>
            <w:pPr>
              <w:pStyle w:val="ProcedureTableBold"/>
            </w:pPr>
            <w:r>
              <w:t>Hyväksytty (pvä)</w:t>
            </w:r>
          </w:p>
        </w:tc>
        <w:tc>
          <w:tcPr>
            <w:tcW w:w="6400" w:type="dxa"/>
            <w:tcBorders>
              <w:left w:val="dotted" w:sz="4" w:space="0" w:color="auto"/>
            </w:tcBorders>
          </w:tcPr>
          <w:p>
            <w:pPr>
              <w:pStyle w:val="ProcedureTable"/>
            </w:pPr>
            <w:r>
              <w:t>15.7.2026</w:t>
            </w:r>
          </w:p>
        </w:tc>
      </w:tr>
      <w:tr>
        <w:tblPrEx>
          <w:tblW w:w="0" w:type="auto"/>
          <w:tblLayout w:type="fixed"/>
          <w:tblCellMar>
            <w:left w:w="140" w:type="dxa"/>
            <w:right w:w="140" w:type="dxa"/>
          </w:tblCellMar>
        </w:tblPrEx>
        <w:tc>
          <w:tcPr>
            <w:tcW w:w="3600" w:type="dxa"/>
          </w:tcPr>
          <w:p>
            <w:pPr>
              <w:pStyle w:val="ProcedureTableBold"/>
            </w:pPr>
            <w:r>
              <w:t>Lopullisen äänestyksen tulos</w:t>
            </w:r>
          </w:p>
        </w:tc>
        <w:tc>
          <w:tcPr>
            <w:tcW w:w="6400" w:type="dxa"/>
            <w:tcBorders>
              <w:left w:val="dotted" w:sz="4" w:space="0" w:color="auto"/>
            </w:tcBorders>
          </w:tcPr>
          <w:p>
            <w:r>
              <w:t>+</w:t>
            </w:r>
            <w:r>
              <w:tab/>
            </w:r>
            <w:r>
              <w:t>:</w:t>
            </w:r>
            <w:r>
              <w:tab/>
            </w:r>
            <w:r>
              <w:t>45</w:t>
            </w:r>
          </w:p>
          <w:p>
            <w:r>
              <w:t>-</w:t>
            </w:r>
            <w:r>
              <w:tab/>
            </w:r>
            <w:r>
              <w:t>:</w:t>
            </w:r>
            <w:r>
              <w:tab/>
            </w:r>
            <w:r>
              <w:t>4</w:t>
            </w:r>
          </w:p>
          <w:p>
            <w:r>
              <w:t>0</w:t>
            </w:r>
            <w:r>
              <w:tab/>
            </w:r>
            <w:r>
              <w:t>:</w:t>
            </w:r>
            <w:r>
              <w:tab/>
            </w:r>
            <w:r>
              <w:t>7</w:t>
            </w:r>
          </w:p>
        </w:tc>
      </w:tr>
    </w:tbl>
    <w:p>
      <w:pPr>
        <w:sectPr>
          <w:type w:val="nextPage"/>
          <w:pgSz w:w="11909" w:h="16834"/>
          <w:pgMar w:top="1134" w:right="1417" w:bottom="1417" w:left="1417" w:header="1134" w:footer="567"/>
          <w:cols w:space="720"/>
        </w:sectPr>
      </w:pPr>
    </w:p>
    <w:p>
      <w:pPr>
        <w:pStyle w:val="PageHeading"/>
      </w:pPr>
      <w:bookmarkStart w:id="3" w:name="_Toc256000007"/>
      <w:r>
        <w:t>LOPULLINEN ÄÄNESTYS NIMENHUUTOÄÄNESTYKSENÄ</w:t>
        <w:br/>
        <w:t>ASIASTA VASTAAVASSA VALIOKUNNASSA</w:t>
      </w:r>
      <w:bookmarkEnd w:id="3"/>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Stephen Nikola Bartulica, Giovanni Crosetto, Marlena Malag, Denis Nesci, Ruggero Razza, Antonella Sberna, Mariateresa Vivaldini</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Fabio De Masi</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Stefan Berger, Daniel Buda, Marco Falcone, Markus Ferber, Dirk Gotink, Michalis Hadjipantela, Monika Hohlmeier, Kinga Kollár, Ludek Niedermayer, Sirpa Pietikäinen, Jüri Ratas, Paulius Saudargas, Andreas Schwab</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Gilles Boyer, Billy Kelleher, Ludovít Ódor, Stéphanie Yon-Courtin</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Matthias Ecke, Jonás Fernández, Claire Fita, Isilda Gomes, Eero Heinäluoma, Aurore Lalucq, Marit Maij, Nikos Papandreou, René Repasi, Günther Sidl, Carla Tavares</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Martin Günther, Gaetano Pedulla', Jussi Saramo, Pasquale Tridico</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Rasmus Andresen, Damian Boeselager, Kira Marie Peter-Hansen, Marie Toussaint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Siegbert Frank Droese, Rada Laykova</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Fernand Kartheiser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Engin Eroglu</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7</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Mireia Borrás Pabón, Eniko Gyori, Jaroslav Knot, Tomás Kubín, Pierre Pimpie, Jaroslava Pokorná Jermanová, Auke Zijlstra</w:t>
            </w:r>
          </w:p>
        </w:tc>
      </w:tr>
    </w:tbl>
    <w:p/>
    <w:p>
      <w:r>
        <w:t>Symbolien selitys:</w:t>
      </w:r>
    </w:p>
    <w:p>
      <w:pPr>
        <w:pStyle w:val="NormalTab"/>
      </w:pPr>
      <w:r>
        <w:t>+</w:t>
      </w:r>
      <w:r>
        <w:t xml:space="preserve">  :  </w:t>
      </w:r>
      <w:r>
        <w:t>puolesta</w:t>
      </w:r>
    </w:p>
    <w:p>
      <w:pPr>
        <w:pStyle w:val="NormalTab"/>
      </w:pPr>
      <w:r>
        <w:t>-</w:t>
      </w:r>
      <w:r>
        <w:t xml:space="preserve">  :  </w:t>
      </w:r>
      <w:r>
        <w:t>vastaan</w:t>
      </w:r>
    </w:p>
    <w:p>
      <w:pPr>
        <w:pStyle w:val="NormalTab"/>
      </w:pPr>
      <w:r>
        <w:t>0</w:t>
      </w:r>
      <w:r>
        <w:t xml:space="preserve">  :  </w:t>
      </w:r>
      <w:r>
        <w:t>tyhjää</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778.148</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22</w:t>
    </w:r>
    <w:r>
      <w:fldChar w:fldCharType="end"/>
    </w:r>
    <w:r>
      <w:t>/</w:t>
    </w:r>
    <w:r>
      <w:fldChar w:fldCharType="begin"/>
    </w:r>
    <w:r>
      <w:instrText xml:space="preserve"> NUMPAGES </w:instrText>
    </w:r>
    <w:r>
      <w:fldChar w:fldCharType="separate"/>
    </w:r>
    <w:r>
      <w:t>22</w:t>
    </w:r>
    <w:r>
      <w:fldChar w:fldCharType="end"/>
    </w:r>
    <w:r>
      <w:tab/>
    </w:r>
    <w:r>
      <w:rPr>
        <w:rStyle w:val="HideTWBExt"/>
      </w:rPr>
      <w:t>&lt;PathFdR&gt;</w:t>
    </w:r>
    <w:r>
      <w:t>RR\1348680FI.docx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RR\1348680FI.docx</w:t>
    </w:r>
    <w:r>
      <w:rPr>
        <w:rStyle w:val="HideTWBExt"/>
      </w:rPr>
      <w:t>&lt;/PathFdR&gt;</w:t>
    </w:r>
    <w:r>
      <w:tab/>
    </w:r>
    <w:r>
      <w:fldChar w:fldCharType="begin"/>
    </w:r>
    <w:r>
      <w:instrText xml:space="preserve"> PAGE </w:instrText>
    </w:r>
    <w:r>
      <w:fldChar w:fldCharType="separate"/>
    </w:r>
    <w:r>
      <w:t>21</w:t>
    </w:r>
    <w:r>
      <w:fldChar w:fldCharType="end"/>
    </w:r>
    <w:r>
      <w:t>/</w:t>
    </w:r>
    <w:r>
      <w:fldChar w:fldCharType="begin"/>
    </w:r>
    <w:r>
      <w:instrText xml:space="preserve"> NUMPAGES </w:instrText>
    </w:r>
    <w:r>
      <w:fldChar w:fldCharType="separate"/>
    </w:r>
    <w:r>
      <w:t>22</w:t>
    </w:r>
    <w:r>
      <w:fldChar w:fldCharType="end"/>
    </w:r>
    <w:r>
      <w:tab/>
    </w:r>
    <w:r>
      <w:t>PE</w:t>
    </w:r>
    <w:r>
      <w:rPr>
        <w:rStyle w:val="HideTWBExt"/>
      </w:rPr>
      <w:t>&lt;NoPE&gt;</w:t>
    </w:r>
    <w:r>
      <w:t>778.148</w:t>
    </w:r>
    <w:r>
      <w:rPr>
        <w:rStyle w:val="HideTWBExt"/>
      </w:rPr>
      <w:t>&lt;/NoPE&gt;</w:t>
    </w:r>
    <w:r>
      <w:rPr>
        <w:rStyle w:val="HideTWBExt"/>
      </w:rPr>
      <w:t>&lt;Version&gt;</w:t>
    </w:r>
    <w:r>
      <w:t>v02-00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RR\1348680FI.docx</w:t>
    </w:r>
    <w:r>
      <w:rPr>
        <w:rStyle w:val="HideTWBExt"/>
      </w:rPr>
      <w:t>&lt;/PathFdR&gt;</w:t>
    </w:r>
    <w:r>
      <w:tab/>
    </w:r>
    <w:r>
      <w:tab/>
    </w:r>
    <w:r>
      <w:t>PE</w:t>
    </w:r>
    <w:r>
      <w:rPr>
        <w:rStyle w:val="HideTWBExt"/>
      </w:rPr>
      <w:t>&lt;NoPE&gt;</w:t>
    </w:r>
    <w:r>
      <w:t>778.148</w:t>
    </w:r>
    <w:r>
      <w:rPr>
        <w:rStyle w:val="HideTWBExt"/>
      </w:rPr>
      <w:t>&lt;/NoPE&gt;</w:t>
    </w:r>
    <w:r>
      <w:rPr>
        <w:rStyle w:val="HideTWBExt"/>
      </w:rPr>
      <w:t>&lt;Version&gt;</w:t>
    </w:r>
    <w:r>
      <w:t>v02-00</w:t>
    </w:r>
    <w:r>
      <w:rPr>
        <w:rStyle w:val="HideTWBExt"/>
      </w:rPr>
      <w:t>&lt;/Version&gt;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EUVL C 5615, 16.10.2025, s. 0.</w:t>
      </w:r>
    </w:p>
  </w:footnote>
  <w:footnote w:id="3">
    <w:p>
      <w:pPr>
        <w:pStyle w:val="FootnoteText"/>
      </w:pPr>
      <w:r>
        <w:rPr>
          <w:rStyle w:val="FootnoteReference"/>
        </w:rPr>
        <w:t>1</w:t>
      </w:r>
      <w:r>
        <w:t xml:space="preserve"> </w:t>
      </w:r>
      <w:r>
        <w:t xml:space="preserve"> </w:t>
      </w:r>
      <w:r>
        <w:t xml:space="preserve">Euroopan parlamentin, Euroopan unionin neuvoston ja Euroopan komission toimielinten välinen sopimus, tehty 20. toukokuuta 2021, pakollisesta avoimuusrekisteristä (EUVL L 207, 11.6.2021, s. 1, ELI: </w:t>
      </w:r>
      <w:hyperlink r:id="rId1"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NormalBold12a">
    <w:name w:val="NormalBold12a"/>
    <w:basedOn w:val="Normal"/>
    <w:pPr>
      <w:widowControl/>
      <w:spacing w:after="240"/>
    </w:pPr>
    <w:rPr>
      <w:b/>
    </w:rPr>
  </w:style>
  <w:style w:type="paragraph" w:customStyle="1" w:styleId="CoverDocType">
    <w:name w:val="CoverDocType"/>
    <w:basedOn w:val="Normal"/>
    <w:pPr>
      <w:widowControl/>
      <w:ind w:left="1418"/>
    </w:pPr>
    <w:rPr>
      <w:rFonts w:ascii="Arial" w:hAnsi="Arial"/>
      <w:b/>
      <w:sz w:val="48"/>
    </w:rPr>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Normal12a">
    <w:name w:val="Normal12a"/>
    <w:basedOn w:val="Normal"/>
    <w:pPr>
      <w:widowControl/>
      <w:spacing w:after="240"/>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3167</Words>
  <Characters>26218</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1348680</vt:lpwstr>
  </property>
  <property fmtid="{D5CDD505-2E9C-101B-9397-08002B2CF9AE}" pid="4" name="&lt;Model&gt;">
    <vt:lpwstr>PR_COD_1amCom</vt:lpwstr>
  </property>
  <property fmtid="{D5CDD505-2E9C-101B-9397-08002B2CF9AE}" pid="5" name="&lt;Type&gt;">
    <vt:lpwstr>RR</vt:lpwstr>
  </property>
  <property fmtid="{D5CDD505-2E9C-101B-9397-08002B2CF9AE}" pid="6" name="dmxml.render.id">
    <vt:lpwstr>599304</vt:lpwstr>
  </property>
  <property fmtid="{D5CDD505-2E9C-101B-9397-08002B2CF9AE}" pid="7" name="dmxml.render.traceId">
    <vt:lpwstr>6a8c1083d2baf1ca2b947c2d7931cd1a</vt:lpwstr>
  </property>
  <property fmtid="{D5CDD505-2E9C-101B-9397-08002B2CF9AE}" pid="8" name="FooterPath">
    <vt:lpwstr>RR\1348680FI.doc</vt:lpwstr>
  </property>
  <property fmtid="{D5CDD505-2E9C-101B-9397-08002B2CF9AE}" pid="9" name="PE Number">
    <vt:lpwstr>778.148</vt:lpwstr>
  </property>
  <property fmtid="{D5CDD505-2E9C-101B-9397-08002B2CF9AE}" pid="10" name="UID">
    <vt:lpwstr>eu.europa.europarl-DIN1-2026-0000226343_01.09-fi-01.00_text-xml</vt:lpwstr>
  </property>
</Properties>
</file>