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8905A01" w14:textId="77777777" w:rsidTr="00C85D0F">
        <w:tblPrEx>
          <w:tblW w:w="9072" w:type="dxa"/>
          <w:tblCellMar>
            <w:left w:w="0" w:type="dxa"/>
            <w:right w:w="0" w:type="dxa"/>
          </w:tblCellMar>
          <w:tblLook w:val="01E0"/>
        </w:tblPrEx>
        <w:trPr>
          <w:trHeight w:hRule="exact" w:val="1418"/>
        </w:trPr>
        <w:tc>
          <w:tcPr>
            <w:tcW w:w="6804" w:type="dxa"/>
            <w:vAlign w:val="center"/>
          </w:tcPr>
          <w:p w:rsidR="0069495A" w:rsidRPr="00050D7A" w:rsidP="00C85D0F" w14:paraId="505BB36F" w14:textId="77777777">
            <w:pPr>
              <w:pStyle w:val="EPName"/>
            </w:pPr>
            <w:bookmarkStart w:id="0" w:name="_Hlk212194004"/>
            <w:r w:rsidRPr="00050D7A">
              <w:t>Parlement européen</w:t>
            </w:r>
          </w:p>
          <w:p w:rsidR="0069495A" w:rsidRPr="00050D7A" w:rsidP="00C85D0F" w14:paraId="68FF7B85" w14:textId="2633E8B8">
            <w:pPr>
              <w:pStyle w:val="EPTerm"/>
            </w:pPr>
            <w:r w:rsidRPr="00050D7A">
              <w:t>2024-2029</w:t>
            </w:r>
          </w:p>
        </w:tc>
        <w:tc>
          <w:tcPr>
            <w:tcW w:w="2268" w:type="dxa"/>
          </w:tcPr>
          <w:p w:rsidR="0069495A" w:rsidRPr="00050D7A" w:rsidP="00C85D0F" w14:paraId="2C32811F" w14:textId="77777777">
            <w:pPr>
              <w:pStyle w:val="EPLogo"/>
            </w:pPr>
            <w:r w:rsidRPr="00050D7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64011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050D7A" w:rsidP="00C7235E" w14:paraId="44D9A6BD" w14:textId="77777777">
      <w:pPr>
        <w:pStyle w:val="LineTop"/>
      </w:pPr>
    </w:p>
    <w:p w:rsidR="00C7235E" w:rsidRPr="00050D7A" w:rsidP="00C7235E" w14:paraId="6CDE7A59" w14:textId="0E268F32">
      <w:pPr>
        <w:pStyle w:val="EPBody"/>
      </w:pPr>
      <w:r w:rsidRPr="00050D7A">
        <w:t>Document de séance</w:t>
      </w:r>
    </w:p>
    <w:p w:rsidR="00C7235E" w:rsidRPr="00050D7A" w:rsidP="00C7235E" w14:paraId="2E08926F" w14:textId="77777777">
      <w:pPr>
        <w:pStyle w:val="LineBottom"/>
      </w:pPr>
    </w:p>
    <w:p w:rsidR="00144AD8" w:rsidRPr="00050D7A" w14:paraId="19E66798" w14:textId="6FEF547D">
      <w:pPr>
        <w:pStyle w:val="CoverReference"/>
      </w:pPr>
      <w:r w:rsidRPr="00050D7A">
        <w:rPr>
          <w:rStyle w:val="HideTWBExt"/>
        </w:rPr>
        <w:t>&lt;NoDocSe&gt;</w:t>
      </w:r>
      <w:r w:rsidRPr="00050D7A">
        <w:t>A10-0237/2026</w:t>
      </w:r>
      <w:r w:rsidRPr="00050D7A">
        <w:rPr>
          <w:rStyle w:val="HideTWBExt"/>
        </w:rPr>
        <w:t>&lt;/NoDocSe&gt;</w:t>
      </w:r>
    </w:p>
    <w:p w:rsidR="00144AD8" w:rsidRPr="00050D7A" w14:paraId="3720FFB2" w14:textId="750BC98C">
      <w:pPr>
        <w:pStyle w:val="CoverDate"/>
      </w:pPr>
      <w:r w:rsidRPr="00050D7A">
        <w:rPr>
          <w:rStyle w:val="HideTWBExt"/>
        </w:rPr>
        <w:t>&lt;Date&gt;</w:t>
      </w:r>
      <w:r w:rsidRPr="00050D7A">
        <w:rPr>
          <w:rStyle w:val="HideTWBInt"/>
        </w:rPr>
        <w:t>{16/09/2026}</w:t>
      </w:r>
      <w:r w:rsidRPr="00050D7A">
        <w:t>16.9.2026</w:t>
      </w:r>
      <w:r w:rsidRPr="00050D7A">
        <w:rPr>
          <w:rStyle w:val="HideTWBExt"/>
        </w:rPr>
        <w:t>&lt;/Date&gt;</w:t>
      </w:r>
    </w:p>
    <w:p w:rsidR="00144AD8" w:rsidRPr="00050D7A" w14:paraId="07FE2277" w14:textId="11E8B996">
      <w:pPr>
        <w:pStyle w:val="CoverDocType24a"/>
      </w:pPr>
      <w:r w:rsidRPr="00050D7A">
        <w:rPr>
          <w:rStyle w:val="HideTWBExt"/>
          <w:b w:val="0"/>
        </w:rPr>
        <w:t>&lt;TitreType&gt;</w:t>
      </w:r>
      <w:r w:rsidRPr="00050D7A">
        <w:t>RAPPORT</w:t>
      </w:r>
      <w:r w:rsidRPr="00050D7A">
        <w:rPr>
          <w:rStyle w:val="HideTWBExt"/>
          <w:b w:val="0"/>
        </w:rPr>
        <w:t>&lt;/TitreType&gt;</w:t>
      </w:r>
    </w:p>
    <w:p w:rsidR="00144AD8" w:rsidRPr="00050D7A" w14:paraId="3B7CD7B1" w14:textId="6D7A8F2E">
      <w:pPr>
        <w:pStyle w:val="CoverNormal"/>
      </w:pPr>
      <w:r w:rsidRPr="00050D7A">
        <w:rPr>
          <w:rStyle w:val="HideTWBExt"/>
        </w:rPr>
        <w:t>&lt;Titre&gt;</w:t>
      </w:r>
      <w:r w:rsidRPr="00050D7A">
        <w:t>sur une recommandation du Parlement européen au Conseil, à la Commission et à la vice-présidente de la Commission/haute représentante de l’Union pour les affaires étrangères et la politique de sécurité relative aux relations politiques entre l’UE et la Chine</w:t>
      </w:r>
      <w:r w:rsidRPr="00050D7A">
        <w:rPr>
          <w:rStyle w:val="HideTWBExt"/>
        </w:rPr>
        <w:t>&lt;/Titre&gt;</w:t>
      </w:r>
    </w:p>
    <w:p w:rsidR="00144AD8" w:rsidRPr="00050D7A" w14:paraId="3F6B7E70" w14:textId="24C32CEA">
      <w:pPr>
        <w:pStyle w:val="CoverNormal24a"/>
      </w:pPr>
      <w:r w:rsidRPr="00050D7A">
        <w:rPr>
          <w:rStyle w:val="HideTWBExt"/>
        </w:rPr>
        <w:t>&lt;DocRef&gt;</w:t>
      </w:r>
      <w:r w:rsidRPr="00050D7A">
        <w:t>(2025/2117(INI))</w:t>
      </w:r>
      <w:r w:rsidRPr="00050D7A">
        <w:rPr>
          <w:rStyle w:val="HideTWBExt"/>
        </w:rPr>
        <w:t>&lt;/DocRef&gt;</w:t>
      </w:r>
    </w:p>
    <w:p w:rsidR="00144AD8" w:rsidRPr="00050D7A" w14:paraId="19DE6010" w14:textId="5FDD1215">
      <w:pPr>
        <w:pStyle w:val="CoverNormal24a"/>
      </w:pPr>
      <w:r w:rsidRPr="00050D7A">
        <w:rPr>
          <w:rStyle w:val="HideTWBExt"/>
        </w:rPr>
        <w:t>&lt;Commission&gt;</w:t>
      </w:r>
      <w:r w:rsidRPr="00050D7A">
        <w:rPr>
          <w:rStyle w:val="HideTWBInt"/>
        </w:rPr>
        <w:t>{AFET}</w:t>
      </w:r>
      <w:r w:rsidRPr="00050D7A">
        <w:t>Commission des affaires étrangères</w:t>
      </w:r>
      <w:r w:rsidRPr="00050D7A">
        <w:rPr>
          <w:rStyle w:val="HideTWBExt"/>
        </w:rPr>
        <w:t>&lt;/Commission&gt;</w:t>
      </w:r>
    </w:p>
    <w:p w:rsidR="00144AD8" w:rsidRPr="00050D7A" w14:paraId="03180355" w14:textId="64B4055A">
      <w:pPr>
        <w:pStyle w:val="CoverNormal24a"/>
      </w:pPr>
      <w:r w:rsidRPr="00050D7A">
        <w:t xml:space="preserve">Rapporteure: </w:t>
      </w:r>
      <w:r w:rsidRPr="00050D7A">
        <w:rPr>
          <w:rStyle w:val="HideTWBExt"/>
        </w:rPr>
        <w:t>&lt;Depute&gt;</w:t>
      </w:r>
      <w:r w:rsidRPr="00050D7A">
        <w:t>Hilde Vautmans</w:t>
      </w:r>
      <w:r w:rsidRPr="00050D7A">
        <w:rPr>
          <w:rStyle w:val="HideTWBExt"/>
        </w:rPr>
        <w:t>&lt;/Depute&gt;</w:t>
      </w:r>
    </w:p>
    <w:p w:rsidR="00144AD8" w:rsidRPr="00050D7A" w:rsidP="009340AC" w14:paraId="1FC45754" w14:textId="77777777">
      <w:pPr>
        <w:widowControl/>
        <w:tabs>
          <w:tab w:val="center" w:pos="4677"/>
        </w:tabs>
      </w:pPr>
      <w:r w:rsidRPr="00050D7A">
        <w:br w:type="page"/>
      </w:r>
      <w:r w:rsidRPr="00050D7A">
        <w:t>PR_INI_RecommCFSP</w:t>
      </w:r>
    </w:p>
    <w:p w:rsidR="00144AD8" w:rsidRPr="00050D7A" w14:paraId="4A56FC38" w14:textId="77777777">
      <w:pPr>
        <w:pStyle w:val="TOCHeading"/>
      </w:pPr>
      <w:r w:rsidRPr="00050D7A">
        <w:t>SOMMAIRE</w:t>
      </w:r>
    </w:p>
    <w:p w:rsidR="00144AD8" w:rsidRPr="00050D7A" w14:paraId="0616CDDC" w14:textId="77777777">
      <w:pPr>
        <w:pStyle w:val="TOCPage"/>
      </w:pPr>
      <w:r w:rsidRPr="00050D7A">
        <w:t>Page</w:t>
      </w:r>
    </w:p>
    <w:p w:rsidR="005B494A" w14:paraId="48BE8D6B" w14:textId="19EC6A9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50D7A">
        <w:fldChar w:fldCharType="begin"/>
      </w:r>
      <w:r w:rsidRPr="00050D7A">
        <w:instrText xml:space="preserve"> TOC \t "PageHeading</w:instrText>
      </w:r>
      <w:r w:rsidRPr="00050D7A" w:rsidR="00005CC5">
        <w:instrText>;</w:instrText>
      </w:r>
      <w:r w:rsidRPr="00050D7A">
        <w:instrText xml:space="preserve">1" </w:instrText>
      </w:r>
      <w:r w:rsidRPr="00050D7A">
        <w:fldChar w:fldCharType="separate"/>
      </w:r>
      <w:r>
        <w:rPr>
          <w:noProof/>
        </w:rPr>
        <w:t>PROJET DE RECOMMANDATION DU PARLEMENT EUROPÉEN</w:t>
      </w:r>
      <w:r>
        <w:rPr>
          <w:noProof/>
        </w:rPr>
        <w:tab/>
      </w:r>
      <w:r>
        <w:rPr>
          <w:noProof/>
        </w:rPr>
        <w:fldChar w:fldCharType="begin"/>
      </w:r>
      <w:r>
        <w:rPr>
          <w:noProof/>
        </w:rPr>
        <w:instrText xml:space="preserve"> PAGEREF _Toc241678460 \h </w:instrText>
      </w:r>
      <w:r>
        <w:rPr>
          <w:noProof/>
        </w:rPr>
        <w:fldChar w:fldCharType="separate"/>
      </w:r>
      <w:r>
        <w:rPr>
          <w:noProof/>
        </w:rPr>
        <w:t>3</w:t>
      </w:r>
      <w:r>
        <w:rPr>
          <w:noProof/>
        </w:rPr>
        <w:fldChar w:fldCharType="end"/>
      </w:r>
    </w:p>
    <w:p w:rsidR="005B494A" w14:paraId="51441AF6" w14:textId="49AB882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_Toc241678461 \h </w:instrText>
      </w:r>
      <w:r>
        <w:rPr>
          <w:noProof/>
        </w:rPr>
        <w:fldChar w:fldCharType="separate"/>
      </w:r>
      <w:r>
        <w:rPr>
          <w:noProof/>
        </w:rPr>
        <w:t>23</w:t>
      </w:r>
      <w:r>
        <w:rPr>
          <w:noProof/>
        </w:rPr>
        <w:fldChar w:fldCharType="end"/>
      </w:r>
    </w:p>
    <w:p w:rsidR="005B494A" w14:paraId="3CCB2815" w14:textId="1F782DB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_Toc241678462 \h </w:instrText>
      </w:r>
      <w:r>
        <w:rPr>
          <w:noProof/>
        </w:rPr>
        <w:fldChar w:fldCharType="separate"/>
      </w:r>
      <w:r>
        <w:rPr>
          <w:noProof/>
        </w:rPr>
        <w:t>25</w:t>
      </w:r>
      <w:r>
        <w:rPr>
          <w:noProof/>
        </w:rPr>
        <w:fldChar w:fldCharType="end"/>
      </w:r>
    </w:p>
    <w:p w:rsidR="005B494A" w14:paraId="58CD89DD" w14:textId="7528B92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_Toc241678463 \h </w:instrText>
      </w:r>
      <w:r>
        <w:rPr>
          <w:noProof/>
        </w:rPr>
        <w:fldChar w:fldCharType="separate"/>
      </w:r>
      <w:r>
        <w:rPr>
          <w:noProof/>
        </w:rPr>
        <w:t>26</w:t>
      </w:r>
      <w:r>
        <w:rPr>
          <w:noProof/>
        </w:rPr>
        <w:fldChar w:fldCharType="end"/>
      </w:r>
    </w:p>
    <w:p w:rsidR="005B494A" w14:paraId="602ED420" w14:textId="54ED40A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_Toc241678464 \h </w:instrText>
      </w:r>
      <w:r>
        <w:rPr>
          <w:noProof/>
        </w:rPr>
        <w:fldChar w:fldCharType="separate"/>
      </w:r>
      <w:r>
        <w:rPr>
          <w:noProof/>
        </w:rPr>
        <w:t>27</w:t>
      </w:r>
      <w:r>
        <w:rPr>
          <w:noProof/>
        </w:rPr>
        <w:fldChar w:fldCharType="end"/>
      </w:r>
    </w:p>
    <w:p w:rsidR="00627DF1" w:rsidRPr="00050D7A" w:rsidP="00865AB2" w14:paraId="3CEC4074" w14:textId="7F8CBE97">
      <w:r w:rsidRPr="00050D7A">
        <w:fldChar w:fldCharType="end"/>
      </w:r>
    </w:p>
    <w:p w:rsidR="00144AD8" w:rsidRPr="00050D7A" w14:paraId="4E718126" w14:textId="77777777">
      <w:pPr>
        <w:pStyle w:val="PageHeading"/>
      </w:pPr>
      <w:r w:rsidRPr="00050D7A">
        <w:br w:type="page"/>
      </w:r>
      <w:bookmarkStart w:id="1" w:name="_Toc241678460"/>
      <w:r w:rsidRPr="00050D7A">
        <w:t>PROJET DE RECOMMANDATION DU PARLEMENT EUROPÉEN</w:t>
      </w:r>
      <w:bookmarkEnd w:id="1"/>
    </w:p>
    <w:p w:rsidR="00144AD8" w:rsidRPr="00050D7A" w14:paraId="737474EE" w14:textId="62E8E3F7">
      <w:pPr>
        <w:pStyle w:val="NormalBold"/>
      </w:pPr>
      <w:r w:rsidRPr="00050D7A">
        <w:t>au Conseil, à la Commission et à la vice-présidente de la Commission/haute représentante de l’Union pour les affaires étrangères et la politique de sécurité relative aux relations entre l’UE et la Chine</w:t>
      </w:r>
    </w:p>
    <w:p w:rsidR="00144AD8" w:rsidRPr="00050D7A" w:rsidP="00A144CA" w14:paraId="55B6BE67" w14:textId="6406AD3E">
      <w:pPr>
        <w:pStyle w:val="NormalBold"/>
      </w:pPr>
      <w:r w:rsidRPr="00050D7A">
        <w:t>(2025/2117(INI))</w:t>
      </w:r>
    </w:p>
    <w:p w:rsidR="00144AD8" w:rsidRPr="00050D7A" w14:paraId="5EB35DA4" w14:textId="77777777">
      <w:pPr>
        <w:pStyle w:val="EPComma"/>
      </w:pPr>
      <w:r w:rsidRPr="00050D7A">
        <w:t>Le Parlement européen,</w:t>
      </w:r>
    </w:p>
    <w:p w:rsidR="0048252F" w:rsidRPr="00050D7A" w:rsidP="0033193F" w14:paraId="0FA80C64" w14:textId="242D9877">
      <w:pPr>
        <w:spacing w:after="240"/>
        <w:ind w:left="357" w:hanging="357"/>
        <w:rPr>
          <w:bCs/>
          <w:iCs/>
        </w:rPr>
      </w:pPr>
      <w:r w:rsidRPr="00050D7A">
        <w:rPr>
          <w:rFonts w:ascii="Symbol" w:hAnsi="Symbol"/>
        </w:rPr>
        <w:sym w:font="Symbol" w:char="F02D"/>
      </w:r>
      <w:r w:rsidRPr="00050D7A">
        <w:rPr>
          <w:rFonts w:ascii="Symbol" w:hAnsi="Symbol"/>
        </w:rPr>
        <w:tab/>
      </w:r>
      <w:r w:rsidRPr="00050D7A">
        <w:t>vu la déclaration universelle des droits de l’homme ainsi que les autres traités et instruments internationaux en faveur des droits de l’homme, plus particulièrement la convention des Nations unies de 1948 pour la prévention et la répression du crime de génocide,</w:t>
      </w:r>
    </w:p>
    <w:p w:rsidR="0048252F" w:rsidRPr="00050D7A" w:rsidP="0033193F" w14:paraId="2FB2CC5C" w14:textId="39ACC859">
      <w:pPr>
        <w:spacing w:after="240"/>
        <w:ind w:left="357" w:hanging="357"/>
        <w:rPr>
          <w:bCs/>
          <w:iCs/>
        </w:rPr>
      </w:pPr>
      <w:r w:rsidRPr="00050D7A">
        <w:rPr>
          <w:rFonts w:ascii="Symbol" w:hAnsi="Symbol"/>
        </w:rPr>
        <w:sym w:font="Symbol" w:char="F02D"/>
      </w:r>
      <w:r w:rsidRPr="00050D7A">
        <w:rPr>
          <w:rFonts w:ascii="Symbol" w:hAnsi="Symbol"/>
        </w:rPr>
        <w:tab/>
      </w:r>
      <w:r w:rsidRPr="00050D7A">
        <w:t xml:space="preserve">vu ses résolutions sur des cas de violation des droits de l’homme, de la démocratie et de l’état de droit adoptées conformément à l’article 150 de son règlement intérieur, </w:t>
      </w:r>
    </w:p>
    <w:p w:rsidR="0048252F" w:rsidRPr="00050D7A" w:rsidP="0033193F" w14:paraId="2C697D9C" w14:textId="4B6890B1">
      <w:pPr>
        <w:spacing w:after="240"/>
        <w:ind w:left="357" w:hanging="357"/>
        <w:rPr>
          <w:bCs/>
          <w:iCs/>
        </w:rPr>
      </w:pPr>
      <w:r w:rsidRPr="00050D7A">
        <w:rPr>
          <w:rFonts w:ascii="Symbol" w:hAnsi="Symbol"/>
        </w:rPr>
        <w:sym w:font="Symbol" w:char="F02D"/>
      </w:r>
      <w:r w:rsidRPr="00050D7A">
        <w:rPr>
          <w:rFonts w:ascii="Symbol" w:hAnsi="Symbol"/>
        </w:rPr>
        <w:tab/>
      </w:r>
      <w:r w:rsidRPr="00050D7A">
        <w:t>vu ses résolutions antérieures sur la situation des droits de l’homme en Chine,</w:t>
      </w:r>
    </w:p>
    <w:p w:rsidR="0048252F" w:rsidRPr="00050D7A" w:rsidP="0033193F" w14:paraId="20D751C5" w14:textId="043ED98D">
      <w:pPr>
        <w:spacing w:after="240"/>
        <w:ind w:left="357" w:hanging="357"/>
        <w:rPr>
          <w:bCs/>
          <w:iCs/>
        </w:rPr>
      </w:pPr>
      <w:r w:rsidRPr="00050D7A">
        <w:rPr>
          <w:rFonts w:ascii="Symbol" w:hAnsi="Symbol"/>
        </w:rPr>
        <w:sym w:font="Symbol" w:char="F02D"/>
      </w:r>
      <w:r w:rsidRPr="00050D7A">
        <w:rPr>
          <w:rFonts w:ascii="Symbol" w:hAnsi="Symbol"/>
        </w:rPr>
        <w:tab/>
      </w:r>
      <w:r w:rsidRPr="00050D7A">
        <w:t>vu sa résolution du 28 novembre 2024 sur Hong Kong, notamment les cas de Jimmy Lai et des 45 militants récemment condamnés en vertu de la loi sur la sécurité nationale</w:t>
      </w:r>
      <w:r>
        <w:rPr>
          <w:rStyle w:val="FootnoteReference"/>
          <w:bCs/>
          <w:iCs/>
        </w:rPr>
        <w:footnoteReference w:id="2"/>
      </w:r>
      <w:r w:rsidRPr="00050D7A">
        <w:t>,</w:t>
      </w:r>
    </w:p>
    <w:p w:rsidR="0048252F" w:rsidRPr="00050D7A" w:rsidP="0033193F" w14:paraId="23948B79" w14:textId="7A2C968D">
      <w:pPr>
        <w:spacing w:after="240"/>
        <w:ind w:left="357" w:hanging="357"/>
        <w:rPr>
          <w:bCs/>
          <w:iCs/>
        </w:rPr>
      </w:pPr>
      <w:r w:rsidRPr="00050D7A">
        <w:rPr>
          <w:rFonts w:ascii="Symbol" w:hAnsi="Symbol"/>
        </w:rPr>
        <w:sym w:font="Symbol" w:char="F02D"/>
      </w:r>
      <w:r w:rsidRPr="00050D7A">
        <w:rPr>
          <w:rFonts w:ascii="Symbol" w:hAnsi="Symbol"/>
        </w:rPr>
        <w:tab/>
      </w:r>
      <w:r w:rsidRPr="00050D7A">
        <w:t>vu sa résolution du 13 novembre 2025 sur la lutte contre la répression transnationale des défenseurs des droits de l’homme</w:t>
      </w:r>
      <w:r>
        <w:rPr>
          <w:rStyle w:val="FootnoteReference"/>
          <w:bCs/>
          <w:iCs/>
        </w:rPr>
        <w:footnoteReference w:id="3"/>
      </w:r>
      <w:r w:rsidRPr="00050D7A">
        <w:t>,</w:t>
      </w:r>
    </w:p>
    <w:p w:rsidR="0048252F" w:rsidRPr="00050D7A" w:rsidP="0033193F" w14:paraId="1A8C34A6" w14:textId="1B989ABF">
      <w:pPr>
        <w:spacing w:after="240"/>
        <w:ind w:left="357" w:hanging="357"/>
        <w:rPr>
          <w:bCs/>
          <w:iCs/>
        </w:rPr>
      </w:pPr>
      <w:r w:rsidRPr="00050D7A">
        <w:rPr>
          <w:rFonts w:ascii="Symbol" w:hAnsi="Symbol"/>
        </w:rPr>
        <w:sym w:font="Symbol" w:char="F02D"/>
      </w:r>
      <w:r w:rsidRPr="00050D7A">
        <w:rPr>
          <w:rFonts w:ascii="Symbol" w:hAnsi="Symbol"/>
        </w:rPr>
        <w:tab/>
      </w:r>
      <w:r w:rsidRPr="00050D7A">
        <w:t>vu le règlement (UE) 2023/2675 du Parlement européen et du Conseil du 22 novembre 2023 relatif à la protection de l’Union et de ses États membres contre la coercition économique exercée par des pays tiers</w:t>
      </w:r>
      <w:r>
        <w:rPr>
          <w:rStyle w:val="FootnoteReference"/>
          <w:bCs/>
          <w:iCs/>
        </w:rPr>
        <w:footnoteReference w:id="4"/>
      </w:r>
      <w:r w:rsidRPr="00050D7A">
        <w:t>,</w:t>
      </w:r>
    </w:p>
    <w:p w:rsidR="0048252F" w:rsidRPr="00050D7A" w:rsidP="0033193F" w14:paraId="32055B05" w14:textId="48754277">
      <w:pPr>
        <w:spacing w:after="240"/>
        <w:ind w:left="357" w:hanging="357"/>
        <w:rPr>
          <w:bCs/>
          <w:iCs/>
        </w:rPr>
      </w:pPr>
      <w:r w:rsidRPr="00050D7A">
        <w:rPr>
          <w:rFonts w:ascii="Symbol" w:hAnsi="Symbol"/>
        </w:rPr>
        <w:sym w:font="Symbol" w:char="F02D"/>
      </w:r>
      <w:r w:rsidRPr="00050D7A">
        <w:rPr>
          <w:rFonts w:ascii="Symbol" w:hAnsi="Symbol"/>
        </w:rPr>
        <w:tab/>
      </w:r>
      <w:r w:rsidRPr="00050D7A">
        <w:t>vu sa résolution du 24 octobre 2024 sur l’interprétation erronée de la résolution 2758 des Nations unies par la République populaire de Chine et les provocations militaires constantes de celle-ci autour de Taïwan</w:t>
      </w:r>
      <w:r>
        <w:rPr>
          <w:rStyle w:val="FootnoteReference"/>
          <w:bCs/>
          <w:iCs/>
        </w:rPr>
        <w:footnoteReference w:id="5"/>
      </w:r>
      <w:r w:rsidRPr="00050D7A">
        <w:t>,</w:t>
      </w:r>
    </w:p>
    <w:p w:rsidR="0048252F" w:rsidRPr="00050D7A" w:rsidP="0033193F" w14:paraId="418440AA" w14:textId="07734CE4">
      <w:pPr>
        <w:spacing w:after="240"/>
        <w:ind w:left="357" w:hanging="357"/>
        <w:rPr>
          <w:bCs/>
          <w:iCs/>
        </w:rPr>
      </w:pPr>
      <w:r w:rsidRPr="00050D7A">
        <w:rPr>
          <w:rFonts w:ascii="Symbol" w:hAnsi="Symbol"/>
        </w:rPr>
        <w:sym w:font="Symbol" w:char="F02D"/>
      </w:r>
      <w:r w:rsidRPr="00050D7A">
        <w:rPr>
          <w:rFonts w:ascii="Symbol" w:hAnsi="Symbol"/>
        </w:rPr>
        <w:tab/>
      </w:r>
      <w:r w:rsidRPr="00050D7A">
        <w:t>vu sa recommandation du 26 novembre 2025 au Conseil, à la Commission et à la vice-présidente de la Commission/haute représentante de l’Union pour les affaires étrangères et la politique de sécurité concernant la stratégie diplomatique et la coopération géopolitique de l’Union européenne dans l’Arctique</w:t>
      </w:r>
      <w:r>
        <w:rPr>
          <w:rStyle w:val="FootnoteReference"/>
          <w:bCs/>
          <w:iCs/>
        </w:rPr>
        <w:footnoteReference w:id="6"/>
      </w:r>
      <w:r w:rsidRPr="00050D7A">
        <w:t>,</w:t>
      </w:r>
    </w:p>
    <w:p w:rsidR="002E1CF3" w:rsidRPr="00050D7A" w:rsidP="0033193F" w14:paraId="4F19BE79" w14:textId="6D596911">
      <w:pPr>
        <w:spacing w:after="240"/>
        <w:ind w:left="357" w:hanging="357"/>
        <w:rPr>
          <w:bCs/>
          <w:iCs/>
        </w:rPr>
      </w:pPr>
      <w:r w:rsidRPr="00050D7A">
        <w:rPr>
          <w:rFonts w:ascii="Symbol" w:hAnsi="Symbol"/>
        </w:rPr>
        <w:sym w:font="Symbol" w:char="F02D"/>
      </w:r>
      <w:r w:rsidRPr="00050D7A">
        <w:rPr>
          <w:rFonts w:ascii="Symbol" w:hAnsi="Symbol"/>
        </w:rPr>
        <w:tab/>
      </w:r>
      <w:r w:rsidRPr="00050D7A">
        <w:t>vu le règlement (UE) 2024/1252 du Parlement européen et du Conseil du 11 avril 2024 établissant un cadre visant à garantir un approvisionnement sûr et durable en matières premières critiques et modifiant les règlements (UE) nº 168/2013, (UE) 2018/858, (UE) 2018/1724 et (UE) 2019/1020</w:t>
      </w:r>
      <w:r>
        <w:rPr>
          <w:rStyle w:val="FootnoteReference"/>
          <w:bCs/>
          <w:iCs/>
        </w:rPr>
        <w:footnoteReference w:id="7"/>
      </w:r>
      <w:r w:rsidRPr="00050D7A">
        <w:t xml:space="preserve">, également connu sous le nom de règlement sur les </w:t>
      </w:r>
      <w:r w:rsidRPr="00050D7A">
        <w:t>matières premières critiques,</w:t>
      </w:r>
    </w:p>
    <w:p w:rsidR="0048252F" w:rsidRPr="00050D7A" w:rsidP="0033193F" w14:paraId="5152AAEA" w14:textId="1A20B1C1">
      <w:pPr>
        <w:spacing w:after="240"/>
        <w:ind w:left="357" w:hanging="357"/>
        <w:rPr>
          <w:bCs/>
          <w:iCs/>
        </w:rPr>
      </w:pPr>
      <w:r w:rsidRPr="00050D7A">
        <w:rPr>
          <w:rFonts w:ascii="Symbol" w:hAnsi="Symbol"/>
        </w:rPr>
        <w:sym w:font="Symbol" w:char="F02D"/>
      </w:r>
      <w:r w:rsidRPr="00050D7A">
        <w:rPr>
          <w:rFonts w:ascii="Symbol" w:hAnsi="Symbol"/>
        </w:rPr>
        <w:tab/>
      </w:r>
      <w:r w:rsidRPr="00050D7A">
        <w:t>vu sa résolution du 10 juillet 2025 sur le thème «Prendre des mesures face aux restrictions à l’exportation mises en place par la Chine pour les matières premières critiques»</w:t>
      </w:r>
      <w:r>
        <w:rPr>
          <w:rStyle w:val="FootnoteReference"/>
          <w:bCs/>
          <w:iCs/>
        </w:rPr>
        <w:footnoteReference w:id="8"/>
      </w:r>
      <w:r w:rsidRPr="00050D7A">
        <w:t xml:space="preserve">, </w:t>
      </w:r>
    </w:p>
    <w:p w:rsidR="0048252F" w:rsidRPr="00050D7A" w:rsidP="0033193F" w14:paraId="0BF3A273" w14:textId="26C73A7F">
      <w:pPr>
        <w:spacing w:after="240"/>
        <w:ind w:left="357" w:hanging="357"/>
        <w:rPr>
          <w:bCs/>
          <w:iCs/>
        </w:rPr>
      </w:pPr>
      <w:r w:rsidRPr="00050D7A">
        <w:rPr>
          <w:rFonts w:ascii="Symbol" w:hAnsi="Symbol"/>
        </w:rPr>
        <w:sym w:font="Symbol" w:char="F02D"/>
      </w:r>
      <w:r w:rsidRPr="00050D7A">
        <w:rPr>
          <w:rFonts w:ascii="Symbol" w:hAnsi="Symbol"/>
        </w:rPr>
        <w:tab/>
      </w:r>
      <w:r w:rsidRPr="00050D7A">
        <w:t>vu la déclaration commune sino-britannique de 1984 et la déclaration commune sino-portugaise de 1987,</w:t>
      </w:r>
    </w:p>
    <w:p w:rsidR="0048252F" w:rsidRPr="00050D7A" w:rsidP="0033193F" w14:paraId="2A36E6E7" w14:textId="61302D81">
      <w:pPr>
        <w:spacing w:after="240"/>
        <w:ind w:left="357" w:hanging="357"/>
        <w:rPr>
          <w:bCs/>
          <w:iCs/>
        </w:rPr>
      </w:pPr>
      <w:r w:rsidRPr="00050D7A">
        <w:rPr>
          <w:rFonts w:ascii="Symbol" w:hAnsi="Symbol"/>
        </w:rPr>
        <w:sym w:font="Symbol" w:char="F02D"/>
      </w:r>
      <w:r w:rsidRPr="00050D7A">
        <w:rPr>
          <w:rFonts w:ascii="Symbol" w:hAnsi="Symbol"/>
        </w:rPr>
        <w:tab/>
      </w:r>
      <w:r w:rsidRPr="00050D7A">
        <w:t xml:space="preserve">vu les cinq principes de coexistence pacifique de la Chine, l’initiative de développement mondial, l’initiative de sécurité mondiale, l’initiative de civilisation mondiale et l’initiative de gouvernance mondiale, </w:t>
      </w:r>
    </w:p>
    <w:p w:rsidR="0048252F" w:rsidRPr="00050D7A" w:rsidP="0033193F" w14:paraId="72820927" w14:textId="6882FDF6">
      <w:pPr>
        <w:spacing w:after="240"/>
        <w:ind w:left="357" w:hanging="357"/>
        <w:rPr>
          <w:bCs/>
          <w:iCs/>
        </w:rPr>
      </w:pPr>
      <w:r w:rsidRPr="00050D7A">
        <w:rPr>
          <w:rFonts w:ascii="Symbol" w:hAnsi="Symbol"/>
        </w:rPr>
        <w:sym w:font="Symbol" w:char="F02D"/>
      </w:r>
      <w:r w:rsidRPr="00050D7A">
        <w:rPr>
          <w:rFonts w:ascii="Symbol" w:hAnsi="Symbol"/>
        </w:rPr>
        <w:tab/>
      </w:r>
      <w:r w:rsidRPr="00050D7A">
        <w:t xml:space="preserve">vu le rapport publié par Freedom House intitulé «2025 Freedom in the World» (La liberté dans le monde en 2025), </w:t>
      </w:r>
    </w:p>
    <w:p w:rsidR="0048252F" w:rsidRPr="00050D7A" w:rsidP="0033193F" w14:paraId="057D1AD2" w14:textId="2955227E">
      <w:pPr>
        <w:spacing w:after="240"/>
        <w:ind w:left="357" w:hanging="357"/>
        <w:rPr>
          <w:bCs/>
          <w:iCs/>
        </w:rPr>
      </w:pPr>
      <w:r w:rsidRPr="00050D7A">
        <w:rPr>
          <w:rFonts w:ascii="Symbol" w:hAnsi="Symbol"/>
        </w:rPr>
        <w:sym w:font="Symbol" w:char="F02D"/>
      </w:r>
      <w:r w:rsidRPr="00050D7A">
        <w:rPr>
          <w:rFonts w:ascii="Symbol" w:hAnsi="Symbol"/>
        </w:rPr>
        <w:tab/>
      </w:r>
      <w:r w:rsidRPr="00050D7A">
        <w:t>vu le classement mondial 2025 de la liberté de la presse publié par Reporters sans frontières,</w:t>
      </w:r>
    </w:p>
    <w:p w:rsidR="0048252F" w:rsidRPr="00050D7A" w:rsidP="0033193F" w14:paraId="3A7D1986" w14:textId="73500743">
      <w:pPr>
        <w:spacing w:after="240"/>
        <w:ind w:left="357" w:hanging="357"/>
        <w:rPr>
          <w:bCs/>
          <w:iCs/>
        </w:rPr>
      </w:pPr>
      <w:r w:rsidRPr="00050D7A">
        <w:rPr>
          <w:rFonts w:ascii="Symbol" w:hAnsi="Symbol"/>
        </w:rPr>
        <w:sym w:font="Symbol" w:char="F02D"/>
      </w:r>
      <w:r w:rsidRPr="00050D7A">
        <w:rPr>
          <w:rFonts w:ascii="Symbol" w:hAnsi="Symbol"/>
        </w:rPr>
        <w:tab/>
      </w:r>
      <w:r w:rsidRPr="00050D7A">
        <w:t>vu l’accord bilatéral signé entre l’Union européenne et la République populaire de Chine le 16 juillet 2018, connu sous le nom de partenariat océanique UE-Chine, sur la coopération en matière de gouvernance mondiale des océans,</w:t>
      </w:r>
    </w:p>
    <w:p w:rsidR="00663C78" w:rsidRPr="00050D7A" w:rsidP="0033193F" w14:paraId="5A29B3F5" w14:textId="6033807C">
      <w:pPr>
        <w:spacing w:after="240"/>
        <w:ind w:left="357" w:hanging="357"/>
        <w:rPr>
          <w:bCs/>
          <w:iCs/>
        </w:rPr>
      </w:pPr>
      <w:r w:rsidRPr="00050D7A">
        <w:rPr>
          <w:rFonts w:ascii="Symbol" w:hAnsi="Symbol"/>
        </w:rPr>
        <w:sym w:font="Symbol" w:char="F02D"/>
      </w:r>
      <w:r w:rsidRPr="00050D7A">
        <w:rPr>
          <w:rFonts w:ascii="Symbol" w:hAnsi="Symbol"/>
        </w:rPr>
        <w:tab/>
      </w:r>
      <w:r w:rsidRPr="00050D7A">
        <w:t>vu sa résolution du 17 octobre 2023 sur les implications des activités de pêche chinoises sur les pêcheries de l’Union et la voie à suivre</w:t>
      </w:r>
      <w:r>
        <w:rPr>
          <w:rStyle w:val="FootnoteReference"/>
          <w:bCs/>
          <w:iCs/>
        </w:rPr>
        <w:footnoteReference w:id="9"/>
      </w:r>
      <w:r w:rsidRPr="00050D7A">
        <w:t>,</w:t>
      </w:r>
    </w:p>
    <w:p w:rsidR="00663C78" w:rsidRPr="00050D7A" w:rsidP="0033193F" w14:paraId="2C2D28EF" w14:textId="53DB547F">
      <w:pPr>
        <w:spacing w:after="240"/>
        <w:ind w:left="357" w:hanging="357"/>
        <w:rPr>
          <w:bCs/>
          <w:iCs/>
        </w:rPr>
      </w:pPr>
      <w:r w:rsidRPr="00050D7A">
        <w:rPr>
          <w:rFonts w:ascii="Symbol" w:hAnsi="Symbol"/>
        </w:rPr>
        <w:sym w:font="Symbol" w:char="F02D"/>
      </w:r>
      <w:r w:rsidRPr="00050D7A">
        <w:rPr>
          <w:rFonts w:ascii="Symbol" w:hAnsi="Symbol"/>
        </w:rPr>
        <w:tab/>
      </w:r>
      <w:r w:rsidRPr="00050D7A">
        <w:t>vu l’article 121 de son règlement intérieur,</w:t>
      </w:r>
    </w:p>
    <w:p w:rsidR="0048252F" w:rsidRPr="00050D7A" w:rsidP="0033193F" w14:paraId="0CEBC6A0" w14:textId="676F08FD">
      <w:pPr>
        <w:spacing w:after="240"/>
        <w:ind w:left="357" w:hanging="357"/>
        <w:rPr>
          <w:bCs/>
          <w:iCs/>
        </w:rPr>
      </w:pPr>
      <w:r w:rsidRPr="00050D7A">
        <w:rPr>
          <w:rFonts w:ascii="Symbol" w:hAnsi="Symbol"/>
        </w:rPr>
        <w:sym w:font="Symbol" w:char="F02D"/>
      </w:r>
      <w:r w:rsidRPr="00050D7A">
        <w:rPr>
          <w:rFonts w:ascii="Symbol" w:hAnsi="Symbol"/>
        </w:rPr>
        <w:tab/>
      </w:r>
      <w:r w:rsidRPr="00050D7A">
        <w:t>vu le rapport de la commission des affaires étrangères (A10-0237/2026),</w:t>
      </w:r>
    </w:p>
    <w:p w:rsidR="002367DF" w:rsidRPr="00050D7A" w:rsidP="0033193F" w14:paraId="5B9485EA" w14:textId="6CE29E43">
      <w:pPr>
        <w:spacing w:after="240"/>
        <w:ind w:left="567" w:hanging="567"/>
      </w:pPr>
      <w:r w:rsidRPr="00050D7A">
        <w:t>A.</w:t>
      </w:r>
      <w:r w:rsidRPr="00050D7A">
        <w:tab/>
        <w:t>considérant que le système des relations internationales évolue rapidement; que l’intérêt géopolitique de l’Union est de promouvoir un monde multilatéral qui lui permette d’être un acteur mondial; que, dans cet esprit, l’Union devrait élaborer sa politique autonome et cohérente à l’égard de la Chine;</w:t>
      </w:r>
    </w:p>
    <w:p w:rsidR="002367DF" w:rsidRPr="00050D7A" w:rsidP="001752E9" w14:paraId="61A19DD3" w14:textId="1C6A2DA4">
      <w:pPr>
        <w:pStyle w:val="NormalHanging"/>
      </w:pPr>
      <w:r w:rsidRPr="00050D7A">
        <w:t>B.</w:t>
      </w:r>
      <w:r w:rsidRPr="00050D7A">
        <w:tab/>
      </w:r>
      <w:bookmarkStart w:id="2" w:name="_Hlk215149854"/>
      <w:r w:rsidRPr="00050D7A">
        <w:t>considérant que la population combinée de l’Union et de la République populaire de Chine (ci-après, la «Chine») représente 22,7 % de la population</w:t>
      </w:r>
      <w:bookmarkEnd w:id="2"/>
      <w:r w:rsidRPr="00050D7A">
        <w:t xml:space="preserve"> mondiale; que l’Union et la Chine représentent ensemble près de 30 % du commerce mondial et plus d’un tiers du PIB mondial; que l’Union représente 14,5 % des exportations totales de la Chine, tandis que la Chine ne représente que 8 % des exportations de l’Union; que ces chiffres mettent en évidence non seulement la dimension des relations économiques bilatérales, mais aussi l’importance du déséquilibre commercial; </w:t>
      </w:r>
    </w:p>
    <w:p w:rsidR="002367DF" w:rsidRPr="00050D7A" w:rsidP="00596989" w14:paraId="3E572EA5" w14:textId="467AA218">
      <w:pPr>
        <w:spacing w:after="240"/>
        <w:ind w:left="567" w:hanging="567"/>
      </w:pPr>
      <w:r w:rsidRPr="00050D7A">
        <w:t>C.</w:t>
      </w:r>
      <w:r w:rsidRPr="00050D7A">
        <w:tab/>
        <w:t xml:space="preserve">considérant que l’année 2025 a correspondu au 50e anniversaire de l’établissement de relations diplomatiques entre l’Union et la Chine et a été l’occasion d’évaluer les succès et les échecs de la politique de l’Union à l’égard de la Chine et de mettre à jour l’approche stratégique de l’Union; que l’accord de commerce et de coopération de </w:t>
      </w:r>
      <w:r w:rsidRPr="00050D7A">
        <w:t>1985</w:t>
      </w:r>
      <w:r>
        <w:rPr>
          <w:rStyle w:val="FootnoteReference"/>
        </w:rPr>
        <w:footnoteReference w:id="10"/>
      </w:r>
      <w:r w:rsidRPr="00050D7A">
        <w:t xml:space="preserve"> demeure le principal cadre juridique de leurs relations économiques et commerciales; que le dernier sommet UE-Chine s’est tenu à Pékin le 24 juillet 2025;</w:t>
      </w:r>
    </w:p>
    <w:p w:rsidR="002367DF" w:rsidRPr="00050D7A" w:rsidP="00596989" w14:paraId="2C431862" w14:textId="74CE98A5">
      <w:pPr>
        <w:spacing w:after="240"/>
        <w:ind w:left="567" w:hanging="567"/>
      </w:pPr>
      <w:r w:rsidRPr="00050D7A">
        <w:t xml:space="preserve">D. </w:t>
      </w:r>
      <w:r w:rsidRPr="00050D7A">
        <w:tab/>
        <w:t>considérant que le dialogue et l’action diplomatique restent des outils essentiels pour gérer les relations entre l’Union et la Chine malgré des divergences importantes; que le dialogue politique de haut niveau, y compris le sommet UE-Chine qui s’est tenu à Pékin en juillet 2025, devrait être maintenu pour relever les défis mondiaux communs; que ce dialogue critique ne doit pas compromettre les positions de l’Union sur les valeurs et principes fondamentaux, y compris le respect du droit international, des droits de l’homme et le plein respect par la Chine des règles et principes du système multilatéral et des organisations internationales;</w:t>
      </w:r>
    </w:p>
    <w:p w:rsidR="003068F8" w:rsidRPr="00050D7A" w:rsidP="00596989" w14:paraId="0C7C5FEA" w14:textId="38D21234">
      <w:pPr>
        <w:spacing w:after="240"/>
        <w:ind w:left="567" w:hanging="567"/>
      </w:pPr>
      <w:r w:rsidRPr="00050D7A">
        <w:t>E.</w:t>
      </w:r>
      <w:r w:rsidRPr="00050D7A">
        <w:tab/>
        <w:t>considérant que les relations entre le Parlement européen et l’Assemblée populaire nationale ont été interrompues de 2019 à 2025 en raison de la pandémie de COVID-19 et des sanctions de la Chine contre le Parlement européen et d’autres citoyens et entités de l’Union; qu’en 2025, la Chine a levé les sanctions contre le Parlement européen et que ce dernier a décidé de reprendre ses relations avec la Chine;</w:t>
      </w:r>
    </w:p>
    <w:p w:rsidR="001752E9" w:rsidRPr="00050D7A" w:rsidP="001752E9" w14:paraId="3F6394E5" w14:textId="1BA9CCD9">
      <w:pPr>
        <w:pStyle w:val="NormalHanging"/>
      </w:pPr>
      <w:r w:rsidRPr="00050D7A">
        <w:t>F.</w:t>
      </w:r>
      <w:r w:rsidRPr="00050D7A">
        <w:tab/>
        <w:t>considérant que la politique intérieure et internationale de la République populaire de Chine a réduit l’espace dévolu au partenariat et accru la concurrence avec l’Union et les autres démocraties; qu’il apparaît clairement que la Chine est, de son propre chef, en train de réorienter les relations UE-Chine vers une rivalité systémique; qu’il est essentiel, pour protéger les intérêts de l’Union, de coopérer lorsque cela est possible, de se livrer à une concurrence loyale et de faire face lorsque cela est nécessaire; qu’il devient essentiel que l’Union renforce son influence tout en dialoguant avec la Chine;</w:t>
      </w:r>
    </w:p>
    <w:p w:rsidR="003068F8" w:rsidRPr="00050D7A" w:rsidP="00596989" w14:paraId="6C012EF3" w14:textId="5C246C49">
      <w:pPr>
        <w:spacing w:after="240"/>
        <w:ind w:left="567" w:hanging="567"/>
      </w:pPr>
      <w:r w:rsidRPr="00050D7A">
        <w:t>G.</w:t>
      </w:r>
      <w:r w:rsidRPr="00050D7A">
        <w:tab/>
        <w:t xml:space="preserve">considérant que la coopération avec la Chine est nécessaire pour relever les défis mondiaux, tels que le changement climatique, la paix et le développement durable; que l’Union se doit donc de poursuivre envers la Chine une politique fondée sur des principes, cohérente et axée sur les droits de l’homme, reposant sur le droit international, la résilience démocratique et la réduction des risques économiques; qu’une telle politique ne devrait pas compromettre les positions de l’Union sur les valeurs et principes fondamentaux; </w:t>
      </w:r>
    </w:p>
    <w:p w:rsidR="00663C78" w:rsidRPr="00050D7A" w:rsidP="00596989" w14:paraId="6FD9173A" w14:textId="49C4EBAF">
      <w:pPr>
        <w:spacing w:after="240"/>
        <w:ind w:left="567" w:hanging="567"/>
      </w:pPr>
      <w:r w:rsidRPr="00050D7A">
        <w:t>H.</w:t>
      </w:r>
      <w:r w:rsidRPr="00050D7A">
        <w:tab/>
        <w:t>considérant que la Chine est un soutien décisif de la guerre d’agression illégale et non provoquée menée par la Russie contre l’Ukraine, qu’elle est le principal fournisseur de biens à double usage et qu’elle l’aide à contourner les sanctions; que, sans le soutien de la Chine et d’autres pays, la Russie ne serait pas en mesure de mener sa guerre d’agression contre l’Ukraine dans la même mesure ou avec la même force; que le soutien diplomatique, économique et matériel apporté par la Chine à la guerre d’agression menée par la Russie, y compris la fourniture de biens à double usage utilisés dans les chaînes d’approvisionnement militaires, viole la charte des Nations unies et le propre discours de neutralité de la Chine, y compris ses cinq principes de coexistence pacifique;</w:t>
      </w:r>
    </w:p>
    <w:p w:rsidR="00663C78" w:rsidRPr="00050D7A" w:rsidP="0033193F" w14:paraId="0696735C" w14:textId="4C3F1698">
      <w:pPr>
        <w:spacing w:after="240"/>
        <w:ind w:left="567" w:hanging="567"/>
      </w:pPr>
      <w:r w:rsidRPr="00050D7A">
        <w:t>I.</w:t>
      </w:r>
      <w:r w:rsidRPr="00050D7A">
        <w:tab/>
        <w:t xml:space="preserve">considérant que la Chine est un membre permanent du Conseil de sécurité des Nations </w:t>
      </w:r>
      <w:r w:rsidRPr="00050D7A">
        <w:t>unies et qu’elle a donc la responsabilité de défendre un ordre international multilatéral fondé sur des règles, ainsi qu’une gouvernance mondiale et numérique efficace, basée sur le respect de la charte des Nations unies et du droit international; que la position de la Chine vis-à-vis de la Russie et de sa guerre d’agression en Ukraine sera un facteur déterminant pour les relations UE-Chine à l’avenir;</w:t>
      </w:r>
    </w:p>
    <w:p w:rsidR="002367DF" w:rsidRPr="00050D7A" w:rsidP="00596989" w14:paraId="55472BD7" w14:textId="66F44169">
      <w:pPr>
        <w:spacing w:after="240"/>
        <w:ind w:left="567" w:hanging="567"/>
      </w:pPr>
      <w:bookmarkStart w:id="3" w:name="_Hlk227668262"/>
      <w:r w:rsidRPr="00050D7A">
        <w:t>J.</w:t>
      </w:r>
      <w:r w:rsidRPr="00050D7A">
        <w:tab/>
        <w:t>considérant que la Chine a conclu un «partenariat sans limites» avec la Russie le 4 février 2022 et que la coopération entre les deux pays s’est renforcée ces dernières années; que les médias chinois et russes diffusent des récits inacceptables sur l’Ukraine; que la Chine coopère avec la Russie dans des domaines tels que la défense, l’espace et le commerce, ainsi que les technologies à double usage et la création de synergies dans l’Arctique; que le président chinois Xi Jinping a refusé de se rendre à Bruxelles et s’est plutôt rendu à Moscou, donnant ainsi la priorité aux relations de la Chine avec la Russie;</w:t>
      </w:r>
      <w:bookmarkEnd w:id="3"/>
    </w:p>
    <w:p w:rsidR="005B494A" w:rsidP="00596989" w14:paraId="6823AAED" w14:textId="77777777">
      <w:pPr>
        <w:spacing w:after="240"/>
        <w:ind w:left="567" w:hanging="567"/>
      </w:pPr>
      <w:r w:rsidRPr="00050D7A">
        <w:t>K.</w:t>
      </w:r>
      <w:r w:rsidRPr="00050D7A">
        <w:tab/>
        <w:t>considérant que la République populaire démocratique de Corée est le seul État à avoir directement déployé des troupes pour soutenir la guerre d’agression de la Russie contre l’Ukraine; que la possibilité de transferts à la Corée du Nord de technologies nucléaires ou liées aux missiles balistiques en échange d’armes et de personnel militaire fournis à la Russie reste extrêmement préoccupante; que, depuis 2024, les autorités chinoises auraient rapatrié de force au moins 406 réfugiés en République populaire démocratique de Corée, contribuant ainsi aux graves violations des droits de l’homme commises sous le régime totalitaire de Kim Jong Un;</w:t>
      </w:r>
      <w:r>
        <w:br/>
      </w:r>
    </w:p>
    <w:p w:rsidR="002367DF" w:rsidRPr="00050D7A" w:rsidP="00596989" w14:paraId="7EA2C709" w14:textId="3A83AA29">
      <w:pPr>
        <w:spacing w:after="240"/>
        <w:ind w:left="567" w:hanging="567"/>
      </w:pPr>
      <w:r w:rsidRPr="00050D7A">
        <w:t>L.</w:t>
      </w:r>
      <w:r w:rsidRPr="00050D7A">
        <w:tab/>
        <w:t>considérant que le déficit commercial de l’Union avec la Chine s’élevait à 305,8 milliards d’euros en 2024; que l’asymétrie croissante des relations entre l’Union et la Chine dans des secteurs clés, notamment l’accès aux marchés, les capacités technologiques, la politique industrielle et les matières premières critiques, présente des défis et crée des dépendances pour l’Union, tout en donnant à la Chine des possibilités de coercition;</w:t>
      </w:r>
    </w:p>
    <w:p w:rsidR="002367DF" w:rsidRPr="00050D7A" w:rsidP="00596989" w14:paraId="24BA6254" w14:textId="339F8D16">
      <w:pPr>
        <w:spacing w:after="240"/>
        <w:ind w:left="567" w:hanging="567"/>
      </w:pPr>
      <w:r w:rsidRPr="00050D7A">
        <w:t>M.</w:t>
      </w:r>
      <w:r w:rsidRPr="00050D7A">
        <w:tab/>
        <w:t>considérant que les politiques industrielles chinoises créent des surcapacités massives, augmentant ainsi la pression sur l’économie européenne et menaçant de plus en plus de vider le noyau industriel de l’Union, ce qui peut constituer une menace existentielle pour l’Union; que la Chine fausse les marchés mondiaux au moyen de subventions publiques, du dumping des prix et de la politisation des échanges commerciaux; qu’elle bloque l’accès des entreprises européennes à son marché et refuse la sécurité juridique aux entreprises européennes; qu’en raison de ces pratiques hostiles et déloyales, la balance des risques et des chances à saisir dans les relations économiques et commerciales entre l’Union et la Chine penche en faveur de la Chine; que la Chine cherche à accroître les dépendances dans les relations entre l’Union et la Chine; que cette pratique a fait de la Chine, non plus un partenaire potentiel, mais un concurrent commercial et économique;</w:t>
      </w:r>
    </w:p>
    <w:p w:rsidR="002367DF" w:rsidRPr="00050D7A" w:rsidP="00596989" w14:paraId="4644D247" w14:textId="0C5562B6">
      <w:pPr>
        <w:spacing w:after="240"/>
        <w:ind w:left="567" w:hanging="567"/>
      </w:pPr>
      <w:r w:rsidRPr="00050D7A">
        <w:t>N.</w:t>
      </w:r>
      <w:r w:rsidRPr="00050D7A">
        <w:tab/>
        <w:t xml:space="preserve">considérant, en particulier, que la Chine a considérablement développé sa capacité industrielle dans les secteurs stratégiques de l’écologie et des transports, devenant ainsi le premier producteur mondial de panneaux solaires, un acteur mondial dominant dans la fabrication de turbines éoliennes et un exportateur majeur de technologies ferroviaires </w:t>
      </w:r>
      <w:r w:rsidRPr="00050D7A">
        <w:t>à grande vitesse; que la dépendance excessive à l’égard des technologies et des ressources chinoises dans le domaine de la prévention du changement climatique et de la transition écologique rend l’Union et ses pays partenaires vulnérables;</w:t>
      </w:r>
    </w:p>
    <w:p w:rsidR="002367DF" w:rsidRPr="00050D7A" w:rsidP="00596989" w14:paraId="178DCC31" w14:textId="1B622148">
      <w:pPr>
        <w:spacing w:after="240"/>
        <w:ind w:left="567" w:hanging="567"/>
      </w:pPr>
      <w:r w:rsidRPr="00050D7A">
        <w:t>O.</w:t>
      </w:r>
      <w:r w:rsidRPr="00050D7A">
        <w:tab/>
        <w:t>considérant que l’Union doit diversifier ses chaînes d’approvisionnement, renforcer ses capacités de transformation intérieures et accroître considérablement son recyclage et sa réutilisation des matières premières critiques; que les matières premières critiques chinoises représentent 98 % de l’ensemble des terres rares importées par l’Union; que la Chine détient un quasi-monopole sur la production de terres rares, avec environ 60 % de l’extraction mondiale et 90 % du raffinage, ainsi que sur la production d’aimants permanents, avec 94 % de la capacité mondiale, et qu’elle bénéficie d’une chaîne d’approvisionnement entièrement intégrée verticalement dans ces secteurs; que les mesures restrictives telles que le contrôle des exportations de matières premières critiques constituent une menace directe pour l’économie européenne, en particulier pour les secteurs de l’automobile, des machines et de la défense; que la Chine possède la plus grande flotte de pêche industrielle au monde et que ce pays est l’État côtier enregistrant le pire score global en matière de pratiques de pêche illicite, non déclarée et non réglementée (INN) parmi les 152 pays examinés en 2023 par l’indice de risque de pêche INN;</w:t>
      </w:r>
    </w:p>
    <w:p w:rsidR="007205D8" w:rsidRPr="00050D7A" w:rsidP="0033193F" w14:paraId="695E2BC1" w14:textId="1EA3978F">
      <w:pPr>
        <w:spacing w:after="240"/>
        <w:ind w:left="567" w:hanging="567"/>
      </w:pPr>
      <w:r w:rsidRPr="00050D7A">
        <w:t>P.</w:t>
      </w:r>
      <w:r w:rsidRPr="00050D7A">
        <w:tab/>
        <w:t>considérant que l’Union devrait suivre une approche autonome, fondée sur ses intérêts, qui préserve la sécurité économique et la souveraineté stratégique européennes; que l’Union dispose d’une boîte à outils commerciale considérable qu’elle pourrait utiliser pour remédier au déséquilibre de ses relations commerciales avec la Chine; que cette situation exige de l’Union qu’elle collabore plus étroitement avec des partenaires partageant les mêmes valeurs, y compris les États-Unis;</w:t>
      </w:r>
    </w:p>
    <w:p w:rsidR="001752E9" w:rsidRPr="00050D7A" w:rsidP="001752E9" w14:paraId="2FE66483" w14:textId="5800E1DB">
      <w:pPr>
        <w:pStyle w:val="NormalHanging"/>
      </w:pPr>
      <w:r w:rsidRPr="00050D7A">
        <w:t>Q.</w:t>
      </w:r>
      <w:r w:rsidRPr="00050D7A">
        <w:tab/>
        <w:t>considérant que les politiques volontaristes de la Chine dans le domaine géopolitique, technologique et économique, y compris son initiative «Une ceinture, une route», peuvent parfois être en contradiction avec l’ordre international fondé sur des règles et les modèles de gouvernance internationale, ainsi qu’avec les valeurs fondamentales, les partenariats mondiaux et les intérêts géopolitiques de l’Union;</w:t>
      </w:r>
    </w:p>
    <w:p w:rsidR="002367DF" w:rsidRPr="00050D7A" w:rsidP="00596989" w14:paraId="46DB1F85" w14:textId="6BC75F55">
      <w:pPr>
        <w:spacing w:after="240"/>
        <w:ind w:left="567" w:hanging="567"/>
      </w:pPr>
      <w:r w:rsidRPr="00050D7A">
        <w:t>R.</w:t>
      </w:r>
      <w:r w:rsidRPr="00050D7A">
        <w:tab/>
        <w:t>considérant que l’Union européenne est le premier donateur d’aide au monde et que la Chine est le premier bailleur de fonds au monde pour le développement international; que les prêts chinois à l’étranger ont financé de grands projets d’infrastructure dans les pays en développement sans toutefois réduire leur charge de la dette, voire, dans certains cas, en l’aggravant;</w:t>
      </w:r>
    </w:p>
    <w:p w:rsidR="002367DF" w:rsidRPr="00050D7A" w:rsidP="00596989" w14:paraId="5DC4C1C0" w14:textId="08776D1B">
      <w:pPr>
        <w:spacing w:after="240"/>
        <w:ind w:left="567" w:hanging="567"/>
      </w:pPr>
      <w:r w:rsidRPr="00050D7A">
        <w:t>S.</w:t>
      </w:r>
      <w:r w:rsidRPr="00050D7A">
        <w:tab/>
        <w:t>considérant, en particulier, qu’à travers une combinaison d’investissements étatiques, d’acquisitions d’infrastructures stratégiques, de transferts de technologies, d’opérations d’influence et d’expositions à des créances à long terme, la Chine cherche à étendre son empreinte au sein de l’Union et de son voisinage et à exploiter les vulnérabilités en matière de gouvernance, les pressions économiques et les faiblesses institutionnelles; que cela nuit à la transparence, aux normes démocratiques et à la capacité de l’Union à promouvoir la stabilité, la convergence et les réformes de l’état de droit dans son voisinage;</w:t>
      </w:r>
    </w:p>
    <w:p w:rsidR="002367DF" w:rsidRPr="00050D7A" w:rsidP="00596989" w14:paraId="0C864879" w14:textId="111C90F4">
      <w:pPr>
        <w:spacing w:after="240"/>
        <w:ind w:left="567" w:hanging="567"/>
      </w:pPr>
      <w:r w:rsidRPr="00050D7A">
        <w:t>T.</w:t>
      </w:r>
      <w:r w:rsidRPr="00050D7A">
        <w:tab/>
        <w:t xml:space="preserve">considérant, en particulier, que la Chine voit dans les Balkans occidentaux une zone </w:t>
      </w:r>
      <w:r w:rsidRPr="00050D7A">
        <w:t>stratégique pour son initiative «Une ceinture, une route», et investit dans leurs secteurs de l’extraction et des matières premières; que les investissements de la Chine en Asie centrale et dans le Caucase du Sud établissent un continuum physique entre l’Asie et l’Europe et présentent à la fois des risques et des possibilités pour la coopération de l’Union avec ses partenaires régionaux;</w:t>
      </w:r>
    </w:p>
    <w:p w:rsidR="002367DF" w:rsidRPr="00050D7A" w:rsidP="00596989" w14:paraId="3A03D74E" w14:textId="5BFF518F">
      <w:pPr>
        <w:spacing w:after="240"/>
        <w:ind w:left="567" w:hanging="567"/>
      </w:pPr>
      <w:r w:rsidRPr="00050D7A">
        <w:t>U.</w:t>
      </w:r>
      <w:r w:rsidRPr="00050D7A">
        <w:tab/>
        <w:t xml:space="preserve">considérant que la présence de la Chine en Amérique latine, en Afrique et sur d’autres continents, dès lors qu’elle est le principal partenaire commercial de la plupart des pays de ces régions, crée des dépendances économiques qui influencent les décisions de politique étrangère, en particulier en ce qui concerne la politique d’une Chine unique, et ont des incidences négatives sur la bonne gouvernance, les droits de l’homme et l’environnement; </w:t>
      </w:r>
    </w:p>
    <w:p w:rsidR="002367DF" w:rsidRPr="00050D7A" w:rsidP="0033193F" w14:paraId="5C270F3A" w14:textId="7ECDB724">
      <w:pPr>
        <w:spacing w:after="240"/>
        <w:ind w:left="567" w:hanging="567"/>
      </w:pPr>
      <w:r w:rsidRPr="00050D7A">
        <w:t>V.</w:t>
      </w:r>
      <w:r w:rsidRPr="00050D7A">
        <w:tab/>
        <w:t xml:space="preserve">considérant que la Chine se décrit de plus en plus comme un «État quasi-arctique» et cherche à exercer une influence dans l’Arctique; que le Grand Nord et l’Arctique sont essentiels pour la sécurité européenne et transatlantique; que la Chine a mis en place une route polaire de la soie dans le prolongement de son initiative «Une ceinture, une route» et qu’elle renforce sa présence dans l’Arctique; que la Chine approfondit sa coopération avec la Russie dans la région arctique; </w:t>
      </w:r>
    </w:p>
    <w:p w:rsidR="001752E9" w:rsidRPr="00050D7A" w:rsidP="001752E9" w14:paraId="34AAC517" w14:textId="1F27F16D">
      <w:pPr>
        <w:pStyle w:val="NormalHanging"/>
      </w:pPr>
      <w:r w:rsidRPr="00050D7A">
        <w:t>W.</w:t>
      </w:r>
      <w:r w:rsidRPr="00050D7A">
        <w:tab/>
        <w:t>considérant que la situation complexe dans la région indo-pacifique nécessite des efforts diplomatiques accrus de la part de tous les acteurs concernés, y compris la Chine; que la paix et la stabilité dans la région indo-pacifique, en particulier dans le détroit de Taïwan et en mer de Chine méridionale et orientale, revêtent une importance stratégique pour la sécurité et la prospérité régionales et mondiales, étant donné qu’il s’agit des voies maritimes les plus vitales sur le plan économique et les plus sensibles sur le plan stratégique; que les actions déstabilisatrices croissantes de la Chine dans la région compromettent la stabilité régionale et menacent la liberté de navigation; que certains États membres de l’Union ont des territoires d’outre-mer dans la région indo-pacifique, ce qui renforce leur intérêt pour la sécurité de celle-ci;</w:t>
      </w:r>
    </w:p>
    <w:p w:rsidR="002367DF" w:rsidRPr="00050D7A" w:rsidP="00596989" w14:paraId="7E1FCE15" w14:textId="50DC1467">
      <w:pPr>
        <w:spacing w:after="240"/>
        <w:ind w:left="567" w:hanging="567"/>
      </w:pPr>
      <w:r w:rsidRPr="00050D7A">
        <w:t>X.</w:t>
      </w:r>
      <w:r w:rsidRPr="00050D7A">
        <w:tab/>
      </w:r>
      <w:bookmarkStart w:id="4" w:name="_Hlk215063442"/>
      <w:r w:rsidRPr="00050D7A">
        <w:t>considérant que l’Union poursuit sa politique de la Chine unique, qu’elle reconnaît le gouvernement de la République populaire de Chine comme le seul gouvernement légal de la Chine et s’oppose à toute action unilatérale visant à modifier le statu quo par la force, par la coercition ou contre la volonté du peuple taïwanais; que l’Union et Taïwan partagent des valeurs communes, telles que la démocratie, l’état de droit et les droits de l’homme, et qu’elles ont développé des relations économiques solides et une coopération étroite dans un large éventail de domaines; que la coopération de l’Union avec Taïwan est cruciale pour la prospérité mondiale en raison du rôle vital de Taïwan dans l’industrie des semi-conducteurs et les chaînes d’approvisionnement mondiales, de sa position en tant que partenaire commercial important</w:t>
      </w:r>
      <w:bookmarkEnd w:id="4"/>
      <w:r w:rsidRPr="00050D7A">
        <w:t xml:space="preserve"> </w:t>
      </w:r>
      <w:bookmarkStart w:id="5" w:name="_Hlk215063452"/>
      <w:r w:rsidRPr="00050D7A">
        <w:t>de l’Union et de son statut de centre de l’innovation dans les secteurs de la haute technologie;</w:t>
      </w:r>
      <w:bookmarkEnd w:id="5"/>
    </w:p>
    <w:p w:rsidR="002367DF" w:rsidRPr="00050D7A" w:rsidP="00596989" w14:paraId="65BC7B0A" w14:textId="34766197">
      <w:pPr>
        <w:spacing w:after="240"/>
        <w:ind w:left="567" w:hanging="567"/>
      </w:pPr>
      <w:bookmarkStart w:id="6" w:name="_Hlk227669316"/>
      <w:r w:rsidRPr="00050D7A">
        <w:t>Y.</w:t>
      </w:r>
      <w:r w:rsidRPr="00050D7A">
        <w:tab/>
        <w:t xml:space="preserve">considérant qu’un porte-parole du gouvernement chinois a déclaré en octobre 2025 que la Chine n’excluait «absolument pas» le recours à la force contre Taïwan; que la Chine a intensifié sa campagne contre Taïwan dans les domaines juridique, militaire, informationnel et politique; que les activités de zone grise de la Chine et sa guerre hybride, y compris les intimidations militaires, le sabotage des câbles sous-marins, les exercices militaires, la coercition économique, les cyberattaques, les manipulations de </w:t>
      </w:r>
      <w:r w:rsidRPr="00050D7A">
        <w:t xml:space="preserve">l’information et ingérences étrangères, visent à saper la démocratie taïwanaise; que l’Union doit œuvrer avec ses partenaires au renforcement des capacités de dissuasion contre toute tentative de ce genre de la part de la Chine; </w:t>
      </w:r>
      <w:bookmarkEnd w:id="6"/>
    </w:p>
    <w:p w:rsidR="002367DF" w:rsidRPr="00050D7A" w:rsidP="00596989" w14:paraId="60A9B559" w14:textId="283480D1">
      <w:pPr>
        <w:spacing w:after="240"/>
        <w:ind w:left="567" w:hanging="567"/>
      </w:pPr>
      <w:r w:rsidRPr="00050D7A">
        <w:t>Z.</w:t>
      </w:r>
      <w:r w:rsidRPr="00050D7A">
        <w:tab/>
        <w:t>considérant que Pékin a porté atteinte à la paix et à la sécurité dans son voisinage élargi, notamment par des actions maritimes agressives contre les Philippines en mer de Chine méridionale, par le soutien à la junte brutale du Myanmar au moyen d’argent et d’armes, et par des activités hostiles ou provocatrices à l’égard du Japon;</w:t>
      </w:r>
    </w:p>
    <w:p w:rsidR="002367DF" w:rsidRPr="00050D7A" w:rsidP="0033193F" w14:paraId="0B08BD4E" w14:textId="59EEA4D4">
      <w:pPr>
        <w:spacing w:after="240"/>
        <w:ind w:left="567" w:hanging="567"/>
      </w:pPr>
      <w:r w:rsidRPr="00050D7A">
        <w:t>A</w:t>
      </w:r>
      <w:r w:rsidR="005B494A">
        <w:t>A</w:t>
      </w:r>
      <w:r w:rsidRPr="00050D7A">
        <w:t>.</w:t>
      </w:r>
      <w:r w:rsidRPr="00050D7A">
        <w:tab/>
        <w:t>considérant que la modernisation militaire de la Chine comprend le développement de missiles balistiques, d’armes hypersoniques, de drones armés et de technologies à double usage, dont beaucoup sont soumises aux contrôles des exportations de l’Union; que le budget officiel de défense de la Chine au cours des 15 dernières années a considérablement augmenté en termes absolus;</w:t>
      </w:r>
    </w:p>
    <w:p w:rsidR="001752E9" w:rsidRPr="00050D7A" w:rsidP="00B61C0E" w14:paraId="1657D27C" w14:textId="40A314BB">
      <w:pPr>
        <w:tabs>
          <w:tab w:val="left" w:pos="709"/>
        </w:tabs>
        <w:spacing w:after="240"/>
        <w:ind w:left="567" w:hanging="567"/>
      </w:pPr>
      <w:r w:rsidRPr="00050D7A">
        <w:t>A</w:t>
      </w:r>
      <w:r w:rsidR="005B494A">
        <w:t>B</w:t>
      </w:r>
      <w:r w:rsidRPr="00050D7A">
        <w:t>.</w:t>
      </w:r>
      <w:r w:rsidRPr="00050D7A">
        <w:tab/>
        <w:t>considérant que les menaces en matière de cybersécurité, l’espionnage, les opérations d’ingérence étrangère et de désinformation, l’exploitation abusive de la recherche universitaire et des brevets, l’infiltration politique et les tactiques de guerre hybride attribuées à des acteurs affiliés à l’État chinois compromettent de plus en plus la sécurité européenne, la résilience démocratique, la cohésion sociale et les infrastructures critiques;</w:t>
      </w:r>
      <w:r w:rsidRPr="00050D7A">
        <w:rPr>
          <w:color w:val="0070C0"/>
        </w:rPr>
        <w:t xml:space="preserve"> </w:t>
      </w:r>
      <w:r w:rsidRPr="00050D7A">
        <w:t>considérant que Jian Guo, assistant parlementaire de Maximilian Krah, député de l’AfD (Alternative für Deutschland) au Parlement européen de 2019 à 2024, a été condamné en septembre 2025 pour avoir agi en tant qu’agent d’un service de renseignement chinois;</w:t>
      </w:r>
    </w:p>
    <w:p w:rsidR="002367DF" w:rsidRPr="00050D7A" w:rsidP="00B61C0E" w14:paraId="6846F807" w14:textId="1D2E261F">
      <w:pPr>
        <w:tabs>
          <w:tab w:val="left" w:pos="993"/>
        </w:tabs>
        <w:spacing w:after="240"/>
        <w:ind w:left="567" w:hanging="567"/>
      </w:pPr>
      <w:r w:rsidRPr="00050D7A">
        <w:t>A</w:t>
      </w:r>
      <w:r w:rsidR="005B494A">
        <w:t>C</w:t>
      </w:r>
      <w:r w:rsidRPr="00050D7A">
        <w:t>.</w:t>
      </w:r>
      <w:r w:rsidRPr="00050D7A">
        <w:tab/>
        <w:t>considérant que, selon Freedom House, la Chine est l’auteur le plus fréquent de répression transnationale; que les réseaux diplomatiques et consulaires chinois au sein de l’Union ont également été impliqués dans des actes de répression transnationale, y compris la surveillance et l’intimidation de la diaspora chinoise, comme l’a révélé la découverte de «postes de police» chinois à l’étranger, menaçant ainsi les droits fondamentaux dans l’Union;</w:t>
      </w:r>
    </w:p>
    <w:p w:rsidR="002367DF" w:rsidRPr="00050D7A" w:rsidP="00B61C0E" w14:paraId="51D9A530" w14:textId="5890B52D">
      <w:pPr>
        <w:tabs>
          <w:tab w:val="left" w:pos="1276"/>
        </w:tabs>
        <w:spacing w:after="240"/>
        <w:ind w:left="567" w:hanging="567"/>
      </w:pPr>
      <w:r w:rsidRPr="00050D7A">
        <w:t>A</w:t>
      </w:r>
      <w:r w:rsidR="005B494A">
        <w:t>D</w:t>
      </w:r>
      <w:r w:rsidRPr="00050D7A">
        <w:t>.</w:t>
      </w:r>
      <w:r w:rsidRPr="00050D7A" w:rsidR="00B61C0E">
        <w:tab/>
      </w:r>
      <w:r w:rsidRPr="00050D7A">
        <w:t>considérant que, malgré ses affirmations de non-ingérence dans les affaires intérieures d’autres États, la Chine a violé à plusieurs reprises la souveraineté d’autres États; que, ces dernières années, de nombreux instituts Confucius en Europe, en Amérique et en Australie ont été fermés par crainte que Pékin ne les utilise pour diffuser de la propagande, se livrer à de l’espionnage et détourner des technologies clés;</w:t>
      </w:r>
    </w:p>
    <w:p w:rsidR="00663C78" w:rsidRPr="00050D7A" w:rsidP="0033193F" w14:paraId="78FF1F9C" w14:textId="4606C0D5">
      <w:pPr>
        <w:spacing w:after="240"/>
        <w:ind w:left="567" w:hanging="567"/>
      </w:pPr>
      <w:r w:rsidRPr="00050D7A">
        <w:t>A</w:t>
      </w:r>
      <w:r w:rsidR="005B494A">
        <w:t>E</w:t>
      </w:r>
      <w:r w:rsidRPr="00050D7A">
        <w:t>.</w:t>
      </w:r>
      <w:r w:rsidRPr="00050D7A" w:rsidR="001A13BB">
        <w:t xml:space="preserve"> </w:t>
      </w:r>
      <w:r w:rsidRPr="00050D7A" w:rsidR="00372363">
        <w:tab/>
      </w:r>
      <w:r w:rsidRPr="00050D7A">
        <w:t>considérant que la capacité d’innovation de la Chine augmente, et qu’elle comprend aujourd’hui 24 pôles d’innovation officiellement désignés, dont trois se classent parmi les 10 premiers au niveau mondial; que, par la fusion militaro-civile, le Parti communiste chinois (PCC) cherche à éliminer les obstacles entre les secteurs civils de la recherche et du commerce de la Chine et son industrie militaire et de la défense; que son objectif est de permettre à la Chine de développer l’armée la plus avancée au monde sur le plan technologique; que le PCC tente également d’attirer des technologies de pointe dans le monde, y compris au moyen de pratiques opaques, afin d’atteindre ses objectifs militaires; que l’augmentation rapide des investissements de la Chine dans la recherche pose des difficultés croissantes à la compétitivité technologique de l’Union et à ses intérêts en matière de sécurité;</w:t>
      </w:r>
    </w:p>
    <w:p w:rsidR="00824345" w:rsidRPr="00050D7A" w:rsidP="00B61C0E" w14:paraId="6F6CEF44" w14:textId="54A3DE09">
      <w:pPr>
        <w:tabs>
          <w:tab w:val="left" w:pos="709"/>
          <w:tab w:val="left" w:pos="851"/>
        </w:tabs>
        <w:spacing w:after="240"/>
        <w:ind w:left="567" w:hanging="567"/>
      </w:pPr>
      <w:r w:rsidRPr="00050D7A">
        <w:t>A</w:t>
      </w:r>
      <w:r w:rsidR="005B494A">
        <w:t>F</w:t>
      </w:r>
      <w:r w:rsidRPr="00050D7A">
        <w:t>.</w:t>
      </w:r>
      <w:r w:rsidRPr="00050D7A" w:rsidR="00B61C0E">
        <w:t xml:space="preserve"> </w:t>
      </w:r>
      <w:r w:rsidRPr="00050D7A" w:rsidR="00372363">
        <w:tab/>
      </w:r>
      <w:r w:rsidRPr="00050D7A">
        <w:t xml:space="preserve">considérant que le PCC au pouvoir est un parti totalitaire qui ne partage pas les valeurs démocratiques de l’Union, est autoritaire au niveau national et est allié à plusieurs autocraties à l’étranger qui contredisent et compromettent les droits de l’homme universels et les libertés fondamentales; </w:t>
      </w:r>
    </w:p>
    <w:p w:rsidR="00BA3BA8" w:rsidRPr="00050D7A" w:rsidP="00596989" w14:paraId="0D461F92" w14:textId="1CFBD19B">
      <w:pPr>
        <w:spacing w:after="240"/>
        <w:ind w:left="567" w:hanging="567"/>
      </w:pPr>
      <w:r w:rsidRPr="00050D7A">
        <w:t>A</w:t>
      </w:r>
      <w:r w:rsidR="005B494A">
        <w:t>G</w:t>
      </w:r>
      <w:r w:rsidRPr="00050D7A">
        <w:t>.</w:t>
      </w:r>
      <w:r w:rsidRPr="00050D7A" w:rsidR="00B61C0E">
        <w:t xml:space="preserve"> </w:t>
      </w:r>
      <w:r w:rsidRPr="00050D7A" w:rsidR="00372363">
        <w:tab/>
      </w:r>
      <w:r w:rsidRPr="00050D7A">
        <w:t>considérant que la promotion et la protection des droits de l’homme, de la démocratie et de l’état de droit devraient rester au cœur de la politique étrangère de l’Union; que l’Union européenne et la Chine sont officiellement convenues, depuis 1995, de maintenir un dialogue régulier sur les droits de l’homme; que, malgré le maintien de ce dialogue, les violations systémiques des droits de l’homme se poursuivent sans relâche en Chine, parallèlement à une grave détérioration des libertés fondamentales à Hong Kong et à Macao; que la Chine commet des crimes contre l’humanité, notamment des détentions massives, la suppression de la liberté de religion et la destruction de la culture contre, selon les estimations, trois millions d’Ouïgours et d’autres peuples turcs au Xinjiang, ainsi qu’une répression sévère et une assimilation forcée au Tibet;</w:t>
      </w:r>
    </w:p>
    <w:p w:rsidR="00BA3BA8" w:rsidRPr="00050D7A" w:rsidP="00596989" w14:paraId="6BAAC856" w14:textId="6641E480">
      <w:pPr>
        <w:spacing w:after="240"/>
        <w:ind w:left="567" w:hanging="567"/>
      </w:pPr>
      <w:r w:rsidRPr="00050D7A">
        <w:t>A</w:t>
      </w:r>
      <w:r w:rsidR="005B494A">
        <w:t>H</w:t>
      </w:r>
      <w:r w:rsidRPr="00050D7A">
        <w:t>.</w:t>
      </w:r>
      <w:r w:rsidRPr="00050D7A" w:rsidR="00B61C0E">
        <w:t xml:space="preserve"> </w:t>
      </w:r>
      <w:r w:rsidRPr="00050D7A" w:rsidR="00372363">
        <w:tab/>
      </w:r>
      <w:r w:rsidRPr="00050D7A">
        <w:t>considérant que la Chine a signé le Pacte international relatif aux droits civils et politiques en 1998, mais qu’elle ne l’a pas encore ratifié; que la Chine est néanmoins tenue de s’abstenir d’actes qui priveraient ce traité de son objet et de son but, dans l’attente de son entrée en vigueur par voie de ratification, conformément à l’article 18 de la convention de Vienne sur le droit des traités;</w:t>
      </w:r>
    </w:p>
    <w:p w:rsidR="00BA3BA8" w:rsidRPr="00050D7A" w:rsidP="00596989" w14:paraId="20B75471" w14:textId="44D126B0">
      <w:pPr>
        <w:spacing w:after="240"/>
        <w:ind w:left="567" w:hanging="567"/>
      </w:pPr>
      <w:r w:rsidRPr="00050D7A">
        <w:t>A</w:t>
      </w:r>
      <w:r w:rsidR="005B494A">
        <w:t>I</w:t>
      </w:r>
      <w:r w:rsidRPr="00050D7A">
        <w:t>.</w:t>
      </w:r>
      <w:r w:rsidRPr="00050D7A" w:rsidR="00B61C0E">
        <w:t xml:space="preserve"> </w:t>
      </w:r>
      <w:r w:rsidRPr="00050D7A" w:rsidR="00372363">
        <w:tab/>
      </w:r>
      <w:r w:rsidRPr="00050D7A">
        <w:t>considérant que la liberté de religion et de conviction continue de se détériorer en Chine continentale, car le PCC mène une intense campagne de «sinisation» de la religion, en imposant l’adhésion de toutes les religions à l’idéologie, à la doctrine et aux enseignements du parti; que l’ingérence des autorités chinoises dans la sélection du prochain Dalaï-Lama est une manœuvre politiquement calculée pour saper la légitimité de l’autorité spirituelle tibétaine et, partant, discréditer la culture et l’identité tibétaines;</w:t>
      </w:r>
    </w:p>
    <w:p w:rsidR="00BA3BA8" w:rsidRPr="00050D7A" w:rsidP="00596989" w14:paraId="15243E53" w14:textId="15AC7466">
      <w:pPr>
        <w:spacing w:after="240"/>
        <w:ind w:left="567" w:hanging="567"/>
      </w:pPr>
      <w:r w:rsidRPr="00050D7A">
        <w:t>A</w:t>
      </w:r>
      <w:r w:rsidR="005B494A">
        <w:t>J</w:t>
      </w:r>
      <w:r w:rsidRPr="00050D7A">
        <w:t>.</w:t>
      </w:r>
      <w:r w:rsidRPr="00050D7A" w:rsidR="00B61C0E">
        <w:t xml:space="preserve"> </w:t>
      </w:r>
      <w:r w:rsidRPr="00050D7A" w:rsidR="00372363">
        <w:tab/>
      </w:r>
      <w:r w:rsidRPr="00050D7A">
        <w:t>considérant que, depuis que la Chine a imposé la loi sur la sécurité nationale le 30 juin 2020, les libertés fondamentales, l’état de droit et l’indépendance du pouvoir judiciaire se sont effondrés à Hong Kong; que la Chine a totalement enfreint le principe «un pays, deux systèmes», la déclaration commune sino-britannique et le Pacte international relatif aux droits civils et politiques; que la police de sécurité nationale de Hong Kong a annoncé qu’elle avait émis en juillet 2025 des mandats d’arrêt à l’encontre de 19 militants établis à l’étranger, les accusant d’être les fondateurs ou les membres d’une organisation qui, selon les autorités, cherche à saper le pouvoir de l’État en vertu de la loi sur la sécurité nationale imposée par Pékin en 2020 après les manifestations pro-démocratiques de 2019; que les autorités détiennent, poursuivent et emprisonnent régulièrement des personnes pour des motifs politiques, notamment des défenseurs des droits de l’homme, des journalistes, des avocats et des militants pro-démocratie; que le cas du citoyen suédois Gui Minhai, détenu arbitrairement depuis 2015 et condamné dans le cadre d’un procès à huis clos, illustre le mépris persistant du respect de la légalité et de l’accès aux services consulaires;</w:t>
      </w:r>
    </w:p>
    <w:p w:rsidR="00BA3BA8" w:rsidRPr="00050D7A" w:rsidP="00596989" w14:paraId="4AADC2EE" w14:textId="009EB1FA">
      <w:pPr>
        <w:spacing w:after="240"/>
        <w:ind w:left="567" w:hanging="567"/>
      </w:pPr>
      <w:r w:rsidRPr="00050D7A">
        <w:t>A</w:t>
      </w:r>
      <w:r w:rsidR="005B494A">
        <w:t>K</w:t>
      </w:r>
      <w:r w:rsidRPr="00050D7A">
        <w:t>.</w:t>
      </w:r>
      <w:r w:rsidRPr="00050D7A" w:rsidR="00B61C0E">
        <w:t xml:space="preserve"> </w:t>
      </w:r>
      <w:r w:rsidRPr="00050D7A" w:rsidR="00372363">
        <w:tab/>
      </w:r>
      <w:r w:rsidRPr="00050D7A">
        <w:t>considérant que la Chine est tombée à l’antépénultième place (178ème) du classement mondial 2025 de la liberté de la presse publié par Reporters sans frontières;</w:t>
      </w:r>
    </w:p>
    <w:p w:rsidR="00544863" w:rsidRPr="00050D7A" w:rsidP="0033193F" w14:paraId="4DAAD949" w14:textId="1FE2522B">
      <w:pPr>
        <w:spacing w:after="240"/>
        <w:ind w:left="567" w:hanging="567"/>
      </w:pPr>
      <w:r w:rsidRPr="00050D7A">
        <w:t>A</w:t>
      </w:r>
      <w:r w:rsidR="005B494A">
        <w:t>L</w:t>
      </w:r>
      <w:r w:rsidRPr="00050D7A">
        <w:t>.</w:t>
      </w:r>
      <w:r w:rsidRPr="00050D7A" w:rsidR="00B61C0E">
        <w:t xml:space="preserve"> </w:t>
      </w:r>
      <w:r w:rsidRPr="00050D7A" w:rsidR="00372363">
        <w:tab/>
      </w:r>
      <w:r w:rsidRPr="00050D7A">
        <w:t xml:space="preserve">considérant qu’alors que le nombre de grèves de travailleurs y a considérablement </w:t>
      </w:r>
      <w:r w:rsidRPr="00050D7A">
        <w:t>augmenté depuis 2020, la Chine n’autorise pas la formation de syndicats indépendants en dehors de la Fédération chinoise des syndicats et que les défenseurs des droits des travailleurs font l’objet de harcèlement, de surveillance et de poursuites pénales; qu’une interdiction des syndicats indépendants est susceptible de constituer une violation des conventions fondamentales nº 87 et nº 98 de l’OIT sur la liberté d’association et le droit de négociation collective;</w:t>
      </w:r>
    </w:p>
    <w:p w:rsidR="00D67A39" w:rsidRPr="00050D7A" w:rsidP="00D67A39" w14:paraId="34A1F2DC" w14:textId="183AA72D">
      <w:pPr>
        <w:pStyle w:val="NormalHanging12a"/>
      </w:pPr>
      <w:r w:rsidRPr="00050D7A">
        <w:t>A</w:t>
      </w:r>
      <w:r w:rsidR="005B494A">
        <w:t>M</w:t>
      </w:r>
      <w:r w:rsidRPr="00050D7A">
        <w:t>.</w:t>
      </w:r>
      <w:r w:rsidRPr="00050D7A" w:rsidR="00B61C0E">
        <w:t xml:space="preserve"> </w:t>
      </w:r>
      <w:r w:rsidRPr="00050D7A" w:rsidR="00372363">
        <w:tab/>
      </w:r>
      <w:r w:rsidRPr="00050D7A">
        <w:t>considérant que la Chine s’affirme et fait de plus en plus entendre sa voix, se transforme en puissance hégémonique régionale et devient rapidement une superpuissance mondiale; que l’intensification de la concurrence stratégique entre les États-Unis et la Chine a une incidence significative sur la stabilité économique et la sécurité mondiales, avec des retombées négatives considérables pour l’Union;</w:t>
      </w:r>
    </w:p>
    <w:p w:rsidR="00BA3BA8" w:rsidRPr="00050D7A" w:rsidP="00E35057" w14:paraId="5FF2B30D" w14:textId="41C7ABE6">
      <w:pPr>
        <w:spacing w:after="240"/>
        <w:ind w:left="567" w:hanging="567"/>
      </w:pPr>
      <w:bookmarkStart w:id="7" w:name="_Hlk227670110"/>
      <w:r w:rsidRPr="00050D7A">
        <w:t>A</w:t>
      </w:r>
      <w:r w:rsidR="005B494A">
        <w:t>N</w:t>
      </w:r>
      <w:r w:rsidRPr="00050D7A">
        <w:t>.</w:t>
      </w:r>
      <w:r w:rsidRPr="00050D7A" w:rsidR="00B61C0E">
        <w:t xml:space="preserve"> </w:t>
      </w:r>
      <w:r w:rsidRPr="00050D7A" w:rsidR="00372363">
        <w:tab/>
      </w:r>
      <w:r w:rsidRPr="00050D7A">
        <w:t>considérant que l’attitude de la Chine à l’égard de l’ordre multilatéral fondé sur des règles est de plus en plus préjudiciable, avec la mise en place et l’utilisation d’autres formes de coopération telles que l’Organisation de coopération de Shanghai et BRICS Plus, ainsi que la mise en place d’un ordre international parallèle par l’intermédiaire de ses quatre initiatives mondiales, à savoir l’initiative de développement mondial, l’initiative de sécurité mondiale, l’initiative de civilisation mondiale et l’initiative de gouvernance mondiale;</w:t>
      </w:r>
      <w:bookmarkEnd w:id="7"/>
    </w:p>
    <w:p w:rsidR="00663C78" w:rsidRPr="00050D7A" w:rsidP="0033193F" w14:paraId="7EC9D9F6" w14:textId="27536D79">
      <w:pPr>
        <w:spacing w:after="240"/>
        <w:ind w:left="567" w:hanging="567"/>
      </w:pPr>
      <w:r w:rsidRPr="00050D7A">
        <w:t>A</w:t>
      </w:r>
      <w:r w:rsidR="005B494A">
        <w:t>O</w:t>
      </w:r>
      <w:r w:rsidRPr="00050D7A">
        <w:t>.</w:t>
      </w:r>
      <w:r w:rsidRPr="00050D7A" w:rsidR="00B61C0E">
        <w:t xml:space="preserve"> </w:t>
      </w:r>
      <w:r w:rsidRPr="00050D7A" w:rsidR="00372363">
        <w:tab/>
      </w:r>
      <w:r w:rsidRPr="00050D7A">
        <w:t>considérant que la dernière stratégie de l’Union à l’égard de la Chine date de 2019; qu’une politique de l’Union à la fois unifiée, pragmatique, cohérente, globale et fondée sur des principes à l’égard de la Chine est donc nécessaire pour déterminer l’avenir de l’Union sur la scène mondiale; qu’une telle politique devrait être fondée sur la situation géopolitique actuelle et donc mettre clairement l’accent sur la sécurité ainsi que sur l’autonomie stratégique de l’Union et la réciprocité;</w:t>
      </w:r>
    </w:p>
    <w:p w:rsidR="00D67A39" w:rsidRPr="00050D7A" w:rsidP="00D67A39" w14:paraId="6856D501" w14:textId="689A53A6">
      <w:pPr>
        <w:pStyle w:val="NormalHanging12a"/>
      </w:pPr>
      <w:r w:rsidRPr="00050D7A">
        <w:t>1.</w:t>
      </w:r>
      <w:r w:rsidRPr="00050D7A">
        <w:tab/>
        <w:t>adresse au Conseil, à la Commission et à la vice-présidente de la Commission/haute représentante de l’Union pour les affaires étrangères et la politique de sécurité les recommandations suivantes:</w:t>
      </w:r>
    </w:p>
    <w:p w:rsidR="00F76F69" w:rsidRPr="00050D7A" w14:paraId="4F32E0DF" w14:textId="64F860ED">
      <w:pPr>
        <w:pStyle w:val="NormalHanging12a"/>
        <w:ind w:firstLine="0"/>
      </w:pPr>
      <w:r w:rsidRPr="00050D7A">
        <w:t>a)</w:t>
      </w:r>
      <w:r w:rsidRPr="00050D7A">
        <w:tab/>
        <w:t>souligner que l’Union a un intérêt direct à renforcer un monde multilatéral et à éviter la bipolarisation, ainsi que la confrontation militaire et les conflits; affirmer que le dialogue entre l’Union et la Chine est essentiel pour relever un large éventail de défis bilatéraux et mondiaux, y compris le changement climatique, le renforcement du multilatéralisme, de la paix et de la sécurité, et la promotion des droits de l’homme, du développement international, de la numérisation et de la santé publique mondiale;</w:t>
      </w:r>
    </w:p>
    <w:p w:rsidR="00C5771A" w:rsidRPr="00050D7A" w:rsidP="0033193F" w14:paraId="0BF1473F" w14:textId="5EF74585">
      <w:pPr>
        <w:pStyle w:val="NormalHanging12a"/>
        <w:ind w:firstLine="0"/>
      </w:pPr>
      <w:r w:rsidRPr="00050D7A">
        <w:t>b)</w:t>
      </w:r>
      <w:r w:rsidRPr="00050D7A">
        <w:tab/>
        <w:t xml:space="preserve">exhorter la Chine, en tant que membre permanent du Conseil de sécurité des Nations unies, à s’acquitter de ses obligations et de ses responsabilités, à défendre un ordre international fondé sur des règles et à respecter le multilatéralisme ainsi que le rôle central des Nations unies dans les affaires mondiales; dialoguer avec la Chine sur une réforme du système multilatéral, conformément aux efforts du secrétaire général des Nations unies, sur la base de l’état de droit et des valeurs universelles internationales; souligner que les contributions volontaires de la Chine au système des Nations unies ne sont pas proportionnées à sa position économique dans le monde; </w:t>
      </w:r>
    </w:p>
    <w:p w:rsidR="00C5771A" w:rsidRPr="00050D7A" w:rsidP="0033193F" w14:paraId="349648C3" w14:textId="4F10E451">
      <w:pPr>
        <w:pStyle w:val="NormalHanging12a"/>
        <w:ind w:firstLine="0"/>
      </w:pPr>
      <w:r w:rsidRPr="00050D7A">
        <w:t>c)</w:t>
      </w:r>
      <w:r w:rsidRPr="00050D7A">
        <w:tab/>
        <w:t xml:space="preserve">souligner les 50 ans de relations diplomatiques entre l’Union et la Chine; noter que les relations ont désormais atteint un point critique, principalement en raison des </w:t>
      </w:r>
      <w:r w:rsidRPr="00050D7A">
        <w:t xml:space="preserve">pratiques économiques déloyales de la Chine, telles que le dumping et l’espionnage, et de sa position sur la guerre d’agression menée par la Russie contre l’Ukraine; encourager un dialogue plus responsable et authentique pour renforcer la compréhension mutuelle et favoriser une coopération véritablement équilibrée et mutuellement bénéfique, dans le plein respect du droit international et des valeurs universelles consacrées par la charte des Nations unies; </w:t>
      </w:r>
    </w:p>
    <w:p w:rsidR="00D67A39" w:rsidRPr="00050D7A" w:rsidP="00C5771A" w14:paraId="56499EA5" w14:textId="700DE94F">
      <w:pPr>
        <w:pStyle w:val="NormalHanging12a"/>
        <w:ind w:firstLine="0"/>
      </w:pPr>
      <w:r w:rsidRPr="00050D7A">
        <w:t>d)</w:t>
      </w:r>
      <w:r w:rsidRPr="00050D7A">
        <w:tab/>
        <w:t>souligner que cette approche doit être suffisamment souple pour s’adapter à la complexité de la relation, en permettant à l’Union de réagir et de réajuster sa position en fonction du comportement répréhensible de la Chine sur le plan intérieur et sur la scène internationale, en particulier en ce qui concerne l’adhésion aux principes fondamentaux de souveraineté, d’intégrité territoriale, d’interdiction du recours à la force et de respect du droit international;</w:t>
      </w:r>
    </w:p>
    <w:p w:rsidR="000657D5" w:rsidRPr="00050D7A" w:rsidP="00D67A39" w14:paraId="34C6908F" w14:textId="60BC7B60">
      <w:pPr>
        <w:pStyle w:val="NormalHanging12a"/>
        <w:ind w:firstLine="0"/>
      </w:pPr>
      <w:r w:rsidRPr="00050D7A">
        <w:t>e)</w:t>
      </w:r>
      <w:r w:rsidRPr="00050D7A">
        <w:tab/>
        <w:t>condamner la Chine et réagir à son rôle en tant que soutien décisif et fournisseur de technologies à double usage dans la guerre d’agression de la Russie contre l’Ukraine, et augmenter le coût de cette attitude; souligner le soutien diplomatique et l’assistance matérielle que la Chine apporte au profit du complexe militaro-industriel russe; en particulier, exprimer une profonde préoccupation face aux preuves crédibles de l’implication croissante de la Chine dans la chaîne d’approvisionnement en armes et drones russes, y compris la fourniture de technologies à double usage, de composants et d’équipements de haute technologie qui renforcent directement la capacité de la Russie à frapper les infrastructures et les civils ukrainiens;</w:t>
      </w:r>
    </w:p>
    <w:p w:rsidR="000657D5" w:rsidRPr="00050D7A" w:rsidP="0033193F" w14:paraId="7C47C7DF" w14:textId="63B8841E">
      <w:pPr>
        <w:pStyle w:val="NormalHanging12a"/>
        <w:ind w:firstLine="0"/>
      </w:pPr>
      <w:r w:rsidRPr="00050D7A">
        <w:t>f)</w:t>
      </w:r>
      <w:r w:rsidRPr="00050D7A">
        <w:tab/>
        <w:t xml:space="preserve">exhorter la Chine à mettre immédiatement un terme à toute forme d’aide à la Russie et à cesser de contribuer à la prolongation de la guerre; coordonner une initiative diplomatique dans le cadre transatlantique et dans celui du G7 afin de présenter à la Chine des exigences claires et assorties d’échéances, sous peine de répercussions significatives, dans le but de l’encourager à user de son influence considérable sur la Russie pour qu’elle mette fin à sa guerre d’agression, retire ses troupes des territoires occupés, verse des réparations, libère sans condition tous les prisonniers de guerre ainsi que les civils et les enfants capturés, et remette les criminels de guerre et les responsables du crime d’agression à un tribunal international en vue de leur procès, et pour empêcher le contournement des sanctions internationales; </w:t>
      </w:r>
    </w:p>
    <w:p w:rsidR="000657D5" w:rsidRPr="00050D7A" w:rsidP="000657D5" w14:paraId="1AAED5A3" w14:textId="03C85DA0">
      <w:pPr>
        <w:pStyle w:val="NormalHanging12a"/>
        <w:ind w:firstLine="0"/>
      </w:pPr>
      <w:r w:rsidRPr="00050D7A">
        <w:t>g)</w:t>
      </w:r>
      <w:r w:rsidRPr="00050D7A">
        <w:tab/>
        <w:t>agir immédiatement avec les partenaires et les alliés pour étendre les mesures restrictives ciblées et l’inventaire des entités et des nœuds de la chaîne d’approvisionnement qui apportent une aide matérielle à la Russie, en les complétant par des mesures d’exécution contre la flotte fantôme et les régimes de réexportation; parallèlement, adopter des mesures contraignantes fondées sur les risques pour empêcher les transferts de technologies sensibles vers la Chine, avec notamment des garanties dans les mécanismes de coopération en matière de recherche pour empêcher leur utilisation à des fins militaires et de surveillance, ou de violations des droits de l’homme, ainsi que pour éviter les transferts de technologies vers des pays sanctionnés par l’Union, tels que la Russie, l’Iran ou la Corée du Nord;</w:t>
      </w:r>
    </w:p>
    <w:p w:rsidR="00D67A39" w:rsidRPr="00050D7A" w:rsidP="00D67A39" w14:paraId="4CC074E0" w14:textId="5CAB157D">
      <w:pPr>
        <w:pStyle w:val="NormalHanging12a"/>
        <w:ind w:firstLine="0"/>
      </w:pPr>
      <w:r w:rsidRPr="00050D7A">
        <w:t>h)</w:t>
      </w:r>
      <w:r w:rsidRPr="00050D7A">
        <w:tab/>
        <w:t xml:space="preserve">prendre d’urgence des mesures pour lutter contre l’instrumentalisation des dépendances critiques par la Chine et poursuivre avec rigueur la stratégie de réduction des risques économiques et de rééquilibrage économique dans les relations UE-Chine; </w:t>
      </w:r>
      <w:r w:rsidRPr="00050D7A">
        <w:t>reconnaître que la réduction des risques devrait se concentrer sur des secteurs stratégiques spécifiques tels que les matières premières critiques, les médicaments critiques, les aimants industriels et la biotechnologie, l’informatique quantique, les batteries et composants de batterie, les véhicules électriques, les TIC et les semi-conducteurs; mettre en place des mécanismes solides pour préserver les technologies, les infrastructures et les chaînes d’approvisionnement critiques, en promouvant l’autonomie stratégique européenne tout en maintenant un dialogue pragmatique avec la Chine qui facilite une coexistence non conflictuelle, protège les valeurs et les intérêts européens, et soutienne et complète une politique cohérente et affirmée à l’égard de la Chine; enquêter sur le comportement coercitif de la Chine dans le domaine des terres rares et envisager l’utilisation de l’instrument anticoercition;</w:t>
      </w:r>
    </w:p>
    <w:p w:rsidR="008622A9" w:rsidRPr="00050D7A" w:rsidP="0033193F" w14:paraId="4B10753B" w14:textId="1ADCEBF3">
      <w:pPr>
        <w:pStyle w:val="NormalHanging12a"/>
        <w:ind w:firstLine="0"/>
      </w:pPr>
      <w:r w:rsidRPr="00050D7A">
        <w:t>i)</w:t>
      </w:r>
      <w:r w:rsidRPr="00050D7A">
        <w:tab/>
      </w:r>
      <w:r w:rsidRPr="00050D7A">
        <w:tab/>
        <w:t xml:space="preserve">veiller à ce que la stratégie de réduction des risques de l’Union s’accompagne de politiques climatiques, énergétiques et industrielles qui évitent des dépendances croissantes à l’égard des technologies et des composants chinois, ainsi que d’investissements ciblés dans la capacité industrielle et l’innovation européennes, en particulier dans les technologies critiques et les matériaux avancés, afin de réduire les dépendances extérieures, de déplacer la production vers l’Union et de favoriser la compétitivité au sein du marché unique; en particulier, la réduction des risques doit donner la priorité aux solutions en matière d’autonomie stratégique, de durabilité et d’économie circulaire qui respectent pleinement les droits de l’homme, les droits des peuples autochtones et les normes environnementales; </w:t>
      </w:r>
    </w:p>
    <w:p w:rsidR="00073986" w:rsidRPr="00050D7A" w:rsidP="0033193F" w14:paraId="15DFD32C" w14:textId="049BE1D6">
      <w:pPr>
        <w:pStyle w:val="NormalHanging12a"/>
        <w:ind w:firstLine="0"/>
      </w:pPr>
      <w:r w:rsidRPr="00050D7A">
        <w:t>j)</w:t>
      </w:r>
      <w:r w:rsidRPr="00050D7A">
        <w:tab/>
      </w:r>
      <w:r w:rsidRPr="00050D7A">
        <w:tab/>
        <w:t>reconnaître que le marché des véhicules électriques de la Chine représente une grave menace pour celui de l’Union en raison du fait que la Chine exporte son excédent de production, ce qui rend le marché des véhicules électriques de l’Union moins compétitif et nuit en particulier aux pays dont le PIB dépend fortement du secteur automobile; reconnaître que les véhicules électriques chinois et la technologie qu’ils utilisent représentent une menace pour la sécurité et que l’Union devrait adopter une législation efficace pour empêcher que ces technologies ne soient utilisées afin de collecter des données sensibles depuis les véhicules électriques;</w:t>
      </w:r>
    </w:p>
    <w:p w:rsidR="008622A9" w:rsidRPr="00050D7A" w:rsidP="0033193F" w14:paraId="55B86743" w14:textId="3FB0FDC8">
      <w:pPr>
        <w:pStyle w:val="NormalHanging12a"/>
        <w:ind w:firstLine="0"/>
      </w:pPr>
      <w:r w:rsidRPr="00050D7A">
        <w:t>k)</w:t>
      </w:r>
      <w:r w:rsidRPr="00050D7A">
        <w:tab/>
        <w:t xml:space="preserve">prendre des mesures afin de prévenir de nouveaux risques pour la sécurité découlant des investissements chinois à l’étranger en renforçant le contrôle des investissements étrangers directs dans les États membres, en particulier dans des secteurs stratégiques tels que les services médiatiques, les matières premières critiques et les infrastructures et technologies critiques; s’attaquer d’urgence aux positions monopolistiques de la Chine dans des goulets d’étranglement critiques et essentiels en renforçant en priorité les chaînes d’approvisionnement résilientes alternatives; </w:t>
      </w:r>
    </w:p>
    <w:p w:rsidR="008622A9" w:rsidRPr="00050D7A" w:rsidP="0033193F" w14:paraId="236F451E" w14:textId="78C28986">
      <w:pPr>
        <w:pStyle w:val="NormalHanging12a"/>
        <w:ind w:firstLine="0"/>
      </w:pPr>
      <w:r w:rsidRPr="00050D7A">
        <w:t>l)</w:t>
      </w:r>
      <w:r w:rsidRPr="00050D7A">
        <w:tab/>
      </w:r>
      <w:r w:rsidRPr="00050D7A">
        <w:tab/>
        <w:t xml:space="preserve">constater que les dépendances excessives à l’égard des technologies et des ressources chinoises dans le domaine de la prévention du changement climatique et de la transition écologique rendent également l’Union vulnérable; dès lors, renforcer les actions liées à la sécurité économique dans le domaine de la transition verte; considérant le fait que les exportations chinoises de technologies propres ou vertes sont largement motivées par des objectifs de politique industrielle et soutenues par des subventions publiques excessives et une surcapacité orientée vers l’exportation, s’attaquer à la question de la concurrence déloyale pour les industries européennes de technologies vertes; </w:t>
      </w:r>
    </w:p>
    <w:p w:rsidR="008622A9" w:rsidRPr="00050D7A" w:rsidP="0033193F" w14:paraId="73A10E30" w14:textId="338B9A86">
      <w:pPr>
        <w:pStyle w:val="NormalHanging12a"/>
        <w:ind w:firstLine="0"/>
      </w:pPr>
      <w:r w:rsidRPr="00050D7A">
        <w:t>m)</w:t>
      </w:r>
      <w:r w:rsidRPr="00050D7A">
        <w:tab/>
        <w:t xml:space="preserve">reconnaître les immenses défis socio-économiques auxquels la Chine est actuellement confrontée, dont beaucoup découlent de ses propres choix politiques et de ses déséquilibres structurels; souligner que l’Union ne peut accepter les distorsions des marchés mondiaux ou les menaces sur ses intérêts stratégiques qui portent atteinte à la concurrence loyale et à la souveraineté économique; répéter que, tout en privilégiant les solutions négociées et les canaux de communication ouverts, l’Union se réserve le droit de prendre des mesures unilatérales au titre de sa stratégie en matière de sécurité économique si le dialogue avec les autorités chinoises s’avère inefficace ou insuffisant; trouver une solution à la surcapacité de la Chine sans imposer de coûts disproportionnés aux industries ou aux contribuables européens; </w:t>
      </w:r>
    </w:p>
    <w:p w:rsidR="008622A9" w:rsidRPr="00050D7A" w:rsidP="008622A9" w14:paraId="7BF9DBB6" w14:textId="7EEBA973">
      <w:pPr>
        <w:pStyle w:val="NormalHanging12a"/>
        <w:ind w:firstLine="0"/>
      </w:pPr>
      <w:r w:rsidRPr="00050D7A">
        <w:t>n)</w:t>
      </w:r>
      <w:r w:rsidRPr="00050D7A">
        <w:tab/>
        <w:t xml:space="preserve">sachant qu’en période de forte pression économique et de diplomatie géostratégique de plus en plus transactionnelle, il convient d’éviter les coûts économiques de la coercition et des représailles économiques, trouver des moyens de contrer les effets négatifs des tensions internationales, étant entendu que la solidarité de l’Union est essentielle pour résister à la pression internationale; compte tenu de ce qui précède, renforcer les mécanismes de l’Union pour surveiller et cibler rapidement la coercition économique de la Chine à l’encontre des États membres, en veillant à ce qu’aucun État membre de l’Union ne soit confronté seul à cette coercition; </w:t>
      </w:r>
    </w:p>
    <w:p w:rsidR="00F12607" w:rsidRPr="00050D7A" w:rsidP="00D67A39" w14:paraId="32F9124B" w14:textId="6B337674">
      <w:pPr>
        <w:pStyle w:val="NormalHanging12a"/>
        <w:ind w:firstLine="0"/>
      </w:pPr>
      <w:r w:rsidRPr="00050D7A">
        <w:t>o)</w:t>
      </w:r>
      <w:r w:rsidRPr="00050D7A">
        <w:tab/>
        <w:t>s’attaquer de manière proactive et conjointe aux implications de la concurrence technologique et économique avec la Chine, en particulier à l’asymétrie dans l’accès aux marchés et au manque de sécurité juridique pour les entreprises européennes en Chine; souligner la nécessité de la réciprocité et de conditions de concurrence équitables dans toutes les relations commerciales et d’investissement avec la Chine; insister pour que Pékin supprime les obstacles et les pratiques déloyales qui violent les engagements pris dans le cadre de l’Organisation mondiale du commerce (OMC); soutenir des actions proportionnées de l’Union pour défendre ses intérêts si la Chine n’assure pas la réciprocité de l'ouverture des marchés;</w:t>
      </w:r>
      <w:r w:rsidRPr="00050D7A">
        <w:rPr>
          <w:b/>
          <w:i/>
        </w:rPr>
        <w:t xml:space="preserve"> </w:t>
      </w:r>
    </w:p>
    <w:p w:rsidR="00F12607" w:rsidRPr="00050D7A" w:rsidP="00F12607" w14:paraId="17EAA62F" w14:textId="411A346B">
      <w:pPr>
        <w:pStyle w:val="NormalHanging12a"/>
        <w:ind w:firstLine="0"/>
      </w:pPr>
      <w:r w:rsidRPr="00050D7A">
        <w:t>p)</w:t>
      </w:r>
      <w:r w:rsidRPr="00050D7A">
        <w:tab/>
        <w:t>souligner les ramifications géopolitiques du conflit commercial entre les États-Unis et la Chine et ses répercussions potentielles sur l’économie de l’Union; façonner activement les partenariats indo-pacifique et asiatique de l’Union en se coordonnant avec des acteurs qui partagent les mêmes valeurs, et rechercher un alignement plus étroit avec eux sur le commerce, les normes technologiques et la résilience de la chaîne d’approvisionnement afin de contourner le monopole de la Chine dans des domaines critiques; saisir l’occasion pour l’Union de se présenter comme un partenaire fiable et souhaitable dans la région indo-pacifique et souligner qu’une coopération accrue avec des partenaires partageant les mêmes valeurs est essentielle compte tenu de l’instrumentalisation par la Chine des minéraux de terres rares et de la nécessité pour l’Union de diversifier ses fournisseurs de matières premières critiques afin de garantir des chaînes d’approvisionnement résilientes; à cet égard, se féliciter de la signature du partenariat stratégique entre l’Union européenne et l’Australie en vue de coopérer sur les minerais critiques et stratégiques durables; souligner la nécessité pour l’Union d’investir dans la recherche et le développement et dans l’écosystème de l’innovation afin d’éviter la dépendance technologique;</w:t>
      </w:r>
    </w:p>
    <w:p w:rsidR="00F12607" w:rsidRPr="00050D7A" w:rsidP="00F12607" w14:paraId="0D5B5BD5" w14:textId="2962AC79">
      <w:pPr>
        <w:pStyle w:val="NormalHanging12a"/>
        <w:ind w:firstLine="0"/>
        <w:rPr>
          <w:bCs/>
          <w:iCs/>
        </w:rPr>
      </w:pPr>
      <w:r w:rsidRPr="00050D7A">
        <w:t>q)</w:t>
      </w:r>
      <w:r w:rsidRPr="00050D7A">
        <w:tab/>
        <w:t xml:space="preserve">reconnaître l’importance stratégique du renforcement des relations entre l’Union et l’Inde pour contrebalancer les ambitions régionales de la Chine; considérer </w:t>
      </w:r>
      <w:r w:rsidRPr="00050D7A">
        <w:t xml:space="preserve">l’Inde comme un partenaire clé et lui demander d’assumer ses responsabilités, également vis-à-vis de la Russie, dans la consolidation de l’architecture de sécurité mondiale, ancrée dans le plein respect des normes et principes internationaux; </w:t>
      </w:r>
    </w:p>
    <w:p w:rsidR="00F12607" w:rsidRPr="00050D7A" w:rsidP="00F12607" w14:paraId="4389BE7A" w14:textId="3557740F">
      <w:pPr>
        <w:pStyle w:val="NormalHanging12a"/>
        <w:ind w:firstLine="0"/>
        <w:rPr>
          <w:bCs/>
          <w:iCs/>
        </w:rPr>
      </w:pPr>
      <w:r w:rsidRPr="00050D7A">
        <w:t>r)</w:t>
      </w:r>
      <w:r w:rsidRPr="00050D7A">
        <w:tab/>
        <w:t xml:space="preserve">souligner davantage l’effet positif et l’importance stratégique d’un approfondissement des liens entre l’Union et Taïwan, qui est un partenaire précieux dans les domaines du commerce et de la technologie; à cet égard, se coordonner avec les partenaires mondiaux de l’Union; </w:t>
      </w:r>
    </w:p>
    <w:p w:rsidR="00F12607" w:rsidRPr="00050D7A" w:rsidP="00F12607" w14:paraId="1E03584D" w14:textId="798F389D">
      <w:pPr>
        <w:pStyle w:val="NormalHanging12a"/>
        <w:ind w:firstLine="0"/>
        <w:rPr>
          <w:bCs/>
          <w:iCs/>
        </w:rPr>
      </w:pPr>
      <w:r w:rsidRPr="00050D7A">
        <w:rPr>
          <w:sz w:val="22"/>
        </w:rPr>
        <w:t>s)</w:t>
      </w:r>
      <w:r w:rsidRPr="00050D7A">
        <w:rPr>
          <w:sz w:val="22"/>
        </w:rPr>
        <w:tab/>
      </w:r>
      <w:r w:rsidRPr="00050D7A">
        <w:t xml:space="preserve">nommer un envoyé spécial de l’Union pour la péninsule coréenne, chargé de suivre de près la situation et de coordonner les mesures nécessaires avec la communauté internationale, y compris en dialoguant avec la Chine afin qu’elle confirme son opposition au programme nucléaire nord-coréen et use de son influence pour y mettre fin; </w:t>
      </w:r>
    </w:p>
    <w:p w:rsidR="00F12607" w:rsidRPr="00050D7A" w:rsidP="00F12607" w14:paraId="48541717" w14:textId="16B95777">
      <w:pPr>
        <w:pStyle w:val="NormalHanging12a"/>
        <w:ind w:firstLine="0"/>
        <w:rPr>
          <w:bCs/>
          <w:iCs/>
        </w:rPr>
      </w:pPr>
      <w:r w:rsidRPr="00050D7A">
        <w:t>t)</w:t>
      </w:r>
      <w:r w:rsidRPr="00050D7A">
        <w:tab/>
      </w:r>
      <w:r w:rsidRPr="00050D7A">
        <w:tab/>
        <w:t>renforcer l’engagement de l’Union dans les Balkans occidentaux pour contrer l’influence économique croissante de la Chine, qui a notamment investi dans les infrastructures et proposé des prêts préférentiels, créant ainsi des dépendances dans certains de ces pays;</w:t>
      </w:r>
    </w:p>
    <w:p w:rsidR="00F12607" w:rsidRPr="00050D7A" w:rsidP="00C10C4D" w14:paraId="78597C35" w14:textId="442C5793">
      <w:pPr>
        <w:pStyle w:val="NormalHanging12a"/>
        <w:ind w:firstLine="0"/>
      </w:pPr>
      <w:r w:rsidRPr="00050D7A">
        <w:t>u)</w:t>
      </w:r>
      <w:r w:rsidRPr="00050D7A">
        <w:tab/>
        <w:t>reconnaître l’importance stratégique de l’Arctique et du Grand Nord pour la sécurité européenne et transatlantique; veiller à ce que la politique de l’Union à l’égard de la Chine tienne compte des vulnérabilités stratégiques de cette région, et comprenne une surveillance rigoureuse des activités scientifiques, économiques et infrastructurelles de la Chine dans l’Arctique, en particulier de leur double usage et de leur interaction avec la présence militaire russe dans la région;</w:t>
      </w:r>
    </w:p>
    <w:p w:rsidR="00541142" w:rsidRPr="00050D7A" w:rsidP="00E35057" w14:paraId="6784D319" w14:textId="02706B1B">
      <w:pPr>
        <w:spacing w:after="240"/>
        <w:ind w:left="567"/>
      </w:pPr>
      <w:r w:rsidRPr="00050D7A">
        <w:t>v)</w:t>
      </w:r>
      <w:r w:rsidRPr="00050D7A">
        <w:tab/>
        <w:t>poursuivre le développement de la stratégie «Global Gateway» afin d’offrir un modèle de connectivité de confiance fondé sur l’égalité, la durabilité et la transparence, offrant une alternative crédible à l’initiative «Une ceinture, une route» pleinement fondée sur le développement durable, tout en respectant sans réserve les normes internationales et européennes, y compris l’accord de Paris, le cadre mondial de la biodiversité de Kunming-Montréal et les conventions fondamentales de l’Organisation internationale du travail (OIT);</w:t>
      </w:r>
    </w:p>
    <w:p w:rsidR="00D67A39" w:rsidRPr="00050D7A" w:rsidP="00D67A39" w14:paraId="6B422B6F" w14:textId="5098FC2C">
      <w:pPr>
        <w:pStyle w:val="NormalHanging12a"/>
        <w:ind w:firstLine="0"/>
      </w:pPr>
      <w:r w:rsidRPr="00050D7A">
        <w:t>w)</w:t>
      </w:r>
      <w:r w:rsidRPr="00050D7A">
        <w:tab/>
        <w:t>reconnaître que l’Union doit être plus efficace dans ses projets «Global Gateway» et que cela est possible sans compromettre les règles et normes de l’Union en matière de transparence, de durabilité environnementale, de droits des travailleurs et de viabilité économique; insister sur le fait que les projets «Global Gateway» devraient soutenir des partenariats de développement équitables, mutuellement bénéfiques, résilients face au changement climatique et transparents avec des pays qui s’alignent sur l’Union plutôt que sur la Chine ou d’autres puissances autoritaires; reconnaître que l’Afrique est un partenaire prioritaire de la stratégie «Global Gateway» dans le cadre de cet effort et renforcer le dialogue général de l’Union avec le continent, tout en reconnaissant également l’Amérique latine comme partenaire prioritaire;</w:t>
      </w:r>
    </w:p>
    <w:p w:rsidR="00541142" w:rsidRPr="00050D7A" w:rsidP="00E35057" w14:paraId="7953E829" w14:textId="4A9D3D45">
      <w:pPr>
        <w:spacing w:after="240"/>
        <w:ind w:left="567"/>
      </w:pPr>
      <w:r w:rsidRPr="00050D7A">
        <w:t>x)</w:t>
      </w:r>
      <w:r w:rsidRPr="00050D7A">
        <w:tab/>
        <w:t xml:space="preserve">contrer l’expansion de la présence politique et économique de la Chine et s’attaquer aux risques découlant de l’influence politique et financière croissante de ce pays sur plusieurs pays africains; s’entendre avec la Chine pour qu’elle réduise et allège la charge de la dette des pays en développement, y compris en transformant ses prêts en </w:t>
      </w:r>
      <w:r w:rsidRPr="00050D7A">
        <w:t>subventions; attirer l’attention sur l’influence économique, politique et sécuritaire croissante de la Chine en Amérique latine et dans les Caraïbes, notamment au moyen de l’initiative «Une ceinture, une route», d’investissements à grande échelle dans les infrastructures et les ports, ainsi que de contacts militaires et d’une coopération technologique avec des régimes autoritaires tels que ceux de Cuba, du Nicaragua et du Venezuela; avertir que ces activités renforcent la portée stratégique mondiale de la Chine et accroissent les dépendances économiques;</w:t>
      </w:r>
    </w:p>
    <w:p w:rsidR="00541142" w:rsidRPr="00050D7A" w:rsidP="00E35057" w14:paraId="1761162D" w14:textId="4D75D33C">
      <w:pPr>
        <w:spacing w:after="240"/>
        <w:ind w:left="567"/>
      </w:pPr>
      <w:r w:rsidRPr="00050D7A">
        <w:t>y)</w:t>
      </w:r>
      <w:r w:rsidRPr="00050D7A">
        <w:tab/>
        <w:t>renforcer le devoir de diligence financière et les garanties en matière de marchés publics dans le cadre de la stratégie «Global Gateway» afin d’éviter que des projets d’infrastructures financés par l’Union ne créent ou n’aggravent des dépendances stratégiques à l’égard de la Chine; souligner la nécessité de marchés publics transparents, d’une atténuation des risques et d’une application cohérente des normes de l’Union;</w:t>
      </w:r>
    </w:p>
    <w:p w:rsidR="00541142" w:rsidRPr="00050D7A" w:rsidP="00E35057" w14:paraId="4591EDCD" w14:textId="6BF1EB4F">
      <w:pPr>
        <w:spacing w:after="240"/>
        <w:ind w:left="567"/>
        <w:rPr>
          <w:b/>
          <w:i/>
        </w:rPr>
      </w:pPr>
      <w:r w:rsidRPr="00050D7A">
        <w:t>z)</w:t>
      </w:r>
      <w:r w:rsidRPr="00050D7A">
        <w:tab/>
        <w:t>renforcer le devoir de diligence et le contrôle anti-corruption dans tous les instruments de financement extérieur et d’investissement de l’Union qui impliquent la Chine; veiller à ce qu’aucune entité impliquée dans la corruption systémique ne puisse participer à des projets financés par l’Union; introduire des normes anticorruption et des exigences de transparence plus strictes pour les chaînes d’approvisionnement, les structures de propriété et la sous-traitance, et mettre en place des mécanismes de surveillance continue des risques de corruption dans les projets auxquels participent des partenaires chinois;</w:t>
      </w:r>
    </w:p>
    <w:p w:rsidR="003068F8" w:rsidRPr="00050D7A" w:rsidP="00E35057" w14:paraId="23021F46" w14:textId="33BA933D">
      <w:pPr>
        <w:spacing w:after="240"/>
        <w:ind w:left="567"/>
        <w:rPr>
          <w:b/>
          <w:i/>
        </w:rPr>
      </w:pPr>
      <w:r w:rsidRPr="00050D7A">
        <w:t>a</w:t>
      </w:r>
      <w:r w:rsidRPr="00050D7A" w:rsidR="00DE7B6B">
        <w:t>a</w:t>
      </w:r>
      <w:r w:rsidRPr="00050D7A">
        <w:t>)</w:t>
      </w:r>
      <w:r w:rsidRPr="00050D7A">
        <w:tab/>
        <w:t>reconnaître que la stratégie de fusion militaro-civile de la Chine est un effort mené au niveau de l’État pour intégrer le secteur civil et le secteur militaire en vue de renforcer le contrôle du gouvernement chinois et les capacités de l’Armée populaire de libération par l’acquisition de technologies mondiales avancées, s’inquiéter du fait que les entreprises privées chinoises s’alignent sur les intérêts de l’État et favorisent ainsi l’influence géopolitique de la Chine; souligner que la fusion militaro-civile vise la domination technologique, économique et militaire, presser la Commission et les États membres de réduire la dépendance de l’Union à l’égard des ressources et des infrastructures contrôlées par la Chine, qui fait peser des risques en matière de sécurité, de renseignement et d’économie sur l’autonomie et la résilience stratégique de l’Europe;</w:t>
      </w:r>
    </w:p>
    <w:p w:rsidR="00D67A39" w:rsidRPr="00050D7A" w:rsidP="00D67A39" w14:paraId="7CAFD74F" w14:textId="3F499C98">
      <w:pPr>
        <w:pStyle w:val="NormalHanging12a"/>
        <w:ind w:firstLine="0"/>
      </w:pPr>
      <w:r w:rsidRPr="00050D7A">
        <w:t>a</w:t>
      </w:r>
      <w:r w:rsidRPr="00050D7A" w:rsidR="00DE7B6B">
        <w:t>b</w:t>
      </w:r>
      <w:r w:rsidRPr="00050D7A">
        <w:t>)</w:t>
      </w:r>
      <w:r w:rsidRPr="00050D7A">
        <w:tab/>
        <w:t xml:space="preserve">confirmer que la politique de la Chine unique suivie par l’Union est le cadre directeur des décisions de politique étrangère de l’Union en ce qui concerne Taïwan et que l’Union n’a jamais approuvé le principe d’une Chine unique et s’oppose à toute provocation ou tentative unilatérale de violation du statu quo par la force ou la coercition, ou contre la volonté du peuple taïwanais; travailler avec les États membres et les autres partenaires démocratiques dans la région à une coordination plus étroite en matière de sécurité, y compris une présence navale continue et des exercices conjoints, afin de renforcer la stabilité dans la région; honorer l’engagement pris par la Commission devant le Parlement d’œuvrer à dissuader la Chine de provoquer Taïwan ou d’exacerber les tensions avec celle-ci; veiller à ce qu’il soit clair que l’Union continuera à développer ses relations avec l’île dans un certain nombre de domaines, tout en adhérant, comme elle le fait de longue date, à la politique de la Chine unique et en encourageant le dialogue et des échanges constructifs des deux côtés du détroit de Taïwan; dans ce contexte, demander aux Nations unies de rejeter les demandes de la </w:t>
      </w:r>
      <w:r w:rsidRPr="00050D7A">
        <w:t xml:space="preserve">Chine et d’accorder aux détenteurs de passeports taïwanais - y compris les touristes, les journalistes, les employés des organisations non gouvernementales et les militants politiques - d’accéder aux visites et aux événements organisés par les Nations unies; </w:t>
      </w:r>
    </w:p>
    <w:p w:rsidR="00541142" w:rsidRPr="00050D7A" w:rsidP="0033193F" w14:paraId="4479D9F5" w14:textId="2D84EE22">
      <w:pPr>
        <w:pStyle w:val="NormalHanging12a"/>
        <w:ind w:firstLine="0"/>
      </w:pPr>
      <w:r w:rsidRPr="00050D7A">
        <w:t>a</w:t>
      </w:r>
      <w:r w:rsidRPr="00050D7A" w:rsidR="00DE7B6B">
        <w:t>c</w:t>
      </w:r>
      <w:r w:rsidRPr="00050D7A">
        <w:t>)</w:t>
      </w:r>
      <w:r w:rsidRPr="00050D7A">
        <w:tab/>
        <w:t xml:space="preserve">s’engager activement dans des efforts diplomatiques pour contrer l’escalade de la Chine dans le détroit de Taïwan et dans les mers de Chine méridionale et orientale; réaffirmer un soutien indéfectible à la liberté de navigation et de survol dans la région indo-pacifique, conformément au droit international et notamment à la Convention des Nations unies sur le droit de la mer; renforcer la coopération en matière de sécurité maritime avec l’Inde et d’autres partenaires de la région indo-pacifique en réaction à la présence navale croissante de la Chine dans la région et à ses tentatives systématiques de porter gravement atteinte à la liberté de navigation; intensifier le dialogue avec la Chine en vue de renforcer la lutte contre la pêche illicite, non déclarée et non réglementée, et accroître la transparence sur l’importance et les activités de sa flotte; </w:t>
      </w:r>
    </w:p>
    <w:p w:rsidR="00541142" w:rsidRPr="00050D7A" w:rsidP="00D67A39" w14:paraId="0258ABF0" w14:textId="09AEBE9C">
      <w:pPr>
        <w:pStyle w:val="NormalHanging12a"/>
        <w:ind w:firstLine="0"/>
      </w:pPr>
      <w:r w:rsidRPr="00050D7A">
        <w:t>a</w:t>
      </w:r>
      <w:r w:rsidRPr="00050D7A" w:rsidR="00DE7B6B">
        <w:t>d</w:t>
      </w:r>
      <w:r w:rsidRPr="00050D7A">
        <w:t>)</w:t>
      </w:r>
      <w:r w:rsidRPr="00050D7A">
        <w:tab/>
        <w:t>présenter des mesures d’urgence concrètes, y compris la planification de scénarios, pour dissuader Pékin de mener des actions unilatérales perturbatrices dans la région; continuer à défendre le principe de l’interdiction du recours à la force codifié dans la charte des Nations unies, qui s’applique indépendamment des différends en matière de souveraineté; s’opposer à la distorsion de la résolution 2758 des Nations unies par la Chine pour appuyer ses prétentions sur le territoire et la souveraineté de Taïwan;</w:t>
      </w:r>
    </w:p>
    <w:p w:rsidR="009F4321" w:rsidRPr="00050D7A" w:rsidP="00C10C4D" w14:paraId="7EDEE67F" w14:textId="335F35CB">
      <w:pPr>
        <w:pStyle w:val="NormalHanging12a"/>
        <w:ind w:firstLine="0"/>
      </w:pPr>
      <w:r w:rsidRPr="00050D7A">
        <w:t>a</w:t>
      </w:r>
      <w:r w:rsidRPr="00050D7A" w:rsidR="00DE7B6B">
        <w:t>e</w:t>
      </w:r>
      <w:r w:rsidRPr="00050D7A">
        <w:t>)</w:t>
      </w:r>
      <w:r w:rsidRPr="00050D7A">
        <w:tab/>
      </w:r>
      <w:r w:rsidRPr="00050D7A" w:rsidR="002C30E4">
        <w:tab/>
      </w:r>
      <w:r w:rsidRPr="00050D7A">
        <w:t xml:space="preserve">souligner l’importance d’un approfondissement de la coopération économique et technologique avec Taïwan dans des domaines tels que les semi-conducteurs et la cybersécurité, afin de renforcer la résilience de l’Europe et de préserver les chaînes d’approvisionnement critiques; lancer, sans retard, des mesures préparatoires en vue de négociations sur un accord bilatéral d’investissement ou d’autres types d’accords, tels qu’un protocole d’accord sur les chaînes d’approvisionnement critiques, avec Taïwan; souligner le potentiel de coopération sur la politique concernant le contrôle des investissements étrangers directs et la lutte contre la coercition et les représailles économiques; </w:t>
      </w:r>
    </w:p>
    <w:p w:rsidR="00D67A39" w:rsidRPr="00050D7A" w:rsidP="00D67A39" w14:paraId="43AA1DE7" w14:textId="0F153006">
      <w:pPr>
        <w:pStyle w:val="NormalHanging12a"/>
        <w:ind w:firstLine="0"/>
      </w:pPr>
      <w:r w:rsidRPr="00050D7A">
        <w:t>a</w:t>
      </w:r>
      <w:r w:rsidRPr="00050D7A" w:rsidR="00DE7B6B">
        <w:t>f</w:t>
      </w:r>
      <w:r w:rsidRPr="00050D7A">
        <w:t>)</w:t>
      </w:r>
      <w:r w:rsidRPr="00050D7A">
        <w:tab/>
        <w:t>renforcer la préparation et la résilience démocratique de l’Union afin de contrer les risques croissants liés aux technologies proliférantes et menaces hybrides chinoises, notamment dans des domaines tels que le stockage des données, les véhicules connectés et les réseaux électriques, ainsi qu’aux manipulations de l'information et ingérences politiques menées depuis l'étranger, et à l’espionnage, en particulier lorsqu’ils ont lieu sur des plateformes de médias sociaux associées à la Chine telles que TikTok, Wechat et Xiaohongshu, et d’autres plateformes, comme les sites de vente en ligne chinois qui collectent des données à caractère personnel;</w:t>
      </w:r>
    </w:p>
    <w:p w:rsidR="00636E7F" w:rsidRPr="00050D7A" w:rsidP="00E35057" w14:paraId="5AB6B0B9" w14:textId="40B11A43">
      <w:pPr>
        <w:spacing w:after="240"/>
        <w:ind w:left="567"/>
      </w:pPr>
      <w:r w:rsidRPr="00050D7A">
        <w:t>a</w:t>
      </w:r>
      <w:r w:rsidRPr="00050D7A" w:rsidR="00DE7B6B">
        <w:t>g</w:t>
      </w:r>
      <w:r w:rsidRPr="00050D7A">
        <w:t>)</w:t>
      </w:r>
      <w:r w:rsidRPr="00050D7A">
        <w:tab/>
      </w:r>
      <w:r w:rsidRPr="00050D7A" w:rsidR="002C30E4">
        <w:tab/>
      </w:r>
      <w:r w:rsidRPr="00050D7A">
        <w:t xml:space="preserve">souligner que les opérations d’influence chinoises sont documentées dans les rapports du SEAE sur les menaces de manipulation de l’information et d’ingérence étrangères et dans les évaluations de l’Agence de l’Union européenne pour la cybersécurité (ENISA), et qu’elles visent à influencer le débat public européen, à exfiltrer des données sensibles, à diffuser des théories du complot et à saper les processus démocratiques; qu’en outre, elles présentent des risques pour la vie privée, la protection des données et la liberté d’expression; </w:t>
      </w:r>
    </w:p>
    <w:p w:rsidR="00636E7F" w:rsidRPr="00050D7A" w:rsidP="00E35057" w14:paraId="6A84F7EE" w14:textId="4A538AAF">
      <w:pPr>
        <w:spacing w:after="240"/>
        <w:ind w:left="567"/>
      </w:pPr>
      <w:r w:rsidRPr="00050D7A">
        <w:t>a</w:t>
      </w:r>
      <w:r w:rsidRPr="00050D7A" w:rsidR="00DE7B6B">
        <w:t>h</w:t>
      </w:r>
      <w:r w:rsidRPr="00050D7A">
        <w:t>)</w:t>
      </w:r>
      <w:r w:rsidRPr="00050D7A">
        <w:tab/>
        <w:t xml:space="preserve"> dès lors que ces activités d’influence ont recours à des algorithmes opaques, exiger la transparence sur les algorithmes, les flux de données vers la Chine et l’influence potentielle des organes de l’État chinois; en parallèle, adopter une réponse intégrée englobant les dimensions informatique, politique, informationnelle et technologique et toutes les mesures nécessaires pour prévenir les activités numériques illégales et lutter contre les campagnes de désinformation chinoises et d’autres types d’opérations hybrides;</w:t>
      </w:r>
    </w:p>
    <w:p w:rsidR="00636E7F" w:rsidRPr="00050D7A" w:rsidP="00E35057" w14:paraId="49C5A875" w14:textId="433559B5">
      <w:pPr>
        <w:spacing w:after="240"/>
        <w:ind w:left="567"/>
      </w:pPr>
      <w:r w:rsidRPr="00050D7A">
        <w:t>a</w:t>
      </w:r>
      <w:r w:rsidRPr="00050D7A" w:rsidR="00DE7B6B">
        <w:t>i</w:t>
      </w:r>
      <w:r w:rsidRPr="00050D7A">
        <w:t>)</w:t>
      </w:r>
      <w:r w:rsidRPr="00050D7A" w:rsidR="002C30E4">
        <w:tab/>
      </w:r>
      <w:r w:rsidRPr="00050D7A">
        <w:tab/>
        <w:t>renforcer les cadres de cybersécurité de l’Union, en gardant à l’esprit l’utilisation croissante de l’intelligence artificielle générative pour la diffusion automatisée de la désinformation et pour influencer les processus démocratiques, ainsi que les risques dans le domaine de l’internet des objets; renforcer, en outre, les défenses des serveurs contre les cyberattaques et appliquer le règlement sur les services numériques</w:t>
      </w:r>
      <w:r>
        <w:rPr>
          <w:rStyle w:val="FootnoteReference"/>
        </w:rPr>
        <w:footnoteReference w:id="11"/>
      </w:r>
      <w:r w:rsidRPr="00050D7A">
        <w:t>, le règlement sur les données</w:t>
      </w:r>
      <w:r>
        <w:rPr>
          <w:rStyle w:val="FootnoteReference"/>
        </w:rPr>
        <w:footnoteReference w:id="12"/>
      </w:r>
      <w:r w:rsidRPr="00050D7A">
        <w:t xml:space="preserve"> et les autres législations numériques de l’Union pour atténuer les risques systémiques posés par les plateformes liées à l’influence de l’État chinois;</w:t>
      </w:r>
    </w:p>
    <w:p w:rsidR="00636E7F" w:rsidRPr="00050D7A" w:rsidP="00E35057" w14:paraId="28C8E511" w14:textId="266E969F">
      <w:pPr>
        <w:spacing w:after="240"/>
        <w:ind w:left="567"/>
      </w:pPr>
      <w:r w:rsidRPr="00050D7A">
        <w:t>a</w:t>
      </w:r>
      <w:r w:rsidRPr="00050D7A" w:rsidR="00DE7B6B">
        <w:t>j</w:t>
      </w:r>
      <w:r w:rsidRPr="00050D7A">
        <w:t>)</w:t>
      </w:r>
      <w:r w:rsidRPr="00050D7A">
        <w:tab/>
        <w:t xml:space="preserve">exhorter les États membres à appliquer rigoureusement le règlement de l’Union sur le filtrage des IDE afin de protéger les actifs critiques, tels que les ports, les réseaux énergétiques et les télécommunications, y compris les réseaux 5G, contre les menaces stratégiques; </w:t>
      </w:r>
    </w:p>
    <w:p w:rsidR="00CD5123" w:rsidRPr="00050D7A" w:rsidP="00307A5A" w14:paraId="4E451675" w14:textId="219D2850">
      <w:pPr>
        <w:spacing w:after="240"/>
        <w:ind w:left="567"/>
      </w:pPr>
      <w:r w:rsidRPr="00050D7A">
        <w:t>a</w:t>
      </w:r>
      <w:r w:rsidRPr="00050D7A" w:rsidR="00DE7B6B">
        <w:t>k</w:t>
      </w:r>
      <w:r w:rsidRPr="00050D7A">
        <w:t>)</w:t>
      </w:r>
      <w:r w:rsidRPr="00050D7A">
        <w:tab/>
        <w:t>intensifier fortement les échanges structurés entre l’Union, le Japon, la Corée du Sud et Taïwan en matière de désinformation, d’alerte précoce et d’échange d’informations, et affermir la coordination avec ces partenaires partageant les mêmes valeurs pour renforcer la résilience de la société et des institutions face aux menaces hybrides;</w:t>
      </w:r>
    </w:p>
    <w:p w:rsidR="00D67A39" w:rsidRPr="00050D7A" w:rsidP="00D67A39" w14:paraId="63E07A88" w14:textId="63D4AD62">
      <w:pPr>
        <w:pStyle w:val="NormalHanging12a"/>
        <w:ind w:firstLine="0"/>
      </w:pPr>
      <w:r w:rsidRPr="00050D7A">
        <w:t>a</w:t>
      </w:r>
      <w:r w:rsidRPr="00050D7A" w:rsidR="00DE7B6B">
        <w:t>l</w:t>
      </w:r>
      <w:r w:rsidRPr="00050D7A">
        <w:t>)</w:t>
      </w:r>
      <w:r w:rsidRPr="00050D7A">
        <w:tab/>
        <w:t xml:space="preserve">dialoguer avec la Chine pour renforcer et rendre plus efficace le dialogue UE-Chine sur les droits de l’homme de manière à maintenir fermement la pression sur la Chine en ce qui concerne la défense des droits de l’homme et à ne pas ignorer les droits de l’homme dans les relations UE-Chine; </w:t>
      </w:r>
    </w:p>
    <w:p w:rsidR="00636E7F" w:rsidRPr="00050D7A" w:rsidP="00E35057" w14:paraId="32E3D2B2" w14:textId="077EE8CE">
      <w:pPr>
        <w:spacing w:after="240"/>
        <w:ind w:left="567"/>
      </w:pPr>
      <w:r w:rsidRPr="00050D7A">
        <w:t>a</w:t>
      </w:r>
      <w:r w:rsidRPr="00050D7A" w:rsidR="00DE7B6B">
        <w:t>m</w:t>
      </w:r>
      <w:r w:rsidRPr="00050D7A">
        <w:t>)</w:t>
      </w:r>
      <w:r w:rsidRPr="00050D7A" w:rsidR="002C30E4">
        <w:tab/>
      </w:r>
      <w:r w:rsidRPr="00050D7A">
        <w:t xml:space="preserve">condamner la répression systémique que la Chine exerce à l’encontre des minorités ethniques et religieuses, y compris par le travail forcé et la surveillance de masse, à chaque rencontre politique avec les homologues chinois; en particulier, se déclarer profondément préoccupé par la répression systémique et les politiques d’assimilation forcée de la Chine au Tibet et au Xinjiang, y compris par les tentatives de sinisation forcée et de destruction du patrimoine culturel, telles que l’ingérence dans les processus de surveillance de l’élection des dirigeants spirituels bouddhistes tibétains, et exiger la suppression immédiate du système d’internat résidentiel géré par l’État pour les enfants tibétains; renforcer encore la pression de l’Union face aux atrocités que la Chine continue de commettre à l’encontre des Ouïgours et d’autres musulmans </w:t>
      </w:r>
      <w:r w:rsidRPr="00050D7A">
        <w:t xml:space="preserve">turciques, en soulignant que les détentions arbitraires massives, le travail forcé et les graves violations de la liberté de religion se poursuivent malgré la fermeture symbolique des camps d’internement; insister pour que l’Union intègre la répression généralisée et systématique des Ouïgours en tant que question prioritaire dans toutes les dimensions des relations entre l’Union et la Chine; condamner le refus persistant de la Chine de garantir la liberté de religion ou de conviction, notamment la persécution systématique des chrétiens, des musulmans, des bouddhistes et d’autres personnes n’appartenant pas à des organisations religieuses contrôlées par l’État, en utilisant le harcèlement, la détention, la démolition de symboles sacrés et de lieux de culte, ainsi que d’autres mesures répressives; </w:t>
      </w:r>
    </w:p>
    <w:p w:rsidR="00636E7F" w:rsidRPr="00050D7A" w:rsidP="00E35057" w14:paraId="28DFB258" w14:textId="20875E14">
      <w:pPr>
        <w:spacing w:after="240"/>
        <w:ind w:left="567"/>
      </w:pPr>
      <w:r w:rsidRPr="00050D7A">
        <w:t>a</w:t>
      </w:r>
      <w:r w:rsidRPr="00050D7A" w:rsidR="00DE7B6B">
        <w:t>n</w:t>
      </w:r>
      <w:r w:rsidRPr="00050D7A">
        <w:t>)</w:t>
      </w:r>
      <w:r w:rsidRPr="00050D7A">
        <w:tab/>
        <w:t>nouer le dialogue avec la Chine pour l’exhorter à respecter et à ratifier le Pacte international relatif aux droits civils et politiques ainsi qu’à ratifier toutes les conventions fondamentales de l’OIT; garantir activement que la diligence raisonnable est assurée tout au long de la chaîne d’approvisionnement mondiale et que les entreprises de l’Union qui travaillent avec la Chine ainsi que les entreprises chinoises qui travaillent avec l’Union respectent les conventions pertinentes de l’OIT sur le travail forcé et les droits des travailleurs; renforcer et appliquer pleinement les instruments d’interdiction des importations, avec notamment la mise en œuvre vigoureuse du règlement sur le travail forcé</w:t>
      </w:r>
      <w:r>
        <w:rPr>
          <w:rStyle w:val="FootnoteReference"/>
        </w:rPr>
        <w:footnoteReference w:id="13"/>
      </w:r>
      <w:r w:rsidRPr="00050D7A">
        <w:t xml:space="preserve"> et des contrôles douaniers, et mettre rapidement en œuvre une interdiction des importations de tous les biens issus du travail forcé imposé par l’État;</w:t>
      </w:r>
    </w:p>
    <w:p w:rsidR="00636E7F" w:rsidRPr="00050D7A" w:rsidP="00E35057" w14:paraId="57BFBA86" w14:textId="621CF581">
      <w:pPr>
        <w:spacing w:after="240"/>
        <w:ind w:left="567"/>
      </w:pPr>
      <w:r w:rsidRPr="00050D7A">
        <w:t>a</w:t>
      </w:r>
      <w:r w:rsidRPr="00050D7A" w:rsidR="00DE7B6B">
        <w:t>o</w:t>
      </w:r>
      <w:r w:rsidRPr="00050D7A">
        <w:t>)</w:t>
      </w:r>
      <w:r w:rsidRPr="00050D7A">
        <w:tab/>
        <w:t>demander où se trouve le Panchen Lama et exiger la libération sans condition des prisonniers politiques, notamment d’Ilham Tohti, lauréat du prix Sakharov 2019, de Gui Minhai, citoyen de l’Union, de Gulshan Abbas, de Gao Zhisheng, de Yu Wensheng et de Xu Yan, de Xu Zhiyong, de Huang Xueqin et de Zhang Zhan, ainsi que du militant mongol ethnique Hada, d’universitaires ouïgours et de personnalités culturelles en détention, dont le professeur Yalkun Isa et Hushtar Isa, frères emprisonnés illégalement d’un citoyen de l’Union, et d’autres; solliciter la fin de la pratique de placement en résidence surveillée à un endroit désigné, demander la liberté de circulation pour Hu Jia, lauréat du prix Sakharov 2008, et demander des informations sur sa situation actuelle; insister pour que la Chine libère la lauréate du prix franco-allemand 2023 pour les droits de l’homme et l’état de droit, Chow Hang-tung, ainsi que Jimmy Lai, Benny Tai, Joshua Wong, Leung Kwok-hung, Owen Chow et les personnes du groupe Hong Kong 47 qui restent emprisonnées en vertu de la loi sur la sécurité nationale; condamner l’application de la peine de mort en Chine et rappeler que, selon les estimations, le nombre total d’exécutions en Chine dépasse celui de tous les autres pays qui appliquent la peine capitale; soutenir les acteurs indépendants de la société civile chinoise, de Hong Kong et de la diaspora, les défenseurs de l’environnement, les défenseurs des droits des travailleurs et les défenseurs des droits de l’homme; appeler à la mise en place d’un mécanisme de dialogue entre les sociétés civiles de l’Union et de la Chine qui protège les participants contre les représailles et renforce la liberté académique et la coopération transfrontière sur la base des droits de l’homme universels;</w:t>
      </w:r>
    </w:p>
    <w:p w:rsidR="00636E7F" w:rsidRPr="00050D7A" w:rsidP="00E35057" w14:paraId="1365878C" w14:textId="7177DBFE">
      <w:pPr>
        <w:spacing w:after="240"/>
        <w:ind w:left="567"/>
      </w:pPr>
      <w:r w:rsidRPr="00050D7A">
        <w:t>a</w:t>
      </w:r>
      <w:r w:rsidRPr="00050D7A" w:rsidR="00DE7B6B">
        <w:t>p</w:t>
      </w:r>
      <w:r w:rsidRPr="00050D7A">
        <w:t>)</w:t>
      </w:r>
      <w:r w:rsidRPr="00050D7A">
        <w:tab/>
        <w:t xml:space="preserve">recenser et fermer toutes les voies qui facilitent actuellement la répression </w:t>
      </w:r>
      <w:r w:rsidRPr="00050D7A">
        <w:t>transnationale, y compris par des moyens numériques, et inviter la Chine à fermer tous les «postes de police à l’étranger» chinois dans l’Union;</w:t>
      </w:r>
    </w:p>
    <w:p w:rsidR="00636E7F" w:rsidRPr="00050D7A" w:rsidP="00E35057" w14:paraId="627FBC64" w14:textId="05A2CD70">
      <w:pPr>
        <w:spacing w:after="240"/>
        <w:ind w:left="567"/>
      </w:pPr>
      <w:r w:rsidRPr="00050D7A">
        <w:t>a</w:t>
      </w:r>
      <w:r w:rsidRPr="00050D7A" w:rsidR="00DE7B6B">
        <w:t>q</w:t>
      </w:r>
      <w:r w:rsidRPr="00050D7A">
        <w:t>)</w:t>
      </w:r>
      <w:r w:rsidRPr="00050D7A">
        <w:tab/>
        <w:t>exprimer la forte désapprobation de l’Union à l’égard des activités de répression transnationales de la Chine ainsi que de l’application transfrontière du droit chinois, avec par exemple l’ouverture d’une enquête sur le législateur taïwanais Puma Shen Pao-Yang en vertu d’une directive judiciaire de 2024 l’accusant d’avoir lancé une «organisation séparatiste pour l’indépendance de Taïwan»; demander à la Chine de cesser de renvoyer des réfugiés en Corée du Nord et l’inviter à plutôt assurer leur protection conformément au droit international des réfugiés;</w:t>
      </w:r>
    </w:p>
    <w:p w:rsidR="00636E7F" w:rsidRPr="00050D7A" w:rsidP="00E35057" w14:paraId="7F0D51A6" w14:textId="6859E709">
      <w:pPr>
        <w:spacing w:after="240"/>
        <w:ind w:left="567"/>
      </w:pPr>
      <w:r w:rsidRPr="00050D7A">
        <w:t>a</w:t>
      </w:r>
      <w:r w:rsidRPr="00050D7A" w:rsidR="00DE7B6B">
        <w:t>r</w:t>
      </w:r>
      <w:r w:rsidRPr="00050D7A">
        <w:t>)</w:t>
      </w:r>
      <w:r w:rsidRPr="00050D7A">
        <w:tab/>
        <w:t>condamner fermement toutes les formes de violence fondée sur le genre, y compris la traite des femmes et des filles; exiger un accès immédiat et sans entrave à la Chine pour les mécanismes indépendants des Nations unies et du Haut-Commissariat des Nations unies aux droits de l’homme;</w:t>
      </w:r>
    </w:p>
    <w:p w:rsidR="00636E7F" w:rsidRPr="00050D7A" w:rsidP="00E35057" w14:paraId="1E3BB0C4" w14:textId="37874950">
      <w:pPr>
        <w:spacing w:after="240"/>
        <w:ind w:left="567"/>
      </w:pPr>
      <w:r w:rsidRPr="00050D7A">
        <w:t>a</w:t>
      </w:r>
      <w:r w:rsidRPr="00050D7A" w:rsidR="00DE7B6B">
        <w:t>s</w:t>
      </w:r>
      <w:r w:rsidRPr="00050D7A">
        <w:t>)</w:t>
      </w:r>
      <w:r w:rsidRPr="00050D7A">
        <w:tab/>
      </w:r>
      <w:r w:rsidRPr="00050D7A" w:rsidR="001A13BB">
        <w:tab/>
      </w:r>
      <w:r w:rsidRPr="00050D7A">
        <w:t>soutenir et renforcer le rôle de la Cour pénale internationale dans les enquêtes et les poursuites relatives aux crimes internationaux contre l’humanité et examiner le recours à des mécanismes internationaux de responsabilisation;</w:t>
      </w:r>
    </w:p>
    <w:p w:rsidR="003068F8" w:rsidRPr="00050D7A" w:rsidP="00E35057" w14:paraId="6468242F" w14:textId="108D0755">
      <w:pPr>
        <w:spacing w:after="240"/>
        <w:ind w:left="567"/>
      </w:pPr>
      <w:r w:rsidRPr="00050D7A">
        <w:t>a</w:t>
      </w:r>
      <w:r w:rsidRPr="00050D7A" w:rsidR="00DE7B6B">
        <w:t>t</w:t>
      </w:r>
      <w:r w:rsidRPr="00050D7A">
        <w:t>)</w:t>
      </w:r>
      <w:r w:rsidRPr="00050D7A">
        <w:tab/>
        <w:t>recenser et fermer toutes les voies qui facilitent actuellement la répression transnationale déployée par la Chine dans l’Union, y compris par des moyens numériques, et, en particulier, celles qui visent les communautés de la diaspora par l’intermédiaire des «postes de police à l’étranger» chinois, en coopération et en coordination avec les partenaires partageant les mêmes valeurs; s’attaquer à la pratique chinoise des interdictions arbitraires de sortie du territoire à l’encontre des citoyens européens en Chine;</w:t>
      </w:r>
    </w:p>
    <w:p w:rsidR="00D67A39" w:rsidRPr="00050D7A" w:rsidP="00D67A39" w14:paraId="11CEE975" w14:textId="0EDDCF3E">
      <w:pPr>
        <w:pStyle w:val="NormalHanging12a"/>
        <w:ind w:firstLine="0"/>
      </w:pPr>
      <w:r w:rsidRPr="00050D7A">
        <w:t>a</w:t>
      </w:r>
      <w:r w:rsidRPr="00050D7A" w:rsidR="00DE7B6B">
        <w:t>u</w:t>
      </w:r>
      <w:r w:rsidRPr="00050D7A">
        <w:t>)</w:t>
      </w:r>
      <w:r w:rsidRPr="00050D7A">
        <w:tab/>
        <w:t>reconnaître que l’on ne saurait garantir la sécurité et la prospérité de l’Europe en remplaçant une dépendance par une autre et que l’Europe doit plutôt favoriser cette sécurité et cette prospérité en se renforçant de l’intérieur, conformément aux rapports Letta et Draghi, en éliminant les obstacles au marché intérieur, en construisant une véritable autonomie stratégique ouverte et en achevant l’union européenne de la défense, ainsi qu’en mettant en œuvre une réforme institutionnelle au moyen d’une «convention d’urgence», tout en diversifiant ses relations économiques et commerciales; élaborer et présenter une stratégie solide et efficace de l’Union en matière de sécurité économique qui recense clairement les vulnérabilités de l’Europe et identifie les domaines dans lesquels l’Union dispose d’un réel effet de levier;</w:t>
      </w:r>
    </w:p>
    <w:p w:rsidR="0048252F" w:rsidRPr="00050D7A" w:rsidP="00E35057" w14:paraId="1A982C4D" w14:textId="17E05A56">
      <w:pPr>
        <w:spacing w:after="240"/>
        <w:ind w:left="567"/>
      </w:pPr>
      <w:r w:rsidRPr="00050D7A">
        <w:t>a</w:t>
      </w:r>
      <w:r w:rsidRPr="00050D7A" w:rsidR="00DE7B6B">
        <w:t>v</w:t>
      </w:r>
      <w:r w:rsidRPr="00050D7A">
        <w:t xml:space="preserve">) </w:t>
      </w:r>
      <w:r w:rsidRPr="00050D7A">
        <w:tab/>
        <w:t>garder à l’esprit qu’il importe de maintenir l’unité des démocraties face aux tentatives de les diviser et de ne pas perdre de vue les intérêts stratégiques de la Chine et de la Russie; travailler en collaboration principalement avec les États-Unis et d’autres pays partageant les mêmes valeurs afin de formuler des stratégies face à la position de plus en plus affirmée de la Chine sur la scène mondiale; renforcer le pilier européen de la défense au sein de l’alliance transatlantique tout en consolidant le lien transatlantique et en renforçant l’OTAN;</w:t>
      </w:r>
    </w:p>
    <w:p w:rsidR="0048252F" w:rsidRPr="00050D7A" w:rsidP="00E35057" w14:paraId="199A8655" w14:textId="46311973">
      <w:pPr>
        <w:spacing w:after="240"/>
        <w:ind w:left="567"/>
      </w:pPr>
      <w:r w:rsidRPr="00050D7A">
        <w:t>a</w:t>
      </w:r>
      <w:r w:rsidRPr="00050D7A" w:rsidR="00DE7B6B">
        <w:t>w</w:t>
      </w:r>
      <w:r w:rsidRPr="00050D7A">
        <w:t xml:space="preserve">) </w:t>
      </w:r>
      <w:r w:rsidRPr="00050D7A">
        <w:tab/>
        <w:t xml:space="preserve">noter que la résilience européenne doit être ancrée dans les valeurs démocratiques, une forte cohésion sociale et une primauté industrielle durable; renforcer les capacités civiles de l’Union en matière de gestion des crises, de prévention des </w:t>
      </w:r>
      <w:r w:rsidRPr="00050D7A">
        <w:t>conflits et de consolidation de la paix;</w:t>
      </w:r>
    </w:p>
    <w:p w:rsidR="0048252F" w:rsidRPr="00050D7A" w:rsidP="00E35057" w14:paraId="646FCCC3" w14:textId="6DA512EA">
      <w:pPr>
        <w:spacing w:after="240"/>
        <w:ind w:left="567"/>
      </w:pPr>
      <w:r w:rsidRPr="00050D7A">
        <w:t>a</w:t>
      </w:r>
      <w:r w:rsidRPr="00050D7A" w:rsidR="00DE7B6B">
        <w:t>x</w:t>
      </w:r>
      <w:r w:rsidRPr="00050D7A">
        <w:t>)</w:t>
      </w:r>
      <w:r w:rsidRPr="00050D7A">
        <w:tab/>
        <w:t>exprimer une profonde préoccupation face à l’expansion massive de l’arsenal nucléaire chinois; travailler sur le plan diplomatique pour prévenir une nouvelle course aux armements nucléaires et le risque d’escalade nucléaire; exercer une influence sur la Chine afin qu’elle participe aux futurs processus de contrôle des armements et de désarmement, et utiliser des moyens diplomatiques pour que la Chine use de son influence sur la Russie, la Corée du Nord, le Pakistan et l’Iran afin de faire progresser le désarmement nucléaire et de renforcer le régime mondial de non-prolifération;</w:t>
      </w:r>
    </w:p>
    <w:p w:rsidR="003068F8" w:rsidRPr="00050D7A" w:rsidP="00E35057" w14:paraId="1A08D71F" w14:textId="7FE244C7">
      <w:pPr>
        <w:spacing w:after="240"/>
        <w:ind w:left="567"/>
      </w:pPr>
      <w:r w:rsidRPr="00050D7A">
        <w:t>a</w:t>
      </w:r>
      <w:r w:rsidRPr="00050D7A" w:rsidR="00DE7B6B">
        <w:t>y</w:t>
      </w:r>
      <w:r w:rsidRPr="00050D7A">
        <w:t>)</w:t>
      </w:r>
      <w:r w:rsidRPr="00050D7A">
        <w:tab/>
        <w:t>intensifier les efforts de diplomatie publique en Chine afin de fournir des informations authentiques sur les politiques et les actions de l’Union, et œuvrer au renforcement de la connaissance de la Chine dans toutes les institutions de l’Union; souligner, alors que des échanges sont en place entre les universités européennes et chinoises, l’importance de lignes directrices claires sur les interactions entre les universités de l’Union et les entités chinoises; renforcer la coordination et la cohérence des politiques entre les États membres et les institutions de l’Union, en particulier pour élaborer une stratégie commune et cohérente envers la Chine; veiller à ce qu’une telle stratégie comprenne une coordination renforcée entre les États membres en ce qui concerne les visites de leurs principaux dirigeants politiques en Chine et les principaux messages adressés aux dirigeants chinois afin d’éviter le morcellement politique; adopter une stratégie unitaire et coordonnée pour engager le dialogue diplomatique avec la Chine, protéger fermement les intérêts géopolitiques et économiques de l’Union, améliorer les relations bilatérales et poursuivre une coopération mutuellement bénéfique;</w:t>
      </w:r>
    </w:p>
    <w:p w:rsidR="00D67A39" w:rsidRPr="00050D7A" w:rsidP="00D67A39" w14:paraId="0B8F8EEB" w14:textId="5A9E4AFB">
      <w:pPr>
        <w:pStyle w:val="NormalHanging12a"/>
      </w:pPr>
      <w:r w:rsidRPr="00050D7A">
        <w:t>2.</w:t>
      </w:r>
      <w:r w:rsidRPr="00050D7A">
        <w:tab/>
        <w:t>se félicite de la décision prise par la Chine en avril 2025 de lever unilatéralement les restrictions à l’encontre de certains membres actuels et anciens du Parlement européen, ainsi que de la sous-commission des droits de l’homme; constate avec inquiétude que plus de 100 citoyens européens, dont Samuel Cogolati, Dovilė Šakalienė, Adrian Zenz et Björn Jerdén, le Comité politique et de sécurité du Conseil de l’Union européenne, l’Institut Mercator pour les études chinoises en Allemagne et la fondation Alliance des démocraties au Danemark font toujours l’objet de sanctions de la part de la Chine;</w:t>
      </w:r>
    </w:p>
    <w:p w:rsidR="0048252F" w:rsidRPr="00050D7A" w:rsidP="00E35057" w14:paraId="5E8D57A3" w14:textId="72EB47C8">
      <w:pPr>
        <w:spacing w:after="240"/>
        <w:ind w:left="567" w:hanging="567"/>
      </w:pPr>
      <w:r w:rsidRPr="00050D7A">
        <w:t xml:space="preserve">3. </w:t>
      </w:r>
      <w:r w:rsidRPr="00050D7A">
        <w:tab/>
        <w:t xml:space="preserve">demande aux autorités chinoises de lever toutes les sanctions imposées à d’actuels et anciens parlementaires nationaux européens, à des institutions et entités européennes ainsi qu’à leur personnel, actuel et ancien, qui ont été adoptées en mars 2021 en réponse à l’exercice légitime de la liberté d’expression et des fonctions démocratiques; </w:t>
      </w:r>
    </w:p>
    <w:p w:rsidR="00BD577D" w:rsidRPr="00050D7A" w:rsidP="00E35057" w14:paraId="4D0D5E89" w14:textId="05AF6BE9">
      <w:pPr>
        <w:spacing w:after="240"/>
        <w:ind w:left="567" w:hanging="567"/>
      </w:pPr>
      <w:r w:rsidRPr="00050D7A">
        <w:t>4.</w:t>
      </w:r>
      <w:r w:rsidRPr="00050D7A">
        <w:tab/>
        <w:t>souligne que l’Union doit traiter les sanctions chinoises contre des chercheurs, des parlementaires nationaux et des experts en sécurité européens comme un acte politique hostile; condamne toute tentative visant à restreindre la liberté académique et à entraver le travail des chercheurs et des scientifiques;</w:t>
      </w:r>
    </w:p>
    <w:p w:rsidR="00D67A39" w:rsidRPr="00050D7A" w:rsidP="00307A5A" w14:paraId="183D0942" w14:textId="2905AD55">
      <w:pPr>
        <w:spacing w:after="240"/>
        <w:ind w:left="567" w:hanging="567"/>
      </w:pPr>
      <w:r w:rsidRPr="00050D7A">
        <w:t>5.</w:t>
      </w:r>
      <w:r w:rsidRPr="00050D7A">
        <w:tab/>
        <w:t xml:space="preserve">invite instamment les États membres et les institutions de l’Union à éviter le morcellement politique et à adopter une stratégie unitaire et coordonnée pour engager un dialogue diplomatique et ferme avec la Chine, protéger les intérêts géopolitiques et économiques de l’Union, promouvoir les droits de l’homme et poursuivre une coopération mutuellement bénéfique; se félicite de la reprise du dialogue </w:t>
      </w:r>
      <w:r w:rsidRPr="00050D7A">
        <w:t>interparlementaire avec le Congrès national du peuple chinois; demande une transparence et une réciprocité totales dans tous les échanges parlementaires, y compris des garanties pour les députés qui expriment leurs opinions légitimes;</w:t>
      </w:r>
    </w:p>
    <w:p w:rsidR="0048252F" w:rsidRPr="00050D7A" w:rsidP="00E35057" w14:paraId="19BA3DDC" w14:textId="12657396">
      <w:pPr>
        <w:spacing w:after="240"/>
        <w:ind w:left="567" w:hanging="567"/>
      </w:pPr>
      <w:r w:rsidRPr="00050D7A">
        <w:t>6.</w:t>
      </w:r>
      <w:r w:rsidRPr="00050D7A">
        <w:tab/>
        <w:t>appelle à une consolidation du rôle du Parlement en tant qu’acteur stratégique pour élaborer la politique de l’Union à l’égard de la Chine et appelle au renforcement de sa propre infrastructure de cybersécurité et de sa résilience numérique afin de protéger ses réseaux internes, ses données sensibles et ses processus parlementaires face aux cybermenaces, à l’espionnage et à la manipulation de l’information depuis l’étranger, comme le souligne la présente recommandation;</w:t>
      </w:r>
    </w:p>
    <w:p w:rsidR="00C10C4D" w:rsidRPr="00050D7A" w:rsidP="00E35057" w14:paraId="1C8009F5" w14:textId="0F7C9ECB">
      <w:pPr>
        <w:spacing w:after="240"/>
        <w:ind w:left="567" w:hanging="567"/>
      </w:pPr>
      <w:r w:rsidRPr="00050D7A">
        <w:t>7.</w:t>
      </w:r>
      <w:r w:rsidRPr="00050D7A">
        <w:tab/>
        <w:t>invite le Conseil des affaires étrangères et le Conseil européen à accorder une attention accrue à la Chine en tant qu’acteur stratégique mondial, à adopter plus régulièrement des conclusions sur les relations UE-Chine et à fournir des orientations claires sur les priorités et les actions coordonnées;</w:t>
      </w:r>
    </w:p>
    <w:p w:rsidR="0048252F" w:rsidRPr="00050D7A" w:rsidP="00E35057" w14:paraId="77FA3EAC" w14:textId="1BEE886F">
      <w:pPr>
        <w:spacing w:after="240"/>
        <w:ind w:left="567" w:hanging="567"/>
        <w:rPr>
          <w:sz w:val="22"/>
          <w:szCs w:val="22"/>
        </w:rPr>
      </w:pPr>
      <w:r w:rsidRPr="00050D7A">
        <w:t xml:space="preserve">8. </w:t>
      </w:r>
      <w:r w:rsidRPr="00050D7A">
        <w:tab/>
        <w:t>demande que la présente recommandation soit traduite en mandarin;</w:t>
      </w:r>
    </w:p>
    <w:p w:rsidR="00663C78" w:rsidRPr="00050D7A" w:rsidP="00663C78" w14:paraId="0E39E93F" w14:textId="77777777">
      <w:pPr>
        <w:pStyle w:val="NormalCenter12a"/>
      </w:pPr>
      <w:r w:rsidRPr="00050D7A">
        <w:t>°</w:t>
      </w:r>
    </w:p>
    <w:p w:rsidR="00663C78" w:rsidRPr="00050D7A" w:rsidP="00663C78" w14:paraId="5EB5BB93" w14:textId="77777777">
      <w:pPr>
        <w:pStyle w:val="NormalCenter12a"/>
      </w:pPr>
      <w:r w:rsidRPr="00050D7A">
        <w:t>°</w:t>
      </w:r>
      <w:r w:rsidRPr="00050D7A">
        <w:tab/>
        <w:t>°</w:t>
      </w:r>
    </w:p>
    <w:p w:rsidR="00D67A39" w:rsidRPr="00050D7A" w:rsidP="00906349" w14:paraId="1E8CDA71" w14:textId="59100B72">
      <w:pPr>
        <w:pStyle w:val="NormalHanging12a"/>
      </w:pPr>
      <w:r w:rsidRPr="00050D7A">
        <w:t>9.</w:t>
      </w:r>
      <w:r w:rsidRPr="00050D7A">
        <w:tab/>
        <w:t>charge sa Présidente de transmettre la présente recommandation au Conseil, à la Commission et à la vice-présidente de la Commission/haute représentante de l’Union pour les affaires étrangères et la politique de sécurité ainsi que, pour information, au gouvernement de la République populaire de Chine.</w:t>
      </w:r>
    </w:p>
    <w:p w:rsidR="00902C4B" w:rsidRPr="00050D7A" w:rsidP="00FD4651" w14:paraId="194DA61E" w14:textId="7898F21A">
      <w:pPr>
        <w:sectPr w:rsidSect="008C07C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902C4B" w:rsidRPr="00050D7A" w:rsidP="00902C4B" w14:paraId="52EA9341" w14:textId="77777777">
      <w:pPr>
        <w:pStyle w:val="PageHeading"/>
      </w:pPr>
      <w:bookmarkStart w:id="8" w:name="_Toc241678461"/>
      <w:r w:rsidRPr="00050D7A">
        <w:t>EXPOSÉ DES MOTIFS</w:t>
      </w:r>
      <w:bookmarkEnd w:id="8"/>
    </w:p>
    <w:p w:rsidR="001752E9" w:rsidRPr="00050D7A" w:rsidP="001752E9" w14:paraId="47BDE36E" w14:textId="19587C79">
      <w:pPr>
        <w:pStyle w:val="Normal12"/>
      </w:pPr>
      <w:r w:rsidRPr="00050D7A">
        <w:t>L’Europe a besoin d’une ligne claire, unie et réaliste sur la Chine. Pékin représente aujourd’hui une combinaison unique, étant à la fois un partenaire, un concurrent et un rival systémique. Son influence politique et son rayonnement économique sont mondiaux, et son affirmation croissante de soi met de plus en plus à l’épreuve la capacité de l’Union européenne à défendre ses intérêts, ses valeurs et son autonomie stratégique. La Chine n’est pas seulement une puissance économique mais aussi un acteur géopolitique qui cherche à façonner l’ordre international selon sa propre vision, souvent en contradiction avec le modèle européen, ouvert et fondé sur des règles.</w:t>
      </w:r>
    </w:p>
    <w:p w:rsidR="001752E9" w:rsidRPr="00050D7A" w:rsidP="001752E9" w14:paraId="5ACAC7B4" w14:textId="63F46A79">
      <w:pPr>
        <w:pStyle w:val="Normal12"/>
      </w:pPr>
      <w:r w:rsidRPr="00050D7A">
        <w:t>Pour l’Union européenne, la relation avec la Chine revêt une importance capitale mais connaît aussi un déséquilibre croissant. La Chine est le premier partenaire de l’Union pour les importations et son troisième marché d’exportation, ce qui nous laisse néanmoins un déficit commercial de plus de 300 milliards d’euros. La Chine représentait plus du cinquième de toutes les importations hors UE, mais seulement environ 8 % des exportations, avec une exacerbation de l’asymétrie structurelle qui sape la résilience économique de l’Europe.</w:t>
      </w:r>
    </w:p>
    <w:p w:rsidR="001752E9" w:rsidRPr="00050D7A" w:rsidP="001752E9" w14:paraId="305C2EF1" w14:textId="127E8549">
      <w:pPr>
        <w:pStyle w:val="Normal12"/>
      </w:pPr>
      <w:r w:rsidRPr="00050D7A">
        <w:t>Dans le même temps, le stock d’investissements de l’UE en Chine s’élevait à environ 230 milliards d’euros, alors que la sécurité juridique recule pour les entreprises européennes et que les investissements chinois en Europe s’accompagnent de plus en plus d’une influence politique chinoise. Cet enchevêtrement peu transparent de l’économie et de la politique montre la nécessité d’une stratégie claire vis-à-vis de la Chine.</w:t>
      </w:r>
    </w:p>
    <w:p w:rsidR="001752E9" w:rsidRPr="00050D7A" w:rsidP="001752E9" w14:paraId="5B819244" w14:textId="7CC6636F">
      <w:pPr>
        <w:pStyle w:val="Normal12"/>
      </w:pPr>
      <w:r w:rsidRPr="00050D7A">
        <w:t>La montée en puissance mondiale de la Chine est également devenue l’un des plus grands défis politiques de l’Europe. La Chine se positionne non seulement comme un partenaire commercial majeur, mais aussi comme un pôle géopolitique, qui utilise son poids économique pour exercer une pression et une influence politiques dans toute l’Europe et au-delà. Certains considèrent même Pékin comme un éventuel partenaire de substitution, compte tenu des tensions transatlantiques actuelles. Mais ce point de vue est erroné. La Chine ne peut et ne devrait pas être considérée comme un substitut à notre partenariat transatlantique; elle ne serait jamais en mesure d’apporter le niveau de sécurité et de prospérité dont l’Europe a bénéficié ces 80 dernières années, compte tenu de l’absence de valeurs démocratiques communes et de confiance mutuelle.</w:t>
      </w:r>
    </w:p>
    <w:p w:rsidR="001752E9" w:rsidRPr="00050D7A" w:rsidP="001752E9" w14:paraId="14D515D2" w14:textId="66749EBF">
      <w:pPr>
        <w:pStyle w:val="Normal12"/>
      </w:pPr>
      <w:r w:rsidRPr="00050D7A">
        <w:t>Il est donc urgent de définir les limites et les principes auxquels l’Europe doit se tenir dans ses relations avec la Chine. En tant qu’Union, nous devons nous entendre pour déterminer où et quand nous opposer à des pratiques coercitives ou déloyales, et quand une coopération limitée, fondée sur les intérêts, reste possible. Toutefois, le présent rapport souligne également que l’Europe devra puiser sa force stratégique en elle-même: elle ne proviendra jamais d’une dépendance à l’égard d’un autre continent. La crédibilité de notre politique chinoise dépend de notre propre résilience interne - de l’approfondissement du marché unique, du renforcement des capacités technologiques et industrielles, de l’achèvement de l’union des marchés des capitaux et de l’union de l’énergie, et d’une Europe qui parle et agit d’une seule voix sur la scène mondiale.</w:t>
      </w:r>
    </w:p>
    <w:p w:rsidR="008F55AE" w:rsidRPr="00050D7A" w:rsidP="001752E9" w14:paraId="2C369B7E" w14:textId="49B2E3CE">
      <w:pPr>
        <w:pStyle w:val="Normal12"/>
      </w:pPr>
      <w:r w:rsidRPr="00050D7A">
        <w:t xml:space="preserve">Ce n’est qu’en s’appuyant sur sa force intérieure pour envisager sa position future à l’égard de la Chine que l’Union européenne pourra définir une approche équilibrée, confiante et fondée </w:t>
      </w:r>
      <w:r w:rsidRPr="00050D7A">
        <w:t>sur des valeurs à l’égard de Pékin: une approche qui préserve nos intérêts tout en restant ouverte à un véritable partenariat réciproque lorsqu’il sert nos objectifs collectifs.</w:t>
      </w:r>
    </w:p>
    <w:p w:rsidR="008F55AE" w:rsidRPr="00050D7A" w:rsidP="008F55AE" w14:paraId="7DAB085E" w14:textId="1801CFAF">
      <w:pPr>
        <w:widowControl/>
        <w:rPr>
          <w:szCs w:val="24"/>
        </w:rPr>
      </w:pPr>
      <w:r w:rsidRPr="00050D7A">
        <w:br w:type="page"/>
      </w:r>
    </w:p>
    <w:p w:rsidR="008F55AE" w:rsidRPr="00050D7A" w:rsidP="008F55AE" w14:paraId="68166BA0" w14:textId="77777777">
      <w:pPr>
        <w:pStyle w:val="PageHeading"/>
      </w:pPr>
      <w:bookmarkStart w:id="9" w:name="_Toc256000002"/>
      <w:bookmarkStart w:id="10" w:name="_Toc241678462"/>
      <w:r w:rsidRPr="00050D7A">
        <w:t>ANNEXE: DÉCLARATION DES CONTRIBUTIONS</w:t>
      </w:r>
      <w:bookmarkEnd w:id="9"/>
      <w:bookmarkEnd w:id="10"/>
    </w:p>
    <w:p w:rsidR="008F55AE" w:rsidRPr="00050D7A" w:rsidP="008F55AE" w14:paraId="0F123CCB" w14:textId="77777777">
      <w:pPr>
        <w:pStyle w:val="Normal12a"/>
      </w:pPr>
      <w:r w:rsidRPr="00050D7A">
        <w:rPr>
          <w:rStyle w:val="HideTWBExt"/>
        </w:rPr>
        <w:t>&lt;FootprintIntro&gt;&lt;/FootprintIntro&gt;</w:t>
      </w:r>
    </w:p>
    <w:p w:rsidR="008F55AE" w:rsidRPr="00050D7A" w:rsidP="008F55AE" w14:paraId="0CA84672" w14:textId="4FC9E2E5">
      <w:pPr>
        <w:pStyle w:val="Normal12a"/>
      </w:pPr>
      <w:r w:rsidRPr="00050D7A">
        <w:t>Conformément à l’article 8 de l’annexe I du règlement intérieur, la rapporteure déclare avoir inclus dans son rapport des contributions sur des questions relatives à l’objet du dossier qu’elle a reçues, pour l’élaboration du projet de rapport, de la part des représentants d’intérêts relevant du champ d’application de l’accord interinstitutionnel sur un registre de transparence obligatoire suivants</w:t>
      </w:r>
      <w:r>
        <w:rPr>
          <w:rStyle w:val="FootnoteReference"/>
        </w:rPr>
        <w:footnoteReference w:customMarkFollows="1" w:id="14"/>
        <w:t xml:space="preserve">1</w:t>
      </w:r>
      <w:r w:rsidRPr="00050D7A">
        <w:t>, ou des représentants des autorités publiques de pays tiers, y compris leurs missions diplomatiques et ambassades, suivants: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
      <w:tblGrid>
        <w:gridCol w:w="9080"/>
      </w:tblGrid>
      <w:tr w14:paraId="47F6298F" w14:textId="77777777" w:rsidTr="00E6191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Ex>
        <w:tc>
          <w:tcPr>
            <w:tcW w:w="9080" w:type="dxa"/>
          </w:tcPr>
          <w:p w:rsidR="008F55AE" w:rsidRPr="00050D7A" w:rsidP="00E61914" w14:paraId="2EA340B5" w14:textId="77777777">
            <w:pPr>
              <w:jc w:val="center"/>
            </w:pPr>
            <w:r w:rsidRPr="00050D7A">
              <w:rPr>
                <w:b/>
              </w:rPr>
              <w:t>1. Représentants d’intérêts relevant du champ d’application de l’accord interinstitutionnel sur un registre de transparence obligatoire</w:t>
            </w:r>
          </w:p>
        </w:tc>
      </w:tr>
      <w:tr w14:paraId="6038789D" w14:textId="77777777" w:rsidTr="00E61914">
        <w:tblPrEx>
          <w:tblW w:w="0" w:type="auto"/>
          <w:tblLayout w:type="fixed"/>
          <w:tblCellMar>
            <w:left w:w="140" w:type="dxa"/>
            <w:right w:w="140" w:type="dxa"/>
          </w:tblCellMar>
          <w:tblLook w:val="04A0"/>
        </w:tblPrEx>
        <w:tc>
          <w:tcPr>
            <w:tcW w:w="9080" w:type="dxa"/>
          </w:tcPr>
          <w:p w:rsidR="008F55AE" w:rsidRPr="00050D7A" w:rsidP="00E61914" w14:paraId="49A52991" w14:textId="77777777">
            <w:r w:rsidRPr="00050D7A">
              <w:t>Egmont Institute</w:t>
            </w:r>
          </w:p>
        </w:tc>
      </w:tr>
      <w:tr w14:paraId="261172D4" w14:textId="77777777" w:rsidTr="00E61914">
        <w:tblPrEx>
          <w:tblW w:w="0" w:type="auto"/>
          <w:tblLayout w:type="fixed"/>
          <w:tblCellMar>
            <w:left w:w="140" w:type="dxa"/>
            <w:right w:w="140" w:type="dxa"/>
          </w:tblCellMar>
          <w:tblLook w:val="04A0"/>
        </w:tblPrEx>
        <w:tc>
          <w:tcPr>
            <w:tcW w:w="9080" w:type="dxa"/>
          </w:tcPr>
          <w:p w:rsidR="008F55AE" w:rsidRPr="00050D7A" w:rsidP="00E61914" w14:paraId="7178102D" w14:textId="77777777">
            <w:r w:rsidRPr="00050D7A">
              <w:t>University of Ghent</w:t>
            </w:r>
          </w:p>
        </w:tc>
      </w:tr>
      <w:tr w14:paraId="6A4C66E7" w14:textId="77777777" w:rsidTr="00E61914">
        <w:tblPrEx>
          <w:tblW w:w="0" w:type="auto"/>
          <w:tblLayout w:type="fixed"/>
          <w:tblCellMar>
            <w:left w:w="140" w:type="dxa"/>
            <w:right w:w="140" w:type="dxa"/>
          </w:tblCellMar>
          <w:tblLook w:val="04A0"/>
        </w:tblPrEx>
        <w:tc>
          <w:tcPr>
            <w:tcW w:w="9080" w:type="dxa"/>
          </w:tcPr>
          <w:p w:rsidR="008F55AE" w:rsidRPr="00050D7A" w:rsidP="00E61914" w14:paraId="066EF8D3" w14:textId="77777777">
            <w:r w:rsidRPr="00050D7A">
              <w:t>Free University of Brussels</w:t>
            </w:r>
          </w:p>
        </w:tc>
      </w:tr>
      <w:tr w14:paraId="03F9747D" w14:textId="77777777" w:rsidTr="00E61914">
        <w:tblPrEx>
          <w:tblW w:w="0" w:type="auto"/>
          <w:tblLayout w:type="fixed"/>
          <w:tblCellMar>
            <w:left w:w="140" w:type="dxa"/>
            <w:right w:w="140" w:type="dxa"/>
          </w:tblCellMar>
          <w:tblLook w:val="04A0"/>
        </w:tblPrEx>
        <w:tc>
          <w:tcPr>
            <w:tcW w:w="9080" w:type="dxa"/>
          </w:tcPr>
          <w:p w:rsidR="008F55AE" w:rsidRPr="00050D7A" w:rsidP="00E61914" w14:paraId="1014AB39" w14:textId="77777777">
            <w:r w:rsidRPr="00050D7A">
              <w:t>University of Leuven</w:t>
            </w:r>
          </w:p>
        </w:tc>
      </w:tr>
      <w:tr w14:paraId="77060DC5" w14:textId="77777777" w:rsidTr="00E61914">
        <w:tblPrEx>
          <w:tblW w:w="0" w:type="auto"/>
          <w:tblLayout w:type="fixed"/>
          <w:tblCellMar>
            <w:left w:w="140" w:type="dxa"/>
            <w:right w:w="140" w:type="dxa"/>
          </w:tblCellMar>
          <w:tblLook w:val="04A0"/>
        </w:tblPrEx>
        <w:tc>
          <w:tcPr>
            <w:tcW w:w="9080" w:type="dxa"/>
          </w:tcPr>
          <w:p w:rsidR="008F55AE" w:rsidRPr="00050D7A" w:rsidP="00E61914" w14:paraId="13F69D87" w14:textId="77777777">
            <w:r w:rsidRPr="00050D7A">
              <w:t>University of Antwerp</w:t>
            </w:r>
          </w:p>
        </w:tc>
      </w:tr>
      <w:tr w14:paraId="662CEEE6" w14:textId="77777777" w:rsidTr="00E61914">
        <w:tblPrEx>
          <w:tblW w:w="0" w:type="auto"/>
          <w:tblLayout w:type="fixed"/>
          <w:tblCellMar>
            <w:left w:w="140" w:type="dxa"/>
            <w:right w:w="140" w:type="dxa"/>
          </w:tblCellMar>
          <w:tblLook w:val="04A0"/>
        </w:tblPrEx>
        <w:tc>
          <w:tcPr>
            <w:tcW w:w="9080" w:type="dxa"/>
          </w:tcPr>
          <w:p w:rsidR="008F55AE" w:rsidRPr="00050D7A" w:rsidP="00E61914" w14:paraId="3E4B3494" w14:textId="77777777">
            <w:r w:rsidRPr="00050D7A">
              <w:t>MERICS</w:t>
            </w:r>
          </w:p>
        </w:tc>
      </w:tr>
      <w:tr w14:paraId="7CCA2BC2" w14:textId="77777777" w:rsidTr="00E61914">
        <w:tblPrEx>
          <w:tblW w:w="0" w:type="auto"/>
          <w:tblLayout w:type="fixed"/>
          <w:tblCellMar>
            <w:left w:w="140" w:type="dxa"/>
            <w:right w:w="140" w:type="dxa"/>
          </w:tblCellMar>
          <w:tblLook w:val="04A0"/>
        </w:tblPrEx>
        <w:tc>
          <w:tcPr>
            <w:tcW w:w="9080" w:type="dxa"/>
          </w:tcPr>
          <w:p w:rsidR="008F55AE" w:rsidRPr="00050D7A" w:rsidP="00E61914" w14:paraId="64D5E54A" w14:textId="77777777">
            <w:r w:rsidRPr="00050D7A">
              <w:t>VOKA - Vlaamse Kamer van Koophandel</w:t>
            </w:r>
          </w:p>
        </w:tc>
      </w:tr>
      <w:tr w14:paraId="0A51097B" w14:textId="77777777" w:rsidTr="00E61914">
        <w:tblPrEx>
          <w:tblW w:w="0" w:type="auto"/>
          <w:tblLayout w:type="fixed"/>
          <w:tblCellMar>
            <w:left w:w="140" w:type="dxa"/>
            <w:right w:w="140" w:type="dxa"/>
          </w:tblCellMar>
          <w:tblLook w:val="04A0"/>
        </w:tblPrEx>
        <w:tc>
          <w:tcPr>
            <w:tcW w:w="9080" w:type="dxa"/>
          </w:tcPr>
          <w:p w:rsidR="008F55AE" w:rsidRPr="00050D7A" w:rsidP="00E61914" w14:paraId="72FDB68C" w14:textId="77777777">
            <w:r w:rsidRPr="00050D7A">
              <w:t>European Liberal Forum</w:t>
            </w:r>
          </w:p>
        </w:tc>
      </w:tr>
      <w:tr w14:paraId="38BEE10D" w14:textId="77777777" w:rsidTr="00E61914">
        <w:tblPrEx>
          <w:tblW w:w="0" w:type="auto"/>
          <w:tblLayout w:type="fixed"/>
          <w:tblCellMar>
            <w:left w:w="140" w:type="dxa"/>
            <w:right w:w="140" w:type="dxa"/>
          </w:tblCellMar>
          <w:tblLook w:val="04A0"/>
        </w:tblPrEx>
        <w:tc>
          <w:tcPr>
            <w:tcW w:w="9080" w:type="dxa"/>
          </w:tcPr>
          <w:p w:rsidR="008F55AE" w:rsidRPr="00050D7A" w:rsidP="00E61914" w14:paraId="61E56775" w14:textId="77777777">
            <w:r w:rsidRPr="00050D7A">
              <w:t>Internally from the European Parliament: AFET secretariat, fellow MEPs</w:t>
            </w:r>
          </w:p>
        </w:tc>
      </w:tr>
      <w:tr w14:paraId="783C8835" w14:textId="77777777" w:rsidTr="00E61914">
        <w:tblPrEx>
          <w:tblW w:w="0" w:type="auto"/>
          <w:tblLayout w:type="fixed"/>
          <w:tblCellMar>
            <w:left w:w="140" w:type="dxa"/>
            <w:right w:w="140" w:type="dxa"/>
          </w:tblCellMar>
          <w:tblLook w:val="04A0"/>
        </w:tblPrEx>
        <w:tc>
          <w:tcPr>
            <w:tcW w:w="9080" w:type="dxa"/>
          </w:tcPr>
          <w:p w:rsidR="008F55AE" w:rsidRPr="00050D7A" w:rsidP="00E61914" w14:paraId="0DCC78A2" w14:textId="77777777">
            <w:r w:rsidRPr="00050D7A">
              <w:rPr>
                <w:b/>
              </w:rPr>
              <w:t>2. Représentants des autorités publiques de pays tiers, y compris leurs missions diplomatiques et ambassades</w:t>
            </w:r>
          </w:p>
        </w:tc>
      </w:tr>
      <w:tr w14:paraId="1EF59DAA" w14:textId="77777777" w:rsidTr="00E61914">
        <w:tblPrEx>
          <w:tblW w:w="0" w:type="auto"/>
          <w:tblLayout w:type="fixed"/>
          <w:tblCellMar>
            <w:left w:w="140" w:type="dxa"/>
            <w:right w:w="140" w:type="dxa"/>
          </w:tblCellMar>
          <w:tblLook w:val="04A0"/>
        </w:tblPrEx>
        <w:tc>
          <w:tcPr>
            <w:tcW w:w="9080" w:type="dxa"/>
          </w:tcPr>
          <w:p w:rsidR="008F55AE" w:rsidRPr="00050D7A" w:rsidP="00E61914" w14:paraId="454263A5" w14:textId="77777777">
            <w:r w:rsidRPr="00050D7A">
              <w:t>Belgian Permanent Representation</w:t>
            </w:r>
          </w:p>
        </w:tc>
      </w:tr>
    </w:tbl>
    <w:p w:rsidR="008F55AE" w:rsidRPr="00050D7A" w:rsidP="008F55AE" w14:paraId="4FAE4BBD" w14:textId="77777777"/>
    <w:p w:rsidR="008F55AE" w:rsidRPr="00050D7A" w:rsidP="008F55AE" w14:paraId="6C9C685A" w14:textId="77777777">
      <w:pPr>
        <w:pStyle w:val="Normal12a"/>
      </w:pPr>
      <w:r w:rsidRPr="00050D7A">
        <w:t>La liste ci-dessus est établie sous la responsabilité exclusive de la rapporteure.</w:t>
      </w:r>
    </w:p>
    <w:p w:rsidR="008F55AE" w:rsidRPr="00050D7A" w:rsidP="008F55AE" w14:paraId="475C249A" w14:textId="128B299C">
      <w:pPr>
        <w:pStyle w:val="Normal12a"/>
      </w:pPr>
      <w:r w:rsidRPr="00050D7A">
        <w:t>Lorsque des personnes physiques sont identifiées dans la liste par leur nom, leur fonction ou les deux, la rapporteure déclare avoir soumis aux personnes physiques concernées l’avis du Parlement européen relatif à la protection des données nº 484 (https://www.europarl.europa.eu/data-protect/index.do), qui définit les conditions applicables au traitement de leurs données à caractère personnel et les droits liés à ce traitement.</w:t>
      </w:r>
    </w:p>
    <w:bookmarkEnd w:id="0"/>
    <w:p w:rsidR="008F55AE" w:rsidRPr="00050D7A" w:rsidP="005F3BB2" w14:paraId="614F957A" w14:textId="77777777">
      <w:pPr>
        <w:pStyle w:val="Normal12"/>
      </w:pPr>
    </w:p>
    <w:p w:rsidR="005F3BB2" w:rsidRPr="00050D7A" w:rsidP="007F1C44" w14:paraId="60CFD471" w14:textId="77777777"/>
    <w:p w:rsidR="0053560F" w:rsidRPr="00050D7A" w:rsidP="007F1C44" w14:paraId="5A98B9E3" w14:textId="77777777">
      <w:pPr>
        <w:sectPr w:rsidSect="0053560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F1C44" w:rsidRPr="00050D7A" w:rsidP="007F1C44" w14:paraId="44658C1E" w14:textId="3C47CA01">
      <w:pPr>
        <w:pStyle w:val="PageHeading"/>
      </w:pPr>
      <w:bookmarkStart w:id="11" w:name="_Toc241678463"/>
      <w:bookmarkStart w:id="12" w:name="ProcPageRR"/>
      <w:r w:rsidRPr="00050D7A">
        <w:t>INFORMATIONS SUR L’ADOPTION</w:t>
      </w:r>
      <w:r w:rsidRPr="00050D7A">
        <w:br/>
        <w:t>PAR LA COMMISSION COMPÉTENTE AU FOND</w:t>
      </w:r>
      <w:bookmarkEnd w:id="11"/>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8D88C0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F1C44" w:rsidRPr="00050D7A" w14:paraId="06BD2262" w14:textId="77777777">
            <w:pPr>
              <w:autoSpaceDE w:val="0"/>
              <w:autoSpaceDN w:val="0"/>
              <w:adjustRightInd w:val="0"/>
              <w:rPr>
                <w:b/>
                <w:bCs/>
                <w:color w:val="000000"/>
                <w:sz w:val="20"/>
              </w:rPr>
            </w:pPr>
            <w:r w:rsidRPr="00050D7A">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F1C44" w:rsidRPr="00050D7A" w14:paraId="20DCC805" w14:textId="77777777">
            <w:pPr>
              <w:autoSpaceDE w:val="0"/>
              <w:autoSpaceDN w:val="0"/>
              <w:adjustRightInd w:val="0"/>
              <w:rPr>
                <w:color w:val="000000"/>
                <w:sz w:val="20"/>
              </w:rPr>
            </w:pPr>
            <w:r w:rsidRPr="00050D7A">
              <w:rPr>
                <w:color w:val="000000"/>
                <w:sz w:val="20"/>
              </w:rPr>
              <w:t>10.9.2026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F1C44" w:rsidRPr="00050D7A" w14:paraId="50F2270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F1C44" w:rsidRPr="00050D7A" w14:paraId="74D1299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F1C44" w:rsidRPr="00050D7A" w14:paraId="17364A99" w14:textId="77777777">
            <w:pPr>
              <w:autoSpaceDE w:val="0"/>
              <w:autoSpaceDN w:val="0"/>
              <w:adjustRightInd w:val="0"/>
              <w:rPr>
                <w:rFonts w:ascii="sans-serif" w:hAnsi="sans-serif" w:cs="sans-serif"/>
                <w:color w:val="000000"/>
              </w:rPr>
            </w:pPr>
          </w:p>
        </w:tc>
      </w:tr>
      <w:tr w14:paraId="6619646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F1C44" w:rsidRPr="00050D7A" w14:paraId="4681989A" w14:textId="77777777">
            <w:pPr>
              <w:autoSpaceDE w:val="0"/>
              <w:autoSpaceDN w:val="0"/>
              <w:adjustRightInd w:val="0"/>
              <w:rPr>
                <w:b/>
                <w:bCs/>
                <w:color w:val="000000"/>
                <w:sz w:val="20"/>
              </w:rPr>
            </w:pPr>
            <w:r w:rsidRPr="00050D7A">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F1C44" w:rsidRPr="00050D7A" w14:paraId="74C82987" w14:textId="77777777">
            <w:pPr>
              <w:autoSpaceDE w:val="0"/>
              <w:autoSpaceDN w:val="0"/>
              <w:adjustRightInd w:val="0"/>
              <w:rPr>
                <w:color w:val="000000"/>
                <w:sz w:val="20"/>
              </w:rPr>
            </w:pPr>
            <w:r w:rsidRPr="00050D7A">
              <w:rPr>
                <w:color w:val="000000"/>
                <w:sz w:val="20"/>
              </w:rPr>
              <w:t>+:</w:t>
            </w:r>
          </w:p>
          <w:p w:rsidR="007F1C44" w:rsidRPr="00050D7A" w14:paraId="3DEE1B3A" w14:textId="77777777">
            <w:pPr>
              <w:autoSpaceDE w:val="0"/>
              <w:autoSpaceDN w:val="0"/>
              <w:adjustRightInd w:val="0"/>
              <w:rPr>
                <w:color w:val="000000"/>
                <w:sz w:val="20"/>
              </w:rPr>
            </w:pPr>
            <w:r w:rsidRPr="00050D7A">
              <w:rPr>
                <w:color w:val="000000"/>
                <w:sz w:val="20"/>
              </w:rPr>
              <w:t>–:</w:t>
            </w:r>
          </w:p>
          <w:p w:rsidR="007F1C44" w:rsidRPr="00050D7A" w14:paraId="72974B38" w14:textId="77777777">
            <w:pPr>
              <w:autoSpaceDE w:val="0"/>
              <w:autoSpaceDN w:val="0"/>
              <w:adjustRightInd w:val="0"/>
              <w:rPr>
                <w:color w:val="000000"/>
                <w:sz w:val="20"/>
              </w:rPr>
            </w:pPr>
            <w:r w:rsidRPr="00050D7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F1C44" w:rsidRPr="00050D7A" w14:paraId="312DAAAA" w14:textId="77777777">
            <w:pPr>
              <w:autoSpaceDE w:val="0"/>
              <w:autoSpaceDN w:val="0"/>
              <w:adjustRightInd w:val="0"/>
              <w:rPr>
                <w:color w:val="000000"/>
                <w:sz w:val="20"/>
              </w:rPr>
            </w:pPr>
            <w:r w:rsidRPr="00050D7A">
              <w:rPr>
                <w:color w:val="000000"/>
                <w:sz w:val="20"/>
              </w:rPr>
              <w:t>44</w:t>
            </w:r>
          </w:p>
          <w:p w:rsidR="007F1C44" w:rsidRPr="00050D7A" w14:paraId="3FF91765" w14:textId="77777777">
            <w:pPr>
              <w:autoSpaceDE w:val="0"/>
              <w:autoSpaceDN w:val="0"/>
              <w:adjustRightInd w:val="0"/>
              <w:rPr>
                <w:color w:val="000000"/>
                <w:sz w:val="20"/>
              </w:rPr>
            </w:pPr>
            <w:r w:rsidRPr="00050D7A">
              <w:rPr>
                <w:color w:val="000000"/>
                <w:sz w:val="20"/>
              </w:rPr>
              <w:t>9</w:t>
            </w:r>
          </w:p>
          <w:p w:rsidR="007F1C44" w:rsidRPr="00050D7A" w14:paraId="52035D26" w14:textId="77777777">
            <w:pPr>
              <w:autoSpaceDE w:val="0"/>
              <w:autoSpaceDN w:val="0"/>
              <w:adjustRightInd w:val="0"/>
              <w:rPr>
                <w:color w:val="000000"/>
                <w:sz w:val="20"/>
              </w:rPr>
            </w:pPr>
            <w:r w:rsidRPr="00050D7A">
              <w:rPr>
                <w:color w:val="000000"/>
                <w:sz w:val="20"/>
              </w:rPr>
              <w:t>12</w:t>
            </w:r>
          </w:p>
        </w:tc>
      </w:tr>
    </w:tbl>
    <w:p w:rsidR="007F1C44" w:rsidRPr="00050D7A" w14:paraId="772CB474" w14:textId="77777777"/>
    <w:bookmarkEnd w:id="12"/>
    <w:p w:rsidR="0053560F" w:rsidRPr="00050D7A" w:rsidP="007F1C44" w14:paraId="5E6DB280" w14:textId="7B2457C3">
      <w:pPr>
        <w:sectPr w:rsidSect="0053560F">
          <w:pgSz w:w="11894" w:h="15840"/>
          <w:pgMar w:top="1700" w:right="1417" w:bottom="1417" w:left="1417" w:header="720" w:footer="720" w:gutter="0"/>
          <w:cols w:space="720"/>
          <w:noEndnote/>
          <w:docGrid w:linePitch="326"/>
        </w:sectPr>
      </w:pPr>
    </w:p>
    <w:p w:rsidR="0053560F" w:rsidRPr="00050D7A" w:rsidP="008B71C9" w14:paraId="270662B4" w14:textId="577C3EA4">
      <w:pPr>
        <w:pStyle w:val="PageHeading"/>
      </w:pPr>
      <w:bookmarkStart w:id="13" w:name="_Toc241678464"/>
      <w:bookmarkStart w:id="14" w:name="RollCallPageRR"/>
      <w:r w:rsidRPr="00050D7A">
        <w:t>VOTE FINAL PAR APPEL NOMINAL</w:t>
      </w:r>
      <w:r w:rsidRPr="00050D7A">
        <w:br/>
        <w:t>PAR LA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05A40F2"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3560F" w:rsidRPr="00050D7A" w:rsidP="00E268E4" w14:paraId="3B056C08" w14:textId="633CAB1A">
            <w:pPr>
              <w:pStyle w:val="RollCallVotes"/>
            </w:pPr>
            <w:r w:rsidRPr="00050D7A">
              <w:t>44</w:t>
            </w:r>
          </w:p>
        </w:tc>
        <w:tc>
          <w:tcPr>
            <w:tcW w:w="7371" w:type="dxa"/>
            <w:shd w:val="pct10" w:color="000000" w:fill="FFFFFF"/>
          </w:tcPr>
          <w:p w:rsidR="0053560F" w:rsidRPr="00050D7A" w:rsidP="00E268E4" w14:paraId="5A0E442C" w14:textId="77777777">
            <w:pPr>
              <w:pStyle w:val="RollCallSymbols14pt"/>
            </w:pPr>
            <w:r w:rsidRPr="00050D7A">
              <w:t>+</w:t>
            </w:r>
          </w:p>
        </w:tc>
      </w:tr>
      <w:tr w14:paraId="304F3A2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517A7282" w14:textId="6B2F7973">
            <w:pPr>
              <w:pStyle w:val="RollCallTable"/>
            </w:pPr>
            <w:r w:rsidRPr="00050D7A">
              <w:t>ECR</w:t>
            </w:r>
          </w:p>
        </w:tc>
        <w:tc>
          <w:tcPr>
            <w:tcW w:w="7371" w:type="dxa"/>
            <w:shd w:val="clear" w:color="auto" w:fill="FFFFFF"/>
          </w:tcPr>
          <w:p w:rsidR="0053560F" w:rsidRPr="00050D7A" w:rsidP="00E268E4" w14:paraId="6187C2F6" w14:textId="688BB88E">
            <w:pPr>
              <w:pStyle w:val="RollCallTable"/>
            </w:pPr>
            <w:r w:rsidRPr="00050D7A">
              <w:t>Geadis Geadi, Rihards Kols, Şerban Dimitrie Sturdza, Sebastian Tynkkynen, Ivaylo Valchev, Mariateresa Vivaldini</w:t>
            </w:r>
          </w:p>
        </w:tc>
      </w:tr>
      <w:tr w14:paraId="1EE041D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49D689D1" w14:textId="1C4A9087">
            <w:pPr>
              <w:pStyle w:val="RollCallTable"/>
            </w:pPr>
            <w:r w:rsidRPr="00050D7A">
              <w:t>PPE</w:t>
            </w:r>
          </w:p>
        </w:tc>
        <w:tc>
          <w:tcPr>
            <w:tcW w:w="7371" w:type="dxa"/>
            <w:shd w:val="clear" w:color="auto" w:fill="FFFFFF"/>
          </w:tcPr>
          <w:p w:rsidR="0053560F" w:rsidRPr="00050D7A" w:rsidP="00E268E4" w14:paraId="467202BF" w14:textId="0C82A347">
            <w:pPr>
              <w:pStyle w:val="RollCallTable"/>
            </w:pPr>
            <w:r w:rsidRPr="00050D7A">
              <w:t>Ioan-Rareş Bogdan, Krzysztof Brejza, Christophe Gomart, Sandra Kalniete, Seán Kelly, Łukasz Kohut, Ondřej Kolář, Andrey Kovatchev, Miriam Lexmann, Reinhold Lopatka, David McAllister, Vangelis Meimarakis, Francisco José Millán Mon, Nicolás Pascual de la Parte, Davor Ivo Stier, Riho Terras, Matej Tonin, Pekka Toveri, Željana Zovko, Milan Zver</w:t>
            </w:r>
          </w:p>
        </w:tc>
      </w:tr>
      <w:tr w14:paraId="6ED1CDD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5D8DF0EB" w14:textId="01D2CB9D">
            <w:pPr>
              <w:pStyle w:val="RollCallTable"/>
            </w:pPr>
            <w:r w:rsidRPr="00050D7A">
              <w:t>PfE</w:t>
            </w:r>
          </w:p>
        </w:tc>
        <w:tc>
          <w:tcPr>
            <w:tcW w:w="7371" w:type="dxa"/>
            <w:shd w:val="clear" w:color="auto" w:fill="FFFFFF"/>
          </w:tcPr>
          <w:p w:rsidR="0053560F" w:rsidRPr="00050D7A" w:rsidP="00E268E4" w14:paraId="29604F60" w14:textId="0ED9E822">
            <w:pPr>
              <w:pStyle w:val="RollCallTable"/>
            </w:pPr>
            <w:r w:rsidRPr="00050D7A">
              <w:t>Fabrice Leggeri, Hermann Tertsch, Pierre-Romain Thionnet, Harald Vilimsky</w:t>
            </w:r>
          </w:p>
        </w:tc>
      </w:tr>
      <w:tr w14:paraId="6245B33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3CA03C6A" w14:textId="26F9F87D">
            <w:pPr>
              <w:pStyle w:val="RollCallTable"/>
            </w:pPr>
            <w:r w:rsidRPr="00050D7A">
              <w:t>Renew</w:t>
            </w:r>
          </w:p>
        </w:tc>
        <w:tc>
          <w:tcPr>
            <w:tcW w:w="7371" w:type="dxa"/>
            <w:shd w:val="clear" w:color="auto" w:fill="FFFFFF"/>
          </w:tcPr>
          <w:p w:rsidR="0053560F" w:rsidRPr="00050D7A" w:rsidP="00E268E4" w14:paraId="6A3A8679" w14:textId="5EBE9845">
            <w:pPr>
              <w:pStyle w:val="RollCallTable"/>
            </w:pPr>
            <w:r w:rsidRPr="00050D7A">
              <w:t>Petras Auštrevičius, Dan Barna, Christophe Grudler, Bernard Guetta, Ilhan Kyuchyuk, Marjan Šarec, Marie-Agnes Strack-Zimmermann, Hilde Vautmans</w:t>
            </w:r>
          </w:p>
        </w:tc>
      </w:tr>
      <w:tr w14:paraId="6CC42B7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5788E513" w14:textId="3CC3C840">
            <w:pPr>
              <w:pStyle w:val="RollCallTable"/>
            </w:pPr>
            <w:r w:rsidRPr="00050D7A">
              <w:t>Verts/ALE</w:t>
            </w:r>
          </w:p>
        </w:tc>
        <w:tc>
          <w:tcPr>
            <w:tcW w:w="7371" w:type="dxa"/>
            <w:shd w:val="clear" w:color="auto" w:fill="FFFFFF"/>
          </w:tcPr>
          <w:p w:rsidR="0053560F" w:rsidRPr="00050D7A" w:rsidP="00E268E4" w14:paraId="39C8F0A1" w14:textId="3DE60143">
            <w:pPr>
              <w:pStyle w:val="RollCallTable"/>
            </w:pPr>
            <w:r w:rsidRPr="00050D7A">
              <w:t>Jaume Asens Llodrà, Hannah Neumann, Nela Riehl, Mounir Satouri, Villy Søvndal, Thomas Waitz</w:t>
            </w:r>
          </w:p>
        </w:tc>
      </w:tr>
    </w:tbl>
    <w:p w:rsidR="0053560F" w:rsidRPr="00050D7A" w:rsidP="00147FBF" w14:paraId="6A75A08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BABEAE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3560F" w:rsidRPr="00050D7A" w:rsidP="00E268E4" w14:paraId="3D9C897A" w14:textId="3B3990B6">
            <w:pPr>
              <w:pStyle w:val="RollCallVotes"/>
            </w:pPr>
            <w:r w:rsidRPr="00050D7A">
              <w:t>9</w:t>
            </w:r>
          </w:p>
        </w:tc>
        <w:tc>
          <w:tcPr>
            <w:tcW w:w="7371" w:type="dxa"/>
            <w:shd w:val="pct10" w:color="000000" w:fill="FFFFFF"/>
          </w:tcPr>
          <w:p w:rsidR="0053560F" w:rsidRPr="00050D7A" w:rsidP="00E268E4" w14:paraId="3952E1C4" w14:textId="77777777">
            <w:pPr>
              <w:pStyle w:val="RollCallSymbols14pt"/>
            </w:pPr>
            <w:r w:rsidRPr="00050D7A">
              <w:t>-</w:t>
            </w:r>
          </w:p>
        </w:tc>
      </w:tr>
      <w:tr w14:paraId="3C67F39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4D5E88F0" w14:textId="7FB5B1B3">
            <w:pPr>
              <w:pStyle w:val="RollCallTable"/>
            </w:pPr>
            <w:r w:rsidRPr="00050D7A">
              <w:t>ESN</w:t>
            </w:r>
          </w:p>
        </w:tc>
        <w:tc>
          <w:tcPr>
            <w:tcW w:w="7371" w:type="dxa"/>
            <w:shd w:val="clear" w:color="auto" w:fill="FFFFFF"/>
          </w:tcPr>
          <w:p w:rsidR="0053560F" w:rsidRPr="00050D7A" w:rsidP="00E268E4" w14:paraId="3EB838CD" w14:textId="57DB8449">
            <w:pPr>
              <w:pStyle w:val="RollCallTable"/>
            </w:pPr>
            <w:r w:rsidRPr="00050D7A">
              <w:t>Petr Bystron, Alexander Sell, Stanislav Stoyanov</w:t>
            </w:r>
          </w:p>
        </w:tc>
      </w:tr>
      <w:tr w14:paraId="1700A66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6174920A" w14:textId="0EFB69C0">
            <w:pPr>
              <w:pStyle w:val="RollCallTable"/>
            </w:pPr>
            <w:r w:rsidRPr="00050D7A">
              <w:t>NI</w:t>
            </w:r>
          </w:p>
        </w:tc>
        <w:tc>
          <w:tcPr>
            <w:tcW w:w="7371" w:type="dxa"/>
            <w:shd w:val="clear" w:color="auto" w:fill="FFFFFF"/>
          </w:tcPr>
          <w:p w:rsidR="0053560F" w:rsidRPr="00050D7A" w:rsidP="00E268E4" w14:paraId="50137F1F" w14:textId="5E14990E">
            <w:pPr>
              <w:pStyle w:val="RollCallTable"/>
            </w:pPr>
            <w:r w:rsidRPr="00050D7A">
              <w:t>Ľuboš Blaha, Grzegorz Braun, Kostas Papadakis</w:t>
            </w:r>
          </w:p>
        </w:tc>
      </w:tr>
      <w:tr w14:paraId="5C81002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066E04BF" w14:textId="5BEFD140">
            <w:pPr>
              <w:pStyle w:val="RollCallTable"/>
            </w:pPr>
            <w:r w:rsidRPr="00050D7A">
              <w:t>The Left</w:t>
            </w:r>
          </w:p>
        </w:tc>
        <w:tc>
          <w:tcPr>
            <w:tcW w:w="7371" w:type="dxa"/>
            <w:shd w:val="clear" w:color="auto" w:fill="FFFFFF"/>
          </w:tcPr>
          <w:p w:rsidR="0053560F" w:rsidRPr="00050D7A" w:rsidP="00E268E4" w14:paraId="45B8C597" w14:textId="1A3B7279">
            <w:pPr>
              <w:pStyle w:val="RollCallTable"/>
            </w:pPr>
            <w:r w:rsidRPr="00050D7A">
              <w:t>Marc Botenga, Danilo Della Valle, Giorgos Georgiou</w:t>
            </w:r>
          </w:p>
        </w:tc>
      </w:tr>
    </w:tbl>
    <w:p w:rsidR="0053560F" w:rsidRPr="00050D7A" w:rsidP="00147FBF" w14:paraId="7AF940B2"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85BFBA2"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3560F" w:rsidRPr="00050D7A" w:rsidP="00E268E4" w14:paraId="4733E021" w14:textId="5C540203">
            <w:pPr>
              <w:pStyle w:val="RollCallVotes"/>
            </w:pPr>
            <w:r w:rsidRPr="00050D7A">
              <w:t>12</w:t>
            </w:r>
          </w:p>
        </w:tc>
        <w:tc>
          <w:tcPr>
            <w:tcW w:w="7371" w:type="dxa"/>
            <w:shd w:val="pct10" w:color="000000" w:fill="FFFFFF"/>
          </w:tcPr>
          <w:p w:rsidR="0053560F" w:rsidRPr="00050D7A" w:rsidP="00E268E4" w14:paraId="2C2A2862" w14:textId="77777777">
            <w:pPr>
              <w:pStyle w:val="RollCallSymbols14pt"/>
            </w:pPr>
            <w:r w:rsidRPr="00050D7A">
              <w:t>0</w:t>
            </w:r>
          </w:p>
        </w:tc>
      </w:tr>
      <w:tr w14:paraId="39FDAFCE"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2BD1735C" w14:textId="13E1EA32">
            <w:pPr>
              <w:pStyle w:val="RollCallTable"/>
            </w:pPr>
            <w:r w:rsidRPr="00050D7A">
              <w:t>PfE</w:t>
            </w:r>
          </w:p>
        </w:tc>
        <w:tc>
          <w:tcPr>
            <w:tcW w:w="7371" w:type="dxa"/>
            <w:shd w:val="clear" w:color="auto" w:fill="FFFFFF"/>
          </w:tcPr>
          <w:p w:rsidR="0053560F" w:rsidRPr="00050D7A" w:rsidP="00E268E4" w14:paraId="1D434D6A" w14:textId="6EEF14B6">
            <w:pPr>
              <w:pStyle w:val="RollCallTable"/>
            </w:pPr>
            <w:r w:rsidRPr="00050D7A">
              <w:t>Mieke Andriese</w:t>
            </w:r>
          </w:p>
        </w:tc>
      </w:tr>
      <w:tr w14:paraId="1025FF52"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53560F" w:rsidRPr="00050D7A" w:rsidP="00E268E4" w14:paraId="54A3709E" w14:textId="1CC0A104">
            <w:pPr>
              <w:pStyle w:val="RollCallTable"/>
            </w:pPr>
            <w:r w:rsidRPr="00050D7A">
              <w:t>S&amp;D</w:t>
            </w:r>
          </w:p>
        </w:tc>
        <w:tc>
          <w:tcPr>
            <w:tcW w:w="7371" w:type="dxa"/>
            <w:shd w:val="clear" w:color="auto" w:fill="FFFFFF"/>
          </w:tcPr>
          <w:p w:rsidR="0053560F" w:rsidRPr="00050D7A" w:rsidP="00E268E4" w14:paraId="1D242ED9" w14:textId="24EDE115">
            <w:pPr>
              <w:pStyle w:val="RollCallTable"/>
            </w:pPr>
            <w:r w:rsidRPr="00050D7A">
              <w:t>Lucia Annunziata, Vasile Dîncu, Nikolas Farantouris, André Franqueira Rodrigues, Elisabeth Grossmann, Alicia Homs Ginel, Yannis Maniatis, Nacho Sánchez Amor, Marco Tarquinio, Marta Temido, Nicola Zingaretti</w:t>
            </w:r>
          </w:p>
        </w:tc>
      </w:tr>
    </w:tbl>
    <w:p w:rsidR="0053560F" w:rsidRPr="00050D7A" w:rsidP="00147FBF" w14:paraId="544E3293" w14:textId="77777777">
      <w:pPr>
        <w:pStyle w:val="Normal12a"/>
      </w:pPr>
    </w:p>
    <w:p w:rsidR="0053560F" w:rsidRPr="00050D7A" w:rsidP="00B735E3" w14:paraId="56F708D8" w14:textId="4044C34D">
      <w:r w:rsidRPr="00050D7A">
        <w:t>Key to symbols:</w:t>
      </w:r>
    </w:p>
    <w:p w:rsidR="0053560F" w:rsidRPr="00050D7A" w:rsidP="001C6342" w14:paraId="5E1B1F55" w14:textId="459792CD">
      <w:pPr>
        <w:pStyle w:val="RollCallTabs"/>
      </w:pPr>
      <w:r w:rsidRPr="00050D7A">
        <w:t>+</w:t>
      </w:r>
      <w:r w:rsidRPr="00050D7A">
        <w:tab/>
        <w:t>:</w:t>
      </w:r>
      <w:r w:rsidRPr="00050D7A">
        <w:tab/>
        <w:t>in favour</w:t>
      </w:r>
    </w:p>
    <w:p w:rsidR="0053560F" w:rsidRPr="00050D7A" w:rsidP="001C6342" w14:paraId="518DEA0D" w14:textId="67AFB9E6">
      <w:pPr>
        <w:pStyle w:val="RollCallTabs"/>
      </w:pPr>
      <w:r w:rsidRPr="00050D7A">
        <w:t>-</w:t>
      </w:r>
      <w:r w:rsidRPr="00050D7A">
        <w:tab/>
        <w:t>:</w:t>
      </w:r>
      <w:r w:rsidRPr="00050D7A">
        <w:tab/>
        <w:t>against</w:t>
      </w:r>
    </w:p>
    <w:p w:rsidR="0053560F" w:rsidRPr="00050D7A" w:rsidP="001C6342" w14:paraId="4C58DD52" w14:textId="31EA484C">
      <w:pPr>
        <w:pStyle w:val="RollCallTabs"/>
      </w:pPr>
      <w:r w:rsidRPr="00050D7A">
        <w:t>0</w:t>
      </w:r>
      <w:r w:rsidRPr="00050D7A">
        <w:tab/>
        <w:t>:</w:t>
      </w:r>
      <w:r w:rsidRPr="00050D7A">
        <w:tab/>
        <w:t>abstention</w:t>
      </w:r>
    </w:p>
    <w:bookmarkEnd w:id="14"/>
    <w:p w:rsidR="0053560F" w:rsidRPr="00050D7A" w:rsidP="0053560F" w14:paraId="03854ACF" w14:textId="5090C0D3"/>
    <w:sectPr w:rsidSect="0053560F">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7C7" w:rsidRPr="00050D7A" w:rsidP="008C07C7" w14:paraId="68E6D343" w14:textId="36A3D9D5">
    <w:pPr>
      <w:pStyle w:val="EPFooter"/>
    </w:pPr>
    <w:r w:rsidRPr="00050D7A">
      <w:t>PE</w:t>
    </w:r>
    <w:r w:rsidRPr="00050D7A">
      <w:rPr>
        <w:rStyle w:val="HideTWBExt"/>
      </w:rPr>
      <w:t>&lt;NoPE&gt;</w:t>
    </w:r>
    <w:r w:rsidRPr="00050D7A">
      <w:t>775.469</w:t>
    </w:r>
    <w:r w:rsidRPr="00050D7A">
      <w:rPr>
        <w:rStyle w:val="HideTWBExt"/>
      </w:rPr>
      <w:t>&lt;/NoPE&gt;&lt;Version&gt;</w:t>
    </w:r>
    <w:r w:rsidRPr="00050D7A">
      <w:t>v02-00</w:t>
    </w:r>
    <w:r w:rsidRPr="00050D7A">
      <w:rPr>
        <w:rStyle w:val="HideTWBExt"/>
      </w:rPr>
      <w:t>&lt;/Version&gt;</w:t>
    </w:r>
    <w:r w:rsidRPr="00050D7A">
      <w:tab/>
    </w:r>
    <w:r w:rsidRPr="00050D7A">
      <w:fldChar w:fldCharType="begin"/>
    </w:r>
    <w:r w:rsidRPr="00050D7A">
      <w:instrText xml:space="preserve"> PAGE  \* MERGEFORMAT </w:instrText>
    </w:r>
    <w:r w:rsidRPr="00050D7A">
      <w:fldChar w:fldCharType="separate"/>
    </w:r>
    <w:r w:rsidRPr="00050D7A">
      <w:rPr>
        <w:noProof/>
      </w:rPr>
      <w:t>24</w:t>
    </w:r>
    <w:r w:rsidRPr="00050D7A">
      <w:fldChar w:fldCharType="end"/>
    </w:r>
    <w:r w:rsidRPr="00050D7A">
      <w:t>/</w:t>
    </w:r>
    <w:r>
      <w:fldChar w:fldCharType="begin"/>
    </w:r>
    <w:r>
      <w:instrText xml:space="preserve"> NUMPAGES  \* MERGEFORMAT </w:instrText>
    </w:r>
    <w:r>
      <w:fldChar w:fldCharType="separate"/>
    </w:r>
    <w:r w:rsidRPr="00050D7A">
      <w:rPr>
        <w:noProof/>
      </w:rPr>
      <w:t>27</w:t>
    </w:r>
    <w:r w:rsidRPr="00050D7A">
      <w:rPr>
        <w:noProof/>
      </w:rPr>
      <w:fldChar w:fldCharType="end"/>
    </w:r>
    <w:r w:rsidRPr="00050D7A">
      <w:tab/>
    </w:r>
    <w:r w:rsidRPr="00050D7A">
      <w:rPr>
        <w:rStyle w:val="HideTWBExt"/>
      </w:rPr>
      <w:t>&lt;PathFdR&gt;</w:t>
    </w:r>
    <w:r w:rsidRPr="00050D7A" w:rsidR="00050D7A">
      <w:t>RR\1350835FR.docx</w:t>
    </w:r>
    <w:r w:rsidRPr="00050D7A">
      <w:rPr>
        <w:rStyle w:val="HideTWBExt"/>
      </w:rPr>
      <w:t>&lt;/PathFdR&gt;</w:t>
    </w:r>
  </w:p>
  <w:p w:rsidR="00144AD8" w:rsidRPr="00050D7A" w:rsidP="008C07C7" w14:paraId="7045DDAE" w14:textId="16760FD9">
    <w:pPr>
      <w:pStyle w:val="EPFooter2"/>
    </w:pPr>
    <w:r w:rsidRPr="00050D7A">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7C7" w:rsidRPr="00050D7A" w:rsidP="008C07C7" w14:paraId="176F0F4D" w14:textId="61382D21">
    <w:pPr>
      <w:pStyle w:val="EPFooter"/>
    </w:pPr>
    <w:r w:rsidRPr="00050D7A">
      <w:rPr>
        <w:rStyle w:val="HideTWBExt"/>
      </w:rPr>
      <w:t>&lt;PathFdR&gt;</w:t>
    </w:r>
    <w:r w:rsidRPr="00050D7A" w:rsidR="00050D7A">
      <w:t>RR\1350835FR.docx</w:t>
    </w:r>
    <w:r w:rsidRPr="00050D7A">
      <w:rPr>
        <w:rStyle w:val="HideTWBExt"/>
      </w:rPr>
      <w:t>&lt;/PathFdR&gt;</w:t>
    </w:r>
    <w:r w:rsidRPr="00050D7A">
      <w:tab/>
    </w:r>
    <w:r w:rsidRPr="00050D7A">
      <w:fldChar w:fldCharType="begin"/>
    </w:r>
    <w:r w:rsidRPr="00050D7A">
      <w:instrText xml:space="preserve"> PAGE  \* MERGEFORMAT </w:instrText>
    </w:r>
    <w:r w:rsidRPr="00050D7A">
      <w:fldChar w:fldCharType="separate"/>
    </w:r>
    <w:r w:rsidRPr="00050D7A">
      <w:rPr>
        <w:noProof/>
      </w:rPr>
      <w:t>25</w:t>
    </w:r>
    <w:r w:rsidRPr="00050D7A">
      <w:fldChar w:fldCharType="end"/>
    </w:r>
    <w:r w:rsidRPr="00050D7A">
      <w:t>/</w:t>
    </w:r>
    <w:r>
      <w:fldChar w:fldCharType="begin"/>
    </w:r>
    <w:r>
      <w:instrText xml:space="preserve"> NUMPAGES  \* MERGEFORMAT </w:instrText>
    </w:r>
    <w:r>
      <w:fldChar w:fldCharType="separate"/>
    </w:r>
    <w:r w:rsidRPr="00050D7A">
      <w:rPr>
        <w:noProof/>
      </w:rPr>
      <w:t>27</w:t>
    </w:r>
    <w:r w:rsidRPr="00050D7A">
      <w:rPr>
        <w:noProof/>
      </w:rPr>
      <w:fldChar w:fldCharType="end"/>
    </w:r>
    <w:r w:rsidRPr="00050D7A">
      <w:tab/>
      <w:t>PE</w:t>
    </w:r>
    <w:r w:rsidRPr="00050D7A">
      <w:rPr>
        <w:rStyle w:val="HideTWBExt"/>
      </w:rPr>
      <w:t>&lt;NoPE&gt;</w:t>
    </w:r>
    <w:r w:rsidRPr="00050D7A">
      <w:t>775.469</w:t>
    </w:r>
    <w:r w:rsidRPr="00050D7A">
      <w:rPr>
        <w:rStyle w:val="HideTWBExt"/>
      </w:rPr>
      <w:t>&lt;/NoPE&gt;&lt;Version&gt;</w:t>
    </w:r>
    <w:r w:rsidRPr="00050D7A">
      <w:t>v02-00</w:t>
    </w:r>
    <w:r w:rsidRPr="00050D7A">
      <w:rPr>
        <w:rStyle w:val="HideTWBExt"/>
      </w:rPr>
      <w:t>&lt;/Version&gt;</w:t>
    </w:r>
  </w:p>
  <w:p w:rsidR="00144AD8" w:rsidRPr="00050D7A" w:rsidP="008C07C7" w14:paraId="1BD9DC47" w14:textId="0952B3AD">
    <w:pPr>
      <w:pStyle w:val="EPFooter2"/>
    </w:pPr>
    <w:r w:rsidRPr="00050D7A">
      <w:tab/>
    </w:r>
    <w:r w:rsidRPr="00050D7A">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7C7" w:rsidRPr="00050D7A" w:rsidP="008C07C7" w14:paraId="005ECB81" w14:textId="7ACE147F">
    <w:pPr>
      <w:pStyle w:val="EPFooter"/>
    </w:pPr>
    <w:r w:rsidRPr="00050D7A">
      <w:rPr>
        <w:rStyle w:val="HideTWBExt"/>
      </w:rPr>
      <w:t>&lt;PathFdR&gt;</w:t>
    </w:r>
    <w:r w:rsidRPr="00050D7A" w:rsidR="00050D7A">
      <w:t>RR\1350835FR.docx</w:t>
    </w:r>
    <w:r w:rsidRPr="00050D7A">
      <w:rPr>
        <w:rStyle w:val="HideTWBExt"/>
      </w:rPr>
      <w:t>&lt;/PathFdR&gt;</w:t>
    </w:r>
    <w:r w:rsidRPr="00050D7A">
      <w:tab/>
    </w:r>
    <w:r w:rsidRPr="00050D7A">
      <w:tab/>
      <w:t>PE</w:t>
    </w:r>
    <w:r w:rsidRPr="00050D7A">
      <w:rPr>
        <w:rStyle w:val="HideTWBExt"/>
      </w:rPr>
      <w:t>&lt;NoPE&gt;</w:t>
    </w:r>
    <w:r w:rsidRPr="00050D7A">
      <w:t>775.469</w:t>
    </w:r>
    <w:r w:rsidRPr="00050D7A">
      <w:rPr>
        <w:rStyle w:val="HideTWBExt"/>
      </w:rPr>
      <w:t>&lt;/NoPE&gt;&lt;Version&gt;</w:t>
    </w:r>
    <w:r w:rsidRPr="00050D7A">
      <w:t>v02-00</w:t>
    </w:r>
    <w:r w:rsidRPr="00050D7A">
      <w:rPr>
        <w:rStyle w:val="HideTWBExt"/>
      </w:rPr>
      <w:t>&lt;/Version&gt;</w:t>
    </w:r>
  </w:p>
  <w:p w:rsidR="00144AD8" w:rsidRPr="00050D7A" w:rsidP="008C07C7" w14:paraId="2F5CE198" w14:textId="63505310">
    <w:pPr>
      <w:pStyle w:val="EPFooter2"/>
    </w:pPr>
    <w:r w:rsidRPr="00050D7A">
      <w:t>FR</w:t>
    </w:r>
    <w:r w:rsidRPr="00050D7A">
      <w:tab/>
    </w:r>
    <w:r w:rsidRPr="00050D7A">
      <w:rPr>
        <w:b w:val="0"/>
        <w:i/>
        <w:color w:val="C0C0C0"/>
        <w:sz w:val="22"/>
      </w:rPr>
      <w:t>Unie dans la diversité</w:t>
    </w:r>
    <w:r w:rsidRPr="00050D7A">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41D81" w:rsidRPr="00050D7A" w14:paraId="026856D6" w14:textId="77777777">
      <w:r w:rsidRPr="00050D7A">
        <w:separator/>
      </w:r>
    </w:p>
  </w:footnote>
  <w:footnote w:type="continuationSeparator" w:id="1">
    <w:p w:rsidR="00141D81" w:rsidRPr="00050D7A" w14:paraId="33E699B1" w14:textId="77777777">
      <w:r w:rsidRPr="00050D7A">
        <w:continuationSeparator/>
      </w:r>
    </w:p>
  </w:footnote>
  <w:footnote w:id="2">
    <w:p w:rsidR="0033703F" w:rsidRPr="00050D7A" w14:paraId="45894D26" w14:textId="16DF04A5">
      <w:pPr>
        <w:pStyle w:val="FootnoteText"/>
      </w:pPr>
      <w:r w:rsidRPr="00050D7A">
        <w:rPr>
          <w:rStyle w:val="FootnoteReference"/>
        </w:rPr>
        <w:footnoteRef/>
      </w:r>
      <w:r w:rsidRPr="00050D7A">
        <w:t xml:space="preserve"> JO C, C/2025/1805, 4.4.2025, ELI: http://data.europa.eu/eli/C/2025/1805/oj.</w:t>
      </w:r>
    </w:p>
  </w:footnote>
  <w:footnote w:id="3">
    <w:p w:rsidR="0033703F" w:rsidRPr="00050D7A" w14:paraId="040C7025" w14:textId="2AD698E4">
      <w:pPr>
        <w:pStyle w:val="FootnoteText"/>
      </w:pPr>
      <w:r w:rsidRPr="00050D7A">
        <w:rPr>
          <w:rStyle w:val="FootnoteReference"/>
        </w:rPr>
        <w:footnoteRef/>
      </w:r>
      <w:r w:rsidRPr="00050D7A">
        <w:t xml:space="preserve"> JO C, C/2026/1664, 22.4.2026, ELI: http://data.europa.eu/eli/C/2026/1664/oj.</w:t>
      </w:r>
    </w:p>
  </w:footnote>
  <w:footnote w:id="4">
    <w:p w:rsidR="0033703F" w:rsidRPr="00050D7A" w14:paraId="22316688" w14:textId="771B31B5">
      <w:pPr>
        <w:pStyle w:val="FootnoteText"/>
      </w:pPr>
      <w:r w:rsidRPr="00050D7A">
        <w:rPr>
          <w:rStyle w:val="FootnoteReference"/>
        </w:rPr>
        <w:footnoteRef/>
      </w:r>
      <w:r w:rsidRPr="00050D7A">
        <w:t xml:space="preserve"> JO L, 2023/2675, 7.12.2023, ELI: http://data.europa.eu/eli/reg/2023/2675/oj.</w:t>
      </w:r>
    </w:p>
  </w:footnote>
  <w:footnote w:id="5">
    <w:p w:rsidR="0033703F" w:rsidRPr="00050D7A" w14:paraId="083E6F85" w14:textId="15E96C2D">
      <w:pPr>
        <w:pStyle w:val="FootnoteText"/>
      </w:pPr>
      <w:r w:rsidRPr="00050D7A">
        <w:rPr>
          <w:rStyle w:val="FootnoteReference"/>
        </w:rPr>
        <w:footnoteRef/>
      </w:r>
      <w:r w:rsidRPr="00050D7A">
        <w:t xml:space="preserve"> OJ C, C/2025/487, 29.1.2025, ELI: http://data.europa.eu/eli/C/2025/487/oj.</w:t>
      </w:r>
    </w:p>
  </w:footnote>
  <w:footnote w:id="6">
    <w:p w:rsidR="0033703F" w:rsidRPr="00050D7A" w14:paraId="20E6602F" w14:textId="5F69A73B">
      <w:pPr>
        <w:pStyle w:val="FootnoteText"/>
      </w:pPr>
      <w:r w:rsidRPr="00050D7A">
        <w:rPr>
          <w:rStyle w:val="FootnoteReference"/>
        </w:rPr>
        <w:footnoteRef/>
      </w:r>
      <w:r w:rsidRPr="00050D7A">
        <w:t xml:space="preserve"> OJ C, C/2026/1722, 24.4.2026, ELI: http://data.europa.eu/eli/C/2026/1722/oj</w:t>
      </w:r>
    </w:p>
  </w:footnote>
  <w:footnote w:id="7">
    <w:p w:rsidR="0033703F" w:rsidRPr="00050D7A" w14:paraId="242A1F4F" w14:textId="4846FF57">
      <w:pPr>
        <w:pStyle w:val="FootnoteText"/>
      </w:pPr>
      <w:r w:rsidRPr="00050D7A">
        <w:rPr>
          <w:rStyle w:val="FootnoteReference"/>
        </w:rPr>
        <w:footnoteRef/>
      </w:r>
      <w:r w:rsidRPr="00050D7A">
        <w:t xml:space="preserve"> OJ L, 2024/1252, 3.5.2024, ELI: http://data.europa.eu/eli/reg/2024/1252/oj</w:t>
      </w:r>
    </w:p>
  </w:footnote>
  <w:footnote w:id="8">
    <w:p w:rsidR="0033703F" w:rsidRPr="00050D7A" w14:paraId="2C2404EE" w14:textId="3BECB8B4">
      <w:pPr>
        <w:pStyle w:val="FootnoteText"/>
      </w:pPr>
      <w:r w:rsidRPr="00050D7A">
        <w:rPr>
          <w:rStyle w:val="FootnoteReference"/>
        </w:rPr>
        <w:footnoteRef/>
      </w:r>
      <w:r w:rsidRPr="00050D7A">
        <w:t xml:space="preserve"> OJ C, C/2026/1447, 31.3.2026, ELI: http://data.europa.eu/eli/C/2026/1447/oj.</w:t>
      </w:r>
    </w:p>
  </w:footnote>
  <w:footnote w:id="9">
    <w:p w:rsidR="00481ED8" w:rsidRPr="00050D7A" w14:paraId="546655B5" w14:textId="12DFDD78">
      <w:pPr>
        <w:pStyle w:val="FootnoteText"/>
      </w:pPr>
      <w:r w:rsidRPr="00050D7A">
        <w:rPr>
          <w:rStyle w:val="FootnoteReference"/>
        </w:rPr>
        <w:footnoteRef/>
      </w:r>
      <w:r w:rsidRPr="00050D7A">
        <w:t xml:space="preserve"> JO C, C/2024/2652, 29.4.2024, ELI: http://data.europa.eu/eli/C/2024/2652/oj.</w:t>
      </w:r>
    </w:p>
  </w:footnote>
  <w:footnote w:id="10">
    <w:p w:rsidR="00FF5D42" w:rsidRPr="00050D7A" w14:paraId="2325226C" w14:textId="07362731">
      <w:pPr>
        <w:pStyle w:val="FootnoteText"/>
      </w:pPr>
      <w:r w:rsidRPr="00050D7A">
        <w:rPr>
          <w:rStyle w:val="FootnoteReference"/>
        </w:rPr>
        <w:footnoteRef/>
      </w:r>
      <w:r w:rsidRPr="00050D7A">
        <w:t xml:space="preserve"> Accord de coopération commerciale et économique entre la Communauté économique européenne et la République populaire de Chine (JO L 250 du 19.9.1985, p. 2, ELI: http://data.europa.eu/eli/agree_internation/1985/2616/oj).</w:t>
      </w:r>
    </w:p>
  </w:footnote>
  <w:footnote w:id="11">
    <w:p w:rsidR="0033703F" w:rsidRPr="00050D7A" w:rsidP="0033703F" w14:paraId="37DD6EF0" w14:textId="1A783780">
      <w:pPr>
        <w:pStyle w:val="FootnoteText"/>
      </w:pPr>
      <w:r w:rsidRPr="00050D7A">
        <w:rPr>
          <w:rStyle w:val="FootnoteReference"/>
        </w:rPr>
        <w:footnoteRef/>
      </w:r>
      <w:r w:rsidRPr="00050D7A">
        <w:t xml:space="preserve"> </w:t>
      </w:r>
      <w:r w:rsidRPr="00050D7A">
        <w:rPr>
          <w:vertAlign w:val="superscript"/>
        </w:rPr>
        <w:t xml:space="preserve"> </w:t>
      </w:r>
      <w:r w:rsidRPr="00050D7A">
        <w:t>Règlement (UE) 2022/2065 du Parlement européen et du Conseil du 19 octobre 2022 relatif à un marché unique des services numériques et modifiant la directive 2000/31/CE (règlement sur les services numériques) (JO L 277 du 27.10.2022, p. 1, ELI: </w:t>
      </w:r>
      <w:hyperlink r:id="rId1" w:history="1">
        <w:r w:rsidRPr="00050D7A">
          <w:rPr>
            <w:rStyle w:val="Hyperlink"/>
          </w:rPr>
          <w:t>http://data.europa.eu/eli/reg/2022/2065/oj</w:t>
        </w:r>
      </w:hyperlink>
      <w:r w:rsidRPr="00050D7A">
        <w:t>).</w:t>
      </w:r>
    </w:p>
  </w:footnote>
  <w:footnote w:id="12">
    <w:p w:rsidR="0033703F" w:rsidRPr="00050D7A" w14:paraId="331C66BF" w14:textId="42588125">
      <w:pPr>
        <w:pStyle w:val="FootnoteText"/>
      </w:pPr>
      <w:r w:rsidRPr="00050D7A">
        <w:rPr>
          <w:rStyle w:val="FootnoteReference"/>
        </w:rPr>
        <w:footnoteRef/>
      </w:r>
      <w:r w:rsidRPr="00050D7A">
        <w:t xml:space="preserve"> Règlement (UE) 2023/2854 du Parlement européen et du Conseil du 13 décembre 2023 concernant des règles harmonisées portant sur l'équité de l'accès aux données et de l'utilisation des données et modifiant le règlement (UE) 2017/2394 et la directive (UE) 2020/1828 (règlement sur les données) (JO L, 2023/2854, 22.12.2023, ELI: http://data.europa.eu/eli/reg/2023/2854/oj).</w:t>
      </w:r>
    </w:p>
  </w:footnote>
  <w:footnote w:id="13">
    <w:p w:rsidR="0033703F" w:rsidRPr="00050D7A" w14:paraId="31EB332D" w14:textId="47DCBE6F">
      <w:pPr>
        <w:pStyle w:val="FootnoteText"/>
      </w:pPr>
      <w:r w:rsidRPr="00050D7A">
        <w:rPr>
          <w:rStyle w:val="FootnoteReference"/>
        </w:rPr>
        <w:footnoteRef/>
      </w:r>
      <w:r w:rsidRPr="00050D7A">
        <w:t xml:space="preserve"> Règlement (UE) 2024/3015 du Parlement européen et du Conseil du 27 novembre 2024 relatif à l’interdiction des produits issus du travail forcé sur le marché de l’Union et modifiant la directive (UE) 2019/1937 (JO L, 2024/3015, 12.12.2024, ELI: </w:t>
      </w:r>
      <w:hyperlink r:id="rId2" w:history="1">
        <w:r w:rsidRPr="00050D7A">
          <w:rPr>
            <w:rStyle w:val="Hyperlink"/>
          </w:rPr>
          <w:t>http://data.europa.eu/eli/reg/2024/3015/oj</w:t>
        </w:r>
      </w:hyperlink>
      <w:r w:rsidRPr="00050D7A">
        <w:t>).</w:t>
      </w:r>
    </w:p>
  </w:footnote>
  <w:footnote w:id="14">
    <w:p w:rsidR="008F55AE" w:rsidRPr="00050D7A" w:rsidP="00D67A39" w14:paraId="34F514F8" w14:textId="77777777">
      <w:pPr>
        <w:pStyle w:val="FootnoteText"/>
      </w:pPr>
      <w:r w:rsidRPr="00050D7A">
        <w:rPr>
          <w:rStyle w:val="FootnoteReference"/>
        </w:rPr>
        <w:t>1</w:t>
      </w:r>
      <w:r w:rsidRPr="00050D7A">
        <w:t xml:space="preserve"> Accord interinstitutionnel du 20 mai 2021 entre le Parlement européen, le Conseil de l’Union européenne et la Commission européenne sur un registre de transparence obligatoire (JO L 207 du 11.6.2021, p. 1, ELI: http://data.europa.eu/eli/agree_interinstit/2021/611/oj).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94A" w14:paraId="6A69DB3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94A" w14:paraId="04FB39E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94A" w14:paraId="57BE7C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A601629"/>
    <w:multiLevelType w:val="hybridMultilevel"/>
    <w:tmpl w:val="A84AACD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4D9"/>
    <w:rsid w:val="000005E5"/>
    <w:rsid w:val="00001993"/>
    <w:rsid w:val="00005CC5"/>
    <w:rsid w:val="00005D56"/>
    <w:rsid w:val="00010437"/>
    <w:rsid w:val="000138C7"/>
    <w:rsid w:val="00014334"/>
    <w:rsid w:val="00021F25"/>
    <w:rsid w:val="000355D4"/>
    <w:rsid w:val="00036E86"/>
    <w:rsid w:val="00045A80"/>
    <w:rsid w:val="00050D7A"/>
    <w:rsid w:val="00050DC7"/>
    <w:rsid w:val="00054C4D"/>
    <w:rsid w:val="00056D74"/>
    <w:rsid w:val="000657D5"/>
    <w:rsid w:val="00067982"/>
    <w:rsid w:val="00073986"/>
    <w:rsid w:val="000803AA"/>
    <w:rsid w:val="000A5BFD"/>
    <w:rsid w:val="000A7130"/>
    <w:rsid w:val="000D08DE"/>
    <w:rsid w:val="000D4B50"/>
    <w:rsid w:val="000D7266"/>
    <w:rsid w:val="000F3C30"/>
    <w:rsid w:val="001021FC"/>
    <w:rsid w:val="001110F5"/>
    <w:rsid w:val="00141D81"/>
    <w:rsid w:val="00144AD8"/>
    <w:rsid w:val="00147FBF"/>
    <w:rsid w:val="00152BFC"/>
    <w:rsid w:val="001533B4"/>
    <w:rsid w:val="00155F14"/>
    <w:rsid w:val="00160F77"/>
    <w:rsid w:val="001670D9"/>
    <w:rsid w:val="001752E9"/>
    <w:rsid w:val="00182944"/>
    <w:rsid w:val="00182DB4"/>
    <w:rsid w:val="0019075D"/>
    <w:rsid w:val="00194DFB"/>
    <w:rsid w:val="001A13BB"/>
    <w:rsid w:val="001A2318"/>
    <w:rsid w:val="001A6D6F"/>
    <w:rsid w:val="001B22EB"/>
    <w:rsid w:val="001B4B73"/>
    <w:rsid w:val="001C2E4D"/>
    <w:rsid w:val="001C6342"/>
    <w:rsid w:val="001D757B"/>
    <w:rsid w:val="002004D6"/>
    <w:rsid w:val="00205C32"/>
    <w:rsid w:val="00210C1E"/>
    <w:rsid w:val="002209B4"/>
    <w:rsid w:val="002242F8"/>
    <w:rsid w:val="00234B03"/>
    <w:rsid w:val="002365EF"/>
    <w:rsid w:val="002367DF"/>
    <w:rsid w:val="0023770B"/>
    <w:rsid w:val="00243E6C"/>
    <w:rsid w:val="002446B5"/>
    <w:rsid w:val="0024591C"/>
    <w:rsid w:val="0026417C"/>
    <w:rsid w:val="00267945"/>
    <w:rsid w:val="002775E6"/>
    <w:rsid w:val="00283229"/>
    <w:rsid w:val="002940CC"/>
    <w:rsid w:val="002A6A11"/>
    <w:rsid w:val="002A6E4F"/>
    <w:rsid w:val="002B23A5"/>
    <w:rsid w:val="002B2BBB"/>
    <w:rsid w:val="002C30E4"/>
    <w:rsid w:val="002C5147"/>
    <w:rsid w:val="002D1A16"/>
    <w:rsid w:val="002E17E9"/>
    <w:rsid w:val="002E1CF3"/>
    <w:rsid w:val="002E56C8"/>
    <w:rsid w:val="002F5E28"/>
    <w:rsid w:val="003068F8"/>
    <w:rsid w:val="00307A5A"/>
    <w:rsid w:val="00321D47"/>
    <w:rsid w:val="0032649C"/>
    <w:rsid w:val="003274B7"/>
    <w:rsid w:val="0033193F"/>
    <w:rsid w:val="00333401"/>
    <w:rsid w:val="003347A7"/>
    <w:rsid w:val="003349B3"/>
    <w:rsid w:val="0033703F"/>
    <w:rsid w:val="0036234E"/>
    <w:rsid w:val="00372363"/>
    <w:rsid w:val="00374D9A"/>
    <w:rsid w:val="00386B39"/>
    <w:rsid w:val="00387C58"/>
    <w:rsid w:val="00392F42"/>
    <w:rsid w:val="003B7FF0"/>
    <w:rsid w:val="003D0074"/>
    <w:rsid w:val="003D53AA"/>
    <w:rsid w:val="003E17B0"/>
    <w:rsid w:val="003E48EC"/>
    <w:rsid w:val="00405B3D"/>
    <w:rsid w:val="00413241"/>
    <w:rsid w:val="00413492"/>
    <w:rsid w:val="00420B5B"/>
    <w:rsid w:val="00422952"/>
    <w:rsid w:val="0042408B"/>
    <w:rsid w:val="00434A68"/>
    <w:rsid w:val="004375C4"/>
    <w:rsid w:val="004815C7"/>
    <w:rsid w:val="00481ED8"/>
    <w:rsid w:val="0048252F"/>
    <w:rsid w:val="004A19B2"/>
    <w:rsid w:val="004A388E"/>
    <w:rsid w:val="004A5141"/>
    <w:rsid w:val="004A6F18"/>
    <w:rsid w:val="004B04A4"/>
    <w:rsid w:val="004D4041"/>
    <w:rsid w:val="004D7F98"/>
    <w:rsid w:val="004F4CF9"/>
    <w:rsid w:val="00523EBF"/>
    <w:rsid w:val="0053211E"/>
    <w:rsid w:val="00534DBD"/>
    <w:rsid w:val="0053560F"/>
    <w:rsid w:val="00541142"/>
    <w:rsid w:val="00544863"/>
    <w:rsid w:val="005524D9"/>
    <w:rsid w:val="00554005"/>
    <w:rsid w:val="005577F1"/>
    <w:rsid w:val="00565FC7"/>
    <w:rsid w:val="00571168"/>
    <w:rsid w:val="00596989"/>
    <w:rsid w:val="005B46BC"/>
    <w:rsid w:val="005B494A"/>
    <w:rsid w:val="005C51CA"/>
    <w:rsid w:val="005F16AF"/>
    <w:rsid w:val="005F3BB2"/>
    <w:rsid w:val="005F3DEB"/>
    <w:rsid w:val="00600F05"/>
    <w:rsid w:val="00616B72"/>
    <w:rsid w:val="00621C0A"/>
    <w:rsid w:val="0062719E"/>
    <w:rsid w:val="00627DF1"/>
    <w:rsid w:val="006362F2"/>
    <w:rsid w:val="00636E7F"/>
    <w:rsid w:val="00636F62"/>
    <w:rsid w:val="00640ADE"/>
    <w:rsid w:val="00663C78"/>
    <w:rsid w:val="00666F5A"/>
    <w:rsid w:val="0068431A"/>
    <w:rsid w:val="00686DFF"/>
    <w:rsid w:val="006919D0"/>
    <w:rsid w:val="0069495A"/>
    <w:rsid w:val="00696BC9"/>
    <w:rsid w:val="006C1A11"/>
    <w:rsid w:val="006C4828"/>
    <w:rsid w:val="006D4C8E"/>
    <w:rsid w:val="006D7245"/>
    <w:rsid w:val="006D7E39"/>
    <w:rsid w:val="006E363A"/>
    <w:rsid w:val="006F76A1"/>
    <w:rsid w:val="00702442"/>
    <w:rsid w:val="00705216"/>
    <w:rsid w:val="00705670"/>
    <w:rsid w:val="0070660B"/>
    <w:rsid w:val="00707AD0"/>
    <w:rsid w:val="007147CA"/>
    <w:rsid w:val="007205D8"/>
    <w:rsid w:val="00735294"/>
    <w:rsid w:val="00757297"/>
    <w:rsid w:val="0076766A"/>
    <w:rsid w:val="0077119C"/>
    <w:rsid w:val="00780141"/>
    <w:rsid w:val="0079622D"/>
    <w:rsid w:val="00796309"/>
    <w:rsid w:val="007B3843"/>
    <w:rsid w:val="007C1602"/>
    <w:rsid w:val="007C4764"/>
    <w:rsid w:val="007D64CA"/>
    <w:rsid w:val="007D6923"/>
    <w:rsid w:val="007F1C44"/>
    <w:rsid w:val="0080025C"/>
    <w:rsid w:val="0081489C"/>
    <w:rsid w:val="0082039D"/>
    <w:rsid w:val="008206C1"/>
    <w:rsid w:val="00824345"/>
    <w:rsid w:val="00832E93"/>
    <w:rsid w:val="00834B13"/>
    <w:rsid w:val="00844FEA"/>
    <w:rsid w:val="00855A58"/>
    <w:rsid w:val="008602EF"/>
    <w:rsid w:val="008622A9"/>
    <w:rsid w:val="0086407B"/>
    <w:rsid w:val="00865AB2"/>
    <w:rsid w:val="00882832"/>
    <w:rsid w:val="00894027"/>
    <w:rsid w:val="008A3B98"/>
    <w:rsid w:val="008B658B"/>
    <w:rsid w:val="008B71C9"/>
    <w:rsid w:val="008C07C7"/>
    <w:rsid w:val="008C15CB"/>
    <w:rsid w:val="008C6305"/>
    <w:rsid w:val="008D0FC8"/>
    <w:rsid w:val="008E1894"/>
    <w:rsid w:val="008E33C2"/>
    <w:rsid w:val="008F55AE"/>
    <w:rsid w:val="00901734"/>
    <w:rsid w:val="00902BCA"/>
    <w:rsid w:val="00902C4B"/>
    <w:rsid w:val="00903EAA"/>
    <w:rsid w:val="009062FC"/>
    <w:rsid w:val="00906349"/>
    <w:rsid w:val="009116A3"/>
    <w:rsid w:val="00912F5B"/>
    <w:rsid w:val="00914589"/>
    <w:rsid w:val="009302EC"/>
    <w:rsid w:val="00931782"/>
    <w:rsid w:val="009340AC"/>
    <w:rsid w:val="009404A0"/>
    <w:rsid w:val="0094210D"/>
    <w:rsid w:val="00943610"/>
    <w:rsid w:val="00951F84"/>
    <w:rsid w:val="00952B40"/>
    <w:rsid w:val="00952CC5"/>
    <w:rsid w:val="009725B8"/>
    <w:rsid w:val="0097355F"/>
    <w:rsid w:val="00981B6F"/>
    <w:rsid w:val="009A5989"/>
    <w:rsid w:val="009B0D1D"/>
    <w:rsid w:val="009B3734"/>
    <w:rsid w:val="009C5629"/>
    <w:rsid w:val="009E3E6D"/>
    <w:rsid w:val="009F01D0"/>
    <w:rsid w:val="009F1FFA"/>
    <w:rsid w:val="009F4321"/>
    <w:rsid w:val="00A073D8"/>
    <w:rsid w:val="00A1048D"/>
    <w:rsid w:val="00A144CA"/>
    <w:rsid w:val="00A17833"/>
    <w:rsid w:val="00A22B21"/>
    <w:rsid w:val="00A27A4A"/>
    <w:rsid w:val="00A33D4B"/>
    <w:rsid w:val="00A33FDA"/>
    <w:rsid w:val="00A41749"/>
    <w:rsid w:val="00A4583F"/>
    <w:rsid w:val="00A47472"/>
    <w:rsid w:val="00A53A07"/>
    <w:rsid w:val="00A93F3D"/>
    <w:rsid w:val="00AA347F"/>
    <w:rsid w:val="00AD259D"/>
    <w:rsid w:val="00AE2A58"/>
    <w:rsid w:val="00AF2187"/>
    <w:rsid w:val="00AF6F3F"/>
    <w:rsid w:val="00B031B4"/>
    <w:rsid w:val="00B10048"/>
    <w:rsid w:val="00B26C55"/>
    <w:rsid w:val="00B37827"/>
    <w:rsid w:val="00B4745F"/>
    <w:rsid w:val="00B61C0E"/>
    <w:rsid w:val="00B6329A"/>
    <w:rsid w:val="00B6527B"/>
    <w:rsid w:val="00B6642B"/>
    <w:rsid w:val="00B66A60"/>
    <w:rsid w:val="00B70825"/>
    <w:rsid w:val="00B735E3"/>
    <w:rsid w:val="00B77E2A"/>
    <w:rsid w:val="00B873A0"/>
    <w:rsid w:val="00BA3BA8"/>
    <w:rsid w:val="00BB111D"/>
    <w:rsid w:val="00BB3222"/>
    <w:rsid w:val="00BB7992"/>
    <w:rsid w:val="00BD577D"/>
    <w:rsid w:val="00BE7750"/>
    <w:rsid w:val="00BF2BD9"/>
    <w:rsid w:val="00C10C4D"/>
    <w:rsid w:val="00C12A1B"/>
    <w:rsid w:val="00C3019B"/>
    <w:rsid w:val="00C47D1A"/>
    <w:rsid w:val="00C5771A"/>
    <w:rsid w:val="00C5794C"/>
    <w:rsid w:val="00C6615D"/>
    <w:rsid w:val="00C708FE"/>
    <w:rsid w:val="00C7235E"/>
    <w:rsid w:val="00C7360B"/>
    <w:rsid w:val="00C84736"/>
    <w:rsid w:val="00C85D0F"/>
    <w:rsid w:val="00C90842"/>
    <w:rsid w:val="00CA001F"/>
    <w:rsid w:val="00CA0DE5"/>
    <w:rsid w:val="00CB2AC0"/>
    <w:rsid w:val="00CD5123"/>
    <w:rsid w:val="00CE2B60"/>
    <w:rsid w:val="00CE749B"/>
    <w:rsid w:val="00CF2E4F"/>
    <w:rsid w:val="00D014DF"/>
    <w:rsid w:val="00D12DDE"/>
    <w:rsid w:val="00D14B07"/>
    <w:rsid w:val="00D22179"/>
    <w:rsid w:val="00D27268"/>
    <w:rsid w:val="00D349C1"/>
    <w:rsid w:val="00D34DD0"/>
    <w:rsid w:val="00D50E62"/>
    <w:rsid w:val="00D67A39"/>
    <w:rsid w:val="00D81146"/>
    <w:rsid w:val="00D860C1"/>
    <w:rsid w:val="00DB3AC3"/>
    <w:rsid w:val="00DE4104"/>
    <w:rsid w:val="00DE7B6B"/>
    <w:rsid w:val="00DF17FA"/>
    <w:rsid w:val="00DF722F"/>
    <w:rsid w:val="00E048E2"/>
    <w:rsid w:val="00E05579"/>
    <w:rsid w:val="00E14D0D"/>
    <w:rsid w:val="00E24484"/>
    <w:rsid w:val="00E268E4"/>
    <w:rsid w:val="00E26C78"/>
    <w:rsid w:val="00E34F46"/>
    <w:rsid w:val="00E35057"/>
    <w:rsid w:val="00E416FB"/>
    <w:rsid w:val="00E506C0"/>
    <w:rsid w:val="00E61914"/>
    <w:rsid w:val="00E646FD"/>
    <w:rsid w:val="00E71957"/>
    <w:rsid w:val="00E83319"/>
    <w:rsid w:val="00E84717"/>
    <w:rsid w:val="00E86A55"/>
    <w:rsid w:val="00E905F1"/>
    <w:rsid w:val="00EA1A64"/>
    <w:rsid w:val="00EA624D"/>
    <w:rsid w:val="00EA6ED7"/>
    <w:rsid w:val="00EB4B73"/>
    <w:rsid w:val="00EB666E"/>
    <w:rsid w:val="00F12607"/>
    <w:rsid w:val="00F15752"/>
    <w:rsid w:val="00F218B6"/>
    <w:rsid w:val="00F26CC5"/>
    <w:rsid w:val="00F4603B"/>
    <w:rsid w:val="00F65426"/>
    <w:rsid w:val="00F67C64"/>
    <w:rsid w:val="00F76F69"/>
    <w:rsid w:val="00F77F06"/>
    <w:rsid w:val="00F8083B"/>
    <w:rsid w:val="00FA7E38"/>
    <w:rsid w:val="00FB0103"/>
    <w:rsid w:val="00FC504F"/>
    <w:rsid w:val="00FC5F47"/>
    <w:rsid w:val="00FD3886"/>
    <w:rsid w:val="00FD4651"/>
    <w:rsid w:val="00FD76A8"/>
    <w:rsid w:val="00FE66C2"/>
    <w:rsid w:val="00FF1EC0"/>
    <w:rsid w:val="00FF5D42"/>
  </w:rsids>
  <w:docVars>
    <w:docVar w:name="COMKEY" w:val="AFET"/>
    <w:docVar w:name="CopyToNetwork" w:val="-1"/>
    <w:docVar w:name="DOCDT" w:val="16/09/2026"/>
    <w:docVar w:name="INSTMNU" w:val=" 7"/>
    <w:docVar w:name="LastEditedSection" w:val=" 1"/>
    <w:docVar w:name="strDocTypeID" w:val="PR_INI_RecommCFSP"/>
    <w:docVar w:name="strSubDir" w:val="1350"/>
    <w:docVar w:name="TXTLANGUE" w:val="FR"/>
    <w:docVar w:name="TXTLANGUEMIN" w:val="fr"/>
    <w:docVar w:name="TXTNRINI" w:val="2025/2117"/>
    <w:docVar w:name="TXTNRPE" w:val="775.469"/>
    <w:docVar w:name="TXTPEorAP" w:val="PE"/>
    <w:docVar w:name="TXTROUTE" w:val="RR\1350835FR.docx"/>
    <w:docVar w:name="TXTTITLE" w:val="on EU-China relations"/>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786049B-61C4-4F34-B5BF-481D25120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8F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12">
    <w:name w:val="Normal12"/>
    <w:basedOn w:val="Normal"/>
    <w:rsid w:val="001752E9"/>
    <w:pPr>
      <w:widowControl/>
      <w:spacing w:after="240"/>
    </w:pPr>
    <w:rPr>
      <w:szCs w:val="24"/>
      <w:lang w:eastAsia="en-US"/>
    </w:rPr>
  </w:style>
  <w:style w:type="paragraph" w:customStyle="1" w:styleId="NormalHanging12a1">
    <w:name w:val="NormalHanging12a1"/>
    <w:basedOn w:val="Normal"/>
    <w:rsid w:val="001752E9"/>
    <w:pPr>
      <w:widowControl/>
      <w:spacing w:after="240"/>
      <w:ind w:left="992" w:hanging="424"/>
    </w:pPr>
    <w:rPr>
      <w:szCs w:val="24"/>
      <w:lang w:eastAsia="en-US"/>
    </w:rPr>
  </w:style>
  <w:style w:type="paragraph" w:customStyle="1" w:styleId="NormalHanging">
    <w:name w:val="NormalHanging"/>
    <w:basedOn w:val="Normal"/>
    <w:rsid w:val="001752E9"/>
    <w:pPr>
      <w:widowControl/>
      <w:spacing w:after="240"/>
      <w:ind w:left="566" w:hanging="566"/>
    </w:pPr>
    <w:rPr>
      <w:szCs w:val="24"/>
      <w:lang w:eastAsia="en-US"/>
    </w:rPr>
  </w:style>
  <w:style w:type="paragraph" w:styleId="Footer">
    <w:name w:val="footer"/>
    <w:basedOn w:val="Normal"/>
    <w:link w:val="FooterChar"/>
    <w:semiHidden/>
    <w:rsid w:val="001752E9"/>
    <w:pPr>
      <w:tabs>
        <w:tab w:val="center" w:pos="4513"/>
        <w:tab w:val="right" w:pos="9026"/>
      </w:tabs>
    </w:pPr>
  </w:style>
  <w:style w:type="character" w:customStyle="1" w:styleId="FooterChar">
    <w:name w:val="Footer Char"/>
    <w:basedOn w:val="DefaultParagraphFont"/>
    <w:link w:val="Footer"/>
    <w:semiHidden/>
    <w:rsid w:val="001752E9"/>
    <w:rPr>
      <w:sz w:val="24"/>
    </w:rPr>
  </w:style>
  <w:style w:type="character" w:styleId="FootnoteReference">
    <w:name w:val="footnote reference"/>
    <w:basedOn w:val="DefaultParagraphFont"/>
    <w:rsid w:val="008F55AE"/>
    <w:rPr>
      <w:vertAlign w:val="superscript"/>
    </w:rPr>
  </w:style>
  <w:style w:type="paragraph" w:styleId="FootnoteText">
    <w:name w:val="footnote text"/>
    <w:basedOn w:val="Normal"/>
    <w:link w:val="FootnoteTextChar"/>
    <w:rsid w:val="008F55AE"/>
    <w:rPr>
      <w:sz w:val="20"/>
      <w:lang w:eastAsia="en-US"/>
    </w:rPr>
  </w:style>
  <w:style w:type="character" w:customStyle="1" w:styleId="FootnoteTextChar">
    <w:name w:val="Footnote Text Char"/>
    <w:basedOn w:val="DefaultParagraphFont"/>
    <w:link w:val="FootnoteText"/>
    <w:rsid w:val="008F55AE"/>
    <w:rPr>
      <w:lang w:eastAsia="en-US"/>
    </w:rPr>
  </w:style>
  <w:style w:type="character" w:styleId="Hyperlink">
    <w:name w:val="Hyperlink"/>
    <w:basedOn w:val="DefaultParagraphFont"/>
    <w:rsid w:val="008F55AE"/>
    <w:rPr>
      <w:color w:val="0000FF"/>
      <w:u w:val="single"/>
    </w:rPr>
  </w:style>
  <w:style w:type="paragraph" w:styleId="Revision">
    <w:name w:val="Revision"/>
    <w:hidden/>
    <w:uiPriority w:val="99"/>
    <w:semiHidden/>
    <w:rsid w:val="003274B7"/>
    <w:rPr>
      <w:sz w:val="24"/>
    </w:rPr>
  </w:style>
  <w:style w:type="character" w:styleId="CommentReference">
    <w:name w:val="annotation reference"/>
    <w:basedOn w:val="DefaultParagraphFont"/>
    <w:rsid w:val="007D64CA"/>
    <w:rPr>
      <w:sz w:val="16"/>
      <w:szCs w:val="16"/>
    </w:rPr>
  </w:style>
  <w:style w:type="paragraph" w:styleId="CommentText">
    <w:name w:val="annotation text"/>
    <w:basedOn w:val="Normal"/>
    <w:link w:val="CommentTextChar"/>
    <w:rsid w:val="007D64CA"/>
    <w:rPr>
      <w:sz w:val="20"/>
    </w:rPr>
  </w:style>
  <w:style w:type="character" w:customStyle="1" w:styleId="CommentTextChar">
    <w:name w:val="Comment Text Char"/>
    <w:basedOn w:val="DefaultParagraphFont"/>
    <w:link w:val="CommentText"/>
    <w:rsid w:val="007D64CA"/>
  </w:style>
  <w:style w:type="paragraph" w:styleId="CommentSubject">
    <w:name w:val="annotation subject"/>
    <w:basedOn w:val="CommentText"/>
    <w:next w:val="CommentText"/>
    <w:link w:val="CommentSubjectChar"/>
    <w:semiHidden/>
    <w:unhideWhenUsed/>
    <w:rsid w:val="007D64CA"/>
    <w:rPr>
      <w:b/>
      <w:bCs/>
    </w:rPr>
  </w:style>
  <w:style w:type="character" w:customStyle="1" w:styleId="CommentSubjectChar">
    <w:name w:val="Comment Subject Char"/>
    <w:basedOn w:val="CommentTextChar"/>
    <w:link w:val="CommentSubject"/>
    <w:semiHidden/>
    <w:rsid w:val="007D64CA"/>
    <w:rPr>
      <w:b/>
      <w:bCs/>
    </w:rPr>
  </w:style>
  <w:style w:type="paragraph" w:styleId="BalloonText">
    <w:name w:val="Balloon Text"/>
    <w:basedOn w:val="Normal"/>
    <w:link w:val="BalloonTextChar"/>
    <w:semiHidden/>
    <w:unhideWhenUsed/>
    <w:rsid w:val="007D64CA"/>
    <w:rPr>
      <w:rFonts w:ascii="Segoe UI" w:hAnsi="Segoe UI" w:cs="Segoe UI"/>
      <w:sz w:val="18"/>
      <w:szCs w:val="18"/>
    </w:rPr>
  </w:style>
  <w:style w:type="character" w:customStyle="1" w:styleId="BalloonTextChar">
    <w:name w:val="Balloon Text Char"/>
    <w:basedOn w:val="DefaultParagraphFont"/>
    <w:link w:val="BalloonText"/>
    <w:semiHidden/>
    <w:rsid w:val="007D64CA"/>
    <w:rPr>
      <w:rFonts w:ascii="Segoe UI" w:hAnsi="Segoe UI" w:cs="Segoe UI"/>
      <w:sz w:val="18"/>
      <w:szCs w:val="18"/>
    </w:rPr>
  </w:style>
  <w:style w:type="paragraph" w:styleId="ListParagraph">
    <w:name w:val="List Paragraph"/>
    <w:basedOn w:val="Normal"/>
    <w:uiPriority w:val="34"/>
    <w:qFormat/>
    <w:rsid w:val="0048252F"/>
    <w:pPr>
      <w:widowControl/>
      <w:ind w:left="720"/>
      <w:contextualSpacing/>
      <w:jc w:val="both"/>
    </w:pPr>
    <w:rPr>
      <w:rFonts w:eastAsiaTheme="minorHAnsi"/>
      <w:kern w:val="2"/>
      <w:szCs w:val="24"/>
      <w:lang w:eastAsia="en-US"/>
      <w14:ligatures w14:val="standardContextual"/>
    </w:rPr>
  </w:style>
  <w:style w:type="paragraph" w:customStyle="1" w:styleId="NormalCenter12a">
    <w:name w:val="NormalCenter12a"/>
    <w:basedOn w:val="Normal"/>
    <w:rsid w:val="00663C78"/>
    <w:pPr>
      <w:widowControl/>
      <w:spacing w:after="240"/>
      <w:jc w:val="center"/>
    </w:pPr>
    <w:rPr>
      <w:szCs w:val="24"/>
      <w:lang w:eastAsia="en-US"/>
    </w:rPr>
  </w:style>
  <w:style w:type="paragraph" w:customStyle="1" w:styleId="RollCallVotes">
    <w:name w:val="RollCallVotes"/>
    <w:basedOn w:val="Normal"/>
    <w:rsid w:val="0053560F"/>
    <w:pPr>
      <w:spacing w:before="120" w:after="120"/>
      <w:jc w:val="center"/>
    </w:pPr>
    <w:rPr>
      <w:b/>
      <w:bCs/>
      <w:snapToGrid w:val="0"/>
      <w:sz w:val="16"/>
      <w:lang w:eastAsia="en-US"/>
    </w:rPr>
  </w:style>
  <w:style w:type="paragraph" w:customStyle="1" w:styleId="RollCallTabs">
    <w:name w:val="RollCallTabs"/>
    <w:basedOn w:val="Normal"/>
    <w:qFormat/>
    <w:rsid w:val="0053560F"/>
    <w:pPr>
      <w:tabs>
        <w:tab w:val="center" w:pos="284"/>
        <w:tab w:val="left" w:pos="426"/>
      </w:tabs>
    </w:pPr>
    <w:rPr>
      <w:snapToGrid w:val="0"/>
      <w:lang w:eastAsia="en-US"/>
    </w:rPr>
  </w:style>
  <w:style w:type="paragraph" w:customStyle="1" w:styleId="RollCallSymbols14pt">
    <w:name w:val="RollCallSymbols14pt"/>
    <w:basedOn w:val="Normal"/>
    <w:rsid w:val="0053560F"/>
    <w:pPr>
      <w:spacing w:before="120" w:after="120"/>
      <w:jc w:val="center"/>
    </w:pPr>
    <w:rPr>
      <w:rFonts w:ascii="Arial" w:hAnsi="Arial"/>
      <w:b/>
      <w:bCs/>
      <w:snapToGrid w:val="0"/>
      <w:sz w:val="28"/>
      <w:lang w:eastAsia="en-US"/>
    </w:rPr>
  </w:style>
  <w:style w:type="paragraph" w:customStyle="1" w:styleId="RollCallTable">
    <w:name w:val="RollCallTable"/>
    <w:basedOn w:val="Normal"/>
    <w:rsid w:val="0053560F"/>
    <w:pPr>
      <w:spacing w:before="120" w:after="120"/>
    </w:pPr>
    <w:rPr>
      <w:snapToGrid w:val="0"/>
      <w:sz w:val="16"/>
      <w:lang w:eastAsia="en-US"/>
    </w:rPr>
  </w:style>
  <w:style w:type="character" w:customStyle="1" w:styleId="UnresolvedMention">
    <w:name w:val="Unresolved Mention"/>
    <w:basedOn w:val="DefaultParagraphFont"/>
    <w:uiPriority w:val="99"/>
    <w:semiHidden/>
    <w:unhideWhenUsed/>
    <w:rsid w:val="00337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reg/2024/301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2795C-AEE2-48DD-83A2-F4CB9956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10907</Words>
  <Characters>62176</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72938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European Parliament</dc:creator>
  <cp:lastModifiedBy>European Parliament</cp:lastModifiedBy>
  <cp:revision>2</cp:revision>
  <cp:lastPrinted>2026-09-15T12:42:00Z</cp:lastPrinted>
  <dcterms:created xsi:type="dcterms:W3CDTF">2026-09-30T14:36:00Z</dcterms:created>
  <dcterms:modified xsi:type="dcterms:W3CDTF">2026-09-30T14:36:00Z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1350835</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\\eiciBRUpr1\pdocep$\DocEP\TRANSFIL\EN\PR_INI_RecommCFSP.EN(14/08/2024 20:08:08)</vt:lpwstr>
  </property>
  <property fmtid="{D5CDD505-2E9C-101B-9397-08002B2CF9AE}" pid="7" name="&lt;Type&gt;">
    <vt:lpwstr>RR</vt:lpwstr>
  </property>
  <property fmtid="{D5CDD505-2E9C-101B-9397-08002B2CF9AE}" pid="8" name="Bookout">
    <vt:lpwstr>OK - 2026/09/30 16:33</vt:lpwstr>
  </property>
  <property fmtid="{D5CDD505-2E9C-101B-9397-08002B2CF9AE}" pid="9" name="Created with">
    <vt:lpwstr>10.2.0 Build [20251001]</vt:lpwstr>
  </property>
  <property fmtid="{D5CDD505-2E9C-101B-9397-08002B2CF9AE}" pid="10" name="FooterPath">
    <vt:lpwstr>RR\1350835FR.docx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775.469</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