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6B722CF" w14:textId="77777777" w:rsidTr="00C85D0F">
        <w:tblPrEx>
          <w:tblW w:w="9072" w:type="dxa"/>
          <w:tblCellMar>
            <w:left w:w="0" w:type="dxa"/>
            <w:right w:w="0" w:type="dxa"/>
          </w:tblCellMar>
          <w:tblLook w:val="01E0"/>
        </w:tblPrEx>
        <w:trPr>
          <w:trHeight w:hRule="exact" w:val="1418"/>
        </w:trPr>
        <w:tc>
          <w:tcPr>
            <w:tcW w:w="6804" w:type="dxa"/>
            <w:vAlign w:val="center"/>
          </w:tcPr>
          <w:p w:rsidR="00E96B4F" w:rsidRPr="00215171" w:rsidP="00C85D0F" w14:paraId="275308DB" w14:textId="77777777">
            <w:pPr>
              <w:pStyle w:val="EPName"/>
            </w:pPr>
            <w:r w:rsidRPr="00215171">
              <w:t>European Parliament</w:t>
            </w:r>
          </w:p>
          <w:p w:rsidR="00E96B4F" w:rsidRPr="00215171" w:rsidP="00C85D0F" w14:paraId="378783BD" w14:textId="10FA710B">
            <w:pPr>
              <w:pStyle w:val="EPTerm"/>
            </w:pPr>
            <w:r w:rsidRPr="00215171">
              <w:t>2024-2029</w:t>
            </w:r>
          </w:p>
        </w:tc>
        <w:tc>
          <w:tcPr>
            <w:tcW w:w="2268" w:type="dxa"/>
          </w:tcPr>
          <w:p w:rsidR="00E96B4F" w:rsidRPr="00215171" w:rsidP="00C85D0F" w14:paraId="64D5BCC1" w14:textId="77777777">
            <w:pPr>
              <w:pStyle w:val="EPLogo"/>
            </w:pPr>
            <w:r w:rsidRPr="0021517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35917"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215171" w:rsidP="00D461B7" w14:paraId="6ABF5236" w14:textId="77777777">
      <w:pPr>
        <w:pStyle w:val="LineTop"/>
      </w:pPr>
    </w:p>
    <w:p w:rsidR="00D461B7" w:rsidRPr="00215171" w:rsidP="00D461B7" w14:paraId="48C1DAED" w14:textId="40B60B16">
      <w:pPr>
        <w:pStyle w:val="EPBody"/>
      </w:pPr>
      <w:r w:rsidRPr="00215171">
        <w:t>Plenary sitting</w:t>
      </w:r>
    </w:p>
    <w:p w:rsidR="00D461B7" w:rsidRPr="00215171" w:rsidP="00D461B7" w14:paraId="4FF892DC" w14:textId="77777777">
      <w:pPr>
        <w:pStyle w:val="LineBottom"/>
      </w:pPr>
    </w:p>
    <w:p w:rsidR="004D2440" w:rsidRPr="00215171" w14:paraId="0E26D6D2" w14:textId="00D89D8C">
      <w:pPr>
        <w:pStyle w:val="CoverReference"/>
        <w:rPr>
          <w:noProof/>
        </w:rPr>
      </w:pPr>
      <w:r w:rsidRPr="00215171">
        <w:rPr>
          <w:rStyle w:val="HideTWBExt"/>
        </w:rPr>
        <w:t>&lt;NoDocSe&gt;</w:t>
      </w:r>
      <w:r w:rsidR="00846E0F">
        <w:t>A10-0241/2026</w:t>
      </w:r>
      <w:r w:rsidRPr="00215171">
        <w:rPr>
          <w:rStyle w:val="HideTWBExt"/>
        </w:rPr>
        <w:t>&lt;/NoDocSe&gt;</w:t>
      </w:r>
    </w:p>
    <w:p w:rsidR="004D2440" w:rsidRPr="00215171" w14:paraId="030BE20D" w14:textId="1AA7E2D9">
      <w:pPr>
        <w:pStyle w:val="CoverDate"/>
        <w:rPr>
          <w:noProof/>
        </w:rPr>
      </w:pPr>
      <w:r w:rsidRPr="00215171">
        <w:rPr>
          <w:rStyle w:val="HideTWBExt"/>
        </w:rPr>
        <w:t>&lt;Date&gt;</w:t>
      </w:r>
      <w:r w:rsidRPr="00215171" w:rsidR="000D4E49">
        <w:rPr>
          <w:rStyle w:val="HideTWBInt"/>
        </w:rPr>
        <w:t>{29/09/2026}</w:t>
      </w:r>
      <w:r w:rsidRPr="00215171" w:rsidR="000D4E49">
        <w:t>29.9.2026</w:t>
      </w:r>
      <w:r w:rsidRPr="00215171">
        <w:rPr>
          <w:rStyle w:val="HideTWBExt"/>
        </w:rPr>
        <w:t>&lt;/Date&gt;</w:t>
      </w:r>
    </w:p>
    <w:p w:rsidR="004D2440" w:rsidRPr="00215171" w14:paraId="79EBC331" w14:textId="6B1A5165">
      <w:pPr>
        <w:pStyle w:val="CoverDocType24a"/>
        <w:rPr>
          <w:noProof/>
        </w:rPr>
      </w:pPr>
      <w:r w:rsidRPr="00215171">
        <w:rPr>
          <w:rStyle w:val="HideTWBExt"/>
          <w:b w:val="0"/>
        </w:rPr>
        <w:t>&lt;TitreType&gt;</w:t>
      </w:r>
      <w:r w:rsidRPr="00215171" w:rsidR="00607B92">
        <w:t>REPORT</w:t>
      </w:r>
      <w:r w:rsidRPr="00215171">
        <w:rPr>
          <w:rStyle w:val="HideTWBExt"/>
          <w:b w:val="0"/>
        </w:rPr>
        <w:t>&lt;/TitreType&gt;</w:t>
      </w:r>
    </w:p>
    <w:p w:rsidR="004D2440" w:rsidRPr="00215171" w14:paraId="64AC3107" w14:textId="043C17B8">
      <w:pPr>
        <w:pStyle w:val="CoverNormal"/>
        <w:rPr>
          <w:noProof/>
        </w:rPr>
      </w:pPr>
      <w:r w:rsidRPr="00215171">
        <w:rPr>
          <w:rStyle w:val="HideTWBExt"/>
        </w:rPr>
        <w:t>&lt;Titre&gt;</w:t>
      </w:r>
      <w:r w:rsidRPr="00215171" w:rsidR="00627AA3">
        <w:rPr>
          <w:noProof/>
        </w:rPr>
        <w:t xml:space="preserve">on the proposal for a decision of the European Parliament and of the Council </w:t>
      </w:r>
      <w:r w:rsidRPr="00215171" w:rsidR="006C7E72">
        <w:t>on the mobilisation of the European Globalisation Adjustment Fund for Displaced Workers following an application from Belgium – EGF/2026/001 BE/Cora</w:t>
      </w:r>
      <w:r w:rsidRPr="00215171">
        <w:rPr>
          <w:rStyle w:val="HideTWBExt"/>
        </w:rPr>
        <w:t>&lt;/Titre&gt;</w:t>
      </w:r>
    </w:p>
    <w:p w:rsidR="004D2440" w:rsidRPr="00215171" w14:paraId="3CE1BE9F" w14:textId="008C5BCA">
      <w:pPr>
        <w:pStyle w:val="CoverNormal24a"/>
        <w:rPr>
          <w:noProof/>
        </w:rPr>
      </w:pPr>
      <w:r w:rsidRPr="00215171">
        <w:rPr>
          <w:rStyle w:val="HideTWBExt"/>
        </w:rPr>
        <w:t>&lt;DocRef&gt;</w:t>
      </w:r>
      <w:r w:rsidRPr="00215171" w:rsidR="00627AA3">
        <w:rPr>
          <w:noProof/>
        </w:rPr>
        <w:t>(COM</w:t>
      </w:r>
      <w:r w:rsidRPr="00215171" w:rsidR="006C7E72">
        <w:t>(2026)0155</w:t>
      </w:r>
      <w:r w:rsidRPr="00215171" w:rsidR="00627AA3">
        <w:rPr>
          <w:noProof/>
        </w:rPr>
        <w:t xml:space="preserve"> </w:t>
      </w:r>
      <w:r w:rsidRPr="00215171" w:rsidR="006C7E72">
        <w:t>–</w:t>
      </w:r>
      <w:r w:rsidRPr="00215171" w:rsidR="00627AA3">
        <w:rPr>
          <w:noProof/>
        </w:rPr>
        <w:t xml:space="preserve"> </w:t>
      </w:r>
      <w:r w:rsidRPr="00215171" w:rsidR="006C7E72">
        <w:t>C10</w:t>
      </w:r>
      <w:r w:rsidRPr="00215171" w:rsidR="006C7E72">
        <w:noBreakHyphen/>
        <w:t>0200/2026</w:t>
      </w:r>
      <w:r w:rsidRPr="00215171" w:rsidR="00627AA3">
        <w:rPr>
          <w:noProof/>
        </w:rPr>
        <w:t xml:space="preserve"> </w:t>
      </w:r>
      <w:r w:rsidRPr="00215171" w:rsidR="006C7E72">
        <w:t>–</w:t>
      </w:r>
      <w:r w:rsidRPr="00215171" w:rsidR="00627AA3">
        <w:rPr>
          <w:noProof/>
        </w:rPr>
        <w:t xml:space="preserve"> </w:t>
      </w:r>
      <w:r w:rsidRPr="00215171" w:rsidR="006C7E72">
        <w:t>2026/0197</w:t>
      </w:r>
      <w:r w:rsidRPr="00215171" w:rsidR="00627AA3">
        <w:rPr>
          <w:noProof/>
        </w:rPr>
        <w:t>(BUD))</w:t>
      </w:r>
      <w:r w:rsidRPr="00215171">
        <w:rPr>
          <w:rStyle w:val="HideTWBExt"/>
        </w:rPr>
        <w:t>&lt;/DocRef&gt;</w:t>
      </w:r>
    </w:p>
    <w:p w:rsidR="004D2440" w:rsidRPr="00215171" w14:paraId="3B5AB4E0" w14:textId="77777777">
      <w:pPr>
        <w:pStyle w:val="CoverNormal24a"/>
        <w:rPr>
          <w:noProof/>
        </w:rPr>
      </w:pPr>
      <w:r w:rsidRPr="00215171">
        <w:rPr>
          <w:rStyle w:val="HideTWBExt"/>
        </w:rPr>
        <w:t>&lt;Commission&gt;</w:t>
      </w:r>
      <w:r w:rsidRPr="00215171">
        <w:rPr>
          <w:rStyle w:val="HideTWBInt"/>
          <w:noProof/>
        </w:rPr>
        <w:t>{BUDG}</w:t>
      </w:r>
      <w:r w:rsidRPr="00215171" w:rsidR="00627AA3">
        <w:rPr>
          <w:noProof/>
        </w:rPr>
        <w:t>Committee on Budgets</w:t>
      </w:r>
      <w:r w:rsidRPr="00215171">
        <w:rPr>
          <w:rStyle w:val="HideTWBExt"/>
        </w:rPr>
        <w:t>&lt;/Commission&gt;</w:t>
      </w:r>
    </w:p>
    <w:p w:rsidR="004D2440" w:rsidRPr="00846E0F" w14:paraId="21D9CA6C" w14:textId="38925C12">
      <w:pPr>
        <w:pStyle w:val="CoverNormal24a"/>
        <w:rPr>
          <w:noProof/>
          <w:lang w:val="da-DK"/>
        </w:rPr>
      </w:pPr>
      <w:r w:rsidRPr="00846E0F">
        <w:rPr>
          <w:noProof/>
          <w:lang w:val="da-DK"/>
        </w:rPr>
        <w:t>Rapporteur:</w:t>
      </w:r>
      <w:r w:rsidRPr="00846E0F">
        <w:rPr>
          <w:noProof/>
          <w:lang w:val="da-DK"/>
        </w:rPr>
        <w:t xml:space="preserve"> </w:t>
      </w:r>
      <w:r w:rsidRPr="00846E0F">
        <w:rPr>
          <w:rStyle w:val="HideTWBExt"/>
          <w:lang w:val="da-DK"/>
        </w:rPr>
        <w:t>&lt;Depute&gt;</w:t>
      </w:r>
      <w:r w:rsidRPr="00846E0F" w:rsidR="006C7E72">
        <w:rPr>
          <w:lang w:val="da-DK"/>
        </w:rPr>
        <w:t>Hélder Sousa Silva</w:t>
      </w:r>
      <w:r w:rsidRPr="00846E0F">
        <w:rPr>
          <w:rStyle w:val="HideTWBExt"/>
          <w:lang w:val="da-DK"/>
        </w:rPr>
        <w:t>&lt;/Depute&gt;</w:t>
      </w:r>
    </w:p>
    <w:p w:rsidR="0058028A" w:rsidRPr="00846E0F" w:rsidP="0058028A" w14:paraId="3B374AEE" w14:textId="77777777">
      <w:pPr>
        <w:pStyle w:val="CoverNormal"/>
        <w:rPr>
          <w:noProof/>
          <w:lang w:val="da-DK"/>
        </w:rPr>
      </w:pPr>
    </w:p>
    <w:p w:rsidR="004D2440" w:rsidRPr="00846E0F" w:rsidP="00300158" w14:paraId="5342610E" w14:textId="77777777">
      <w:pPr>
        <w:widowControl/>
        <w:tabs>
          <w:tab w:val="center" w:pos="4677"/>
        </w:tabs>
        <w:rPr>
          <w:noProof/>
          <w:lang w:val="da-DK"/>
        </w:rPr>
      </w:pPr>
      <w:r w:rsidRPr="00846E0F">
        <w:rPr>
          <w:noProof/>
          <w:lang w:val="da-DK"/>
        </w:rPr>
        <w:br w:type="page"/>
      </w:r>
      <w:r w:rsidRPr="00846E0F" w:rsidR="00627AA3">
        <w:rPr>
          <w:noProof/>
          <w:lang w:val="da-DK"/>
        </w:rPr>
        <w:t>PR_BUD_Funds</w:t>
      </w:r>
    </w:p>
    <w:p w:rsidR="004D2440" w:rsidRPr="00215171" w14:paraId="349232B3" w14:textId="77777777">
      <w:pPr>
        <w:pStyle w:val="TOCHeading"/>
        <w:rPr>
          <w:noProof/>
        </w:rPr>
      </w:pPr>
      <w:r w:rsidRPr="00215171">
        <w:rPr>
          <w:noProof/>
        </w:rPr>
        <w:t>CONTENTS</w:t>
      </w:r>
    </w:p>
    <w:p w:rsidR="004D2440" w:rsidRPr="00215171" w14:paraId="67AFC3FB" w14:textId="77777777">
      <w:pPr>
        <w:pStyle w:val="TOCPage"/>
        <w:rPr>
          <w:noProof/>
        </w:rPr>
      </w:pPr>
      <w:r w:rsidRPr="00215171">
        <w:rPr>
          <w:noProof/>
        </w:rPr>
        <w:t>Page</w:t>
      </w:r>
    </w:p>
    <w:p w:rsidR="00360013" w14:paraId="38931A27" w14:textId="0C17ABF7">
      <w:pPr>
        <w:pStyle w:val="TOC1"/>
        <w:tabs>
          <w:tab w:val="right" w:leader="dot" w:pos="9060"/>
        </w:tabs>
        <w:rPr>
          <w:rFonts w:asciiTheme="minorHAnsi" w:eastAsiaTheme="minorEastAsia" w:hAnsiTheme="minorHAnsi" w:cstheme="minorBidi"/>
          <w:noProof/>
          <w:kern w:val="2"/>
          <w:szCs w:val="24"/>
          <w14:ligatures w14:val="standardContextual"/>
        </w:rPr>
      </w:pPr>
      <w:r>
        <w:rPr>
          <w:noProof/>
        </w:rPr>
        <w:fldChar w:fldCharType="begin"/>
      </w:r>
      <w:r>
        <w:rPr>
          <w:noProof/>
        </w:rPr>
        <w:instrText xml:space="preserve"> TOC \o "1-3" \t "PageHeading,1" </w:instrText>
      </w:r>
      <w:r>
        <w:rPr>
          <w:noProof/>
        </w:rPr>
        <w:fldChar w:fldCharType="separate"/>
      </w:r>
      <w:r>
        <w:rPr>
          <w:noProof/>
        </w:rPr>
        <w:t>MOTION FOR A EUROPEAN PARLIAMENT RESOLUTION</w:t>
      </w:r>
      <w:r>
        <w:rPr>
          <w:noProof/>
        </w:rPr>
        <w:tab/>
      </w:r>
      <w:r>
        <w:rPr>
          <w:noProof/>
        </w:rPr>
        <w:fldChar w:fldCharType="begin"/>
      </w:r>
      <w:r>
        <w:rPr>
          <w:noProof/>
        </w:rPr>
        <w:instrText xml:space="preserve"> PAGEREF _Toc241576514 \h </w:instrText>
      </w:r>
      <w:r>
        <w:rPr>
          <w:noProof/>
        </w:rPr>
        <w:fldChar w:fldCharType="separate"/>
      </w:r>
      <w:r>
        <w:rPr>
          <w:noProof/>
        </w:rPr>
        <w:t>3</w:t>
      </w:r>
      <w:r>
        <w:rPr>
          <w:noProof/>
        </w:rPr>
        <w:fldChar w:fldCharType="end"/>
      </w:r>
    </w:p>
    <w:p w:rsidR="00360013" w14:paraId="7E5F2A4C" w14:textId="68175876">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DECISION OF THE EUROPEAN PARLIAMENT AND OF THE COUNCIL</w:t>
      </w:r>
      <w:r>
        <w:rPr>
          <w:noProof/>
        </w:rPr>
        <w:tab/>
      </w:r>
      <w:r>
        <w:rPr>
          <w:noProof/>
        </w:rPr>
        <w:fldChar w:fldCharType="begin"/>
      </w:r>
      <w:r>
        <w:rPr>
          <w:noProof/>
        </w:rPr>
        <w:instrText xml:space="preserve"> PAGEREF _Toc241576515 \h </w:instrText>
      </w:r>
      <w:r>
        <w:rPr>
          <w:noProof/>
        </w:rPr>
        <w:fldChar w:fldCharType="separate"/>
      </w:r>
      <w:r>
        <w:rPr>
          <w:noProof/>
        </w:rPr>
        <w:t>8</w:t>
      </w:r>
      <w:r>
        <w:rPr>
          <w:noProof/>
        </w:rPr>
        <w:fldChar w:fldCharType="end"/>
      </w:r>
    </w:p>
    <w:p w:rsidR="00360013" w14:paraId="23E6A789" w14:textId="1ED4E4B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_Toc241576516 \h </w:instrText>
      </w:r>
      <w:r>
        <w:rPr>
          <w:noProof/>
        </w:rPr>
        <w:fldChar w:fldCharType="separate"/>
      </w:r>
      <w:r>
        <w:rPr>
          <w:noProof/>
        </w:rPr>
        <w:t>10</w:t>
      </w:r>
      <w:r>
        <w:rPr>
          <w:noProof/>
        </w:rPr>
        <w:fldChar w:fldCharType="end"/>
      </w:r>
    </w:p>
    <w:p w:rsidR="00360013" w14:paraId="62B60B68" w14:textId="0DF09B89">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_Toc241576517 \h </w:instrText>
      </w:r>
      <w:r>
        <w:rPr>
          <w:noProof/>
        </w:rPr>
        <w:fldChar w:fldCharType="separate"/>
      </w:r>
      <w:r>
        <w:rPr>
          <w:noProof/>
        </w:rPr>
        <w:t>12</w:t>
      </w:r>
      <w:r>
        <w:rPr>
          <w:noProof/>
        </w:rPr>
        <w:fldChar w:fldCharType="end"/>
      </w:r>
    </w:p>
    <w:p w:rsidR="00360013" w14:paraId="7CE09069" w14:textId="1FF57108">
      <w:pPr>
        <w:pStyle w:val="TOC1"/>
        <w:tabs>
          <w:tab w:val="right" w:leader="dot" w:pos="9060"/>
        </w:tabs>
        <w:rPr>
          <w:rFonts w:asciiTheme="minorHAnsi" w:eastAsiaTheme="minorEastAsia" w:hAnsiTheme="minorHAnsi" w:cstheme="minorBidi"/>
          <w:noProof/>
          <w:kern w:val="2"/>
          <w:szCs w:val="24"/>
          <w14:ligatures w14:val="standardContextual"/>
        </w:rPr>
      </w:pPr>
      <w:r>
        <w:rPr>
          <w:noProof/>
        </w:rPr>
        <w:t>LETTER OF THE COMMITTEE ON EMPLOYMENT AND SOCIAL AFFAIRS</w:t>
      </w:r>
      <w:r>
        <w:rPr>
          <w:noProof/>
        </w:rPr>
        <w:tab/>
      </w:r>
      <w:r>
        <w:rPr>
          <w:noProof/>
        </w:rPr>
        <w:fldChar w:fldCharType="begin"/>
      </w:r>
      <w:r>
        <w:rPr>
          <w:noProof/>
        </w:rPr>
        <w:instrText xml:space="preserve"> PAGEREF _Toc241576518 \h </w:instrText>
      </w:r>
      <w:r>
        <w:rPr>
          <w:noProof/>
        </w:rPr>
        <w:fldChar w:fldCharType="separate"/>
      </w:r>
      <w:r>
        <w:rPr>
          <w:noProof/>
        </w:rPr>
        <w:t>13</w:t>
      </w:r>
      <w:r>
        <w:rPr>
          <w:noProof/>
        </w:rPr>
        <w:fldChar w:fldCharType="end"/>
      </w:r>
    </w:p>
    <w:p w:rsidR="00360013" w14:paraId="4E11011B" w14:textId="1ED8757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_Toc241576519 \h </w:instrText>
      </w:r>
      <w:r>
        <w:rPr>
          <w:noProof/>
        </w:rPr>
        <w:fldChar w:fldCharType="separate"/>
      </w:r>
      <w:r>
        <w:rPr>
          <w:noProof/>
        </w:rPr>
        <w:t>17</w:t>
      </w:r>
      <w:r>
        <w:rPr>
          <w:noProof/>
        </w:rPr>
        <w:fldChar w:fldCharType="end"/>
      </w:r>
    </w:p>
    <w:p w:rsidR="00360013" w14:paraId="7D645779" w14:textId="3C34AC3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_Toc241576520 \h </w:instrText>
      </w:r>
      <w:r>
        <w:rPr>
          <w:noProof/>
        </w:rPr>
        <w:fldChar w:fldCharType="separate"/>
      </w:r>
      <w:r>
        <w:rPr>
          <w:noProof/>
        </w:rPr>
        <w:t>18</w:t>
      </w:r>
      <w:r>
        <w:rPr>
          <w:noProof/>
        </w:rPr>
        <w:fldChar w:fldCharType="end"/>
      </w:r>
    </w:p>
    <w:p w:rsidR="004D2440" w:rsidRPr="00215171" w:rsidP="006E4E08" w14:paraId="7E54EAD6" w14:textId="0D7CC807">
      <w:pPr>
        <w:rPr>
          <w:noProof/>
        </w:rPr>
      </w:pPr>
      <w:r>
        <w:rPr>
          <w:noProof/>
        </w:rPr>
        <w:fldChar w:fldCharType="end"/>
      </w:r>
    </w:p>
    <w:p w:rsidR="004D2440" w:rsidRPr="00215171" w14:paraId="1AC20AF5" w14:textId="77777777">
      <w:pPr>
        <w:pStyle w:val="PageHeading"/>
        <w:rPr>
          <w:noProof/>
        </w:rPr>
      </w:pPr>
      <w:r w:rsidRPr="00215171">
        <w:rPr>
          <w:noProof/>
        </w:rPr>
        <w:br w:type="page"/>
      </w:r>
      <w:bookmarkStart w:id="0" w:name="_Toc241576514"/>
      <w:r w:rsidRPr="00215171" w:rsidR="00627AA3">
        <w:rPr>
          <w:noProof/>
        </w:rPr>
        <w:t>MOTION FOR A EUROPEAN PARLIAMENT RESOLUTION</w:t>
      </w:r>
      <w:bookmarkEnd w:id="0"/>
    </w:p>
    <w:p w:rsidR="004D2440" w:rsidRPr="00215171" w14:paraId="212B0C2F" w14:textId="047207C8">
      <w:pPr>
        <w:pStyle w:val="NormalBold"/>
        <w:rPr>
          <w:noProof/>
        </w:rPr>
      </w:pPr>
      <w:r w:rsidRPr="00215171">
        <w:rPr>
          <w:noProof/>
        </w:rPr>
        <w:t xml:space="preserve">on the proposal for a decision of the European Parliament and of the Council </w:t>
      </w:r>
      <w:r w:rsidRPr="00215171" w:rsidR="006C7E72">
        <w:t>on the mobilisation of the European Globalisation Adjustment Fund for Displaced Workers following an application from Belgium – EGF/2026/001 BE/Cora</w:t>
      </w:r>
    </w:p>
    <w:p w:rsidR="004D2440" w:rsidRPr="00215171" w:rsidP="006E4E08" w14:paraId="0B7F1CE0" w14:textId="1A645CB5">
      <w:pPr>
        <w:pStyle w:val="NormalBold"/>
        <w:rPr>
          <w:noProof/>
        </w:rPr>
      </w:pPr>
      <w:r w:rsidRPr="00215171">
        <w:rPr>
          <w:noProof/>
        </w:rPr>
        <w:t>(COM</w:t>
      </w:r>
      <w:r w:rsidRPr="00215171" w:rsidR="006C7E72">
        <w:t>(2026)0155</w:t>
      </w:r>
      <w:r w:rsidRPr="00215171">
        <w:rPr>
          <w:noProof/>
        </w:rPr>
        <w:t xml:space="preserve"> </w:t>
      </w:r>
      <w:r w:rsidRPr="00215171" w:rsidR="006C7E72">
        <w:t>–</w:t>
      </w:r>
      <w:r w:rsidRPr="00215171">
        <w:rPr>
          <w:noProof/>
        </w:rPr>
        <w:t xml:space="preserve"> </w:t>
      </w:r>
      <w:r w:rsidRPr="00215171" w:rsidR="006C7E72">
        <w:t>C10</w:t>
      </w:r>
      <w:r w:rsidRPr="00215171" w:rsidR="006C7E72">
        <w:noBreakHyphen/>
        <w:t>0200/2026</w:t>
      </w:r>
      <w:r w:rsidRPr="00215171">
        <w:rPr>
          <w:noProof/>
        </w:rPr>
        <w:t xml:space="preserve"> </w:t>
      </w:r>
      <w:r w:rsidRPr="00215171" w:rsidR="006C7E72">
        <w:t>–</w:t>
      </w:r>
      <w:r w:rsidRPr="00215171">
        <w:rPr>
          <w:noProof/>
        </w:rPr>
        <w:t xml:space="preserve"> </w:t>
      </w:r>
      <w:r w:rsidRPr="00215171" w:rsidR="006C7E72">
        <w:t>2026/0197</w:t>
      </w:r>
      <w:r w:rsidRPr="00215171">
        <w:rPr>
          <w:noProof/>
        </w:rPr>
        <w:t>(BUD))</w:t>
      </w:r>
    </w:p>
    <w:p w:rsidR="004D2440" w:rsidRPr="00215171" w:rsidP="006E4E08" w14:paraId="268380E3" w14:textId="77777777">
      <w:pPr>
        <w:pStyle w:val="EPComma"/>
        <w:rPr>
          <w:noProof/>
        </w:rPr>
      </w:pPr>
      <w:r w:rsidRPr="00215171">
        <w:rPr>
          <w:i/>
          <w:noProof/>
        </w:rPr>
        <w:t>The European Parliament</w:t>
      </w:r>
      <w:r w:rsidRPr="00215171">
        <w:rPr>
          <w:noProof/>
        </w:rPr>
        <w:t>,</w:t>
      </w:r>
    </w:p>
    <w:p w:rsidR="00E75330" w:rsidRPr="00215171" w:rsidP="00E75330" w14:paraId="64B31A02" w14:textId="03B6B6CC">
      <w:pPr>
        <w:pStyle w:val="NormalHanging12a"/>
        <w:rPr>
          <w:noProof/>
        </w:rPr>
      </w:pPr>
      <w:r w:rsidRPr="00215171">
        <w:rPr>
          <w:noProof/>
        </w:rPr>
        <w:t>–</w:t>
      </w:r>
      <w:r w:rsidRPr="00215171">
        <w:rPr>
          <w:noProof/>
        </w:rPr>
        <w:tab/>
      </w:r>
      <w:r w:rsidRPr="00215171">
        <w:rPr>
          <w:noProof/>
        </w:rPr>
        <w:t>having regard to the Commission proposal to the European Parliament and the Council (COM</w:t>
      </w:r>
      <w:r w:rsidRPr="00215171">
        <w:t>(2026)0155</w:t>
      </w:r>
      <w:r w:rsidRPr="00215171">
        <w:rPr>
          <w:noProof/>
        </w:rPr>
        <w:t xml:space="preserve"> </w:t>
      </w:r>
      <w:r w:rsidRPr="00215171">
        <w:t>–</w:t>
      </w:r>
      <w:r w:rsidRPr="00215171">
        <w:rPr>
          <w:noProof/>
        </w:rPr>
        <w:t xml:space="preserve"> </w:t>
      </w:r>
      <w:r w:rsidRPr="00215171">
        <w:t>C10</w:t>
      </w:r>
      <w:r w:rsidRPr="00215171">
        <w:noBreakHyphen/>
        <w:t>0200/2026</w:t>
      </w:r>
      <w:r w:rsidRPr="00215171">
        <w:rPr>
          <w:noProof/>
        </w:rPr>
        <w:t>),</w:t>
      </w:r>
    </w:p>
    <w:p w:rsidR="00E75330" w:rsidRPr="00215171" w:rsidP="00E75330" w14:paraId="45F99A97" w14:textId="77777777">
      <w:pPr>
        <w:pStyle w:val="NormalHanging12a"/>
      </w:pPr>
      <w:r w:rsidRPr="00215171">
        <w:rPr>
          <w:noProof/>
        </w:rPr>
        <w:t>–</w:t>
      </w:r>
      <w:r w:rsidRPr="00215171">
        <w:rPr>
          <w:noProof/>
        </w:rPr>
        <w:tab/>
      </w:r>
      <w:r w:rsidRPr="00215171">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2"/>
      </w:r>
      <w:r w:rsidRPr="00215171">
        <w:t xml:space="preserve"> ("EGF Regulation"), as amended by Regulation (EU) 2026/1139</w:t>
      </w:r>
      <w:r>
        <w:rPr>
          <w:rStyle w:val="FootnoteReference"/>
        </w:rPr>
        <w:footnoteReference w:id="3"/>
      </w:r>
      <w:r w:rsidRPr="00215171">
        <w:t xml:space="preserve">, </w:t>
      </w:r>
    </w:p>
    <w:p w:rsidR="00E75330" w:rsidRPr="00215171" w:rsidP="00E75330" w14:paraId="13AC60DC" w14:textId="77777777">
      <w:pPr>
        <w:pStyle w:val="NormalHanging12a"/>
        <w:rPr>
          <w:noProof/>
        </w:rPr>
      </w:pPr>
      <w:r w:rsidRPr="00215171">
        <w:rPr>
          <w:noProof/>
        </w:rPr>
        <w:t>–</w:t>
      </w:r>
      <w:r w:rsidRPr="00215171">
        <w:rPr>
          <w:noProof/>
        </w:rPr>
        <w:tab/>
        <w:t>having regard to Council Regulation (EU, Euratom) 2020/2093 of 17 December 2020 laying down the multiannual financial framework for the years 2021-2027</w:t>
      </w:r>
      <w:r>
        <w:rPr>
          <w:noProof/>
          <w:vertAlign w:val="superscript"/>
        </w:rPr>
        <w:footnoteReference w:id="4"/>
      </w:r>
      <w:r w:rsidRPr="00215171">
        <w:rPr>
          <w:noProof/>
        </w:rPr>
        <w:t>, as amended by Regulation (EU, Euratom) 2024/765</w:t>
      </w:r>
      <w:r>
        <w:rPr>
          <w:noProof/>
          <w:vertAlign w:val="superscript"/>
        </w:rPr>
        <w:footnoteReference w:id="5"/>
      </w:r>
      <w:r w:rsidRPr="00215171">
        <w:rPr>
          <w:noProof/>
        </w:rPr>
        <w:t xml:space="preserve">, and in particular Article 8 thereof, </w:t>
      </w:r>
    </w:p>
    <w:p w:rsidR="00E75330" w:rsidRPr="00215171" w:rsidP="00E75330" w14:paraId="570C8EC5" w14:textId="77777777">
      <w:pPr>
        <w:pStyle w:val="NormalHanging12a"/>
        <w:rPr>
          <w:noProof/>
        </w:rPr>
      </w:pPr>
      <w:r w:rsidRPr="00215171">
        <w:rPr>
          <w:noProof/>
        </w:rPr>
        <w:t>–</w:t>
      </w:r>
      <w:r w:rsidRPr="00215171">
        <w:rPr>
          <w:noProof/>
        </w:rPr>
        <w:tab/>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6"/>
      </w:r>
      <w:r w:rsidRPr="00215171">
        <w:rPr>
          <w:noProof/>
        </w:rPr>
        <w:t xml:space="preserve">, and in particular point </w:t>
      </w:r>
      <w:r w:rsidRPr="00215171">
        <w:t>9</w:t>
      </w:r>
      <w:r w:rsidRPr="00215171">
        <w:rPr>
          <w:noProof/>
        </w:rPr>
        <w:t xml:space="preserve"> thereof,</w:t>
      </w:r>
    </w:p>
    <w:p w:rsidR="00E75330" w:rsidRPr="00215171" w:rsidP="00E75330" w14:paraId="17CDF3E9" w14:textId="77777777">
      <w:pPr>
        <w:pStyle w:val="NormalHanging12a"/>
      </w:pPr>
      <w:r w:rsidRPr="00215171">
        <w:t>–</w:t>
      </w:r>
      <w:r w:rsidRPr="00215171">
        <w:tab/>
        <w:t>having regard to the European Pillar of Social Rights,</w:t>
      </w:r>
    </w:p>
    <w:p w:rsidR="00E75330" w:rsidRPr="00215171" w:rsidP="00E75330" w14:paraId="5312EB0A" w14:textId="77777777">
      <w:pPr>
        <w:pStyle w:val="NormalHanging12a"/>
      </w:pPr>
      <w:r w:rsidRPr="00215171">
        <w:t>–</w:t>
      </w:r>
      <w:r w:rsidRPr="00215171">
        <w:tab/>
        <w:t>having regard to the letter from the Committee on Employment and Social Affairs,</w:t>
      </w:r>
    </w:p>
    <w:p w:rsidR="00E75330" w:rsidRPr="00215171" w:rsidP="00E75330" w14:paraId="17CFBDB8" w14:textId="2E151C34">
      <w:pPr>
        <w:pStyle w:val="NormalHanging12a"/>
      </w:pPr>
      <w:r w:rsidRPr="00215171">
        <w:t>–</w:t>
      </w:r>
      <w:r w:rsidRPr="00215171">
        <w:tab/>
        <w:t>having regard to the report of the Committee on Budgets (</w:t>
      </w:r>
      <w:r w:rsidR="00846E0F">
        <w:t>A10-0241/2026</w:t>
      </w:r>
      <w:r w:rsidRPr="00215171">
        <w:t>),</w:t>
      </w:r>
    </w:p>
    <w:p w:rsidR="00E75330" w:rsidRPr="00215171" w:rsidP="00C86C38" w14:paraId="17AE0294" w14:textId="3D891C60">
      <w:pPr>
        <w:pStyle w:val="NormalHanging12a"/>
        <w:rPr>
          <w:noProof/>
        </w:rPr>
      </w:pPr>
      <w:r w:rsidRPr="00215171">
        <w:rPr>
          <w:noProof/>
        </w:rPr>
        <w:t>A.</w:t>
      </w:r>
      <w:r w:rsidRPr="00215171">
        <w:rPr>
          <w:noProof/>
        </w:rPr>
        <w:tab/>
      </w:r>
      <w:r w:rsidRPr="00215171">
        <w:rPr>
          <w:noProof/>
        </w:rPr>
        <w:t xml:space="preserve">whereas the Union has set up legislative and budgetary instruments to provide additional support to workers who are suffering from the consequences of major structural events and changes in world trade patterns or who are affected by imminent job displacement in enterprises undergoing restructuring, to assist their rapid </w:t>
      </w:r>
      <w:r w:rsidRPr="00215171" w:rsidR="00667D21">
        <w:rPr>
          <w:noProof/>
        </w:rPr>
        <w:t xml:space="preserve">and sustainable </w:t>
      </w:r>
      <w:r w:rsidRPr="00215171">
        <w:rPr>
          <w:noProof/>
        </w:rPr>
        <w:t>reintegration into the labour market or their career transitions and to provide training</w:t>
      </w:r>
      <w:r w:rsidRPr="00215171" w:rsidR="00667D21">
        <w:rPr>
          <w:noProof/>
        </w:rPr>
        <w:t>, retraining and vocational training</w:t>
      </w:r>
      <w:r w:rsidRPr="00215171">
        <w:rPr>
          <w:noProof/>
        </w:rPr>
        <w:t xml:space="preserve"> to better equip workers with skills aligned to the labour market needs; whereas this assistance is made through a financial support given to workers;</w:t>
      </w:r>
      <w:r w:rsidRPr="00215171" w:rsidR="00667D21">
        <w:rPr>
          <w:noProof/>
        </w:rPr>
        <w:t xml:space="preserve"> whereas the support should be directed to the rapid reintegration of workers into quality employment;</w:t>
      </w:r>
    </w:p>
    <w:p w:rsidR="00E75330" w:rsidRPr="00215171" w:rsidP="00E75330" w14:paraId="09A5AD3A" w14:textId="77777777">
      <w:pPr>
        <w:pStyle w:val="NormalHanging12a"/>
      </w:pPr>
      <w:r w:rsidRPr="00215171">
        <w:t>B.</w:t>
      </w:r>
      <w:r w:rsidRPr="00215171">
        <w:tab/>
        <w:t>whereas Belgium submitted application EGF/2026/001 BE/Cora for a financial contribution from the EGF following 1 257 displacements</w:t>
      </w:r>
      <w:r>
        <w:rPr>
          <w:vertAlign w:val="superscript"/>
        </w:rPr>
        <w:footnoteReference w:id="7"/>
      </w:r>
      <w:r w:rsidRPr="00215171">
        <w:t xml:space="preserve"> in the economic sectors classified under the NACE Revision 2 divisions 47 (Retail trade) and 49 (Land transport) in the Region of Bruxelles Capitale (BE10) and Provinces of Hainaut (BE32), Liége (BE33) and Luxembourg (BE34), with 662 total displacements within a reference period from 1 September 2025 to 1 January 2026, consisting of 621 displaced workers from Cora SA (Cora) and 41 from the supplier STEF Logistics Courcelles, and 595 displacements outside the reference period;</w:t>
      </w:r>
    </w:p>
    <w:p w:rsidR="00E75330" w:rsidRPr="00215171" w:rsidP="00E75330" w14:paraId="33F34C28" w14:textId="77777777">
      <w:pPr>
        <w:pStyle w:val="NormalHanging12a"/>
      </w:pPr>
      <w:r w:rsidRPr="00215171">
        <w:t>C.</w:t>
      </w:r>
      <w:r w:rsidRPr="00215171">
        <w:tab/>
        <w:t>whereas the application is based on the intervention criteria of Article 4(2), point (a), of the EGF Regulation; whereas for the 595 displacements whose activity ceased before or after the four-month reference period, a clear causal link can be established with the event that triggered the cessation of activity for the displaced workers during the reference period, in accordance with Article 6 of the EGF Regulation;</w:t>
      </w:r>
    </w:p>
    <w:p w:rsidR="00E75330" w:rsidRPr="00215171" w:rsidP="00E75330" w14:paraId="17BD7C51" w14:textId="3D250A6E">
      <w:pPr>
        <w:pStyle w:val="NormalHanging12a"/>
        <w:rPr>
          <w:noProof/>
        </w:rPr>
      </w:pPr>
      <w:r w:rsidRPr="00215171">
        <w:rPr>
          <w:noProof/>
        </w:rPr>
        <w:t>D.</w:t>
      </w:r>
      <w:r w:rsidRPr="00215171">
        <w:rPr>
          <w:noProof/>
        </w:rPr>
        <w:tab/>
        <w:t>whereas Cora, despite numerous measures over the past decade to strengthen its financial position, has been forced into progressive down-sizing and successive waves of collective redundancies since September 2025; whereas these developments take place against a broader backdrop of profound changes in the retail sector, including the rapid growth of e-commerce, intensifying competition from non-EU online retailers, including Chinese platforms, and increased pressure on non European retailers from lower-cost competitors that may not be subject to equivalent regulatory and production standards;</w:t>
      </w:r>
      <w:r w:rsidRPr="00215171" w:rsidR="00CD0566">
        <w:rPr>
          <w:noProof/>
        </w:rPr>
        <w:t xml:space="preserve"> whereas these disruptions disproportionally affect workers in low-wage, part-time and precarious employment;</w:t>
      </w:r>
    </w:p>
    <w:p w:rsidR="00CD0566" w:rsidRPr="00215171" w:rsidP="00E75330" w14:paraId="6C52763D" w14:textId="273EB1AA">
      <w:pPr>
        <w:pStyle w:val="NormalHanging12a"/>
        <w:rPr>
          <w:noProof/>
          <w:szCs w:val="24"/>
        </w:rPr>
      </w:pPr>
      <w:r w:rsidRPr="00215171">
        <w:rPr>
          <w:noProof/>
        </w:rPr>
        <w:t>E</w:t>
      </w:r>
      <w:r w:rsidRPr="00215171">
        <w:rPr>
          <w:noProof/>
        </w:rPr>
        <w:t>.</w:t>
      </w:r>
      <w:r w:rsidRPr="00215171">
        <w:rPr>
          <w:noProof/>
        </w:rPr>
        <w:tab/>
      </w:r>
      <w:r w:rsidRPr="00215171">
        <w:rPr>
          <w:noProof/>
          <w:szCs w:val="24"/>
        </w:rPr>
        <w:t>whereas financial contributions from the EGF should be directed at active labour market policy measures and personalised services that aim to reintegrate beneficiaries rapidly into quality and sustainable employment or support their career transitions while offering them skills training to facilitate their reintegration and strengthen digital literacy;</w:t>
      </w:r>
    </w:p>
    <w:p w:rsidR="00CD0566" w:rsidRPr="00215171" w:rsidP="00E75330" w14:paraId="7E994698" w14:textId="7212E058">
      <w:pPr>
        <w:pStyle w:val="NormalHanging12a"/>
        <w:rPr>
          <w:noProof/>
        </w:rPr>
      </w:pPr>
      <w:r w:rsidRPr="00215171">
        <w:rPr>
          <w:noProof/>
        </w:rPr>
        <w:t>F</w:t>
      </w:r>
      <w:r w:rsidRPr="00215171">
        <w:rPr>
          <w:noProof/>
        </w:rPr>
        <w:t>.</w:t>
      </w:r>
      <w:r w:rsidRPr="00215171">
        <w:rPr>
          <w:noProof/>
        </w:rPr>
        <w:tab/>
      </w:r>
      <w:r w:rsidRPr="00215171">
        <w:rPr>
          <w:noProof/>
          <w:szCs w:val="24"/>
        </w:rPr>
        <w:t>whereas the use of the EGF remains geographically unevenly distributed across the Union with several Member States having never submitted applications for the use of the Fund; whereas greater awareness, appropriate legislative framework, earlier coordination with social partners and enhanced technical assistance for national and regional authorities could ensure visibility and timely and effective access to the EGF for eligible workers and regions affected by major restructuring events;</w:t>
      </w:r>
    </w:p>
    <w:p w:rsidR="00E75330" w:rsidRPr="00215171" w:rsidP="00E75330" w14:paraId="5B56E479" w14:textId="20C4B0CD">
      <w:pPr>
        <w:pStyle w:val="NormalHanging12a"/>
      </w:pPr>
      <w:r w:rsidRPr="00215171">
        <w:t>G</w:t>
      </w:r>
      <w:r w:rsidRPr="00215171">
        <w:t>.</w:t>
      </w:r>
      <w:r w:rsidRPr="00215171">
        <w:tab/>
        <w:t>whereas Le Forem and Région Wallonne are providing the national pre-financing and co-funding of the measures;</w:t>
      </w:r>
    </w:p>
    <w:p w:rsidR="00E75330" w:rsidRPr="00215171" w:rsidP="00E75330" w14:paraId="2F87E6E0" w14:textId="34BF5A14">
      <w:pPr>
        <w:pStyle w:val="NormalHanging12a"/>
      </w:pPr>
      <w:r w:rsidRPr="00215171">
        <w:t>H</w:t>
      </w:r>
      <w:r w:rsidRPr="00215171">
        <w:t>.</w:t>
      </w:r>
      <w:r w:rsidRPr="00215171">
        <w:tab/>
        <w:t>whereas the requirements laid down in Union and national legislation concerning collective redundancies have been complied with;</w:t>
      </w:r>
    </w:p>
    <w:p w:rsidR="00E75330" w:rsidRPr="00215171" w:rsidP="00E75330" w14:paraId="0BB0EEF4" w14:textId="2BEF6E2F">
      <w:pPr>
        <w:pStyle w:val="NormalHanging12a"/>
      </w:pPr>
      <w:r w:rsidRPr="00215171">
        <w:t>I</w:t>
      </w:r>
      <w:r w:rsidRPr="00215171">
        <w:t>.</w:t>
      </w:r>
      <w:r w:rsidRPr="00215171">
        <w:tab/>
        <w:t>whereas the EGF shall not exceed a maximum annual amount of EUR 30 million (in 2018 prices)</w:t>
      </w:r>
      <w:r>
        <w:rPr>
          <w:rStyle w:val="FootnoteReference"/>
        </w:rPr>
        <w:footnoteReference w:id="8"/>
      </w:r>
      <w:r w:rsidRPr="00215171">
        <w:t xml:space="preserve">; </w:t>
      </w:r>
    </w:p>
    <w:p w:rsidR="00E75330" w:rsidRPr="00215171" w:rsidP="00E75330" w14:paraId="1DCBB65F" w14:textId="77777777">
      <w:pPr>
        <w:pStyle w:val="NormalHanging12a"/>
      </w:pPr>
      <w:r w:rsidRPr="00215171">
        <w:t>1.</w:t>
      </w:r>
      <w:r w:rsidRPr="00215171">
        <w:tab/>
        <w:t>Agrees with the Commission that the conditions set out in the EGF Regulation and in particular in Article 4(2), point (a), thereof are met and that Belgium is entitled to a financial contribution of EUR 3 821 460 under that Regulation, which represents 85 % of the total cost of EUR 4 495 836, comprising expenditure for personalised services of EUR 4 441 774 and expenditure for preparatory, management, information and publicity, control and reporting activities of EUR 54 062;</w:t>
      </w:r>
    </w:p>
    <w:p w:rsidR="00E75330" w:rsidRPr="00215171" w:rsidP="00E75330" w14:paraId="0BD325E6" w14:textId="7CD8495E">
      <w:pPr>
        <w:pStyle w:val="NormalHanging12a"/>
        <w:rPr>
          <w:noProof/>
        </w:rPr>
      </w:pPr>
      <w:r w:rsidRPr="00215171">
        <w:t>2.</w:t>
      </w:r>
      <w:r w:rsidRPr="00215171">
        <w:tab/>
        <w:t xml:space="preserve">Notes that the Belgian authorities submitted the application on 25 March 2026, and that, following the receipt of additional information from Belgium, the Commission finalised its assessment on 16 July 2026 and notified it to Parliament on 24 August 2026; </w:t>
      </w:r>
      <w:r w:rsidRPr="00215171" w:rsidR="00080103">
        <w:t xml:space="preserve">stresses the importance of shortening the time between the submission </w:t>
      </w:r>
      <w:r w:rsidRPr="00215171" w:rsidR="00080103">
        <w:rPr>
          <w:szCs w:val="24"/>
        </w:rPr>
        <w:t>of an application for EGF assistance and the financing decision, while fully safeguarding the rights of the European Parliament as one arm of the budgetary authority;</w:t>
      </w:r>
      <w:r w:rsidRPr="00215171">
        <w:t>3.</w:t>
      </w:r>
      <w:r w:rsidRPr="00215171">
        <w:tab/>
      </w:r>
      <w:r w:rsidRPr="00215171">
        <w:rPr>
          <w:noProof/>
        </w:rPr>
        <w:t xml:space="preserve">Notes that the application relates to 1 257 displaced workers </w:t>
      </w:r>
      <w:r w:rsidRPr="00215171" w:rsidR="00080103">
        <w:rPr>
          <w:noProof/>
        </w:rPr>
        <w:t xml:space="preserve">who were made redundant by </w:t>
      </w:r>
      <w:r w:rsidRPr="00215171">
        <w:rPr>
          <w:noProof/>
        </w:rPr>
        <w:t>Cora and one supplier; notes further that 1 010 displaced workers, residing in Wallonia, will be targeted beneficiaries;</w:t>
      </w:r>
    </w:p>
    <w:p w:rsidR="00E75330" w:rsidRPr="00215171" w:rsidP="00E75330" w14:paraId="3E61A40C" w14:textId="48B81CDC">
      <w:pPr>
        <w:pStyle w:val="NormalHanging12a"/>
      </w:pPr>
      <w:r w:rsidRPr="00215171">
        <w:t>4.</w:t>
      </w:r>
      <w:r w:rsidRPr="00215171">
        <w:tab/>
        <w:t>Takes note that Cora, hypermarket retailers, has struggled to adapt to changing consumer habits and intensifying competition, including from the rapid expansion of e-commerce and low-cost non-EU online retailers, with rising operating costs further exacerbating its financial difficulties;</w:t>
      </w:r>
      <w:r w:rsidRPr="00215171" w:rsidR="002A30F7">
        <w:t xml:space="preserve"> recalls the necessity of ensuring a level playing field between European retailers and third-country companies;</w:t>
      </w:r>
      <w:r w:rsidRPr="00215171">
        <w:t xml:space="preserve"> stresses that these developments underline the importance of a strong and competitive European economy and a business-friendly environment that enables companies to adapt to structural change and remain competitive; notes the impact of subsequent redundancies on Wallonia, particularly Hainaut; highlights the need to strengthen </w:t>
      </w:r>
      <w:r w:rsidRPr="00215171" w:rsidR="002A30F7">
        <w:t xml:space="preserve">European </w:t>
      </w:r>
      <w:r w:rsidRPr="00215171">
        <w:t xml:space="preserve">companies’ capacity to </w:t>
      </w:r>
      <w:r w:rsidRPr="00215171" w:rsidR="002A30F7">
        <w:t>anticipate</w:t>
      </w:r>
      <w:r w:rsidRPr="00215171">
        <w:t xml:space="preserve"> and adapt to market changes,</w:t>
      </w:r>
      <w:r w:rsidRPr="00215171" w:rsidR="002A30F7">
        <w:t xml:space="preserve"> while safeguarding quality and sustainable employment and workers’ rights, in order to</w:t>
      </w:r>
      <w:r w:rsidRPr="00215171">
        <w:t xml:space="preserve"> safeguard competitiveness and prevent lay-offs where possible;</w:t>
      </w:r>
      <w:r w:rsidRPr="00215171" w:rsidR="002A30F7">
        <w:t xml:space="preserve"> </w:t>
      </w:r>
      <w:r w:rsidRPr="00215171" w:rsidR="002A30F7">
        <w:rPr>
          <w:szCs w:val="24"/>
        </w:rPr>
        <w:t>advocates for at least part of the workers to be re-employed in the entities opened at the locations in the seven former Cora hypermarkets where 95</w:t>
      </w:r>
      <w:r w:rsidRPr="00215171" w:rsidR="004F049F">
        <w:rPr>
          <w:szCs w:val="24"/>
        </w:rPr>
        <w:t xml:space="preserve"> </w:t>
      </w:r>
      <w:r w:rsidRPr="00215171" w:rsidR="002A30F7">
        <w:rPr>
          <w:szCs w:val="24"/>
        </w:rPr>
        <w:t>% of the retail space is now leased;</w:t>
      </w:r>
    </w:p>
    <w:p w:rsidR="002A30F7" w:rsidRPr="00215171" w:rsidP="002A30F7" w14:paraId="70F1A543" w14:textId="097DF84A">
      <w:pPr>
        <w:pStyle w:val="NormalHanging12a"/>
        <w:rPr>
          <w:szCs w:val="24"/>
        </w:rPr>
      </w:pPr>
      <w:r w:rsidRPr="00215171">
        <w:rPr>
          <w:szCs w:val="24"/>
        </w:rPr>
        <w:t>5</w:t>
      </w:r>
      <w:r w:rsidRPr="00215171">
        <w:rPr>
          <w:szCs w:val="24"/>
        </w:rPr>
        <w:t>.</w:t>
      </w:r>
      <w:r w:rsidRPr="00215171">
        <w:rPr>
          <w:szCs w:val="24"/>
        </w:rPr>
        <w:tab/>
        <w:t>Notes that this case is affecting the Hainaut province, where the unemployment rate remains a concern; highlights the need to prevent structural regional decline and to create high-quality, future-oriented jobs in order to strengthen long-term economic and social resilience; stresses the need for policies that foster industrial competitiveness, social cohesion and regional development;</w:t>
      </w:r>
    </w:p>
    <w:p w:rsidR="004062A9" w:rsidRPr="00215171" w:rsidP="004062A9" w14:paraId="5A8685B3" w14:textId="5A38004F">
      <w:pPr>
        <w:pStyle w:val="NormalHanging12a"/>
        <w:rPr>
          <w:szCs w:val="24"/>
        </w:rPr>
      </w:pPr>
      <w:r w:rsidRPr="00215171">
        <w:rPr>
          <w:szCs w:val="24"/>
        </w:rPr>
        <w:t>6</w:t>
      </w:r>
      <w:r w:rsidRPr="00215171">
        <w:rPr>
          <w:szCs w:val="24"/>
        </w:rPr>
        <w:t>.</w:t>
      </w:r>
      <w:r w:rsidRPr="00215171">
        <w:rPr>
          <w:szCs w:val="24"/>
        </w:rPr>
        <w:tab/>
      </w:r>
      <w:bookmarkStart w:id="1" w:name="_Hlk240630036"/>
      <w:r w:rsidRPr="00215171">
        <w:rPr>
          <w:szCs w:val="24"/>
        </w:rPr>
        <w:t>Emphasises that the U</w:t>
      </w:r>
      <w:r w:rsidRPr="00215171" w:rsidR="004F049F">
        <w:rPr>
          <w:szCs w:val="24"/>
        </w:rPr>
        <w:t>nion</w:t>
      </w:r>
      <w:r w:rsidRPr="00215171">
        <w:rPr>
          <w:szCs w:val="24"/>
        </w:rPr>
        <w:t xml:space="preserve"> needs a stable, predictable, innovation-friendly business environment that supports technological development and strengthens competitiveness; </w:t>
      </w:r>
      <w:bookmarkEnd w:id="1"/>
      <w:r w:rsidRPr="00215171">
        <w:rPr>
          <w:szCs w:val="24"/>
        </w:rPr>
        <w:t>recalls that strong and competitive businesses are essential to sustain high-quality jobs, drive economic growth, promote territorial, economic and social cohesion, and reinforce Europe’s strategic resilience;</w:t>
      </w:r>
    </w:p>
    <w:p w:rsidR="00E75330" w:rsidRPr="00215171" w:rsidP="00E75330" w14:paraId="42DF42BE" w14:textId="3170AF1E">
      <w:pPr>
        <w:pStyle w:val="NormalHanging12a"/>
      </w:pPr>
      <w:r w:rsidRPr="00215171">
        <w:t>7</w:t>
      </w:r>
      <w:r w:rsidRPr="00215171">
        <w:t>.</w:t>
      </w:r>
      <w:r w:rsidRPr="00215171">
        <w:tab/>
        <w:t>Takes note that eight in ten displaced workers have an educational attainment of upper secondary level or lower, with one in three being aged over 54</w:t>
      </w:r>
      <w:r w:rsidRPr="00215171" w:rsidR="004062A9">
        <w:rPr>
          <w:szCs w:val="24"/>
        </w:rPr>
        <w:t>, facing greater barriers to re-entering the labour market; calls on the Belgian and regional authorities to address social disparities and structural barriers preventing displaced workers from accessing quality employment, including age-related discrimination</w:t>
      </w:r>
      <w:r w:rsidRPr="00215171">
        <w:t xml:space="preserve">; emphasizes that targeted and </w:t>
      </w:r>
      <w:r w:rsidRPr="00215171">
        <w:t>tailored support facilitates their sustainable reintegration into the labour market; highlights that successful reintegration is instrumental to a resilient and competitive European economy;</w:t>
      </w:r>
      <w:r w:rsidRPr="00215171" w:rsidR="004062A9">
        <w:t xml:space="preserve"> </w:t>
      </w:r>
      <w:r w:rsidRPr="00215171" w:rsidR="004062A9">
        <w:rPr>
          <w:szCs w:val="24"/>
        </w:rPr>
        <w:t>stresses the need to align training with labour-market needs as they evolve in order to facilitate rapid reintegration into quality employment;</w:t>
      </w:r>
    </w:p>
    <w:p w:rsidR="00E75330" w:rsidRPr="00215171" w:rsidP="00E75330" w14:paraId="0A103976" w14:textId="4AFAD243">
      <w:pPr>
        <w:pStyle w:val="NormalHanging12a"/>
      </w:pPr>
      <w:r w:rsidRPr="00215171">
        <w:t>8</w:t>
      </w:r>
      <w:r w:rsidRPr="00215171">
        <w:t>.</w:t>
      </w:r>
      <w:r w:rsidRPr="00215171">
        <w:tab/>
        <w:t xml:space="preserve">Recalls that, in agreement with targeted beneficiaries, their representatives and social partners, </w:t>
      </w:r>
      <w:r w:rsidRPr="00215171" w:rsidR="004062A9">
        <w:t xml:space="preserve">whose meaningful involvement is essential to the quality and legitimacy of the reintegration process, </w:t>
      </w:r>
      <w:r w:rsidRPr="00215171">
        <w:t>personalised services to be provided to the displaced workers consist of the following measures: outplacement services providing vocational orientation, skills certification, training and re-training, support for business creation and contribution to start-up, incentives and allowances</w:t>
      </w:r>
      <w:r w:rsidRPr="00215171" w:rsidR="004062A9">
        <w:t xml:space="preserve"> </w:t>
      </w:r>
      <w:r w:rsidRPr="00215171" w:rsidR="004062A9">
        <w:rPr>
          <w:szCs w:val="24"/>
        </w:rPr>
        <w:t>in order to prevent long-term unemployment including for older workers; stresses that trade union representatives should be involved throughout the entire implementation of the EGF measures, including the monitoring phase, to ensure the quality and relevance of the support offered to beneficiaries</w:t>
      </w:r>
      <w:r w:rsidRPr="00215171">
        <w:t>;</w:t>
      </w:r>
    </w:p>
    <w:p w:rsidR="00E75330" w:rsidRPr="00215171" w:rsidP="00E75330" w14:paraId="2B790D74" w14:textId="12608A72">
      <w:pPr>
        <w:pStyle w:val="NormalHanging12a"/>
      </w:pPr>
      <w:r w:rsidRPr="00215171">
        <w:t>9</w:t>
      </w:r>
      <w:r w:rsidRPr="00215171">
        <w:t>.</w:t>
      </w:r>
      <w:r w:rsidRPr="00215171">
        <w:tab/>
        <w:t>Stresses that the Belgian authorities shall ensure the visibility of the Union funding and highlight its added value by providing effective</w:t>
      </w:r>
      <w:r w:rsidRPr="00215171" w:rsidR="004062A9">
        <w:t>, clear and timely</w:t>
      </w:r>
      <w:r w:rsidRPr="00215171">
        <w:t xml:space="preserve"> information to beneficiaries, regional and local authorities, social partners, and the wider public;</w:t>
      </w:r>
    </w:p>
    <w:p w:rsidR="004062A9" w:rsidRPr="00215171" w:rsidP="00E75330" w14:paraId="008AE5AB" w14:textId="3C298CFF">
      <w:pPr>
        <w:pStyle w:val="NormalHanging12a"/>
      </w:pPr>
      <w:r w:rsidRPr="00215171">
        <w:rPr>
          <w:szCs w:val="24"/>
        </w:rPr>
        <w:t>10</w:t>
      </w:r>
      <w:r w:rsidRPr="00215171">
        <w:rPr>
          <w:szCs w:val="24"/>
        </w:rPr>
        <w:t>.</w:t>
      </w:r>
      <w:r w:rsidRPr="00215171">
        <w:rPr>
          <w:szCs w:val="24"/>
        </w:rPr>
        <w:tab/>
        <w:t>Recalls that the EGF is an instrument of solidarity and just transition, and while it provides support following job losses, it cannot replace a proactive industrial policy; considers that the mobilisation of the EGF needs to be embedded in a larger policy response on all political levels to ensure that the workers affected find adequate opportunities in line with their qualifications and skills; underlines the need to provide specific support tailored to the needs and profiles of workers with lower levels of education, while taking measures to reduce bankruptcies and address social disparities leading to exclusion from the workforce;</w:t>
      </w:r>
    </w:p>
    <w:p w:rsidR="004062A9" w:rsidRPr="00215171" w:rsidP="004062A9" w14:paraId="28128FC7" w14:textId="127B3CA0">
      <w:pPr>
        <w:pStyle w:val="NormalHanging12a"/>
        <w:rPr>
          <w:szCs w:val="24"/>
        </w:rPr>
      </w:pPr>
      <w:r w:rsidRPr="00215171">
        <w:rPr>
          <w:szCs w:val="24"/>
        </w:rPr>
        <w:t>11</w:t>
      </w:r>
      <w:r w:rsidRPr="00215171">
        <w:rPr>
          <w:szCs w:val="24"/>
        </w:rPr>
        <w:t>.</w:t>
      </w:r>
      <w:r w:rsidRPr="00215171">
        <w:rPr>
          <w:szCs w:val="24"/>
        </w:rPr>
        <w:tab/>
        <w:t>Underlines the need to further raise awareness of the EGF in some Member States and strengthen its visibility; calls on the Commission, in cooperation with the Member States and social partners, to strengthen outreach and technical assistance, with particular attention to national and regional authorities with no or limited experience in accessing EGF support;</w:t>
      </w:r>
    </w:p>
    <w:p w:rsidR="00E75330" w:rsidRPr="00215171" w:rsidP="00E75330" w14:paraId="5E05EDB6" w14:textId="1CABF95A">
      <w:pPr>
        <w:pStyle w:val="NormalHanging12a"/>
      </w:pPr>
      <w:r w:rsidRPr="00215171">
        <w:t>12</w:t>
      </w:r>
      <w:r w:rsidRPr="00215171">
        <w:t>.</w:t>
      </w:r>
      <w:r w:rsidRPr="00215171">
        <w:tab/>
        <w:t>Calls for thorough final evaluations of the measures implemented, including clear information on the use of funds, the success of the reintegration of workers into the labour market and its effectiveness, to ensure accountability, sound financial management and the effective use of Union funds; reiterates the need for appropriate monitoring and control of the use of EGF funding</w:t>
      </w:r>
      <w:r w:rsidRPr="00215171" w:rsidR="004062A9">
        <w:t xml:space="preserve"> and whether the EGF objectives were achieved</w:t>
      </w:r>
      <w:r w:rsidRPr="00215171">
        <w:t>;</w:t>
      </w:r>
    </w:p>
    <w:p w:rsidR="00E75330" w:rsidRPr="00215171" w:rsidP="00E75330" w14:paraId="247D3F67" w14:textId="0C89C58B">
      <w:pPr>
        <w:pStyle w:val="NormalHanging12a"/>
      </w:pPr>
      <w:r w:rsidRPr="00215171">
        <w:t>13</w:t>
      </w:r>
      <w:r w:rsidRPr="00215171">
        <w:t>.</w:t>
      </w:r>
      <w:r w:rsidRPr="00215171">
        <w:tab/>
        <w:t>Notes that Belgium started providing personalised services to the targeted beneficiaries and incurring administrative expenditure to implement the EGF on 1 September 2025 and 9 April 2025, respectively, and that the period of eligibility for a financial contribution from the EGF will therefore be from that date until 24 months and until 31 months after the date of the entry into force of the financing decision, respectively;</w:t>
      </w:r>
    </w:p>
    <w:p w:rsidR="00E75330" w:rsidRPr="00215171" w:rsidP="00E75330" w14:paraId="73F6158D" w14:textId="1C6C22CA">
      <w:pPr>
        <w:pStyle w:val="NormalHanging12a"/>
      </w:pPr>
      <w:r w:rsidRPr="00215171">
        <w:t>14</w:t>
      </w:r>
      <w:r w:rsidRPr="00215171">
        <w:t>.</w:t>
      </w:r>
      <w:r w:rsidRPr="00215171">
        <w:tab/>
        <w:t xml:space="preserve">Notes that the Belgian authorities provided assurance that the principles of equality of treatment and non-discrimination will be respected in the access to the proposed actions </w:t>
      </w:r>
      <w:r w:rsidRPr="00215171">
        <w:t>and their implementation, and that any double financing will be prevented;</w:t>
      </w:r>
    </w:p>
    <w:p w:rsidR="00E75330" w:rsidRPr="00215171" w:rsidP="00E75330" w14:paraId="42A5B8D6" w14:textId="61F32D0E">
      <w:pPr>
        <w:pStyle w:val="NormalHanging12a"/>
      </w:pPr>
      <w:r w:rsidRPr="00215171">
        <w:t>15</w:t>
      </w:r>
      <w:r w:rsidRPr="00215171">
        <w:t>.</w:t>
      </w:r>
      <w:r w:rsidRPr="00215171">
        <w:tab/>
        <w:t>Reiterates that assistance from the EGF must not replace actions that are the responsibility of public authorities or companies under national law or collective agreements;</w:t>
      </w:r>
      <w:r w:rsidRPr="00215171" w:rsidR="001538D8">
        <w:rPr>
          <w:szCs w:val="24"/>
        </w:rPr>
        <w:t xml:space="preserve"> recalls that the EGF is a limited, targeted and complementary mechanism and cannot replace structural economic and social policies that contribute to a sustainable economic growth, that promote a stable, predictable and innovation-friendly business environment, and that protect U</w:t>
      </w:r>
      <w:r w:rsidRPr="00215171" w:rsidR="004F049F">
        <w:rPr>
          <w:szCs w:val="24"/>
        </w:rPr>
        <w:t>nion</w:t>
      </w:r>
      <w:r w:rsidRPr="00215171" w:rsidR="001538D8">
        <w:rPr>
          <w:szCs w:val="24"/>
        </w:rPr>
        <w:t xml:space="preserve"> enterprises, economic operators and their workers;</w:t>
      </w:r>
    </w:p>
    <w:p w:rsidR="00E75330" w:rsidRPr="00215171" w:rsidP="00E75330" w14:paraId="6AB0B1E5" w14:textId="49144B07">
      <w:pPr>
        <w:pStyle w:val="NormalHanging12a"/>
      </w:pPr>
      <w:r w:rsidRPr="00215171">
        <w:t>16</w:t>
      </w:r>
      <w:r w:rsidRPr="00215171">
        <w:t>.</w:t>
      </w:r>
      <w:r w:rsidRPr="00215171">
        <w:tab/>
        <w:t>Approves the decision annexed to this resolution;</w:t>
      </w:r>
    </w:p>
    <w:p w:rsidR="00E75330" w:rsidRPr="00215171" w:rsidP="00E75330" w14:paraId="17A59B53" w14:textId="2A8F1653">
      <w:pPr>
        <w:pStyle w:val="NormalHanging12a"/>
      </w:pPr>
      <w:r w:rsidRPr="00215171">
        <w:t>17</w:t>
      </w:r>
      <w:r w:rsidRPr="00215171">
        <w:t>.</w:t>
      </w:r>
      <w:r w:rsidRPr="00215171">
        <w:tab/>
        <w:t xml:space="preserve">Instructs its President to sign the decision with the President of the Council and arrange for its publication in the </w:t>
      </w:r>
      <w:r w:rsidRPr="00215171">
        <w:rPr>
          <w:i/>
          <w:iCs/>
        </w:rPr>
        <w:t>Official Journal of the European Union</w:t>
      </w:r>
      <w:r w:rsidRPr="00215171">
        <w:t>;</w:t>
      </w:r>
    </w:p>
    <w:p w:rsidR="00E75330" w:rsidRPr="00215171" w:rsidP="00E75330" w14:paraId="47447FAA" w14:textId="4E582C44">
      <w:pPr>
        <w:pStyle w:val="NormalHanging12a"/>
      </w:pPr>
      <w:r w:rsidRPr="00215171">
        <w:t>18</w:t>
      </w:r>
      <w:r w:rsidRPr="00215171">
        <w:t>.</w:t>
      </w:r>
      <w:r w:rsidRPr="00215171">
        <w:tab/>
        <w:t>Instructs its President to forward this resolution, including its annex, to the Council and the Commission.</w:t>
      </w:r>
    </w:p>
    <w:p w:rsidR="00616E75" w:rsidRPr="00215171" w:rsidP="0052720D" w14:paraId="2D46733C" w14:textId="77777777">
      <w:pPr>
        <w:rPr>
          <w:noProof/>
        </w:rPr>
      </w:pPr>
    </w:p>
    <w:p w:rsidR="00616E75" w:rsidRPr="00215171" w14:paraId="02BFA0AA" w14:textId="77777777">
      <w:pPr>
        <w:pStyle w:val="PageHeading"/>
        <w:rPr>
          <w:noProof/>
        </w:rPr>
        <w:sectPr w:rsidSect="002151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4D2440" w:rsidRPr="00215171" w14:paraId="0C834166" w14:textId="77777777">
      <w:pPr>
        <w:pStyle w:val="PageHeading"/>
        <w:rPr>
          <w:noProof/>
        </w:rPr>
      </w:pPr>
      <w:bookmarkStart w:id="2" w:name="_Toc241576515"/>
      <w:r w:rsidRPr="00215171">
        <w:rPr>
          <w:noProof/>
        </w:rPr>
        <w:t>ANNEX: DECISION OF THE EUROPEAN PARLIAMENT AND OF THE COUNCIL</w:t>
      </w:r>
      <w:bookmarkEnd w:id="2"/>
    </w:p>
    <w:p w:rsidR="004D2440" w:rsidRPr="00215171" w:rsidP="00DF46ED" w14:paraId="22709CE8" w14:textId="3E52842D">
      <w:pPr>
        <w:pStyle w:val="NormalBold24a"/>
      </w:pPr>
      <w:r w:rsidRPr="00215171">
        <w:t>on the mobilisation of the European Globalisation Adjustment Fund for Displaced Workers following an application from Belgium – EGF/2026/001/ BE/Cora</w:t>
      </w:r>
    </w:p>
    <w:p w:rsidR="00E75330" w:rsidRPr="00215171" w:rsidP="00E75330" w14:paraId="35AE83C8" w14:textId="77777777">
      <w:pPr>
        <w:pStyle w:val="NormalHanging12a"/>
      </w:pPr>
      <w:r w:rsidRPr="00215171">
        <w:t>THE EUROPEAN PARLIAMENT AND THE COUNCIL OF THE EUROPEAN UNION,</w:t>
      </w:r>
    </w:p>
    <w:p w:rsidR="005B5C95" w:rsidRPr="00215171" w:rsidP="005B5C95" w14:paraId="2B6A9184" w14:textId="77777777">
      <w:pPr>
        <w:pStyle w:val="NormalHanging12a"/>
        <w:ind w:left="0" w:firstLine="0"/>
        <w:jc w:val="both"/>
      </w:pPr>
      <w:bookmarkStart w:id="3" w:name="_Hlk239688946"/>
      <w:r w:rsidRPr="00215171">
        <w:t>Having regard to the Treaty on the Functioning of the European Union,</w:t>
      </w:r>
    </w:p>
    <w:p w:rsidR="005B5C95" w:rsidRPr="00215171" w:rsidP="005B5C95" w14:paraId="325D2EB9" w14:textId="77777777">
      <w:pPr>
        <w:pStyle w:val="NormalHanging12a"/>
        <w:ind w:left="0" w:firstLine="0"/>
        <w:jc w:val="both"/>
      </w:pPr>
      <w:r w:rsidRPr="00215171">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9"/>
      </w:r>
      <w:r w:rsidRPr="00215171">
        <w:t xml:space="preserve">, and </w:t>
      </w:r>
      <w:r w:rsidRPr="00215171">
        <w:t>in particular Article</w:t>
      </w:r>
      <w:r w:rsidRPr="00215171">
        <w:t xml:space="preserve"> 15(1), first subparagraph, thereof,</w:t>
      </w:r>
    </w:p>
    <w:p w:rsidR="005B5C95" w:rsidRPr="00215171" w:rsidP="005B5C95" w14:paraId="3BD64AC5" w14:textId="77777777">
      <w:pPr>
        <w:pStyle w:val="NormalHanging12a"/>
        <w:ind w:left="0" w:firstLine="0"/>
        <w:jc w:val="both"/>
      </w:pPr>
      <w:r w:rsidRPr="00215171">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0"/>
      </w:r>
      <w:r w:rsidRPr="00215171">
        <w:t>, and in particular point 9 thereof,</w:t>
      </w:r>
    </w:p>
    <w:p w:rsidR="005B5C95" w:rsidRPr="00215171" w:rsidP="005B5C95" w14:paraId="26FF400F" w14:textId="77777777">
      <w:pPr>
        <w:pStyle w:val="NormalHanging12a"/>
        <w:ind w:left="0" w:firstLine="0"/>
        <w:jc w:val="both"/>
      </w:pPr>
      <w:r w:rsidRPr="00215171">
        <w:t>Having regard to the proposal from the European Commission,</w:t>
      </w:r>
    </w:p>
    <w:p w:rsidR="005B5C95" w:rsidRPr="00215171" w:rsidP="005B5C95" w14:paraId="294946C8" w14:textId="77777777">
      <w:pPr>
        <w:pStyle w:val="NormalHanging12a"/>
        <w:ind w:left="0" w:firstLine="0"/>
        <w:jc w:val="both"/>
      </w:pPr>
      <w:r w:rsidRPr="00215171">
        <w:t>Whereas:</w:t>
      </w:r>
    </w:p>
    <w:p w:rsidR="005B5C95" w:rsidRPr="00215171" w:rsidP="005B5C95" w14:paraId="7B2D3D7F" w14:textId="09F7ECF7">
      <w:pPr>
        <w:pStyle w:val="NormalHanging12a"/>
        <w:jc w:val="both"/>
      </w:pPr>
      <w:r w:rsidRPr="00215171">
        <w:t>(1)</w:t>
      </w:r>
      <w:r w:rsidRPr="00215171">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5B5C95" w:rsidRPr="00215171" w:rsidP="005B5C95" w14:paraId="119D1EFC" w14:textId="27A71CCC">
      <w:pPr>
        <w:pStyle w:val="NormalHanging12a"/>
        <w:jc w:val="both"/>
      </w:pPr>
      <w:r w:rsidRPr="00215171">
        <w:t>(2)</w:t>
      </w:r>
      <w:r w:rsidRPr="00215171">
        <w:tab/>
        <w:t>The EGF is not to exceed a maximum annual amount of EUR 30 million (in 2018 prices), as laid down in Article 8 of Council Regulation (EU, Euratom) 2020/2093</w:t>
      </w:r>
      <w:r>
        <w:rPr>
          <w:vertAlign w:val="superscript"/>
        </w:rPr>
        <w:footnoteReference w:id="11"/>
      </w:r>
      <w:r w:rsidRPr="00215171" w:rsidR="00DB6785">
        <w:t xml:space="preserve"> amended by Council Regulation (EU, Euratom) 2024/765</w:t>
      </w:r>
      <w:r>
        <w:rPr>
          <w:vertAlign w:val="superscript"/>
        </w:rPr>
        <w:footnoteReference w:id="12"/>
      </w:r>
      <w:r w:rsidRPr="00215171">
        <w:t>,and Article 16 of Regulation (EU) 2021/691.</w:t>
      </w:r>
    </w:p>
    <w:p w:rsidR="005B5C95" w:rsidRPr="00215171" w:rsidP="005B5C95" w14:paraId="53BA681C" w14:textId="514A764C">
      <w:pPr>
        <w:pStyle w:val="NormalHanging12a"/>
        <w:jc w:val="both"/>
      </w:pPr>
      <w:r w:rsidRPr="00215171">
        <w:t>(3)</w:t>
      </w:r>
      <w:r w:rsidRPr="00215171">
        <w:tab/>
        <w:t xml:space="preserve">On 25 March 2026, Belgium </w:t>
      </w:r>
      <w:r w:rsidRPr="00215171">
        <w:t>submitted an application</w:t>
      </w:r>
      <w:r w:rsidRPr="00215171">
        <w:t xml:space="preserve"> to mobilise the EGF in accordance with Article 8(1) of Regulation (EU) 2021/691, in respect of workers’ displacements in Cora SA and one supplier in Belgium. It was supplemented by additional information provided in accordance with Article 8(5) of Regulation (EU) 2021/691. That application is considered to comply with the conditions for providing a financial contribution from the EGF as laid down in Article 13 of Regulation (EU) 2021/691, on the basis of the assessment made by the Commission in the Proposal for a mobilisation decision of the </w:t>
      </w:r>
      <w:r w:rsidRPr="00215171">
        <w:t>European Parliament and of the Council</w:t>
      </w:r>
      <w:r>
        <w:rPr>
          <w:vertAlign w:val="superscript"/>
        </w:rPr>
        <w:footnoteReference w:id="13"/>
      </w:r>
      <w:r w:rsidRPr="00215171">
        <w:t>.</w:t>
      </w:r>
    </w:p>
    <w:p w:rsidR="005B5C95" w:rsidRPr="00215171" w:rsidP="005B5C95" w14:paraId="3138EDB6" w14:textId="30A9175E">
      <w:pPr>
        <w:pStyle w:val="NormalHanging12a"/>
        <w:jc w:val="both"/>
      </w:pPr>
      <w:r w:rsidRPr="00215171">
        <w:t>(4)</w:t>
      </w:r>
      <w:r w:rsidRPr="00215171">
        <w:tab/>
        <w:t xml:space="preserve">The EGF should, therefore, be mobilised </w:t>
      </w:r>
      <w:r w:rsidRPr="00215171">
        <w:t>in order to</w:t>
      </w:r>
      <w:r w:rsidRPr="00215171">
        <w:t xml:space="preserve"> provide a financial contribution of EUR 3 821 460 in respect of the application submitted by Belgium.</w:t>
      </w:r>
    </w:p>
    <w:p w:rsidR="005B5C95" w:rsidRPr="00215171" w:rsidP="005B5C95" w14:paraId="70043C66" w14:textId="61F23388">
      <w:pPr>
        <w:pStyle w:val="NormalHanging12a"/>
        <w:jc w:val="both"/>
      </w:pPr>
      <w:r w:rsidRPr="00215171">
        <w:t>(5)</w:t>
      </w:r>
      <w:r w:rsidRPr="00215171">
        <w:tab/>
        <w:t>In order to minimise the time taken to mobilise the EGF, this Decision should apply from the date of its adoption,</w:t>
      </w:r>
      <w:bookmarkEnd w:id="3"/>
    </w:p>
    <w:p w:rsidR="005B5C95" w:rsidRPr="00215171" w:rsidP="005B5C95" w14:paraId="0840C9D1" w14:textId="77777777">
      <w:pPr>
        <w:pStyle w:val="Institutionquisigne"/>
        <w:spacing w:before="100" w:beforeAutospacing="1" w:after="100" w:afterAutospacing="1"/>
        <w:rPr>
          <w:i w:val="0"/>
          <w:noProof/>
        </w:rPr>
      </w:pPr>
      <w:r w:rsidRPr="00215171">
        <w:rPr>
          <w:i w:val="0"/>
          <w:noProof/>
        </w:rPr>
        <w:t xml:space="preserve">HAVE ADOPTED THIS DECISION: </w:t>
      </w:r>
    </w:p>
    <w:p w:rsidR="005B5C95" w:rsidRPr="00215171" w:rsidP="005B5C95" w14:paraId="388B1B30" w14:textId="77777777">
      <w:pPr>
        <w:pStyle w:val="Institutionquisigne"/>
        <w:spacing w:before="100" w:beforeAutospacing="1" w:after="100" w:afterAutospacing="1"/>
        <w:jc w:val="center"/>
        <w:rPr>
          <w:iCs/>
          <w:noProof/>
        </w:rPr>
      </w:pPr>
      <w:r w:rsidRPr="00215171">
        <w:rPr>
          <w:iCs/>
          <w:noProof/>
        </w:rPr>
        <w:t>Article 1</w:t>
      </w:r>
    </w:p>
    <w:p w:rsidR="005B5C95" w:rsidRPr="00215171" w:rsidP="005B5C95" w14:paraId="4B9EC61F" w14:textId="77777777">
      <w:pPr>
        <w:pStyle w:val="Institutionquisigne"/>
        <w:spacing w:before="100" w:beforeAutospacing="1" w:after="100" w:afterAutospacing="1"/>
        <w:rPr>
          <w:i w:val="0"/>
          <w:noProof/>
        </w:rPr>
      </w:pPr>
      <w:r w:rsidRPr="00215171">
        <w:rPr>
          <w:i w:val="0"/>
          <w:noProof/>
        </w:rPr>
        <w:t>For the general budget of the Union for the financial year 2026, the European Globalisation Adjustment Fund for Displaced Workers shall be mobilised to provide the amount of EUR 3 821 460 in commitment and payment appropriations.</w:t>
      </w:r>
    </w:p>
    <w:p w:rsidR="005B5C95" w:rsidRPr="00215171" w:rsidP="005B5C95" w14:paraId="25236A41" w14:textId="77777777">
      <w:pPr>
        <w:pStyle w:val="Institutionquisigne"/>
        <w:spacing w:before="100" w:beforeAutospacing="1" w:after="100" w:afterAutospacing="1"/>
        <w:jc w:val="center"/>
        <w:rPr>
          <w:iCs/>
          <w:noProof/>
        </w:rPr>
      </w:pPr>
      <w:r w:rsidRPr="00215171">
        <w:rPr>
          <w:iCs/>
          <w:noProof/>
        </w:rPr>
        <w:t>Article 2</w:t>
      </w:r>
    </w:p>
    <w:p w:rsidR="005B5C95" w:rsidRPr="00215171" w:rsidP="005B5C95" w14:paraId="5AB01508" w14:textId="77777777">
      <w:pPr>
        <w:pStyle w:val="Institutionquisigne"/>
        <w:spacing w:before="100" w:beforeAutospacing="1" w:after="100" w:afterAutospacing="1"/>
        <w:rPr>
          <w:i w:val="0"/>
          <w:noProof/>
        </w:rPr>
      </w:pPr>
      <w:r w:rsidRPr="00215171">
        <w:rPr>
          <w:i w:val="0"/>
          <w:noProof/>
        </w:rPr>
        <w:t xml:space="preserve">This Decision shall enter into force on the day of its publication in the </w:t>
      </w:r>
      <w:r w:rsidRPr="00215171">
        <w:rPr>
          <w:iCs/>
          <w:noProof/>
        </w:rPr>
        <w:t>Official Journal of the European Union</w:t>
      </w:r>
      <w:r w:rsidRPr="00215171">
        <w:rPr>
          <w:i w:val="0"/>
          <w:noProof/>
        </w:rPr>
        <w:t xml:space="preserve">. It shall apply from </w:t>
      </w:r>
      <w:r w:rsidRPr="001F6538">
        <w:rPr>
          <w:iCs/>
          <w:noProof/>
        </w:rPr>
        <w:t xml:space="preserve">[the date of its adoption]* </w:t>
      </w:r>
      <w:r w:rsidRPr="00215171">
        <w:rPr>
          <w:iCs/>
          <w:noProof/>
        </w:rPr>
        <w:t>.</w:t>
      </w:r>
    </w:p>
    <w:p w:rsidR="005B5C95" w:rsidRPr="00215171" w:rsidP="005B5C95" w14:paraId="3023B072" w14:textId="77777777">
      <w:pPr>
        <w:pStyle w:val="Institutionquisigne"/>
        <w:spacing w:before="100" w:beforeAutospacing="1" w:after="100" w:afterAutospacing="1"/>
        <w:rPr>
          <w:i w:val="0"/>
          <w:noProof/>
        </w:rPr>
      </w:pPr>
      <w:r w:rsidRPr="00215171">
        <w:rPr>
          <w:i w:val="0"/>
          <w:noProof/>
        </w:rPr>
        <w:t>Done at Brussels,</w:t>
      </w:r>
    </w:p>
    <w:p w:rsidR="005B5C95" w:rsidRPr="00215171" w:rsidP="005B5C95" w14:paraId="6434C567" w14:textId="77777777">
      <w:pPr>
        <w:pStyle w:val="Institutionquisigne"/>
        <w:spacing w:before="100" w:beforeAutospacing="1" w:after="100" w:afterAutospacing="1"/>
        <w:rPr>
          <w:i w:val="0"/>
          <w:noProof/>
        </w:rPr>
      </w:pPr>
    </w:p>
    <w:p w:rsidR="005B5C95" w:rsidRPr="00215171" w:rsidP="005B5C95" w14:paraId="5785DEE7" w14:textId="77777777">
      <w:pPr>
        <w:pStyle w:val="Institutionquisigne"/>
        <w:spacing w:before="100" w:beforeAutospacing="1" w:after="100" w:afterAutospacing="1"/>
        <w:rPr>
          <w:noProof/>
        </w:rPr>
      </w:pPr>
      <w:r w:rsidRPr="00215171">
        <w:rPr>
          <w:noProof/>
        </w:rPr>
        <w:t>For the European Parliament</w:t>
      </w:r>
      <w:r w:rsidRPr="00215171">
        <w:rPr>
          <w:noProof/>
        </w:rPr>
        <w:tab/>
        <w:t>For the Council</w:t>
      </w:r>
    </w:p>
    <w:p w:rsidR="005B5C95" w:rsidRPr="00215171" w:rsidP="005B5C95" w14:paraId="45C51FA1" w14:textId="77777777">
      <w:pPr>
        <w:pStyle w:val="Personnequisigne"/>
        <w:spacing w:before="100" w:beforeAutospacing="1" w:after="100" w:afterAutospacing="1"/>
        <w:rPr>
          <w:noProof/>
        </w:rPr>
      </w:pPr>
      <w:r w:rsidRPr="00215171">
        <w:rPr>
          <w:noProof/>
        </w:rPr>
        <w:t>The President</w:t>
      </w:r>
      <w:r w:rsidRPr="00215171">
        <w:rPr>
          <w:noProof/>
        </w:rPr>
        <w:tab/>
        <w:t>The President</w:t>
      </w:r>
      <w:r w:rsidRPr="00215171">
        <w:rPr>
          <w:noProof/>
        </w:rPr>
        <w:br/>
      </w:r>
    </w:p>
    <w:p w:rsidR="004D2440" w:rsidRPr="00215171" w14:paraId="55403940" w14:textId="5C2F10E9">
      <w:pPr>
        <w:pStyle w:val="NormalHanging12a"/>
      </w:pPr>
    </w:p>
    <w:p w:rsidR="0078699F" w:rsidRPr="00215171" w:rsidP="0058028A" w14:paraId="4A60DEB1" w14:textId="77777777">
      <w:pPr>
        <w:sectPr w:rsidSect="0074722F">
          <w:footnotePr>
            <w:numRestart w:val="eachSect"/>
          </w:footnotePr>
          <w:endnotePr>
            <w:numFmt w:val="decimal"/>
          </w:endnotePr>
          <w:pgSz w:w="11906" w:h="16838" w:code="9"/>
          <w:pgMar w:top="1134" w:right="1418" w:bottom="1418" w:left="1418" w:header="567" w:footer="567" w:gutter="0"/>
          <w:cols w:space="720"/>
          <w:noEndnote/>
          <w:docGrid w:linePitch="326"/>
        </w:sectPr>
      </w:pPr>
    </w:p>
    <w:p w:rsidR="0058028A" w:rsidRPr="00215171" w:rsidP="0078699F" w14:paraId="1BE13A0F" w14:textId="5F7234D9">
      <w:pPr>
        <w:pStyle w:val="PageHeading"/>
      </w:pPr>
      <w:bookmarkStart w:id="4" w:name="_Toc241576516"/>
      <w:r w:rsidRPr="00215171">
        <w:t>EXPLANATORY STATEMENT</w:t>
      </w:r>
      <w:bookmarkEnd w:id="4"/>
    </w:p>
    <w:p w:rsidR="0078699F" w:rsidRPr="00215171" w:rsidP="0078699F" w14:paraId="6A0AC4A5" w14:textId="77777777">
      <w:pPr>
        <w:widowControl/>
        <w:tabs>
          <w:tab w:val="left" w:pos="426"/>
        </w:tabs>
        <w:jc w:val="both"/>
        <w:rPr>
          <w:rFonts w:eastAsia="Calibri"/>
          <w:b/>
          <w:szCs w:val="24"/>
          <w:lang w:eastAsia="en-US"/>
        </w:rPr>
      </w:pPr>
      <w:r w:rsidRPr="00215171">
        <w:rPr>
          <w:rFonts w:eastAsia="Calibri"/>
          <w:b/>
          <w:szCs w:val="24"/>
          <w:lang w:eastAsia="en-US"/>
        </w:rPr>
        <w:t>I. Background</w:t>
      </w:r>
    </w:p>
    <w:p w:rsidR="0078699F" w:rsidRPr="00215171" w:rsidP="0078699F" w14:paraId="3A26E9F3" w14:textId="77777777">
      <w:pPr>
        <w:widowControl/>
        <w:tabs>
          <w:tab w:val="left" w:pos="426"/>
        </w:tabs>
        <w:jc w:val="both"/>
        <w:rPr>
          <w:rFonts w:eastAsia="Calibri"/>
          <w:b/>
          <w:szCs w:val="24"/>
          <w:lang w:eastAsia="en-US"/>
        </w:rPr>
      </w:pPr>
    </w:p>
    <w:p w:rsidR="0078699F" w:rsidRPr="00215171" w:rsidP="0078699F" w14:paraId="01E9DA5C" w14:textId="77777777">
      <w:pPr>
        <w:widowControl/>
        <w:spacing w:before="120"/>
        <w:rPr>
          <w:rFonts w:eastAsia="Calibri"/>
          <w:szCs w:val="24"/>
          <w:lang w:eastAsia="en-US"/>
        </w:rPr>
      </w:pPr>
      <w:r w:rsidRPr="00215171">
        <w:rPr>
          <w:rFonts w:eastAsia="Calibri"/>
          <w:szCs w:val="24"/>
          <w:lang w:eastAsia="en-US"/>
        </w:rPr>
        <w:t xml:space="preserve">The European Globalisation Adjustment Fund (EGF) was created to provide additional assistance to workers suffering from the consequences of major structural changes in world trade patterns. </w:t>
      </w:r>
    </w:p>
    <w:p w:rsidR="0078699F" w:rsidRPr="00215171" w:rsidP="0078699F" w14:paraId="036AAF0D" w14:textId="77777777">
      <w:pPr>
        <w:widowControl/>
        <w:spacing w:before="120"/>
        <w:rPr>
          <w:rFonts w:eastAsia="Calibri"/>
          <w:szCs w:val="24"/>
          <w:lang w:eastAsia="en-US"/>
        </w:rPr>
      </w:pPr>
      <w:r w:rsidRPr="00215171">
        <w:rPr>
          <w:rFonts w:eastAsia="Calibri"/>
          <w:szCs w:val="24"/>
          <w:lang w:eastAsia="en-US"/>
        </w:rPr>
        <w:t>In accordance with point 9 of the Interinstitutional Agreement of 16 December 2020</w:t>
      </w:r>
      <w:r>
        <w:rPr>
          <w:rFonts w:eastAsia="Calibri"/>
          <w:szCs w:val="24"/>
          <w:vertAlign w:val="superscript"/>
          <w:lang w:eastAsia="en-US"/>
        </w:rPr>
        <w:footnoteReference w:id="14"/>
      </w:r>
      <w:r w:rsidRPr="00215171">
        <w:rPr>
          <w:rFonts w:eastAsia="Calibri"/>
          <w:szCs w:val="24"/>
          <w:lang w:eastAsia="en-US"/>
        </w:rPr>
        <w:t>, the Commission is required, following the positive assessment of an application, to submit a proposal to mobilise the Fund to the budgetary authority and to complement it with a corresponding request for transfer to the relevant budget lines.</w:t>
      </w:r>
    </w:p>
    <w:p w:rsidR="0078699F" w:rsidRPr="00215171" w:rsidP="0078699F" w14:paraId="2ECA3EF9" w14:textId="77777777">
      <w:pPr>
        <w:widowControl/>
        <w:tabs>
          <w:tab w:val="left" w:pos="426"/>
        </w:tabs>
        <w:spacing w:before="120"/>
        <w:rPr>
          <w:rFonts w:eastAsia="Calibri"/>
          <w:szCs w:val="24"/>
          <w:lang w:eastAsia="en-US"/>
        </w:rPr>
      </w:pPr>
    </w:p>
    <w:p w:rsidR="0078699F" w:rsidRPr="00215171" w:rsidP="0078699F" w14:paraId="1FDE983D" w14:textId="77777777">
      <w:pPr>
        <w:widowControl/>
        <w:tabs>
          <w:tab w:val="left" w:pos="426"/>
        </w:tabs>
        <w:spacing w:before="120"/>
        <w:rPr>
          <w:rFonts w:eastAsia="Calibri"/>
          <w:b/>
          <w:szCs w:val="24"/>
          <w:lang w:eastAsia="en-US"/>
        </w:rPr>
      </w:pPr>
      <w:r w:rsidRPr="00215171">
        <w:rPr>
          <w:rFonts w:eastAsia="Calibri"/>
          <w:b/>
          <w:szCs w:val="24"/>
          <w:lang w:eastAsia="en-US"/>
        </w:rPr>
        <w:t xml:space="preserve">II. Belgium’s application and the Commission's proposal </w:t>
      </w:r>
    </w:p>
    <w:p w:rsidR="0078699F" w:rsidRPr="00215171" w:rsidP="0078699F" w14:paraId="398312D2" w14:textId="77777777">
      <w:pPr>
        <w:widowControl/>
        <w:tabs>
          <w:tab w:val="left" w:pos="426"/>
        </w:tabs>
        <w:spacing w:before="120"/>
        <w:rPr>
          <w:rFonts w:eastAsia="Calibri"/>
          <w:b/>
          <w:szCs w:val="24"/>
          <w:lang w:eastAsia="en-US"/>
        </w:rPr>
      </w:pPr>
    </w:p>
    <w:p w:rsidR="0078699F" w:rsidRPr="00215171" w:rsidP="0078699F" w14:paraId="7475DC63" w14:textId="77777777">
      <w:pPr>
        <w:widowControl/>
        <w:spacing w:before="120"/>
        <w:rPr>
          <w:rFonts w:eastAsia="Calibri"/>
          <w:szCs w:val="24"/>
          <w:lang w:eastAsia="en-US"/>
        </w:rPr>
      </w:pPr>
      <w:r w:rsidRPr="00215171">
        <w:rPr>
          <w:rFonts w:eastAsia="Calibri"/>
          <w:szCs w:val="24"/>
          <w:lang w:eastAsia="en-US"/>
        </w:rPr>
        <w:t xml:space="preserve">On 25 March 2026 Belgium </w:t>
      </w:r>
      <w:r w:rsidRPr="00215171">
        <w:rPr>
          <w:rFonts w:eastAsia="Calibri"/>
          <w:szCs w:val="24"/>
          <w:lang w:eastAsia="en-US"/>
        </w:rPr>
        <w:t>submitted an application</w:t>
      </w:r>
      <w:r w:rsidRPr="00215171">
        <w:rPr>
          <w:rFonts w:eastAsia="Calibri"/>
          <w:szCs w:val="24"/>
          <w:lang w:eastAsia="en-US"/>
        </w:rPr>
        <w:t xml:space="preserve"> </w:t>
      </w:r>
      <w:r w:rsidRPr="00215171">
        <w:t>EGF/2026/001 BE/Cora</w:t>
      </w:r>
      <w:r w:rsidRPr="00215171">
        <w:rPr>
          <w:rFonts w:eastAsia="Calibri"/>
          <w:szCs w:val="24"/>
          <w:lang w:eastAsia="en-US"/>
        </w:rPr>
        <w:t xml:space="preserve"> for a financial contribution from the EGF, following 1 257 redundancies</w:t>
      </w:r>
      <w:r>
        <w:rPr>
          <w:rFonts w:eastAsia="Calibri"/>
          <w:szCs w:val="24"/>
          <w:vertAlign w:val="superscript"/>
          <w:lang w:eastAsia="en-US"/>
        </w:rPr>
        <w:footnoteReference w:id="15"/>
      </w:r>
      <w:r w:rsidRPr="00215171">
        <w:rPr>
          <w:rFonts w:eastAsia="Calibri"/>
          <w:szCs w:val="24"/>
          <w:vertAlign w:val="superscript"/>
          <w:lang w:eastAsia="en-US"/>
        </w:rPr>
        <w:t xml:space="preserve"> </w:t>
      </w:r>
      <w:r w:rsidRPr="00215171">
        <w:rPr>
          <w:rFonts w:eastAsia="Calibri"/>
          <w:szCs w:val="24"/>
          <w:lang w:eastAsia="en-US"/>
        </w:rPr>
        <w:t xml:space="preserve">at Cora SA and one of its suppliers. </w:t>
      </w:r>
      <w:bookmarkStart w:id="5" w:name="_Hlk236304525"/>
      <w:r w:rsidRPr="00215171">
        <w:rPr>
          <w:rFonts w:eastAsia="Calibri"/>
          <w:szCs w:val="24"/>
          <w:lang w:eastAsia="en-US"/>
        </w:rPr>
        <w:t>This is the first such application of 2026, and the seventh to be examined under the 2026 budget.</w:t>
      </w:r>
      <w:bookmarkEnd w:id="5"/>
    </w:p>
    <w:p w:rsidR="0078699F" w:rsidRPr="00215171" w:rsidP="0078699F" w14:paraId="6894BF3E" w14:textId="77777777">
      <w:pPr>
        <w:widowControl/>
        <w:spacing w:before="120"/>
        <w:rPr>
          <w:rFonts w:eastAsia="Calibri"/>
          <w:szCs w:val="24"/>
          <w:lang w:eastAsia="en-US"/>
        </w:rPr>
      </w:pPr>
      <w:r w:rsidRPr="00215171">
        <w:rPr>
          <w:rFonts w:eastAsia="Calibri"/>
          <w:szCs w:val="24"/>
          <w:lang w:eastAsia="en-US"/>
        </w:rPr>
        <w:t xml:space="preserve">Following the assessment of this application, the Commission has concluded, in accordance with all applicable provisions of the EGF Regulation, that the conditions for awarding a financial contribution from the EGF are met. </w:t>
      </w:r>
    </w:p>
    <w:p w:rsidR="0078699F" w:rsidRPr="00215171" w:rsidP="0078699F" w14:paraId="2D79A257" w14:textId="77777777">
      <w:pPr>
        <w:widowControl/>
        <w:spacing w:before="120"/>
        <w:rPr>
          <w:rFonts w:eastAsia="Calibri"/>
          <w:szCs w:val="24"/>
          <w:lang w:eastAsia="en-US"/>
        </w:rPr>
      </w:pPr>
      <w:r w:rsidRPr="00215171">
        <w:rPr>
          <w:rFonts w:eastAsia="Calibri"/>
          <w:szCs w:val="24"/>
          <w:lang w:eastAsia="en-US"/>
        </w:rPr>
        <w:t>On 16 July 2026, the Commission adopted a proposal for a decision on the mobilisation of the EGF in favour of Belgium for tailored measures to support the reintegration in the labour market of 1 010 targeted beneficiaries, i.e. workers from Cora (hypermarket retailer) and one of its suppliers (transport company) made redundant. In total, EUR 3 821 460 will be mobilised from the EGF, representing 85 % of the total costs of the proposed actions.</w:t>
      </w:r>
    </w:p>
    <w:p w:rsidR="0078699F" w:rsidRPr="00215171" w:rsidP="0078699F" w14:paraId="2E559DE7" w14:textId="77777777">
      <w:pPr>
        <w:widowControl/>
        <w:spacing w:before="120"/>
        <w:rPr>
          <w:rFonts w:eastAsia="Calibri"/>
          <w:szCs w:val="24"/>
          <w:lang w:eastAsia="en-US"/>
        </w:rPr>
      </w:pPr>
      <w:r w:rsidRPr="00215171">
        <w:rPr>
          <w:rFonts w:eastAsia="Calibri"/>
          <w:szCs w:val="24"/>
          <w:lang w:eastAsia="en-US"/>
        </w:rPr>
        <w:t>The Commission deemed the Belgian application admissible under the intervention criteria of Article 4(2) (a) of the EGF Regulation, which requires the cessation of activity of at least 200 displaced workers or self-employed persons over a reference period of four months, in an enterprise in a Member State, including workers displaced in suppliers and downstream.</w:t>
      </w:r>
    </w:p>
    <w:p w:rsidR="0078699F" w:rsidRPr="00215171" w:rsidP="0078699F" w14:paraId="25976689" w14:textId="77777777">
      <w:pPr>
        <w:widowControl/>
        <w:spacing w:before="120"/>
        <w:rPr>
          <w:rFonts w:eastAsia="Calibri"/>
          <w:szCs w:val="24"/>
          <w:lang w:eastAsia="en-US"/>
        </w:rPr>
      </w:pPr>
      <w:r w:rsidRPr="00215171">
        <w:rPr>
          <w:rFonts w:eastAsia="Calibri"/>
          <w:szCs w:val="24"/>
          <w:lang w:eastAsia="en-US"/>
        </w:rPr>
        <w:t xml:space="preserve">EGF co-funding has been requested for the following six types of actions, to be provided to redundant workers: </w:t>
      </w:r>
    </w:p>
    <w:p w:rsidR="0078699F" w:rsidRPr="00215171" w:rsidP="0078699F" w14:paraId="3C45516A" w14:textId="77777777">
      <w:pPr>
        <w:pStyle w:val="Tiret1"/>
        <w:numPr>
          <w:ilvl w:val="0"/>
          <w:numId w:val="0"/>
        </w:numPr>
        <w:tabs>
          <w:tab w:val="left" w:pos="709"/>
        </w:tabs>
        <w:ind w:left="709" w:hanging="359"/>
        <w:jc w:val="left"/>
        <w:rPr>
          <w:noProof/>
        </w:rPr>
      </w:pPr>
      <w:r w:rsidRPr="00215171">
        <w:rPr>
          <w:noProof/>
        </w:rPr>
        <w:t>a)</w:t>
      </w:r>
      <w:r w:rsidRPr="00215171">
        <w:rPr>
          <w:noProof/>
        </w:rPr>
        <w:tab/>
      </w:r>
      <w:r w:rsidRPr="00215171">
        <w:rPr>
          <w:noProof/>
          <w:u w:val="single"/>
        </w:rPr>
        <w:t xml:space="preserve">Outplacement and vocational guidance: </w:t>
      </w:r>
      <w:r w:rsidRPr="00215171">
        <w:rPr>
          <w:noProof/>
        </w:rPr>
        <w:t xml:space="preserve">These services are delivered by a team comprising vocational advisors specialising in restructuring events and social support workers, typically drawn from the company’s employee representatives. The advisors offer outplacement services, career guidance, and professional reintegration support through individual and group counselling and coaching sessions. Meanwhile, the social support workers assist with administrative procedures related to changes in </w:t>
      </w:r>
      <w:r w:rsidRPr="00215171">
        <w:rPr>
          <w:noProof/>
        </w:rPr>
        <w:t>employment status and help preserve a collective framework of solidarity among employees.</w:t>
      </w:r>
    </w:p>
    <w:p w:rsidR="0078699F" w:rsidRPr="00215171" w:rsidP="0078699F" w14:paraId="4A511976" w14:textId="77777777">
      <w:pPr>
        <w:pStyle w:val="Tiret1"/>
        <w:numPr>
          <w:ilvl w:val="0"/>
          <w:numId w:val="0"/>
        </w:numPr>
        <w:tabs>
          <w:tab w:val="left" w:pos="709"/>
        </w:tabs>
        <w:ind w:left="709" w:hanging="359"/>
        <w:jc w:val="left"/>
        <w:rPr>
          <w:noProof/>
        </w:rPr>
      </w:pPr>
      <w:r w:rsidRPr="00215171">
        <w:rPr>
          <w:noProof/>
        </w:rPr>
        <w:t>b)</w:t>
      </w:r>
      <w:r w:rsidRPr="00215171">
        <w:rPr>
          <w:noProof/>
        </w:rPr>
        <w:tab/>
      </w:r>
      <w:r w:rsidRPr="00215171">
        <w:rPr>
          <w:noProof/>
          <w:u w:val="single"/>
        </w:rPr>
        <w:t xml:space="preserve">Skills certification: </w:t>
      </w:r>
      <w:r w:rsidRPr="00215171">
        <w:rPr>
          <w:noProof/>
        </w:rPr>
        <w:t>Former Cora employees can have their professional skills certified through the Skills Validation Consortium. The Consortium organises tailored validation assessments based on the workers’ profiles and needs. Skills certification helps secure and accelerate reintegration into employment, while also enabling more effective training pathways.</w:t>
      </w:r>
    </w:p>
    <w:p w:rsidR="0078699F" w:rsidRPr="00215171" w:rsidP="0078699F" w14:paraId="244AA86C" w14:textId="77777777">
      <w:pPr>
        <w:pStyle w:val="Tiret1"/>
        <w:numPr>
          <w:ilvl w:val="0"/>
          <w:numId w:val="0"/>
        </w:numPr>
        <w:tabs>
          <w:tab w:val="left" w:pos="709"/>
        </w:tabs>
        <w:ind w:left="709" w:hanging="359"/>
        <w:jc w:val="left"/>
        <w:rPr>
          <w:noProof/>
        </w:rPr>
      </w:pPr>
      <w:bookmarkStart w:id="6" w:name="_Hlk215479487"/>
      <w:r w:rsidRPr="00215171">
        <w:rPr>
          <w:noProof/>
        </w:rPr>
        <w:t>c)</w:t>
      </w:r>
      <w:r w:rsidRPr="00215171">
        <w:rPr>
          <w:noProof/>
        </w:rPr>
        <w:tab/>
      </w:r>
      <w:bookmarkEnd w:id="6"/>
      <w:r w:rsidRPr="00215171">
        <w:rPr>
          <w:noProof/>
          <w:u w:val="single"/>
        </w:rPr>
        <w:t>Training</w:t>
      </w:r>
      <w:r w:rsidRPr="00215171">
        <w:rPr>
          <w:noProof/>
        </w:rPr>
        <w:t>: Specific training will be offered to cater for the identified needs of the workers, after the profiling and agreement of individual projects with the vocational counsellors. Such training complements Le Forem’s standard training programmes and those of its partners. Two IT modules, designed to develop and strengthen digital autonomy, are offered to workers as cross-cutting training.</w:t>
      </w:r>
    </w:p>
    <w:p w:rsidR="0078699F" w:rsidRPr="00215171" w:rsidP="0078699F" w14:paraId="5F2C07EE" w14:textId="77777777">
      <w:pPr>
        <w:pStyle w:val="Tiret1"/>
        <w:numPr>
          <w:ilvl w:val="0"/>
          <w:numId w:val="0"/>
        </w:numPr>
        <w:tabs>
          <w:tab w:val="left" w:pos="709"/>
        </w:tabs>
        <w:ind w:left="709" w:hanging="359"/>
        <w:jc w:val="left"/>
        <w:rPr>
          <w:noProof/>
          <w:u w:val="single"/>
        </w:rPr>
      </w:pPr>
      <w:r w:rsidRPr="00215171">
        <w:rPr>
          <w:noProof/>
        </w:rPr>
        <w:t>d)</w:t>
      </w:r>
      <w:r w:rsidRPr="00215171">
        <w:rPr>
          <w:noProof/>
        </w:rPr>
        <w:tab/>
      </w:r>
      <w:r w:rsidRPr="00215171">
        <w:rPr>
          <w:noProof/>
          <w:u w:val="single"/>
        </w:rPr>
        <w:t xml:space="preserve">Support for business creation: </w:t>
      </w:r>
      <w:r w:rsidRPr="00215171">
        <w:rPr>
          <w:noProof/>
        </w:rPr>
        <w:t>This measure targets workers seeking to start their own enterprise and includes a diagnostic and guidance phase, entrepreneurship awareness-raising activities, information sessions on business creation opportunities (based on territorial economic analyses), and networking with established entrepreneurs and certified business-creation coaches.</w:t>
      </w:r>
    </w:p>
    <w:p w:rsidR="0078699F" w:rsidRPr="00215171" w:rsidP="0078699F" w14:paraId="3739275A" w14:textId="77777777">
      <w:pPr>
        <w:pStyle w:val="Tiret1"/>
        <w:numPr>
          <w:ilvl w:val="0"/>
          <w:numId w:val="0"/>
        </w:numPr>
        <w:tabs>
          <w:tab w:val="left" w:pos="709"/>
        </w:tabs>
        <w:ind w:left="709" w:hanging="359"/>
        <w:jc w:val="left"/>
        <w:rPr>
          <w:noProof/>
          <w:u w:val="single"/>
        </w:rPr>
      </w:pPr>
      <w:r w:rsidRPr="00215171">
        <w:rPr>
          <w:noProof/>
        </w:rPr>
        <w:t>e)</w:t>
      </w:r>
      <w:r w:rsidRPr="00215171">
        <w:rPr>
          <w:noProof/>
        </w:rPr>
        <w:tab/>
      </w:r>
      <w:r w:rsidRPr="00215171">
        <w:rPr>
          <w:noProof/>
          <w:u w:val="single"/>
        </w:rPr>
        <w:t>Contribution to business start-up:</w:t>
      </w:r>
      <w:r w:rsidRPr="00215171">
        <w:rPr>
          <w:noProof/>
        </w:rPr>
        <w:t xml:space="preserve"> The workers who start a business or a self-employed activity will receive a contribution up to EUR 15 000. The contribution will be paid in two instalments, subject to verification of the launch and progression of the business activity through supporting documents.</w:t>
      </w:r>
    </w:p>
    <w:p w:rsidR="0078699F" w:rsidRPr="00215171" w:rsidP="0078699F" w14:paraId="26A78522" w14:textId="77777777">
      <w:pPr>
        <w:pStyle w:val="Tiret1"/>
        <w:numPr>
          <w:ilvl w:val="0"/>
          <w:numId w:val="0"/>
        </w:numPr>
        <w:tabs>
          <w:tab w:val="left" w:pos="709"/>
        </w:tabs>
        <w:ind w:left="709" w:hanging="359"/>
        <w:jc w:val="left"/>
        <w:rPr>
          <w:noProof/>
          <w:u w:val="single"/>
        </w:rPr>
      </w:pPr>
      <w:r w:rsidRPr="00215171">
        <w:rPr>
          <w:noProof/>
        </w:rPr>
        <w:t>f)</w:t>
      </w:r>
      <w:r w:rsidRPr="00215171">
        <w:rPr>
          <w:noProof/>
        </w:rPr>
        <w:tab/>
      </w:r>
      <w:r w:rsidRPr="00215171">
        <w:rPr>
          <w:noProof/>
          <w:u w:val="single"/>
        </w:rPr>
        <w:t>Incentives and allowances:</w:t>
      </w:r>
    </w:p>
    <w:p w:rsidR="0078699F" w:rsidRPr="00215171" w:rsidP="00317A43" w14:paraId="03AB303D" w14:textId="7A46C5F0">
      <w:pPr>
        <w:pStyle w:val="Tiret1"/>
        <w:numPr>
          <w:ilvl w:val="0"/>
          <w:numId w:val="0"/>
        </w:numPr>
        <w:tabs>
          <w:tab w:val="left" w:pos="709"/>
          <w:tab w:val="left" w:pos="1560"/>
        </w:tabs>
        <w:ind w:left="720" w:hanging="359"/>
        <w:jc w:val="left"/>
        <w:rPr>
          <w:noProof/>
        </w:rPr>
      </w:pPr>
      <w:r w:rsidRPr="00215171">
        <w:rPr>
          <w:noProof/>
        </w:rPr>
        <w:tab/>
      </w:r>
      <w:r w:rsidRPr="00215171">
        <w:rPr>
          <w:noProof/>
        </w:rPr>
        <w:t>(1) Job-search allowances. Workers will receive EUR 2 per hour of effective participation in job-search activities entitled to the allowance.</w:t>
      </w:r>
    </w:p>
    <w:p w:rsidR="0078699F" w:rsidRPr="00215171" w:rsidP="0078699F" w14:paraId="59664131" w14:textId="08248133">
      <w:pPr>
        <w:pStyle w:val="Tiret1"/>
        <w:numPr>
          <w:ilvl w:val="0"/>
          <w:numId w:val="0"/>
        </w:numPr>
        <w:tabs>
          <w:tab w:val="left" w:pos="709"/>
          <w:tab w:val="left" w:pos="1560"/>
        </w:tabs>
        <w:ind w:left="709" w:hanging="359"/>
        <w:jc w:val="left"/>
        <w:rPr>
          <w:noProof/>
          <w:u w:val="single"/>
        </w:rPr>
      </w:pPr>
      <w:r w:rsidRPr="00215171">
        <w:rPr>
          <w:noProof/>
        </w:rPr>
        <w:tab/>
      </w:r>
      <w:r w:rsidRPr="00215171">
        <w:rPr>
          <w:noProof/>
        </w:rPr>
        <w:t>(2) Return-to-school allowance. A monthly allowance of EUR 350 will be granted to workers who embark on full-time secondary or tertiary studies, or qualifying training to acquire the necessary skills for jobs that are in demand and for which recruiting is difficult or linked to critical functions</w:t>
      </w:r>
      <w:r>
        <w:rPr>
          <w:rStyle w:val="FootnoteReference"/>
          <w:noProof/>
        </w:rPr>
        <w:footnoteReference w:id="16"/>
      </w:r>
      <w:r w:rsidRPr="00215171">
        <w:rPr>
          <w:noProof/>
        </w:rPr>
        <w:t>.</w:t>
      </w:r>
    </w:p>
    <w:p w:rsidR="0078699F" w:rsidRPr="00215171" w:rsidP="0078699F" w14:paraId="42DFD502" w14:textId="7B7D427D">
      <w:pPr>
        <w:pStyle w:val="Tiret1"/>
        <w:numPr>
          <w:ilvl w:val="0"/>
          <w:numId w:val="0"/>
        </w:numPr>
        <w:tabs>
          <w:tab w:val="left" w:pos="709"/>
          <w:tab w:val="left" w:pos="1560"/>
        </w:tabs>
        <w:ind w:left="709" w:hanging="359"/>
        <w:jc w:val="left"/>
        <w:rPr>
          <w:noProof/>
        </w:rPr>
      </w:pPr>
      <w:r w:rsidRPr="00215171">
        <w:rPr>
          <w:noProof/>
        </w:rPr>
        <w:tab/>
      </w:r>
      <w:r w:rsidRPr="00215171">
        <w:rPr>
          <w:noProof/>
        </w:rPr>
        <w:t xml:space="preserve">(3) Allowance towards business creation. To support workers during setting up business, a monthly allowance of EUR 350 will be granted for a maximum of 12 months or up to 18 months under certain conditions. </w:t>
      </w:r>
    </w:p>
    <w:p w:rsidR="0078699F" w:rsidRPr="00215171" w:rsidP="0078699F" w14:paraId="1FFB9042" w14:textId="77777777">
      <w:pPr>
        <w:widowControl/>
        <w:spacing w:before="120"/>
        <w:ind w:left="1440"/>
        <w:rPr>
          <w:rFonts w:eastAsia="Calibri"/>
          <w:szCs w:val="24"/>
        </w:rPr>
      </w:pPr>
    </w:p>
    <w:p w:rsidR="0078699F" w:rsidRPr="00215171" w:rsidP="0078699F" w14:paraId="10DA0859" w14:textId="77777777">
      <w:pPr>
        <w:rPr>
          <w:b/>
        </w:rPr>
      </w:pPr>
      <w:r w:rsidRPr="00215171">
        <w:rPr>
          <w:b/>
        </w:rPr>
        <w:t>III. Procedure</w:t>
      </w:r>
    </w:p>
    <w:p w:rsidR="0078699F" w:rsidRPr="00215171" w:rsidP="0078699F" w14:paraId="177F060B" w14:textId="77777777">
      <w:pPr>
        <w:rPr>
          <w:b/>
        </w:rPr>
      </w:pPr>
    </w:p>
    <w:p w:rsidR="0078699F" w:rsidRPr="00215171" w:rsidP="0078699F" w14:paraId="7F1780F3" w14:textId="77777777">
      <w:pPr>
        <w:spacing w:after="120"/>
      </w:pPr>
      <w:r w:rsidRPr="00215171">
        <w:t>In order to</w:t>
      </w:r>
      <w:r w:rsidRPr="00215171">
        <w:t xml:space="preserve"> mobilise the Fund, the Commission has submitted to the Budgetary Authority a request to transfer a global amount of EUR 3 821 460 from the EGF reserve (budget line 30 04 02; commitment appropriations) to the EGF (budget line 16 02 02; commitment appropriations).</w:t>
      </w:r>
    </w:p>
    <w:p w:rsidR="0078699F" w:rsidRPr="00215171" w:rsidP="00607B92" w14:paraId="5CF6205A" w14:textId="0F6CA1C3">
      <w:r w:rsidRPr="00215171">
        <w:t xml:space="preserve">According to an internal agreement within the Parliament, the Employment and Social Affairs Committee and the Committee on Regional Development should be associated to the process, </w:t>
      </w:r>
      <w:r w:rsidRPr="00215171">
        <w:t>in order to</w:t>
      </w:r>
      <w:r w:rsidRPr="00215171">
        <w:t xml:space="preserve"> provide constructive support and contribute to the assessment of the applications from the Fund.</w:t>
      </w:r>
    </w:p>
    <w:p w:rsidR="00EC77C0" w:rsidRPr="00215171" w14:paraId="099CCC87" w14:textId="77777777">
      <w:pPr>
        <w:widowControl/>
        <w:sectPr w:rsidSect="0074722F">
          <w:footnotePr>
            <w:numRestart w:val="eachSect"/>
          </w:footnotePr>
          <w:endnotePr>
            <w:numFmt w:val="decimal"/>
          </w:endnotePr>
          <w:pgSz w:w="11906" w:h="16838" w:code="9"/>
          <w:pgMar w:top="1134" w:right="1418" w:bottom="1418" w:left="1418" w:header="567" w:footer="567" w:gutter="0"/>
          <w:cols w:space="720"/>
          <w:noEndnote/>
          <w:docGrid w:linePitch="326"/>
        </w:sectPr>
      </w:pPr>
    </w:p>
    <w:p w:rsidR="00EC77C0" w:rsidRPr="00215171" w14:paraId="0B469D50" w14:textId="5F5F050C">
      <w:pPr>
        <w:widowControl/>
      </w:pPr>
    </w:p>
    <w:p w:rsidR="00EC77C0" w:rsidRPr="00215171" w:rsidP="007041CC" w14:paraId="20CF5AB3" w14:textId="73A3D2AE">
      <w:pPr>
        <w:pStyle w:val="PageHeading"/>
        <w:rPr>
          <w:noProof/>
        </w:rPr>
      </w:pPr>
      <w:bookmarkStart w:id="7" w:name="FootprintPageRR"/>
      <w:bookmarkStart w:id="8" w:name="_Toc241576517"/>
      <w:r w:rsidRPr="00215171">
        <w:rPr>
          <w:noProof/>
        </w:rPr>
        <w:t>ANNEX: DECLARATION OF INPUT</w:t>
      </w:r>
      <w:bookmarkEnd w:id="8"/>
    </w:p>
    <w:p w:rsidR="00EC77C0" w:rsidRPr="00215171" w:rsidP="00B31C6A" w14:paraId="551DF8D8" w14:textId="6E566E7D">
      <w:pPr>
        <w:pStyle w:val="Normal24a"/>
        <w:spacing w:after="240"/>
      </w:pPr>
      <w:r w:rsidRPr="00215171">
        <w:rPr>
          <w:rStyle w:val="HideTWBExt"/>
        </w:rPr>
        <w:t>&lt;FootprintIntro&gt;</w:t>
      </w:r>
      <w:r w:rsidRPr="00215171">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17"/>
      </w:r>
      <w:r w:rsidRPr="00215171">
        <w:t>, or from representatives of public authorities of third countries, including their diplomatic missions and embassies, to be listed in this Annex pursuant to Article 8 of Annex I to the Rules of Procedure.</w:t>
      </w:r>
      <w:r w:rsidRPr="00215171">
        <w:rPr>
          <w:rStyle w:val="HideTWBExt"/>
        </w:rPr>
        <w:t>&lt;/FootprintIntro&gt;</w:t>
      </w:r>
    </w:p>
    <w:p w:rsidR="00EC77C0" w:rsidRPr="00215171" w:rsidP="00646AD2" w14:paraId="046A2F63" w14:textId="77777777">
      <w:pPr>
        <w:pStyle w:val="Footprint12b"/>
        <w:sectPr w:rsidSect="0074722F">
          <w:footnotePr>
            <w:numRestart w:val="eachSect"/>
          </w:footnotePr>
          <w:endnotePr>
            <w:numFmt w:val="decimal"/>
          </w:endnotePr>
          <w:pgSz w:w="11906" w:h="16838" w:code="9"/>
          <w:pgMar w:top="1134" w:right="1418" w:bottom="1418" w:left="1418" w:header="567" w:footer="567" w:gutter="0"/>
          <w:cols w:space="720"/>
          <w:noEndnote/>
          <w:docGrid w:linePitch="326"/>
        </w:sectPr>
      </w:pPr>
    </w:p>
    <w:p w:rsidR="00EC77C0" w:rsidRPr="00215171" w:rsidP="00EC77C0" w14:paraId="5217246D" w14:textId="77777777">
      <w:pPr>
        <w:pStyle w:val="Normal24a"/>
      </w:pPr>
      <w:r w:rsidRPr="00215171">
        <w:rPr>
          <w:rStyle w:val="HideTWBExt"/>
          <w:noProof w:val="0"/>
        </w:rPr>
        <w:t>&lt;</w:t>
      </w:r>
      <w:r w:rsidRPr="00215171">
        <w:rPr>
          <w:rStyle w:val="HideTWBExt"/>
        </w:rPr>
        <w:t>Date</w:t>
      </w:r>
      <w:r w:rsidRPr="00215171">
        <w:rPr>
          <w:rStyle w:val="HideTWBExt"/>
          <w:noProof w:val="0"/>
        </w:rPr>
        <w:t>&gt;&lt;</w:t>
      </w:r>
      <w:r w:rsidRPr="00215171">
        <w:rPr>
          <w:rStyle w:val="HideTWBExt"/>
        </w:rPr>
        <w:t>/Date</w:t>
      </w:r>
      <w:r w:rsidRPr="00215171">
        <w:rPr>
          <w:rStyle w:val="HideTWBExt"/>
          <w:noProof w:val="0"/>
        </w:rPr>
        <w:t>&gt;</w:t>
      </w:r>
    </w:p>
    <w:p w:rsidR="00EC77C0" w:rsidRPr="00215171" w:rsidP="00EC77C0" w14:paraId="69939B80" w14:textId="1263A7A6">
      <w:pPr>
        <w:pStyle w:val="PageHeading"/>
      </w:pPr>
      <w:bookmarkStart w:id="9" w:name="OpinionToc_1"/>
      <w:bookmarkStart w:id="10" w:name="_Toc241576518"/>
      <w:r w:rsidRPr="00215171">
        <w:t>LETTER OF THE COMMITTEE ON EMPLOYMENT AND SOCIAL AFFAIRS</w:t>
      </w:r>
      <w:bookmarkEnd w:id="9"/>
      <w:bookmarkEnd w:id="10"/>
    </w:p>
    <w:p w:rsidR="00EC77C0" w:rsidRPr="00215171" w14:paraId="5EC15E3B" w14:textId="77777777">
      <w:r w:rsidRPr="00215171">
        <w:t>Mr Johan Van Overtveldt</w:t>
      </w:r>
    </w:p>
    <w:p w:rsidR="00EC77C0" w:rsidRPr="00215171" w14:paraId="3B48EA61" w14:textId="77777777">
      <w:r w:rsidRPr="00215171">
        <w:t>Chair</w:t>
      </w:r>
    </w:p>
    <w:p w:rsidR="00EC77C0" w:rsidRPr="00215171" w14:paraId="7754691F" w14:textId="77777777">
      <w:r w:rsidRPr="00215171">
        <w:t>Committee on Budgets</w:t>
      </w:r>
    </w:p>
    <w:p w:rsidR="00EC77C0" w:rsidRPr="00215171" w14:paraId="7C51BAF3" w14:textId="77777777">
      <w:r w:rsidRPr="00215171">
        <w:t>BRUSSELS</w:t>
      </w:r>
    </w:p>
    <w:p w:rsidR="00EC77C0" w:rsidRPr="00215171" w:rsidP="009F796C" w14:paraId="667E03AC" w14:textId="77777777">
      <w:pPr>
        <w:pStyle w:val="LetterSubject"/>
      </w:pPr>
      <w:r w:rsidRPr="00215171">
        <w:t>Subject:</w:t>
      </w:r>
      <w:r w:rsidRPr="00215171">
        <w:tab/>
      </w:r>
      <w:r w:rsidRPr="00215171">
        <w:rPr>
          <w:rStyle w:val="HideTWBExt"/>
          <w:noProof w:val="0"/>
        </w:rPr>
        <w:t>&lt;Titre&gt;</w:t>
      </w:r>
      <w:r w:rsidRPr="00215171">
        <w:t>Opinion on Mobilisation of the European Globalisation Adjustment Fund for Displaced Workers following an application from Belgium — EGF/2026/001 BE/Cora</w:t>
      </w:r>
      <w:r w:rsidRPr="00215171">
        <w:rPr>
          <w:vanish/>
        </w:rPr>
        <w:t xml:space="preserve"> </w:t>
      </w:r>
      <w:r w:rsidRPr="00215171">
        <w:rPr>
          <w:rStyle w:val="HideTWBExt"/>
          <w:noProof w:val="0"/>
        </w:rPr>
        <w:t>&lt;/Titre&gt;</w:t>
      </w:r>
      <w:r w:rsidRPr="00215171">
        <w:t xml:space="preserve"> </w:t>
      </w:r>
      <w:r w:rsidRPr="00215171">
        <w:rPr>
          <w:rStyle w:val="HideTWBExt"/>
          <w:noProof w:val="0"/>
        </w:rPr>
        <w:t>&lt;DocRef&gt;</w:t>
      </w:r>
      <w:r w:rsidRPr="00215171">
        <w:t>(2026/0197(BUD))</w:t>
      </w:r>
      <w:r w:rsidRPr="00215171">
        <w:rPr>
          <w:rStyle w:val="HideTWBExt"/>
          <w:noProof w:val="0"/>
        </w:rPr>
        <w:t>&lt;/DocRef&gt;</w:t>
      </w:r>
    </w:p>
    <w:p w:rsidR="00EC77C0" w:rsidRPr="00215171" w:rsidP="007C3F41" w14:paraId="0B5FC005" w14:textId="77777777">
      <w:pPr>
        <w:pStyle w:val="LetterSalutation"/>
      </w:pPr>
      <w:r w:rsidRPr="00215171">
        <w:t>Dear Mr Chair,</w:t>
      </w:r>
    </w:p>
    <w:p w:rsidR="00EC77C0" w:rsidRPr="00215171" w:rsidP="008B19C7" w14:paraId="73562DD2" w14:textId="77777777">
      <w:pPr>
        <w:pStyle w:val="Normal12a"/>
      </w:pPr>
      <w:r w:rsidRPr="00215171">
        <w:t xml:space="preserve">Under the procedure referred to above, the Committee on Employment and Social Affairs has been asked to submit an opinion to your committee and decided to send the opinion in the form of a letter. </w:t>
      </w:r>
    </w:p>
    <w:p w:rsidR="00EC77C0" w:rsidRPr="00215171" w:rsidP="00C233BB" w14:paraId="4C28BF5C" w14:textId="77777777">
      <w:pPr>
        <w:pStyle w:val="Normal12a"/>
      </w:pPr>
      <w:r w:rsidRPr="00215171">
        <w:t>The Committee on Employment and Social Affairs considered the matter, and, at its meeting of 10 September 2026, it decided to submit the opinion set out below to the Committee on Budgets, as the committee responsible.</w:t>
      </w:r>
    </w:p>
    <w:p w:rsidR="00EC77C0" w:rsidRPr="00215171" w:rsidP="007C3F41" w14:paraId="5241FFD1" w14:textId="77777777">
      <w:pPr>
        <w:pStyle w:val="Normal12a"/>
      </w:pPr>
      <w:r w:rsidRPr="00215171">
        <w:t>Yours sincerely,</w:t>
      </w:r>
    </w:p>
    <w:p w:rsidR="00EC77C0" w:rsidRPr="00215171" w:rsidP="00085831" w14:paraId="48FFD522" w14:textId="77777777">
      <w:pPr>
        <w:pStyle w:val="LetterSignature66b"/>
      </w:pPr>
      <w:r w:rsidRPr="00215171">
        <w:t>Li Andersson</w:t>
      </w:r>
    </w:p>
    <w:p w:rsidR="00EC77C0" w:rsidRPr="00215171" w:rsidP="00850699" w14:paraId="19A05BE3" w14:textId="77777777"/>
    <w:p w:rsidR="00EC77C0" w:rsidRPr="00215171" w14:paraId="37F1C179" w14:textId="77777777">
      <w:pPr>
        <w:widowControl/>
      </w:pPr>
      <w:r w:rsidRPr="00215171">
        <w:br w:type="page"/>
      </w:r>
    </w:p>
    <w:p w:rsidR="00EC77C0" w:rsidRPr="00215171" w:rsidP="00850699" w14:paraId="509806AA" w14:textId="77777777">
      <w:pPr>
        <w:pStyle w:val="PageHeadingNotTOC"/>
      </w:pPr>
      <w:r w:rsidRPr="00215171">
        <w:t>OPINION</w:t>
      </w:r>
    </w:p>
    <w:p w:rsidR="00EC77C0" w:rsidRPr="00215171" w:rsidP="00EA4068" w14:paraId="73447B13" w14:textId="77777777">
      <w:pPr>
        <w:pStyle w:val="NormalHanging12a"/>
      </w:pPr>
      <w:r w:rsidRPr="00215171">
        <w:t>A.</w:t>
      </w:r>
      <w:r w:rsidRPr="00215171">
        <w:tab/>
        <w:t>Whereas on 25 March 2026, Belgium submitted an application EGF/2026/001 BE/Cora for a financial contribution from the European Globalisation Adjustment Fund for Displaced Workers (EGF), following displacements in Cora SA and one supplier and downstream producer in Belgium; whereas the primary enterprise operated in the economic sector classified under the NACE Revision 2 division 47 (Retail trade, except of motor vehicles and motorcycles, where the jobs displaced by Cora and its provider are mainly located in the NUTS 2 region of Province Hainaut (BE32);</w:t>
      </w:r>
    </w:p>
    <w:p w:rsidR="00EC77C0" w:rsidRPr="00215171" w:rsidP="00EA4068" w14:paraId="25328782" w14:textId="77777777">
      <w:pPr>
        <w:pStyle w:val="NormalHanging12a"/>
      </w:pPr>
      <w:r w:rsidRPr="00215171">
        <w:t>B.</w:t>
      </w:r>
      <w:r w:rsidRPr="00215171">
        <w:tab/>
        <w:t xml:space="preserve">Whereas Belgium submitted the application under the intervention criteria of Article 4(2)(a) of Regulation (EU) 2021/691, which requires the cessation of activity of at least 200 displaced workers over a reference period of four months (in this case from </w:t>
      </w:r>
      <w:r w:rsidRPr="00215171">
        <w:rPr>
          <w:noProof/>
        </w:rPr>
        <w:t>from 1 September 2025 to 1 January 2026</w:t>
      </w:r>
      <w:r w:rsidRPr="00215171">
        <w:t>) in an enterprise in a Member State, including workers displaced in suppliers and downstream producers and/or self-employed persons whose activity has ceased; whereas, following its assessment of this application, the Commission has concluded, in accordance with all applicable provisions of the EGF Regulation, that the conditions for awarding a financial contribution from the EGF are met;</w:t>
      </w:r>
    </w:p>
    <w:p w:rsidR="00EC77C0" w:rsidRPr="00215171" w:rsidP="00EA4068" w14:paraId="1E854698" w14:textId="77777777">
      <w:pPr>
        <w:pStyle w:val="NormalHanging12a"/>
      </w:pPr>
      <w:r w:rsidRPr="00215171">
        <w:t>C.</w:t>
      </w:r>
      <w:r w:rsidRPr="00215171">
        <w:tab/>
        <w:t>Whereas the application relates to 1 257 displaced workers (eligible beneficiaries) whose activity has ceased in the economic sectors indicated above (662 job displacements during the reference period 595 displaced workers whose activity ceased before or after the reference period);</w:t>
      </w:r>
    </w:p>
    <w:p w:rsidR="00EC77C0" w:rsidRPr="00215171" w:rsidP="00EA4068" w14:paraId="79F1E9D1" w14:textId="77777777">
      <w:pPr>
        <w:pStyle w:val="NormalHanging12a"/>
      </w:pPr>
      <w:r w:rsidRPr="00215171">
        <w:t>D.</w:t>
      </w:r>
      <w:r w:rsidRPr="00215171">
        <w:tab/>
        <w:t>Whereas on 16 July 2026, the Commission adopted a proposal for a decision on the mobilisation of the EGF in favour of Belgium to support the reintegration in the labour market of 1 010 targeted beneficiaries;</w:t>
      </w:r>
    </w:p>
    <w:p w:rsidR="00EC77C0" w:rsidRPr="00215171" w:rsidP="00EA4068" w14:paraId="50A3E465" w14:textId="77777777">
      <w:pPr>
        <w:pStyle w:val="NormalHanging12a"/>
      </w:pPr>
      <w:r w:rsidRPr="00215171">
        <w:t>E.</w:t>
      </w:r>
      <w:r w:rsidRPr="00215171">
        <w:tab/>
        <w:t xml:space="preserve">Whereas the hypermarket model currently faces significant challenges, with shifting consumer habits —with shoppers increasingly favouring quick, convenient shopping trips— alongside the rise of online grocery shopping has reduced the need to visit large stores; whereas competition from new retail formats has also intensified, with neighbourhood supermarkets and specialty stores, such as organic and gourmet retailers, are gaining market share; whereas, furthermore, the higher operating costs associated with the hypermarket model, compared to smaller or digital store formats, have pressured profitability; </w:t>
      </w:r>
    </w:p>
    <w:p w:rsidR="00EC77C0" w:rsidRPr="00215171" w:rsidP="00EA4068" w14:paraId="3A7DDF11" w14:textId="77777777">
      <w:pPr>
        <w:pStyle w:val="NormalHanging12a"/>
      </w:pPr>
      <w:r w:rsidRPr="00215171">
        <w:t>F.</w:t>
      </w:r>
      <w:r w:rsidRPr="00215171">
        <w:tab/>
        <w:t xml:space="preserve">Whereas to adapt to these market changes and improve its financial position, Cora implemented several initiatives, such as multiple recovery plans (introduced in 2014, 2017 and 2023), recapitalisations totalling nearly EUR 112 million since 2020, and strategic commercial collaborations with Carrefour and Intermarché; whereas rising inflation weighed on operating costs, whereas since 2021, hourly wage costs have undergone ten successive index-linked increases resulting in a cumulative rise of over 20 %; whereas in 2024, Cora reported an EUR 34 million loss and a 6,1 % decline in revenue; whereas over the 2020–2024 period, Cora’s gross margin declined by EUR 16,1 million, while EBITDA  deteriorated from EUR -3,7 million to EUR -22,5 million, contributing to a cumulative net loss of EUR 123 million; whereas despite its efforts, Cora could not improve its financial position; whereas, therefore, the enterprise initiated collective redundancies in successive waves from September 2025, through a gradual </w:t>
      </w:r>
      <w:r w:rsidRPr="00215171">
        <w:t>winding-down of operations;</w:t>
      </w:r>
    </w:p>
    <w:p w:rsidR="00EC77C0" w:rsidRPr="00215171" w:rsidP="00EA4068" w14:paraId="09E369FE" w14:textId="77777777">
      <w:pPr>
        <w:pStyle w:val="NormalHanging12a"/>
      </w:pPr>
      <w:r w:rsidRPr="00215171">
        <w:t>G.</w:t>
      </w:r>
      <w:r w:rsidRPr="00215171">
        <w:tab/>
        <w:t>Whereas the displacements by Cora represent an economic shock for Wallonia, as they occur in a labour market already weakened by other restructuring events such as TNT-FedEx, Makro or Liberty for which Belgium also applied for EGF support; whereas the unemployment rate in Belgium is 6,4 %, slightly above the EU average (5,8 %); whereas, however, the unemployment rate in Wallonia is 8,3 %, about 2 percentage points (pp) higher than the national rate; whereas Cora had two stores in Brussels and five in Wallonia; whereas the redundancies primarily concern the Walloon province of Hainaut, where two in three displaced workers reside, and particularly the city of Charleroi which also hosted Cora's general services;</w:t>
      </w:r>
    </w:p>
    <w:p w:rsidR="00EC77C0" w:rsidRPr="00215171" w:rsidP="00EA4068" w14:paraId="7465EE71" w14:textId="77777777">
      <w:pPr>
        <w:pStyle w:val="NormalHanging12a"/>
      </w:pPr>
      <w:r w:rsidRPr="00215171">
        <w:t>H.</w:t>
      </w:r>
      <w:r w:rsidRPr="00215171">
        <w:tab/>
        <w:t>Whereas employment rates in Wallonia are strongly influenced by both age and educational attainment, with gaps of 23 to 30 percentage points between successive qualification levels; whereas among working-age adults, the employment rate reaches just 31 % for those with low educational attainment, compared with 61 % for those with intermediate qualifications and 84 % for those with high attainment; whereas, while the employment rate for the 25–49 age group stands at 77 %, it declines by 16 percentage points for individuals aged 50 and over;</w:t>
      </w:r>
    </w:p>
    <w:p w:rsidR="00EC77C0" w:rsidRPr="00215171" w:rsidP="00EA4068" w14:paraId="05795599" w14:textId="77777777">
      <w:pPr>
        <w:pStyle w:val="NormalHanging12a"/>
      </w:pPr>
      <w:r w:rsidRPr="00215171">
        <w:t>I.</w:t>
      </w:r>
      <w:r w:rsidRPr="00215171">
        <w:tab/>
        <w:t xml:space="preserve">Whereas Belgium has indicated that the co-ordinated package of personalised services has been drawn up in consultation with the social partners, in compliance with Article 7(4) of the EGF Regulation; </w:t>
      </w:r>
    </w:p>
    <w:p w:rsidR="00EC77C0" w:rsidRPr="00215171" w:rsidP="00EA4068" w14:paraId="1AD57B77" w14:textId="77777777">
      <w:pPr>
        <w:pStyle w:val="NormalHanging12a"/>
      </w:pPr>
      <w:r w:rsidRPr="00215171">
        <w:t>J.</w:t>
      </w:r>
      <w:r w:rsidRPr="00215171">
        <w:tab/>
        <w:t>Whereas the EGF shall not exceed a maximum annual amount of EUR 30 million (in 2018 prices), as laid down in Article 8 of Council Regulation (EU, Euratom) No 2020/2093 of 17 December 2020 laying down the multiannual financial framework for the years 2021 to 2027.</w:t>
      </w:r>
    </w:p>
    <w:p w:rsidR="00EC77C0" w:rsidRPr="00215171" w:rsidP="00850699" w14:paraId="0AEE5681" w14:textId="77777777">
      <w:pPr>
        <w:pStyle w:val="NormalHanging12a"/>
        <w:ind w:left="0" w:firstLine="0"/>
      </w:pPr>
      <w:r w:rsidRPr="00215171">
        <w:t>Therefore, the Committee on Employment and Social Affairs calls on the Committee on Budgets, as the committee responsible, to integrate the following suggestions in its motion for a resolution:</w:t>
      </w:r>
    </w:p>
    <w:p w:rsidR="00EC77C0" w:rsidRPr="00215171" w:rsidP="00EA4068" w14:paraId="74795745" w14:textId="77777777">
      <w:pPr>
        <w:pStyle w:val="NormalHanging12a"/>
      </w:pPr>
      <w:r w:rsidRPr="00215171">
        <w:t>1.</w:t>
      </w:r>
      <w:r w:rsidRPr="00215171">
        <w:tab/>
        <w:t>Recalls that the objective of the EGF is to demonstrate solidarity with, and provide support to beneficiaries; considers that financial contributions from the EGF should be primarily directed at active labour market policy measures and personalised services that aim to reintegrate beneficiaries rapidly into decent and sustainable employment within or outside their initial sector of activity; stresses the importance of preparing and supporting workers for the urgently needed green and digital transitions of the European economy and society; reiterates in this context the important role the Union plays, including through the EGF, in contributing to the financing of necessary qualifications for the just transition in line with the European Green Deal;</w:t>
      </w:r>
    </w:p>
    <w:p w:rsidR="00EC77C0" w:rsidRPr="00215171" w:rsidP="00EA4068" w14:paraId="6E15EC0C" w14:textId="77777777">
      <w:pPr>
        <w:pStyle w:val="NormalHanging12a"/>
      </w:pPr>
      <w:r w:rsidRPr="00215171">
        <w:t>2.</w:t>
      </w:r>
      <w:r w:rsidRPr="00215171">
        <w:tab/>
        <w:t>Agrees with the Commission that the conditions set out in Article 4(2)(a) of the EGF Regulation are met and that Belgium is entitled to a financial contribution of EUR 3 821 460 under that Regulation, which represents 85 % of the total cost of EUR 4 495 836, comprising expenditure for personalised services of EUR 4 441 774 and expenditure for preparatory, management, information and publicity, control and reporting activities of EUR 54 062;</w:t>
      </w:r>
    </w:p>
    <w:p w:rsidR="00EC77C0" w:rsidRPr="00215171" w:rsidP="00EA4068" w14:paraId="5A0D7D79" w14:textId="77777777">
      <w:pPr>
        <w:pStyle w:val="NormalHanging12a"/>
      </w:pPr>
      <w:r w:rsidRPr="00215171">
        <w:t>3.</w:t>
      </w:r>
      <w:r w:rsidRPr="00215171">
        <w:tab/>
        <w:t xml:space="preserve">Notes the fact that Belgium has provided all necessary assurances that the requirements </w:t>
      </w:r>
      <w:r w:rsidRPr="00215171">
        <w:t>laid down in national and EU legislation concerning collective redundancies have been complied with and that the principles of equality of treatment and non-discrimination will be respected in access to the proposed measures and their implementation;</w:t>
      </w:r>
    </w:p>
    <w:p w:rsidR="00EC77C0" w:rsidRPr="00215171" w:rsidP="00EA4068" w14:paraId="52936133" w14:textId="77777777">
      <w:pPr>
        <w:pStyle w:val="NormalHanging12a"/>
      </w:pPr>
      <w:r w:rsidRPr="00215171">
        <w:t>4.</w:t>
      </w:r>
      <w:r w:rsidRPr="00215171">
        <w:tab/>
        <w:t>Recalls the profile of the redundant workers, where more than half of the dismissed workers are women and about a third of the dismissed workers are over 50 years old, and considers that, along with the pressures of the labour market, the workers will need additional tailored support, particularly targeted assistance focusing on upskilling and retraining, to help them succeed the transition to employment;</w:t>
      </w:r>
    </w:p>
    <w:p w:rsidR="00EC77C0" w:rsidRPr="00215171" w:rsidP="00EA4068" w14:paraId="7B04BDFC" w14:textId="77777777">
      <w:pPr>
        <w:pStyle w:val="NormalHanging12a"/>
      </w:pPr>
      <w:r w:rsidRPr="00215171">
        <w:t>5.</w:t>
      </w:r>
      <w:r w:rsidRPr="00215171">
        <w:tab/>
        <w:t>Stresses that Belgium has confirmed that the measures supported by the EGF will not receive any financial contributions from other Union financial instruments;</w:t>
      </w:r>
    </w:p>
    <w:p w:rsidR="00EC77C0" w:rsidRPr="00215171" w:rsidP="00EA4068" w14:paraId="7FF9724A" w14:textId="77777777">
      <w:pPr>
        <w:pStyle w:val="NormalHanging12a"/>
        <w:rPr>
          <w:noProof/>
        </w:rPr>
      </w:pPr>
      <w:r w:rsidRPr="00215171">
        <w:rPr>
          <w:noProof/>
        </w:rPr>
        <w:t>6.</w:t>
      </w:r>
      <w:r w:rsidRPr="00215171">
        <w:rPr>
          <w:noProof/>
        </w:rPr>
        <w:tab/>
      </w:r>
      <w:bookmarkStart w:id="11" w:name="_Hlk239756697"/>
      <w:r w:rsidRPr="00215171">
        <w:t>Notes the personalised coordinated package to be provided to displaced workers consists of the following measures: (a) outplacement and vocational guidance (b) skills certification, (c) training, (d) support for business creation, (e) contribution to business start-up (the workers who start a business or a self-employed activity will receive a contribution up to EUR 15 000), and (f) incentives and allowances ((1) Job-search allowances, where workers will receive EUR 2 per hour of effective participation in job-search activities entitled to the allowance; (2) Return-to-school allowance, where a monthly allowance of EUR 350 will be granted to workers who embark on full-time secondary or tertiary studies, or qualifying training to acquire the necessary skills for jobs that are in demand and for which recruiting is difficult or linked to critical functions; (3) allowance towards business creation, where to support workers during setting up business, a monthly allowance of EUR 350 will be granted for a maximum of 12 months or up to 18 months under certain conditions);</w:t>
      </w:r>
      <w:bookmarkEnd w:id="11"/>
    </w:p>
    <w:p w:rsidR="00EC77C0" w:rsidRPr="00215171" w:rsidP="0057171A" w14:paraId="1FA289EE" w14:textId="77777777">
      <w:pPr>
        <w:pStyle w:val="NormalHanging12a"/>
      </w:pPr>
      <w:r w:rsidRPr="00215171">
        <w:t>7.</w:t>
      </w:r>
      <w:r w:rsidRPr="00215171">
        <w:tab/>
        <w:t>Recalls the possibility for special time-limited measures within the coordinated package including, inter alia, to pay childcare allowances, as provided in Article 7(2)(b) of the EGF regulation to facilitate job seekers’ participation in the activities proposed.</w:t>
      </w:r>
    </w:p>
    <w:bookmarkEnd w:id="7"/>
    <w:p w:rsidR="00591E88" w:rsidRPr="00846E0F" w:rsidP="00846E0F" w14:paraId="493082B0" w14:textId="65126D55"/>
    <w:p w:rsidR="0074722F" w:rsidRPr="00846E0F" w:rsidP="00846E0F" w14:paraId="248DF6DB" w14:textId="77777777">
      <w:pPr>
        <w:sectPr w:rsidSect="0074722F">
          <w:footnotePr>
            <w:numRestart w:val="eachSect"/>
          </w:footnotePr>
          <w:endnotePr>
            <w:numFmt w:val="decimal"/>
          </w:endnotePr>
          <w:pgSz w:w="11906" w:h="16838" w:code="9"/>
          <w:pgMar w:top="1134" w:right="1418" w:bottom="1418" w:left="1418" w:header="567" w:footer="567" w:gutter="0"/>
          <w:cols w:space="720"/>
          <w:noEndnote/>
          <w:docGrid w:linePitch="326"/>
        </w:sectPr>
      </w:pPr>
    </w:p>
    <w:p w:rsidR="00846E0F" w:rsidP="00846E0F" w14:paraId="3670E31D" w14:textId="69CE6E6A">
      <w:pPr>
        <w:pStyle w:val="PageHeading"/>
      </w:pPr>
      <w:bookmarkStart w:id="12" w:name="ProcPageRR"/>
      <w:bookmarkStart w:id="13" w:name="_Toc241576519"/>
      <w:r>
        <w:t>INFORMATION ON ADOPTION</w:t>
      </w:r>
      <w:r>
        <w:br/>
        <w:t>BY THE COMMITTEE RESPONSIBLE</w:t>
      </w:r>
      <w:bookmarkEnd w:id="13"/>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F11E4E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6E0F" w14:paraId="23C58DF4"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6E0F" w14:paraId="6CE388E1"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6E0F" w14:paraId="7007054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6E0F" w14:paraId="5861E05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6E0F" w14:paraId="3DE82CF7" w14:textId="77777777">
            <w:pPr>
              <w:autoSpaceDE w:val="0"/>
              <w:autoSpaceDN w:val="0"/>
              <w:adjustRightInd w:val="0"/>
              <w:rPr>
                <w:rFonts w:ascii="sans-serif" w:hAnsi="sans-serif" w:cs="sans-serif"/>
                <w:color w:val="000000"/>
              </w:rPr>
            </w:pPr>
          </w:p>
        </w:tc>
      </w:tr>
      <w:tr w14:paraId="286554B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6E0F" w14:paraId="3C86942F"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6E0F" w14:paraId="11EFA000" w14:textId="77777777">
            <w:pPr>
              <w:autoSpaceDE w:val="0"/>
              <w:autoSpaceDN w:val="0"/>
              <w:adjustRightInd w:val="0"/>
              <w:rPr>
                <w:color w:val="000000"/>
                <w:sz w:val="20"/>
              </w:rPr>
            </w:pPr>
            <w:r>
              <w:rPr>
                <w:color w:val="000000"/>
                <w:sz w:val="20"/>
              </w:rPr>
              <w:t>+:</w:t>
            </w:r>
          </w:p>
          <w:p w:rsidR="00846E0F" w14:paraId="30D9DA12" w14:textId="77777777">
            <w:pPr>
              <w:autoSpaceDE w:val="0"/>
              <w:autoSpaceDN w:val="0"/>
              <w:adjustRightInd w:val="0"/>
              <w:rPr>
                <w:color w:val="000000"/>
                <w:sz w:val="20"/>
              </w:rPr>
            </w:pPr>
            <w:r>
              <w:rPr>
                <w:color w:val="000000"/>
                <w:sz w:val="20"/>
              </w:rPr>
              <w:t>–:</w:t>
            </w:r>
          </w:p>
          <w:p w:rsidR="00846E0F" w14:paraId="308FB59D"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6E0F" w14:paraId="1437100B" w14:textId="77777777">
            <w:pPr>
              <w:autoSpaceDE w:val="0"/>
              <w:autoSpaceDN w:val="0"/>
              <w:adjustRightInd w:val="0"/>
              <w:rPr>
                <w:color w:val="000000"/>
                <w:sz w:val="20"/>
              </w:rPr>
            </w:pPr>
            <w:r>
              <w:rPr>
                <w:color w:val="000000"/>
                <w:sz w:val="20"/>
              </w:rPr>
              <w:t>21</w:t>
            </w:r>
          </w:p>
          <w:p w:rsidR="00846E0F" w14:paraId="1F6F3ED4" w14:textId="77777777">
            <w:pPr>
              <w:autoSpaceDE w:val="0"/>
              <w:autoSpaceDN w:val="0"/>
              <w:adjustRightInd w:val="0"/>
              <w:rPr>
                <w:color w:val="000000"/>
                <w:sz w:val="20"/>
              </w:rPr>
            </w:pPr>
            <w:r>
              <w:rPr>
                <w:color w:val="000000"/>
                <w:sz w:val="20"/>
              </w:rPr>
              <w:t>2</w:t>
            </w:r>
          </w:p>
          <w:p w:rsidR="00846E0F" w14:paraId="09CA13C6" w14:textId="77777777">
            <w:pPr>
              <w:autoSpaceDE w:val="0"/>
              <w:autoSpaceDN w:val="0"/>
              <w:adjustRightInd w:val="0"/>
              <w:rPr>
                <w:color w:val="000000"/>
                <w:sz w:val="20"/>
              </w:rPr>
            </w:pPr>
            <w:r>
              <w:rPr>
                <w:color w:val="000000"/>
                <w:sz w:val="20"/>
              </w:rPr>
              <w:t>1</w:t>
            </w:r>
          </w:p>
        </w:tc>
      </w:tr>
    </w:tbl>
    <w:p w:rsidR="00846E0F" w14:paraId="526FDCC0" w14:textId="77777777"/>
    <w:bookmarkEnd w:id="12"/>
    <w:p w:rsidR="0074722F" w:rsidRPr="00846E0F" w:rsidP="00846E0F" w14:paraId="08B98421" w14:textId="0D575116">
      <w:pPr>
        <w:sectPr w:rsidSect="0074722F">
          <w:pgSz w:w="11894" w:h="15840"/>
          <w:pgMar w:top="1700" w:right="1417" w:bottom="1417" w:left="1417" w:header="720" w:footer="720" w:gutter="0"/>
          <w:cols w:space="720"/>
          <w:noEndnote/>
          <w:docGrid w:linePitch="326"/>
        </w:sectPr>
      </w:pPr>
    </w:p>
    <w:p w:rsidR="0074722F" w:rsidRPr="00215171" w:rsidP="008B71C9" w14:paraId="55EBCEA0" w14:textId="73FEA31F">
      <w:pPr>
        <w:pStyle w:val="PageHeading"/>
      </w:pPr>
      <w:bookmarkStart w:id="14" w:name="RollCallPageRR"/>
      <w:bookmarkStart w:id="15" w:name="_Toc241576520"/>
      <w:r w:rsidRPr="00215171">
        <w:rPr>
          <w:noProof/>
        </w:rPr>
        <w:t>FINAL VOTE BY ROLL CALL</w:t>
      </w:r>
      <w:r w:rsidRPr="00215171">
        <w:rPr>
          <w:noProof/>
        </w:rPr>
        <w:br/>
        <w:t>BY THE COMMITTEE RESPONSIBLE</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3660CC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4722F" w:rsidRPr="00215171" w:rsidP="00E268E4" w14:paraId="5262B7AD" w14:textId="1C4A9035">
            <w:pPr>
              <w:pStyle w:val="RollCallVotes"/>
            </w:pPr>
            <w:r w:rsidRPr="00215171">
              <w:t>21</w:t>
            </w:r>
          </w:p>
        </w:tc>
        <w:tc>
          <w:tcPr>
            <w:tcW w:w="7371" w:type="dxa"/>
            <w:shd w:val="pct10" w:color="000000" w:fill="FFFFFF"/>
          </w:tcPr>
          <w:p w:rsidR="0074722F" w:rsidRPr="00215171" w:rsidP="00E268E4" w14:paraId="302D42BD" w14:textId="77777777">
            <w:pPr>
              <w:pStyle w:val="RollCallSymbols14pt"/>
            </w:pPr>
            <w:r w:rsidRPr="00215171">
              <w:t>+</w:t>
            </w:r>
          </w:p>
        </w:tc>
      </w:tr>
      <w:tr w14:paraId="1580868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0D05DA89" w14:textId="72AB30D5">
            <w:pPr>
              <w:pStyle w:val="RollCallTable"/>
            </w:pPr>
            <w:r w:rsidRPr="00215171">
              <w:t>ECR</w:t>
            </w:r>
          </w:p>
        </w:tc>
        <w:tc>
          <w:tcPr>
            <w:tcW w:w="7371" w:type="dxa"/>
            <w:shd w:val="clear" w:color="auto" w:fill="FFFFFF"/>
          </w:tcPr>
          <w:p w:rsidR="0074722F" w:rsidRPr="00215171" w:rsidP="00E268E4" w14:paraId="349D66E1" w14:textId="5F68DDDF">
            <w:pPr>
              <w:pStyle w:val="RollCallTable"/>
            </w:pPr>
            <w:r w:rsidRPr="00215171">
              <w:t>Tobiasz Bocheński</w:t>
            </w:r>
          </w:p>
        </w:tc>
      </w:tr>
      <w:tr w14:paraId="1317C4F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54E39A49" w14:textId="11EB903F">
            <w:pPr>
              <w:pStyle w:val="RollCallTable"/>
            </w:pPr>
            <w:r w:rsidRPr="00215171">
              <w:t>PPE</w:t>
            </w:r>
          </w:p>
        </w:tc>
        <w:tc>
          <w:tcPr>
            <w:tcW w:w="7371" w:type="dxa"/>
            <w:shd w:val="clear" w:color="auto" w:fill="FFFFFF"/>
          </w:tcPr>
          <w:p w:rsidR="0074722F" w:rsidRPr="00215171" w:rsidP="00E268E4" w14:paraId="3AA2D024" w14:textId="15097EEE">
            <w:pPr>
              <w:pStyle w:val="RollCallTable"/>
            </w:pPr>
            <w:r w:rsidRPr="00215171">
              <w:t>Georgios Aftias, Isabel Benjumea Benjumea, Monika Hohlmeier, Kinga Kollár, Jüri Ratas, Hélder Sousa Silva</w:t>
            </w:r>
          </w:p>
        </w:tc>
      </w:tr>
      <w:tr w14:paraId="5D19D4E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37F45602" w14:textId="4309CB1B">
            <w:pPr>
              <w:pStyle w:val="RollCallTable"/>
            </w:pPr>
            <w:r w:rsidRPr="00215171">
              <w:t>PfE</w:t>
            </w:r>
          </w:p>
        </w:tc>
        <w:tc>
          <w:tcPr>
            <w:tcW w:w="7371" w:type="dxa"/>
            <w:shd w:val="clear" w:color="auto" w:fill="FFFFFF"/>
          </w:tcPr>
          <w:p w:rsidR="0074722F" w:rsidRPr="00215171" w:rsidP="00E268E4" w14:paraId="339458A7" w14:textId="69C1AA31">
            <w:pPr>
              <w:pStyle w:val="RollCallTable"/>
            </w:pPr>
            <w:r w:rsidRPr="00215171">
              <w:t>Angéline Furet, András Gyürk, Virginie Joron, Balázs Orbán</w:t>
            </w:r>
          </w:p>
        </w:tc>
      </w:tr>
      <w:tr w14:paraId="76EEA1C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207851D9" w14:textId="3BC087E3">
            <w:pPr>
              <w:pStyle w:val="RollCallTable"/>
            </w:pPr>
            <w:r w:rsidRPr="00215171">
              <w:t>Renew</w:t>
            </w:r>
          </w:p>
        </w:tc>
        <w:tc>
          <w:tcPr>
            <w:tcW w:w="7371" w:type="dxa"/>
            <w:shd w:val="clear" w:color="auto" w:fill="FFFFFF"/>
          </w:tcPr>
          <w:p w:rsidR="0074722F" w:rsidRPr="00215171" w:rsidP="00E268E4" w14:paraId="42E8C587" w14:textId="6429E568">
            <w:pPr>
              <w:pStyle w:val="RollCallTable"/>
            </w:pPr>
            <w:r w:rsidRPr="00215171">
              <w:t>Olivier Chastel, Lucia Yar</w:t>
            </w:r>
          </w:p>
        </w:tc>
      </w:tr>
      <w:tr w14:paraId="0BBCA31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510D6F94" w14:textId="5EC928D4">
            <w:pPr>
              <w:pStyle w:val="RollCallTable"/>
            </w:pPr>
            <w:r w:rsidRPr="00215171">
              <w:t>S&amp;D</w:t>
            </w:r>
          </w:p>
        </w:tc>
        <w:tc>
          <w:tcPr>
            <w:tcW w:w="7371" w:type="dxa"/>
            <w:shd w:val="clear" w:color="auto" w:fill="FFFFFF"/>
          </w:tcPr>
          <w:p w:rsidR="0074722F" w:rsidRPr="00215171" w:rsidP="00E268E4" w14:paraId="0B7E6A31" w14:textId="663042CD">
            <w:pPr>
              <w:pStyle w:val="RollCallTable"/>
            </w:pPr>
            <w:r w:rsidRPr="00215171">
              <w:t>Matthias Ecke, Jean-Marc Germain, Sandra Gómez López, Giuseppe Lupo, Victor Negrescu, Nils Ušakovs</w:t>
            </w:r>
          </w:p>
        </w:tc>
      </w:tr>
      <w:tr w14:paraId="55523DD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0C2AF183" w14:textId="4F1BBD3F">
            <w:pPr>
              <w:pStyle w:val="RollCallTable"/>
            </w:pPr>
            <w:r w:rsidRPr="00215171">
              <w:t>The Left</w:t>
            </w:r>
          </w:p>
        </w:tc>
        <w:tc>
          <w:tcPr>
            <w:tcW w:w="7371" w:type="dxa"/>
            <w:shd w:val="clear" w:color="auto" w:fill="FFFFFF"/>
          </w:tcPr>
          <w:p w:rsidR="0074722F" w:rsidRPr="00215171" w:rsidP="00E268E4" w14:paraId="667FF120" w14:textId="7637E6AF">
            <w:pPr>
              <w:pStyle w:val="RollCallTable"/>
            </w:pPr>
            <w:r w:rsidRPr="00215171">
              <w:t>Younous Omarjee</w:t>
            </w:r>
          </w:p>
        </w:tc>
      </w:tr>
      <w:tr w14:paraId="1315763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381DCAF4" w14:textId="39652E51">
            <w:pPr>
              <w:pStyle w:val="RollCallTable"/>
            </w:pPr>
            <w:r w:rsidRPr="00215171">
              <w:t>Verts/ALE</w:t>
            </w:r>
          </w:p>
        </w:tc>
        <w:tc>
          <w:tcPr>
            <w:tcW w:w="7371" w:type="dxa"/>
            <w:shd w:val="clear" w:color="auto" w:fill="FFFFFF"/>
          </w:tcPr>
          <w:p w:rsidR="0074722F" w:rsidRPr="00215171" w:rsidP="00E268E4" w14:paraId="69FFBD7E" w14:textId="79AEA972">
            <w:pPr>
              <w:pStyle w:val="RollCallTable"/>
            </w:pPr>
            <w:r w:rsidRPr="00215171">
              <w:t>Rasmus Andresen</w:t>
            </w:r>
          </w:p>
        </w:tc>
      </w:tr>
    </w:tbl>
    <w:p w:rsidR="0074722F" w:rsidRPr="00215171" w:rsidP="00147FBF" w14:paraId="7EB6ADA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535052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4722F" w:rsidRPr="00215171" w:rsidP="00E268E4" w14:paraId="412FF499" w14:textId="35E3FB36">
            <w:pPr>
              <w:pStyle w:val="RollCallVotes"/>
            </w:pPr>
            <w:r w:rsidRPr="00215171">
              <w:t>2</w:t>
            </w:r>
          </w:p>
        </w:tc>
        <w:tc>
          <w:tcPr>
            <w:tcW w:w="7371" w:type="dxa"/>
            <w:shd w:val="pct10" w:color="000000" w:fill="FFFFFF"/>
          </w:tcPr>
          <w:p w:rsidR="0074722F" w:rsidRPr="00215171" w:rsidP="00E268E4" w14:paraId="67C755D7" w14:textId="77777777">
            <w:pPr>
              <w:pStyle w:val="RollCallSymbols14pt"/>
            </w:pPr>
            <w:r w:rsidRPr="00215171">
              <w:t>-</w:t>
            </w:r>
          </w:p>
        </w:tc>
      </w:tr>
      <w:tr w14:paraId="64E92B9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3E138029" w14:textId="000C51AB">
            <w:pPr>
              <w:pStyle w:val="RollCallTable"/>
            </w:pPr>
            <w:r w:rsidRPr="00215171">
              <w:t>ESN</w:t>
            </w:r>
          </w:p>
        </w:tc>
        <w:tc>
          <w:tcPr>
            <w:tcW w:w="7371" w:type="dxa"/>
            <w:shd w:val="clear" w:color="auto" w:fill="FFFFFF"/>
          </w:tcPr>
          <w:p w:rsidR="0074722F" w:rsidRPr="00215171" w:rsidP="00E268E4" w14:paraId="0D287A51" w14:textId="368D39C5">
            <w:pPr>
              <w:pStyle w:val="RollCallTable"/>
            </w:pPr>
            <w:r w:rsidRPr="00215171">
              <w:t>Alexander Jungbluth</w:t>
            </w:r>
          </w:p>
        </w:tc>
      </w:tr>
      <w:tr w14:paraId="4C583C0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784D55F4" w14:textId="70048B99">
            <w:pPr>
              <w:pStyle w:val="RollCallTable"/>
            </w:pPr>
            <w:r w:rsidRPr="00215171">
              <w:t>PfE</w:t>
            </w:r>
          </w:p>
        </w:tc>
        <w:tc>
          <w:tcPr>
            <w:tcW w:w="7371" w:type="dxa"/>
            <w:shd w:val="clear" w:color="auto" w:fill="FFFFFF"/>
          </w:tcPr>
          <w:p w:rsidR="0074722F" w:rsidRPr="00215171" w:rsidP="00E268E4" w14:paraId="49E75FEF" w14:textId="796C545B">
            <w:pPr>
              <w:pStyle w:val="RollCallTable"/>
            </w:pPr>
            <w:r w:rsidRPr="00215171">
              <w:t>Tomasz Buczek</w:t>
            </w:r>
          </w:p>
        </w:tc>
      </w:tr>
    </w:tbl>
    <w:p w:rsidR="0074722F" w:rsidRPr="00215171" w:rsidP="00147FBF" w14:paraId="603A72EF"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921ED91"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4722F" w:rsidRPr="00215171" w:rsidP="00E268E4" w14:paraId="3D58194F" w14:textId="6FDDDC0E">
            <w:pPr>
              <w:pStyle w:val="RollCallVotes"/>
            </w:pPr>
            <w:r w:rsidRPr="00215171">
              <w:t>1</w:t>
            </w:r>
          </w:p>
        </w:tc>
        <w:tc>
          <w:tcPr>
            <w:tcW w:w="7371" w:type="dxa"/>
            <w:shd w:val="pct10" w:color="000000" w:fill="FFFFFF"/>
          </w:tcPr>
          <w:p w:rsidR="0074722F" w:rsidRPr="00215171" w:rsidP="00E268E4" w14:paraId="77CFC769" w14:textId="77777777">
            <w:pPr>
              <w:pStyle w:val="RollCallSymbols14pt"/>
            </w:pPr>
            <w:r w:rsidRPr="00215171">
              <w:t>0</w:t>
            </w:r>
          </w:p>
        </w:tc>
      </w:tr>
      <w:tr w14:paraId="03AD6C5A"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74722F" w:rsidRPr="00215171" w:rsidP="00E268E4" w14:paraId="25A3DF92" w14:textId="61956347">
            <w:pPr>
              <w:pStyle w:val="RollCallTable"/>
            </w:pPr>
            <w:r w:rsidRPr="00215171">
              <w:t>NI</w:t>
            </w:r>
          </w:p>
        </w:tc>
        <w:tc>
          <w:tcPr>
            <w:tcW w:w="7371" w:type="dxa"/>
            <w:shd w:val="clear" w:color="auto" w:fill="FFFFFF"/>
          </w:tcPr>
          <w:p w:rsidR="0074722F" w:rsidRPr="00215171" w:rsidP="00E268E4" w14:paraId="1AC49C50" w14:textId="37FE7599">
            <w:pPr>
              <w:pStyle w:val="RollCallTable"/>
            </w:pPr>
            <w:r w:rsidRPr="00215171">
              <w:t>Thomas Geisel</w:t>
            </w:r>
          </w:p>
        </w:tc>
      </w:tr>
    </w:tbl>
    <w:p w:rsidR="0074722F" w:rsidRPr="00215171" w:rsidP="00147FBF" w14:paraId="2F227085" w14:textId="77777777">
      <w:pPr>
        <w:pStyle w:val="Normal12a"/>
      </w:pPr>
    </w:p>
    <w:p w:rsidR="0074722F" w:rsidRPr="00215171" w:rsidP="00B735E3" w14:paraId="57435E27" w14:textId="246F7054">
      <w:r w:rsidRPr="00215171">
        <w:t>Key to symbols:</w:t>
      </w:r>
    </w:p>
    <w:p w:rsidR="0074722F" w:rsidRPr="00215171" w:rsidP="001C6342" w14:paraId="4E7FF514" w14:textId="2A2FDFDB">
      <w:pPr>
        <w:pStyle w:val="RollCallTabs"/>
      </w:pPr>
      <w:r w:rsidRPr="00215171">
        <w:t>+</w:t>
      </w:r>
      <w:r w:rsidRPr="00215171">
        <w:tab/>
        <w:t>:</w:t>
      </w:r>
      <w:r w:rsidRPr="00215171">
        <w:tab/>
        <w:t>in favour</w:t>
      </w:r>
    </w:p>
    <w:p w:rsidR="0074722F" w:rsidRPr="00215171" w:rsidP="001C6342" w14:paraId="1DE9E439" w14:textId="15DC03F1">
      <w:pPr>
        <w:pStyle w:val="RollCallTabs"/>
      </w:pPr>
      <w:r w:rsidRPr="00215171">
        <w:t>-</w:t>
      </w:r>
      <w:r w:rsidRPr="00215171">
        <w:tab/>
        <w:t>:</w:t>
      </w:r>
      <w:r w:rsidRPr="00215171">
        <w:tab/>
        <w:t>against</w:t>
      </w:r>
    </w:p>
    <w:p w:rsidR="0074722F" w:rsidRPr="00215171" w:rsidP="001C6342" w14:paraId="30E51E06" w14:textId="12CD434D">
      <w:pPr>
        <w:pStyle w:val="RollCallTabs"/>
      </w:pPr>
      <w:r w:rsidRPr="00215171">
        <w:t>0</w:t>
      </w:r>
      <w:r w:rsidRPr="00215171">
        <w:tab/>
        <w:t>:</w:t>
      </w:r>
      <w:r w:rsidRPr="00215171">
        <w:tab/>
        <w:t>abstention</w:t>
      </w:r>
    </w:p>
    <w:bookmarkEnd w:id="14"/>
    <w:p w:rsidR="0074722F" w:rsidRPr="00215171" w:rsidP="0074722F" w14:paraId="5F7848CE" w14:textId="5A906792"/>
    <w:sectPr w:rsidSect="0074722F">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0F" w:rsidP="00846E0F" w14:paraId="7685CEF9" w14:textId="77777777">
    <w:pPr>
      <w:pStyle w:val="EPFooter"/>
    </w:pPr>
    <w:r>
      <w:t>PE</w:t>
    </w:r>
    <w:r w:rsidRPr="00846E0F">
      <w:rPr>
        <w:rStyle w:val="HideTWBExt"/>
      </w:rPr>
      <w:t>&lt;NoPE&gt;</w:t>
    </w:r>
    <w:r>
      <w:t>792.010</w:t>
    </w:r>
    <w:r w:rsidRPr="00846E0F">
      <w:rPr>
        <w:rStyle w:val="HideTWBExt"/>
      </w:rPr>
      <w:t>&lt;/NoPE&gt;&lt;Version&gt;</w:t>
    </w:r>
    <w:r>
      <w:t>v02-00</w:t>
    </w:r>
    <w:r w:rsidRPr="00846E0F">
      <w:rPr>
        <w:rStyle w:val="HideTWBExt"/>
      </w:rPr>
      <w:t>&lt;/Version&gt;</w:t>
    </w:r>
    <w:r>
      <w:tab/>
    </w:r>
    <w:r>
      <w:fldChar w:fldCharType="begin"/>
    </w:r>
    <w:r>
      <w:instrText xml:space="preserve"> PAGE  \* MERGEFORMAT </w:instrText>
    </w:r>
    <w:r>
      <w:fldChar w:fldCharType="separate"/>
    </w:r>
    <w:r>
      <w:rPr>
        <w:noProof/>
      </w:rPr>
      <w:t>4</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846E0F">
      <w:rPr>
        <w:rStyle w:val="HideTWBExt"/>
      </w:rPr>
      <w:t>&lt;PathFdR&gt;</w:t>
    </w:r>
    <w:r>
      <w:t>RR\1351577EN.docx</w:t>
    </w:r>
    <w:r w:rsidRPr="00846E0F">
      <w:rPr>
        <w:rStyle w:val="HideTWBExt"/>
      </w:rPr>
      <w:t>&lt;/PathFdR&gt;</w:t>
    </w:r>
  </w:p>
  <w:p w:rsidR="00BB725E" w:rsidRPr="00215171" w:rsidP="00846E0F" w14:paraId="07CF496F" w14:textId="18956A5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0F" w:rsidP="00846E0F" w14:paraId="4E79F6CE" w14:textId="77777777">
    <w:pPr>
      <w:pStyle w:val="EPFooter"/>
    </w:pPr>
    <w:r w:rsidRPr="00846E0F">
      <w:rPr>
        <w:rStyle w:val="HideTWBExt"/>
      </w:rPr>
      <w:t>&lt;PathFdR&gt;</w:t>
    </w:r>
    <w:r>
      <w:t>RR\1351577EN.docx</w:t>
    </w:r>
    <w:r w:rsidRPr="00846E0F">
      <w:rPr>
        <w:rStyle w:val="HideTWBExt"/>
      </w:rPr>
      <w:t>&lt;/PathFdR&gt;</w:t>
    </w:r>
    <w:r>
      <w:tab/>
    </w:r>
    <w:r>
      <w:fldChar w:fldCharType="begin"/>
    </w:r>
    <w:r>
      <w:instrText xml:space="preserve"> PAGE  \* MERGEFORMAT </w:instrText>
    </w:r>
    <w:r>
      <w:fldChar w:fldCharType="separate"/>
    </w:r>
    <w:r>
      <w:rPr>
        <w:noProof/>
      </w:rPr>
      <w:t>4</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846E0F">
      <w:rPr>
        <w:rStyle w:val="HideTWBExt"/>
      </w:rPr>
      <w:t>&lt;NoPE&gt;</w:t>
    </w:r>
    <w:r>
      <w:t>792.010</w:t>
    </w:r>
    <w:r w:rsidRPr="00846E0F">
      <w:rPr>
        <w:rStyle w:val="HideTWBExt"/>
      </w:rPr>
      <w:t>&lt;/NoPE&gt;&lt;Version&gt;</w:t>
    </w:r>
    <w:r>
      <w:t>v02-00</w:t>
    </w:r>
    <w:r w:rsidRPr="00846E0F">
      <w:rPr>
        <w:rStyle w:val="HideTWBExt"/>
      </w:rPr>
      <w:t>&lt;/Version&gt;</w:t>
    </w:r>
  </w:p>
  <w:p w:rsidR="00BB725E" w:rsidRPr="00215171" w:rsidP="00846E0F" w14:paraId="5EDDB6A1" w14:textId="3A8E6C1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0F" w:rsidP="00846E0F" w14:paraId="67A7B01D" w14:textId="77777777">
    <w:pPr>
      <w:pStyle w:val="EPFooter"/>
    </w:pPr>
    <w:r w:rsidRPr="00846E0F">
      <w:rPr>
        <w:rStyle w:val="HideTWBExt"/>
      </w:rPr>
      <w:t>&lt;PathFdR&gt;</w:t>
    </w:r>
    <w:r>
      <w:t>RR\1351577EN.docx</w:t>
    </w:r>
    <w:r w:rsidRPr="00846E0F">
      <w:rPr>
        <w:rStyle w:val="HideTWBExt"/>
      </w:rPr>
      <w:t>&lt;/PathFdR&gt;</w:t>
    </w:r>
    <w:r>
      <w:tab/>
    </w:r>
    <w:r>
      <w:tab/>
      <w:t>PE</w:t>
    </w:r>
    <w:r w:rsidRPr="00846E0F">
      <w:rPr>
        <w:rStyle w:val="HideTWBExt"/>
      </w:rPr>
      <w:t>&lt;NoPE&gt;</w:t>
    </w:r>
    <w:r>
      <w:t>792.010</w:t>
    </w:r>
    <w:r w:rsidRPr="00846E0F">
      <w:rPr>
        <w:rStyle w:val="HideTWBExt"/>
      </w:rPr>
      <w:t>&lt;/NoPE&gt;&lt;Version&gt;</w:t>
    </w:r>
    <w:r>
      <w:t>v02-00</w:t>
    </w:r>
    <w:r w:rsidRPr="00846E0F">
      <w:rPr>
        <w:rStyle w:val="HideTWBExt"/>
      </w:rPr>
      <w:t>&lt;/Version&gt;</w:t>
    </w:r>
  </w:p>
  <w:p w:rsidR="00BB725E" w:rsidRPr="00215171" w:rsidP="00846E0F" w14:paraId="3260AAED" w14:textId="64A67D78">
    <w:pPr>
      <w:pStyle w:val="EPFooter2"/>
    </w:pPr>
    <w:r>
      <w:t>EN</w:t>
    </w:r>
    <w:r>
      <w:tab/>
    </w:r>
    <w:r w:rsidRPr="00846E0F">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C5A95" w:rsidRPr="00215171" w14:paraId="59F409FC" w14:textId="77777777">
      <w:r w:rsidRPr="00215171">
        <w:separator/>
      </w:r>
    </w:p>
  </w:footnote>
  <w:footnote w:type="continuationSeparator" w:id="1">
    <w:p w:rsidR="009C5A95" w:rsidRPr="00215171" w14:paraId="03CA4D98" w14:textId="77777777">
      <w:r w:rsidRPr="00215171">
        <w:continuationSeparator/>
      </w:r>
    </w:p>
  </w:footnote>
  <w:footnote w:id="2">
    <w:p w:rsidR="00E75330" w:rsidRPr="00846E0F" w:rsidP="00E75330" w14:paraId="29E285A9" w14:textId="44739EF8">
      <w:pPr>
        <w:pStyle w:val="FootnoteText"/>
        <w:rPr>
          <w:lang w:val="fi-FI"/>
        </w:rPr>
      </w:pPr>
      <w:r w:rsidRPr="00215171">
        <w:rPr>
          <w:rStyle w:val="FootnoteReference"/>
        </w:rPr>
        <w:footnoteRef/>
      </w:r>
      <w:r w:rsidRPr="00846E0F">
        <w:rPr>
          <w:lang w:val="fi-FI"/>
        </w:rPr>
        <w:t xml:space="preserve"> OJ L 153, 3.5.2021, p. 48, ELI: </w:t>
      </w:r>
      <w:hyperlink r:id="rId1" w:history="1">
        <w:r w:rsidRPr="00846E0F">
          <w:rPr>
            <w:rStyle w:val="Hyperlink"/>
            <w:lang w:val="fi-FI"/>
          </w:rPr>
          <w:t>http://data.europa.eu/eli/reg/2021/691/oj</w:t>
        </w:r>
      </w:hyperlink>
      <w:r w:rsidRPr="00846E0F">
        <w:rPr>
          <w:lang w:val="fi-FI"/>
        </w:rPr>
        <w:t>.</w:t>
      </w:r>
    </w:p>
  </w:footnote>
  <w:footnote w:id="3">
    <w:p w:rsidR="00E75330" w:rsidRPr="00846E0F" w:rsidP="00E75330" w14:paraId="722E6342" w14:textId="6665BA0B">
      <w:pPr>
        <w:pStyle w:val="FootnoteText"/>
        <w:rPr>
          <w:lang w:val="fi-FI"/>
        </w:rPr>
      </w:pPr>
      <w:r w:rsidRPr="00215171">
        <w:rPr>
          <w:rStyle w:val="FootnoteReference"/>
        </w:rPr>
        <w:footnoteRef/>
      </w:r>
      <w:r w:rsidRPr="00846E0F">
        <w:rPr>
          <w:lang w:val="fi-FI"/>
        </w:rPr>
        <w:t xml:space="preserve"> OJ L, 2026/1139, 20.5.2026, ELI: </w:t>
      </w:r>
      <w:hyperlink r:id="rId2" w:history="1">
        <w:r w:rsidRPr="00846E0F">
          <w:rPr>
            <w:rStyle w:val="Hyperlink"/>
            <w:lang w:val="fi-FI"/>
          </w:rPr>
          <w:t>http://data.europa.eu/eli/reg/2026/1139/oj</w:t>
        </w:r>
      </w:hyperlink>
      <w:r w:rsidRPr="00846E0F">
        <w:rPr>
          <w:lang w:val="fi-FI"/>
        </w:rPr>
        <w:t>.</w:t>
      </w:r>
    </w:p>
  </w:footnote>
  <w:footnote w:id="4">
    <w:p w:rsidR="00E75330" w:rsidRPr="00846E0F" w:rsidP="00E75330" w14:paraId="78A2C406" w14:textId="612D9A5B">
      <w:pPr>
        <w:pStyle w:val="FootnoteText"/>
        <w:rPr>
          <w:lang w:val="fi-FI"/>
        </w:rPr>
      </w:pPr>
      <w:r w:rsidRPr="00215171">
        <w:rPr>
          <w:rStyle w:val="FootnoteReference"/>
        </w:rPr>
        <w:footnoteRef/>
      </w:r>
      <w:r w:rsidRPr="00846E0F">
        <w:rPr>
          <w:lang w:val="fi-FI"/>
        </w:rPr>
        <w:t xml:space="preserve"> OJ L 433 I, 22.12.2020, p. 11, ELI: </w:t>
      </w:r>
      <w:hyperlink r:id="rId3" w:history="1">
        <w:r w:rsidRPr="00846E0F">
          <w:rPr>
            <w:rStyle w:val="Hyperlink"/>
            <w:lang w:val="fi-FI"/>
          </w:rPr>
          <w:t>http://data.europa.eu/eli/reg/2020/2093/oj</w:t>
        </w:r>
      </w:hyperlink>
      <w:r w:rsidRPr="00846E0F">
        <w:rPr>
          <w:lang w:val="fi-FI"/>
        </w:rPr>
        <w:t>.</w:t>
      </w:r>
    </w:p>
  </w:footnote>
  <w:footnote w:id="5">
    <w:p w:rsidR="00E75330" w:rsidRPr="00846E0F" w:rsidP="00E75330" w14:paraId="17470D7F" w14:textId="4034B989">
      <w:pPr>
        <w:pStyle w:val="FootnoteText"/>
        <w:rPr>
          <w:lang w:val="fi-FI"/>
        </w:rPr>
      </w:pPr>
      <w:r w:rsidRPr="00215171">
        <w:rPr>
          <w:rStyle w:val="FootnoteReference"/>
        </w:rPr>
        <w:footnoteRef/>
      </w:r>
      <w:r w:rsidRPr="00846E0F">
        <w:rPr>
          <w:lang w:val="fi-FI"/>
        </w:rPr>
        <w:t xml:space="preserve"> </w:t>
      </w:r>
      <w:r w:rsidRPr="00846E0F">
        <w:rPr>
          <w:bCs/>
          <w:shd w:val="clear" w:color="auto" w:fill="FFFFFF"/>
          <w:lang w:val="fi-FI"/>
        </w:rPr>
        <w:t xml:space="preserve">OJ L, 2024/765, 29.2.2024, </w:t>
      </w:r>
      <w:r w:rsidRPr="00846E0F">
        <w:rPr>
          <w:bCs/>
          <w:iCs/>
          <w:shd w:val="clear" w:color="auto" w:fill="FFFFFF"/>
          <w:lang w:val="fi-FI"/>
        </w:rPr>
        <w:t>ELI:</w:t>
      </w:r>
      <w:r w:rsidRPr="00846E0F">
        <w:rPr>
          <w:bCs/>
          <w:iCs/>
          <w:color w:val="333333"/>
          <w:shd w:val="clear" w:color="auto" w:fill="FFFFFF"/>
          <w:lang w:val="fi-FI"/>
        </w:rPr>
        <w:t xml:space="preserve"> </w:t>
      </w:r>
      <w:hyperlink r:id="rId4" w:history="1">
        <w:r w:rsidRPr="00846E0F">
          <w:rPr>
            <w:rStyle w:val="Hyperlink"/>
            <w:bCs/>
            <w:iCs/>
            <w:shd w:val="clear" w:color="auto" w:fill="FFFFFF"/>
            <w:lang w:val="fi-FI"/>
          </w:rPr>
          <w:t>http://data.europa.eu/eli/reg/2024/765/oj</w:t>
        </w:r>
      </w:hyperlink>
      <w:r w:rsidRPr="00846E0F">
        <w:rPr>
          <w:bCs/>
          <w:i/>
          <w:iCs/>
          <w:color w:val="333333"/>
          <w:shd w:val="clear" w:color="auto" w:fill="FFFFFF"/>
          <w:lang w:val="fi-FI"/>
        </w:rPr>
        <w:t>.</w:t>
      </w:r>
    </w:p>
  </w:footnote>
  <w:footnote w:id="6">
    <w:p w:rsidR="00E75330" w:rsidRPr="00215171" w:rsidP="00E75330" w14:paraId="1BDD8998" w14:textId="4925DF04">
      <w:pPr>
        <w:pStyle w:val="FootnoteText"/>
      </w:pPr>
      <w:r w:rsidRPr="00215171">
        <w:rPr>
          <w:rStyle w:val="FootnoteReference"/>
        </w:rPr>
        <w:footnoteRef/>
      </w:r>
      <w:r w:rsidRPr="00215171">
        <w:t xml:space="preserve"> OJ L 433 I, 22.12.2020, p. 28, ELI: </w:t>
      </w:r>
      <w:hyperlink r:id="rId5" w:history="1">
        <w:r w:rsidRPr="00215171">
          <w:rPr>
            <w:rStyle w:val="Hyperlink"/>
          </w:rPr>
          <w:t>http://data.europa.eu/eli/agree_interinstit/2020/1222/oj</w:t>
        </w:r>
      </w:hyperlink>
      <w:r w:rsidRPr="00215171">
        <w:t>.</w:t>
      </w:r>
    </w:p>
  </w:footnote>
  <w:footnote w:id="7">
    <w:p w:rsidR="00E75330" w:rsidRPr="00215171" w:rsidP="00E75330" w14:paraId="1CF45880" w14:textId="77777777">
      <w:pPr>
        <w:pStyle w:val="FootnoteText"/>
      </w:pPr>
      <w:r w:rsidRPr="00215171">
        <w:rPr>
          <w:rStyle w:val="FootnoteReference"/>
        </w:rPr>
        <w:footnoteRef/>
      </w:r>
      <w:r w:rsidRPr="00215171">
        <w:t xml:space="preserve"> Within the meaning of Article 3 of the EGF Regulation.</w:t>
      </w:r>
    </w:p>
  </w:footnote>
  <w:footnote w:id="8">
    <w:p w:rsidR="00E75330" w:rsidRPr="00215171" w:rsidP="00E75330" w14:paraId="64F3D687" w14:textId="77777777">
      <w:pPr>
        <w:pStyle w:val="FootnoteText"/>
      </w:pPr>
      <w:r w:rsidRPr="00215171">
        <w:rPr>
          <w:rStyle w:val="FootnoteReference"/>
        </w:rPr>
        <w:footnoteRef/>
      </w:r>
      <w:r w:rsidRPr="00215171">
        <w:t xml:space="preserve"> Article 8 of the MFF Regulation.</w:t>
      </w:r>
    </w:p>
  </w:footnote>
  <w:footnote w:id="9">
    <w:p w:rsidR="005B5C95" w:rsidRPr="00846E0F" w:rsidP="005B5C95" w14:paraId="6D8E1AB9" w14:textId="311607D2">
      <w:pPr>
        <w:pStyle w:val="FootnoteText"/>
        <w:rPr>
          <w:lang w:val="fi-FI"/>
        </w:rPr>
      </w:pPr>
      <w:r w:rsidRPr="00215171">
        <w:rPr>
          <w:rStyle w:val="FootnoteReference"/>
        </w:rPr>
        <w:footnoteRef/>
      </w:r>
      <w:r w:rsidRPr="00846E0F">
        <w:rPr>
          <w:lang w:val="fi-FI"/>
        </w:rPr>
        <w:t xml:space="preserve"> OJ L 153, 3.5.2021, p. 48, ELI: </w:t>
      </w:r>
      <w:hyperlink r:id="rId1" w:history="1">
        <w:r w:rsidRPr="00846E0F">
          <w:rPr>
            <w:rStyle w:val="Hyperlink"/>
            <w:lang w:val="fi-FI"/>
          </w:rPr>
          <w:t>http://data.europa.eu/eli/reg/2021/691/oj</w:t>
        </w:r>
      </w:hyperlink>
      <w:r w:rsidRPr="00846E0F">
        <w:rPr>
          <w:lang w:val="fi-FI"/>
        </w:rPr>
        <w:t>.</w:t>
      </w:r>
    </w:p>
  </w:footnote>
  <w:footnote w:id="10">
    <w:p w:rsidR="005B5C95" w:rsidRPr="00215171" w:rsidP="005B5C95" w14:paraId="7FA42D34" w14:textId="10F6F8E5">
      <w:pPr>
        <w:pStyle w:val="FootnoteText"/>
      </w:pPr>
      <w:r w:rsidRPr="00215171">
        <w:rPr>
          <w:rStyle w:val="FootnoteReference"/>
        </w:rPr>
        <w:footnoteRef/>
      </w:r>
      <w:r w:rsidRPr="00215171">
        <w:t xml:space="preserve"> OJ L 433 I, 22.12.2020, p. 28, ELI: </w:t>
      </w:r>
      <w:hyperlink r:id="rId5" w:history="1">
        <w:r w:rsidRPr="00215171">
          <w:rPr>
            <w:rStyle w:val="Hyperlink"/>
          </w:rPr>
          <w:t>http://data.europa.eu/eli/agree_interinstit/2020/1222/oj</w:t>
        </w:r>
      </w:hyperlink>
      <w:r w:rsidRPr="00215171">
        <w:t>.</w:t>
      </w:r>
    </w:p>
  </w:footnote>
  <w:footnote w:id="11">
    <w:p w:rsidR="005B5C95" w:rsidRPr="00215171" w:rsidP="005B5C95" w14:paraId="586729C9" w14:textId="23412FE7">
      <w:pPr>
        <w:pStyle w:val="FootnoteText"/>
      </w:pPr>
      <w:r w:rsidRPr="00215171">
        <w:rPr>
          <w:rStyle w:val="FootnoteReference"/>
        </w:rPr>
        <w:footnoteRef/>
      </w:r>
      <w:r w:rsidRPr="00215171">
        <w:t xml:space="preserve"> Council Regulation (EU, Euratom) 2020/2093 of 17 December 2020 laying down the multiannual financial framework for the years 2021 to 2027 (OJ L 433 I, 22.12.2020, p. 11, ELI: </w:t>
      </w:r>
      <w:hyperlink r:id="rId3" w:history="1">
        <w:r w:rsidRPr="00215171">
          <w:rPr>
            <w:rStyle w:val="Hyperlink"/>
          </w:rPr>
          <w:t>http://data.europa.eu/eli/reg/2020/2093/oj</w:t>
        </w:r>
      </w:hyperlink>
      <w:r w:rsidRPr="00215171">
        <w:t>).</w:t>
      </w:r>
    </w:p>
  </w:footnote>
  <w:footnote w:id="12">
    <w:p w:rsidR="00DB6785" w:rsidRPr="00215171" w:rsidP="00DB6785" w14:paraId="51E9062A" w14:textId="6061464B">
      <w:pPr>
        <w:pStyle w:val="FootnoteText"/>
      </w:pPr>
      <w:r w:rsidRPr="00215171">
        <w:rPr>
          <w:rStyle w:val="FootnoteReference"/>
        </w:rPr>
        <w:footnoteRef/>
      </w:r>
      <w:r w:rsidRPr="00215171">
        <w:t xml:space="preserve"> Council Regulation (EU, Euratom) 2024/765 of 29 February 2024 amending Regulation (EU, Euratom) 2020/2093 laying down the multiannual financial framework for the years 2021 to 2027 (OJ L, 2024/765, 29.2.2024, ELI: </w:t>
      </w:r>
      <w:hyperlink r:id="rId4" w:history="1">
        <w:r w:rsidRPr="00215171">
          <w:rPr>
            <w:rStyle w:val="Hyperlink"/>
          </w:rPr>
          <w:t>http://data.europa.eu/eli/reg/2024/765/oj</w:t>
        </w:r>
      </w:hyperlink>
      <w:r w:rsidRPr="00215171">
        <w:t>).</w:t>
      </w:r>
    </w:p>
  </w:footnote>
  <w:footnote w:id="13">
    <w:p w:rsidR="005B5C95" w:rsidRPr="00215171" w:rsidP="005B5C95" w14:paraId="0224F457" w14:textId="4F62D125">
      <w:pPr>
        <w:pStyle w:val="FootnoteText"/>
      </w:pPr>
      <w:r w:rsidRPr="00215171">
        <w:rPr>
          <w:rStyle w:val="FootnoteReference"/>
        </w:rPr>
        <w:footnoteRef/>
      </w:r>
      <w:r w:rsidRPr="00215171">
        <w:t xml:space="preserve"> COM(2026)155.</w:t>
      </w:r>
    </w:p>
    <w:p w:rsidR="000C78A9" w:rsidRPr="001F6538" w:rsidP="000C78A9" w14:paraId="7F4347BE" w14:textId="77777777">
      <w:pPr>
        <w:pStyle w:val="FootnoteText"/>
      </w:pPr>
      <w:r w:rsidRPr="001F6538">
        <w:t>* Date to be inserted by the Parliament before the publication in OJ.</w:t>
      </w:r>
    </w:p>
    <w:p w:rsidR="005B5C95" w:rsidRPr="00215171" w:rsidP="005B5C95" w14:paraId="0747EB48" w14:textId="77777777">
      <w:pPr>
        <w:pStyle w:val="FootnoteText"/>
      </w:pPr>
    </w:p>
  </w:footnote>
  <w:footnote w:id="14">
    <w:p w:rsidR="0078699F" w:rsidRPr="00215171" w:rsidP="0078699F" w14:paraId="74AB4376" w14:textId="77777777">
      <w:pPr>
        <w:pStyle w:val="FootnoteText"/>
      </w:pPr>
      <w:r w:rsidRPr="00215171">
        <w:rPr>
          <w:rStyle w:val="FootnoteReference"/>
        </w:rPr>
        <w:footnoteRef/>
      </w:r>
      <w:r w:rsidRPr="00215171">
        <w:t xml:space="preserve"> Interinstitutional agreement </w:t>
      </w:r>
      <w:r w:rsidRPr="00215171">
        <w:rPr>
          <w:rFonts w:eastAsia="Calibri"/>
          <w:szCs w:val="24"/>
          <w:lang w:eastAsia="en-US"/>
        </w:rPr>
        <w:t xml:space="preserve">between the European Parliament, the Council and the Commission on budgetary discipline, on cooperation in budgetary matters and on sound financial management as well as on new own resources, including a roadmap towards the introduction of new own resources, </w:t>
      </w:r>
      <w:r w:rsidRPr="00215171">
        <w:t>OJ L 433I, 22.12.2020, p. 28.</w:t>
      </w:r>
    </w:p>
  </w:footnote>
  <w:footnote w:id="15">
    <w:p w:rsidR="0078699F" w:rsidRPr="00215171" w:rsidP="0078699F" w14:paraId="69480731" w14:textId="77777777">
      <w:pPr>
        <w:pStyle w:val="FootnoteText"/>
      </w:pPr>
      <w:r w:rsidRPr="00215171">
        <w:rPr>
          <w:rStyle w:val="FootnoteReference"/>
        </w:rPr>
        <w:footnoteRef/>
      </w:r>
      <w:r w:rsidRPr="00215171">
        <w:t xml:space="preserve"> Within the meaning of Article 3 of the EGF Regulation.</w:t>
      </w:r>
    </w:p>
  </w:footnote>
  <w:footnote w:id="16">
    <w:p w:rsidR="0078699F" w:rsidRPr="00215171" w:rsidP="0078699F" w14:paraId="0B48D06D" w14:textId="3ED51CD1">
      <w:pPr>
        <w:pStyle w:val="FootnoteText"/>
      </w:pPr>
      <w:r w:rsidRPr="00215171">
        <w:rPr>
          <w:rStyle w:val="FootnoteReference"/>
        </w:rPr>
        <w:footnoteRef/>
      </w:r>
      <w:r w:rsidRPr="00215171">
        <w:t xml:space="preserve"> </w:t>
      </w:r>
      <w:hyperlink r:id="rId6" w:history="1">
        <w:r w:rsidRPr="00215171">
          <w:rPr>
            <w:rStyle w:val="Hyperlink"/>
          </w:rPr>
          <w:t>List of jobs in demand and difficult to be covered or linked to critical functions</w:t>
        </w:r>
      </w:hyperlink>
      <w:r w:rsidRPr="00215171">
        <w:t>, Le Forem 2025-2026.</w:t>
      </w:r>
    </w:p>
  </w:footnote>
  <w:footnote w:id="17">
    <w:p w:rsidR="00EC77C0" w:rsidRPr="00215171" w14:paraId="04D9AFE5" w14:textId="18884104">
      <w:pPr>
        <w:pStyle w:val="FootnoteText"/>
      </w:pPr>
      <w:r w:rsidRPr="00215171">
        <w:rPr>
          <w:rStyle w:val="FootnoteReference"/>
        </w:rPr>
        <w:footnoteRef/>
      </w:r>
      <w:r w:rsidRPr="00215171">
        <w:t xml:space="preserve"> Interinstitutional Agreement of 20 May 2021 between the European Parliament, the Council of the European Union and the European Commission on a mandatory transparency register (OJ L 207, 11.6.2021, p. 1, ELI: </w:t>
      </w:r>
      <w:hyperlink r:id="rId7" w:tooltip="http://data.europa.eu/eli/agree_interinstit/2021/611/oj" w:history="1">
        <w:r w:rsidRPr="00215171">
          <w:rPr>
            <w:rStyle w:val="Hyperlink"/>
          </w:rPr>
          <w:t>http://data.europa.eu/eli/agree_interinstit/2021/611/oj</w:t>
        </w:r>
      </w:hyperlink>
      <w:r w:rsidRPr="0021517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0F" w14:paraId="275579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0F" w14:paraId="0E106A7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6E0F" w14:paraId="1EA52C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1">
    <w:nsid w:val="6CA65890"/>
    <w:multiLevelType w:val="hybridMultilevel"/>
    <w:tmpl w:val="7F08C092"/>
    <w:lvl w:ilvl="0">
      <w:start w:val="1"/>
      <w:numFmt w:val="upperLetter"/>
      <w:lvlText w:val="%1."/>
      <w:lvlJc w:val="left"/>
      <w:pPr>
        <w:ind w:left="930" w:hanging="5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A3"/>
    <w:rsid w:val="00031D17"/>
    <w:rsid w:val="000555E6"/>
    <w:rsid w:val="000567ED"/>
    <w:rsid w:val="00080103"/>
    <w:rsid w:val="00085831"/>
    <w:rsid w:val="000A489C"/>
    <w:rsid w:val="000C78A9"/>
    <w:rsid w:val="000D4A42"/>
    <w:rsid w:val="000D4E49"/>
    <w:rsid w:val="00100B7A"/>
    <w:rsid w:val="00100BF7"/>
    <w:rsid w:val="0012171E"/>
    <w:rsid w:val="00147F08"/>
    <w:rsid w:val="00147FBF"/>
    <w:rsid w:val="001538D8"/>
    <w:rsid w:val="00155B2F"/>
    <w:rsid w:val="00167F25"/>
    <w:rsid w:val="001B7635"/>
    <w:rsid w:val="001C6342"/>
    <w:rsid w:val="001F6538"/>
    <w:rsid w:val="00215171"/>
    <w:rsid w:val="00215C42"/>
    <w:rsid w:val="0022041B"/>
    <w:rsid w:val="0023139A"/>
    <w:rsid w:val="0023519C"/>
    <w:rsid w:val="002467C8"/>
    <w:rsid w:val="002749EF"/>
    <w:rsid w:val="002A30F7"/>
    <w:rsid w:val="002C2DB2"/>
    <w:rsid w:val="00300158"/>
    <w:rsid w:val="00317A43"/>
    <w:rsid w:val="00360013"/>
    <w:rsid w:val="00367C3D"/>
    <w:rsid w:val="00396BD0"/>
    <w:rsid w:val="003A46F1"/>
    <w:rsid w:val="003B4F3D"/>
    <w:rsid w:val="003B5885"/>
    <w:rsid w:val="003D10DD"/>
    <w:rsid w:val="003D1E4D"/>
    <w:rsid w:val="003D5173"/>
    <w:rsid w:val="003E4CAD"/>
    <w:rsid w:val="003F207F"/>
    <w:rsid w:val="004062A9"/>
    <w:rsid w:val="00435D3B"/>
    <w:rsid w:val="0044658B"/>
    <w:rsid w:val="00470DFE"/>
    <w:rsid w:val="00484562"/>
    <w:rsid w:val="004A0E4A"/>
    <w:rsid w:val="004D2440"/>
    <w:rsid w:val="004F049F"/>
    <w:rsid w:val="0050453C"/>
    <w:rsid w:val="0052720D"/>
    <w:rsid w:val="005306D6"/>
    <w:rsid w:val="00533501"/>
    <w:rsid w:val="0057171A"/>
    <w:rsid w:val="0058028A"/>
    <w:rsid w:val="00581E60"/>
    <w:rsid w:val="00591E88"/>
    <w:rsid w:val="005B0658"/>
    <w:rsid w:val="005B5C95"/>
    <w:rsid w:val="005D5B03"/>
    <w:rsid w:val="005F27D5"/>
    <w:rsid w:val="00601E96"/>
    <w:rsid w:val="00607B92"/>
    <w:rsid w:val="00611B44"/>
    <w:rsid w:val="00616433"/>
    <w:rsid w:val="00616E75"/>
    <w:rsid w:val="00627AA3"/>
    <w:rsid w:val="00646AD2"/>
    <w:rsid w:val="00667D21"/>
    <w:rsid w:val="00680013"/>
    <w:rsid w:val="006C7E72"/>
    <w:rsid w:val="006D0DFB"/>
    <w:rsid w:val="006E4E08"/>
    <w:rsid w:val="006F39E8"/>
    <w:rsid w:val="006F739B"/>
    <w:rsid w:val="00703318"/>
    <w:rsid w:val="007041CC"/>
    <w:rsid w:val="0072053A"/>
    <w:rsid w:val="00721B87"/>
    <w:rsid w:val="007260CD"/>
    <w:rsid w:val="00731ECF"/>
    <w:rsid w:val="0074722F"/>
    <w:rsid w:val="0075175A"/>
    <w:rsid w:val="00761A6D"/>
    <w:rsid w:val="0078699F"/>
    <w:rsid w:val="007C3F41"/>
    <w:rsid w:val="007F63FC"/>
    <w:rsid w:val="00843D7C"/>
    <w:rsid w:val="00846E0F"/>
    <w:rsid w:val="00850699"/>
    <w:rsid w:val="00861675"/>
    <w:rsid w:val="008928C7"/>
    <w:rsid w:val="008A3711"/>
    <w:rsid w:val="008B19C7"/>
    <w:rsid w:val="008B71C9"/>
    <w:rsid w:val="008C4DE2"/>
    <w:rsid w:val="008E1AD6"/>
    <w:rsid w:val="008F0EDD"/>
    <w:rsid w:val="008F1614"/>
    <w:rsid w:val="008F25B2"/>
    <w:rsid w:val="00910ADB"/>
    <w:rsid w:val="00917358"/>
    <w:rsid w:val="0092033E"/>
    <w:rsid w:val="00921B78"/>
    <w:rsid w:val="0092372D"/>
    <w:rsid w:val="00945699"/>
    <w:rsid w:val="0097776D"/>
    <w:rsid w:val="009818FF"/>
    <w:rsid w:val="0098399E"/>
    <w:rsid w:val="00990C1D"/>
    <w:rsid w:val="009A5FEC"/>
    <w:rsid w:val="009B001B"/>
    <w:rsid w:val="009C01D2"/>
    <w:rsid w:val="009C5A95"/>
    <w:rsid w:val="009F796C"/>
    <w:rsid w:val="00A00C8A"/>
    <w:rsid w:val="00A205D2"/>
    <w:rsid w:val="00A24F7C"/>
    <w:rsid w:val="00A27E62"/>
    <w:rsid w:val="00AC1EAB"/>
    <w:rsid w:val="00AE2ABE"/>
    <w:rsid w:val="00AF4089"/>
    <w:rsid w:val="00AF6B2F"/>
    <w:rsid w:val="00B01255"/>
    <w:rsid w:val="00B12873"/>
    <w:rsid w:val="00B31C6A"/>
    <w:rsid w:val="00B417AD"/>
    <w:rsid w:val="00B44310"/>
    <w:rsid w:val="00B5725D"/>
    <w:rsid w:val="00B67944"/>
    <w:rsid w:val="00B735E3"/>
    <w:rsid w:val="00B7638D"/>
    <w:rsid w:val="00B90143"/>
    <w:rsid w:val="00BB725E"/>
    <w:rsid w:val="00BC1379"/>
    <w:rsid w:val="00BC1B8D"/>
    <w:rsid w:val="00BC2ADB"/>
    <w:rsid w:val="00C233BB"/>
    <w:rsid w:val="00C327B5"/>
    <w:rsid w:val="00C42456"/>
    <w:rsid w:val="00C45788"/>
    <w:rsid w:val="00C54775"/>
    <w:rsid w:val="00C550EF"/>
    <w:rsid w:val="00C753BD"/>
    <w:rsid w:val="00C85D0F"/>
    <w:rsid w:val="00C86C38"/>
    <w:rsid w:val="00C877BC"/>
    <w:rsid w:val="00CA4836"/>
    <w:rsid w:val="00CB1DD9"/>
    <w:rsid w:val="00CB6458"/>
    <w:rsid w:val="00CD0566"/>
    <w:rsid w:val="00D17520"/>
    <w:rsid w:val="00D461B7"/>
    <w:rsid w:val="00D63FD3"/>
    <w:rsid w:val="00D71B82"/>
    <w:rsid w:val="00D82527"/>
    <w:rsid w:val="00D8692F"/>
    <w:rsid w:val="00DB1213"/>
    <w:rsid w:val="00DB6785"/>
    <w:rsid w:val="00DE1BE3"/>
    <w:rsid w:val="00DF46ED"/>
    <w:rsid w:val="00E17BCE"/>
    <w:rsid w:val="00E20F2E"/>
    <w:rsid w:val="00E268E4"/>
    <w:rsid w:val="00E64DB2"/>
    <w:rsid w:val="00E70719"/>
    <w:rsid w:val="00E71B80"/>
    <w:rsid w:val="00E75330"/>
    <w:rsid w:val="00E96B4F"/>
    <w:rsid w:val="00E9757B"/>
    <w:rsid w:val="00EA4068"/>
    <w:rsid w:val="00EA7BAF"/>
    <w:rsid w:val="00EC77C0"/>
    <w:rsid w:val="00EF5487"/>
    <w:rsid w:val="00EF6614"/>
    <w:rsid w:val="00F01E6A"/>
    <w:rsid w:val="00F130D9"/>
    <w:rsid w:val="00F17C55"/>
    <w:rsid w:val="00F17CE9"/>
    <w:rsid w:val="00F35792"/>
    <w:rsid w:val="00F36647"/>
    <w:rsid w:val="00F55F53"/>
    <w:rsid w:val="00F77515"/>
    <w:rsid w:val="00FB2E5E"/>
    <w:rsid w:val="00FC056F"/>
    <w:rsid w:val="00FC56AB"/>
    <w:rsid w:val="00FC7626"/>
    <w:rsid w:val="00FC7651"/>
    <w:rsid w:val="00FF3EC5"/>
    <w:rsid w:val="00FF4EA9"/>
  </w:rsids>
  <w:docVars>
    <w:docVar w:name="AUTHORMFPMNU" w:val=" 1"/>
    <w:docVar w:name="CONTRIBUTIONMNU" w:val=" 2"/>
    <w:docVar w:name="CopyToNetwork" w:val="-1"/>
    <w:docVar w:name="COUNTRYKEY" w:val="BE"/>
    <w:docVar w:name="DOCDT" w:val="29/09/2026"/>
    <w:docVar w:name="INSERTOPINKEY" w:val="EMPL"/>
    <w:docVar w:name="LastEditedSection" w:val=" 1"/>
    <w:docVar w:name="NVAR1" w:val="0"/>
    <w:docVar w:name="PARAMNU" w:val=" 2"/>
    <w:docVar w:name="strSubDir" w:val="792"/>
    <w:docVar w:name="TITLEMNU" w:val=" 3"/>
    <w:docVar w:name="TXTAUTHOR" w:val="Hélder Sousa Silva"/>
    <w:docVar w:name="TXTLANGUE" w:val="EN"/>
    <w:docVar w:name="TXTLANGUEMIN" w:val="en"/>
    <w:docVar w:name="TXTNRAPPL" w:val="2026"/>
    <w:docVar w:name="TXTNRBUD" w:val="2026/0197"/>
    <w:docVar w:name="TXTNRC" w:val="0200/2026"/>
    <w:docVar w:name="TXTNRCOM" w:val="(2026)0155"/>
    <w:docVar w:name="TXTNRPE" w:val="792.010"/>
    <w:docVar w:name="TXTPEorAP" w:val="PE"/>
    <w:docVar w:name="TXTROUTE" w:val="RR\792010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1E2E455-2376-4588-82B7-481B7D4A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6C7E72"/>
    <w:rPr>
      <w:sz w:val="20"/>
    </w:rPr>
  </w:style>
  <w:style w:type="character" w:customStyle="1" w:styleId="FootnoteTextChar">
    <w:name w:val="Footnote Text Char"/>
    <w:basedOn w:val="DefaultParagraphFont"/>
    <w:link w:val="FootnoteText"/>
    <w:uiPriority w:val="99"/>
    <w:rsid w:val="006C7E72"/>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6C7E72"/>
    <w:rPr>
      <w:vertAlign w:val="superscript"/>
    </w:rPr>
  </w:style>
  <w:style w:type="character" w:styleId="Hyperlink">
    <w:name w:val="Hyperlink"/>
    <w:basedOn w:val="DefaultParagraphFont"/>
    <w:uiPriority w:val="99"/>
    <w:rsid w:val="006C7E72"/>
    <w:rPr>
      <w:color w:val="0563C1" w:themeColor="hyperlink"/>
      <w:u w:val="single"/>
    </w:rPr>
  </w:style>
  <w:style w:type="character" w:customStyle="1" w:styleId="UnresolvedMention">
    <w:name w:val="Unresolved Mention"/>
    <w:basedOn w:val="DefaultParagraphFont"/>
    <w:uiPriority w:val="99"/>
    <w:semiHidden/>
    <w:unhideWhenUsed/>
    <w:rsid w:val="006C7E72"/>
    <w:rPr>
      <w:color w:val="605E5C"/>
      <w:shd w:val="clear" w:color="auto" w:fill="E1DFDD"/>
    </w:rPr>
  </w:style>
  <w:style w:type="character" w:customStyle="1" w:styleId="NormalHanging12aChar">
    <w:name w:val="NormalHanging12a Char"/>
    <w:basedOn w:val="DefaultParagraphFont"/>
    <w:link w:val="NormalHanging12a"/>
    <w:locked/>
    <w:rsid w:val="00E75330"/>
    <w:rPr>
      <w:sz w:val="24"/>
    </w:rPr>
  </w:style>
  <w:style w:type="paragraph" w:customStyle="1" w:styleId="Tiret1">
    <w:name w:val="Tiret 1"/>
    <w:basedOn w:val="Normal"/>
    <w:rsid w:val="0078699F"/>
    <w:pPr>
      <w:widowControl/>
      <w:numPr>
        <w:numId w:val="42"/>
      </w:numPr>
      <w:spacing w:before="120" w:after="120"/>
      <w:jc w:val="both"/>
    </w:pPr>
    <w:rPr>
      <w:rFonts w:eastAsiaTheme="minorHAnsi"/>
      <w:szCs w:val="22"/>
      <w:lang w:eastAsia="en-US"/>
    </w:rPr>
  </w:style>
  <w:style w:type="paragraph" w:styleId="Footer">
    <w:name w:val="footer"/>
    <w:basedOn w:val="Normal"/>
    <w:link w:val="FooterChar"/>
    <w:semiHidden/>
    <w:rsid w:val="00367C3D"/>
    <w:pPr>
      <w:tabs>
        <w:tab w:val="center" w:pos="4513"/>
        <w:tab w:val="right" w:pos="9026"/>
      </w:tabs>
    </w:pPr>
  </w:style>
  <w:style w:type="character" w:customStyle="1" w:styleId="FooterChar">
    <w:name w:val="Footer Char"/>
    <w:basedOn w:val="DefaultParagraphFont"/>
    <w:link w:val="Footer"/>
    <w:semiHidden/>
    <w:rsid w:val="00367C3D"/>
    <w:rPr>
      <w:sz w:val="24"/>
    </w:rPr>
  </w:style>
  <w:style w:type="paragraph" w:customStyle="1" w:styleId="Personnequisigne">
    <w:name w:val="Personne qui signe"/>
    <w:basedOn w:val="Normal"/>
    <w:next w:val="Institutionquisigne"/>
    <w:rsid w:val="005B5C95"/>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5B5C95"/>
    <w:pPr>
      <w:keepNext/>
      <w:widowControl/>
      <w:tabs>
        <w:tab w:val="left" w:pos="4252"/>
      </w:tabs>
      <w:spacing w:before="720"/>
      <w:jc w:val="both"/>
    </w:pPr>
    <w:rPr>
      <w:rFonts w:eastAsiaTheme="minorHAnsi"/>
      <w:i/>
      <w:szCs w:val="22"/>
      <w:lang w:eastAsia="en-US"/>
    </w:rPr>
  </w:style>
  <w:style w:type="paragraph" w:styleId="Revision">
    <w:name w:val="Revision"/>
    <w:hidden/>
    <w:uiPriority w:val="99"/>
    <w:semiHidden/>
    <w:rsid w:val="00147F08"/>
    <w:rPr>
      <w:sz w:val="24"/>
    </w:rPr>
  </w:style>
  <w:style w:type="paragraph" w:customStyle="1" w:styleId="Normal24a">
    <w:name w:val="Normal24a"/>
    <w:basedOn w:val="Normal"/>
    <w:rsid w:val="00EC77C0"/>
    <w:pPr>
      <w:spacing w:after="480"/>
    </w:pPr>
  </w:style>
  <w:style w:type="paragraph" w:customStyle="1" w:styleId="NormalBoldCenter">
    <w:name w:val="NormalBoldCenter"/>
    <w:basedOn w:val="Normal"/>
    <w:rsid w:val="00EC77C0"/>
    <w:pPr>
      <w:jc w:val="center"/>
    </w:pPr>
    <w:rPr>
      <w:b/>
    </w:rPr>
  </w:style>
  <w:style w:type="paragraph" w:customStyle="1" w:styleId="Footprint12b">
    <w:name w:val="Footprint12b"/>
    <w:basedOn w:val="Normal"/>
    <w:rsid w:val="00EC77C0"/>
    <w:pPr>
      <w:spacing w:before="240"/>
    </w:pPr>
    <w:rPr>
      <w:szCs w:val="24"/>
    </w:rPr>
  </w:style>
  <w:style w:type="paragraph" w:customStyle="1" w:styleId="NormalSingle">
    <w:name w:val="NormalSingle"/>
    <w:basedOn w:val="Normal"/>
    <w:qFormat/>
    <w:rsid w:val="00EC77C0"/>
    <w:rPr>
      <w:szCs w:val="24"/>
    </w:rPr>
  </w:style>
  <w:style w:type="paragraph" w:customStyle="1" w:styleId="Normal12a">
    <w:name w:val="Normal12a"/>
    <w:basedOn w:val="Normal"/>
    <w:rsid w:val="00EC77C0"/>
    <w:pPr>
      <w:spacing w:after="240"/>
    </w:pPr>
  </w:style>
  <w:style w:type="paragraph" w:customStyle="1" w:styleId="LetterSalutation">
    <w:name w:val="LetterSalutation"/>
    <w:basedOn w:val="Normal"/>
    <w:rsid w:val="00EC77C0"/>
    <w:pPr>
      <w:spacing w:before="600" w:after="360"/>
    </w:pPr>
  </w:style>
  <w:style w:type="paragraph" w:customStyle="1" w:styleId="LetterSubject">
    <w:name w:val="LetterSubject"/>
    <w:basedOn w:val="Normal"/>
    <w:rsid w:val="00EC77C0"/>
    <w:pPr>
      <w:spacing w:before="480"/>
      <w:ind w:left="1134" w:hanging="1134"/>
    </w:pPr>
  </w:style>
  <w:style w:type="paragraph" w:customStyle="1" w:styleId="LetterSignature66b">
    <w:name w:val="LetterSignature66b"/>
    <w:basedOn w:val="Normal"/>
    <w:next w:val="Normal"/>
    <w:rsid w:val="00EC77C0"/>
    <w:pPr>
      <w:spacing w:before="1320"/>
    </w:pPr>
  </w:style>
  <w:style w:type="paragraph" w:customStyle="1" w:styleId="PageHeadingNotTOC">
    <w:name w:val="PageHeadingNotTOC"/>
    <w:basedOn w:val="Normal"/>
    <w:rsid w:val="00EC77C0"/>
    <w:pPr>
      <w:keepNext/>
      <w:spacing w:after="480"/>
      <w:jc w:val="center"/>
    </w:pPr>
    <w:rPr>
      <w:rFonts w:ascii="Arial" w:hAnsi="Arial" w:cs="Arial"/>
      <w:b/>
    </w:rPr>
  </w:style>
  <w:style w:type="paragraph" w:customStyle="1" w:styleId="Normal12">
    <w:name w:val="Normal12"/>
    <w:basedOn w:val="Normal"/>
    <w:link w:val="Normal12Char"/>
    <w:rsid w:val="00EC77C0"/>
    <w:pPr>
      <w:spacing w:after="240"/>
    </w:pPr>
    <w:rPr>
      <w:rFonts w:ascii="Arial" w:hAnsi="Arial" w:cs="Arial"/>
    </w:rPr>
  </w:style>
  <w:style w:type="character" w:customStyle="1" w:styleId="PageHeadingChar">
    <w:name w:val="PageHeading Char"/>
    <w:basedOn w:val="DefaultParagraphFont"/>
    <w:link w:val="PageHeading"/>
    <w:rsid w:val="00EC77C0"/>
    <w:rPr>
      <w:rFonts w:ascii="Arial" w:hAnsi="Arial" w:cs="Arial"/>
      <w:b/>
      <w:sz w:val="24"/>
    </w:rPr>
  </w:style>
  <w:style w:type="character" w:customStyle="1" w:styleId="Normal12Char">
    <w:name w:val="Normal12 Char"/>
    <w:basedOn w:val="PageHeadingChar"/>
    <w:link w:val="Normal12"/>
    <w:rsid w:val="00EC77C0"/>
    <w:rPr>
      <w:rFonts w:ascii="Arial" w:hAnsi="Arial" w:cs="Arial"/>
      <w:b w:val="0"/>
      <w:sz w:val="24"/>
    </w:rPr>
  </w:style>
  <w:style w:type="paragraph" w:customStyle="1" w:styleId="RollCallVotes">
    <w:name w:val="RollCallVotes"/>
    <w:basedOn w:val="Normal"/>
    <w:rsid w:val="0074722F"/>
    <w:pPr>
      <w:spacing w:before="120" w:after="120"/>
      <w:jc w:val="center"/>
    </w:pPr>
    <w:rPr>
      <w:b/>
      <w:bCs/>
      <w:snapToGrid w:val="0"/>
      <w:sz w:val="16"/>
      <w:lang w:eastAsia="en-US"/>
    </w:rPr>
  </w:style>
  <w:style w:type="paragraph" w:customStyle="1" w:styleId="RollCallTabs">
    <w:name w:val="RollCallTabs"/>
    <w:basedOn w:val="Normal"/>
    <w:qFormat/>
    <w:rsid w:val="0074722F"/>
    <w:pPr>
      <w:tabs>
        <w:tab w:val="center" w:pos="284"/>
        <w:tab w:val="left" w:pos="426"/>
      </w:tabs>
    </w:pPr>
    <w:rPr>
      <w:snapToGrid w:val="0"/>
      <w:lang w:eastAsia="en-US"/>
    </w:rPr>
  </w:style>
  <w:style w:type="paragraph" w:customStyle="1" w:styleId="RollCallSymbols14pt">
    <w:name w:val="RollCallSymbols14pt"/>
    <w:basedOn w:val="Normal"/>
    <w:rsid w:val="0074722F"/>
    <w:pPr>
      <w:spacing w:before="120" w:after="120"/>
      <w:jc w:val="center"/>
    </w:pPr>
    <w:rPr>
      <w:rFonts w:ascii="Arial" w:hAnsi="Arial"/>
      <w:b/>
      <w:bCs/>
      <w:snapToGrid w:val="0"/>
      <w:sz w:val="28"/>
      <w:lang w:eastAsia="en-US"/>
    </w:rPr>
  </w:style>
  <w:style w:type="paragraph" w:customStyle="1" w:styleId="RollCallTable">
    <w:name w:val="RollCallTable"/>
    <w:basedOn w:val="Normal"/>
    <w:rsid w:val="0074722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s://www.leforem.be/documents/citoyens/penuries-liste-metiers.pdf"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5038</Words>
  <Characters>28721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2</cp:revision>
  <cp:lastPrinted>2004-12-08T15:27:00Z</cp:lastPrinted>
  <dcterms:created xsi:type="dcterms:W3CDTF">2026-09-29T10:53:00Z</dcterms:created>
  <dcterms:modified xsi:type="dcterms:W3CDTF">2026-09-29T10:53:00Z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1351577</vt:lpwstr>
  </property>
  <property fmtid="{D5CDD505-2E9C-101B-9397-08002B2CF9AE}" pid="4" name="&lt;Model&gt;">
    <vt:lpwstr>PR_BUD_Funds</vt:lpwstr>
  </property>
  <property fmtid="{D5CDD505-2E9C-101B-9397-08002B2CF9AE}" pid="5" name="&lt;ModelCod&gt;">
    <vt:lpwstr>\\eiciBRUpr1\pdocep$\DocEP\DOCS\General\PR\PR_BUD\BUDGET\BUD\PR_BUD_Funds.dotx(05/07/2024 10:40:03)</vt:lpwstr>
  </property>
  <property fmtid="{D5CDD505-2E9C-101B-9397-08002B2CF9AE}" pid="6" name="&lt;ModelTra&gt;">
    <vt:lpwstr>\\eiciBRUpr1\pdocep$\DocEP\TRANSFIL\EN\PR_BUD_Funds.EN(03/03/2026 15:20:18)</vt:lpwstr>
  </property>
  <property fmtid="{D5CDD505-2E9C-101B-9397-08002B2CF9AE}" pid="7" name="&lt;Type&gt;">
    <vt:lpwstr>RR</vt:lpwstr>
  </property>
  <property fmtid="{D5CDD505-2E9C-101B-9397-08002B2CF9AE}" pid="8" name="Created with">
    <vt:lpwstr>10.3.1 Build [20260701]</vt:lpwstr>
  </property>
  <property fmtid="{D5CDD505-2E9C-101B-9397-08002B2CF9AE}" pid="9" name="FooterPath">
    <vt:lpwstr>RR\792010EN.docx</vt:lpwstr>
  </property>
  <property fmtid="{D5CDD505-2E9C-101B-9397-08002B2CF9AE}" pid="10" name="LastEdited with">
    <vt:lpwstr>10.3.1 Build [20260902]</vt:lpwstr>
  </property>
  <property fmtid="{D5CDD505-2E9C-101B-9397-08002B2CF9AE}" pid="11" name="PE number">
    <vt:lpwstr>792.010</vt:lpwstr>
  </property>
  <property fmtid="{D5CDD505-2E9C-101B-9397-08002B2CF9AE}" pid="12" name="RegistreCheck">
    <vt:lpwstr>OK</vt:lpwstr>
  </property>
  <property fmtid="{D5CDD505-2E9C-101B-9397-08002B2CF9AE}" pid="13" name="SendToEpades">
    <vt:lpwstr/>
  </property>
</Properties>
</file>