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EB3A532"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E96B4F" w:rsidRPr="00DA78B9" w:rsidP="00C85D0F" w14:paraId="347CD038" w14:textId="77777777">
            <w:pPr>
              <w:pStyle w:val="EPName"/>
            </w:pPr>
            <w:r>
              <w:t>Parlement européen</w:t>
            </w:r>
          </w:p>
          <w:p w:rsidR="00E96B4F" w:rsidRPr="00DA78B9" w:rsidP="00C85D0F" w14:paraId="334CB11D" w14:textId="23201171">
            <w:pPr>
              <w:pStyle w:val="EPTerm"/>
            </w:pPr>
            <w:r>
              <w:t>2024-2029</w:t>
            </w:r>
          </w:p>
        </w:tc>
        <w:tc>
          <w:tcPr>
            <w:tcW w:w="2268" w:type="dxa"/>
            <w:shd w:val="clear" w:color="auto" w:fill="auto"/>
          </w:tcPr>
          <w:p w:rsidR="00E96B4F" w:rsidRPr="00DA78B9" w:rsidP="00C85D0F" w14:paraId="203364ED" w14:textId="77777777">
            <w:pPr>
              <w:pStyle w:val="EPLogo"/>
            </w:pPr>
            <w:r w:rsidRPr="00DA78B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22586"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DA78B9" w:rsidP="00D461B7" w14:paraId="7CD56BD7" w14:textId="77777777">
      <w:pPr>
        <w:pStyle w:val="LineTop"/>
      </w:pPr>
    </w:p>
    <w:p w:rsidR="00D461B7" w:rsidRPr="00DA78B9" w:rsidP="00D461B7" w14:paraId="229720E7" w14:textId="77581F9A">
      <w:pPr>
        <w:pStyle w:val="EPBody"/>
      </w:pPr>
      <w:r>
        <w:t>Document de séance</w:t>
      </w:r>
    </w:p>
    <w:p w:rsidR="00D461B7" w:rsidRPr="00DA78B9" w:rsidP="00D461B7" w14:paraId="1AD5F2E5" w14:textId="77777777">
      <w:pPr>
        <w:pStyle w:val="LineBottom"/>
      </w:pPr>
    </w:p>
    <w:p w:rsidR="004D2440" w:rsidRPr="00DA78B9" w14:paraId="1CD3FEC7" w14:textId="2D7DA314">
      <w:pPr>
        <w:pStyle w:val="CoverReference"/>
        <w:rPr>
          <w:noProof/>
        </w:rPr>
      </w:pPr>
      <w:r>
        <w:rPr>
          <w:rStyle w:val="HideTWBExt"/>
        </w:rPr>
        <w:t>&lt;NoDocSe&gt;</w:t>
      </w:r>
      <w:r>
        <w:t>A10</w:t>
      </w:r>
      <w:r>
        <w:noBreakHyphen/>
        <w:t>0241/2026</w:t>
      </w:r>
      <w:r>
        <w:rPr>
          <w:rStyle w:val="HideTWBExt"/>
        </w:rPr>
        <w:t>&lt;/NoDocSe&gt;</w:t>
      </w:r>
    </w:p>
    <w:p w:rsidR="004D2440" w:rsidRPr="00DA78B9" w14:paraId="0BE1EBFE" w14:textId="32568B4D">
      <w:pPr>
        <w:pStyle w:val="CoverDate"/>
        <w:rPr>
          <w:noProof/>
        </w:rPr>
      </w:pPr>
      <w:r>
        <w:rPr>
          <w:rStyle w:val="HideTWBExt"/>
        </w:rPr>
        <w:t>&lt;Date&gt;</w:t>
      </w:r>
      <w:r>
        <w:rPr>
          <w:rStyle w:val="HideTWBInt"/>
        </w:rPr>
        <w:t>{29/09/2026}</w:t>
      </w:r>
      <w:r>
        <w:t>29.9.2026</w:t>
      </w:r>
      <w:r>
        <w:rPr>
          <w:rStyle w:val="HideTWBExt"/>
        </w:rPr>
        <w:t>&lt;/Date&gt;</w:t>
      </w:r>
    </w:p>
    <w:p w:rsidR="004D2440" w:rsidRPr="00DA78B9" w14:paraId="75271EA0" w14:textId="5C97F4EC">
      <w:pPr>
        <w:pStyle w:val="CoverDocType24a"/>
        <w:rPr>
          <w:noProof/>
        </w:rPr>
      </w:pPr>
      <w:r>
        <w:rPr>
          <w:rStyle w:val="HideTWBExt"/>
          <w:b w:val="0"/>
        </w:rPr>
        <w:t>&lt;TitreType&gt;</w:t>
      </w:r>
      <w:r>
        <w:t>RAPPORT</w:t>
      </w:r>
      <w:r>
        <w:rPr>
          <w:rStyle w:val="HideTWBExt"/>
          <w:b w:val="0"/>
        </w:rPr>
        <w:t>&lt;/TitreType&gt;</w:t>
      </w:r>
    </w:p>
    <w:p w:rsidR="004D2440" w:rsidRPr="00DA78B9" w14:paraId="78CED888" w14:textId="02ADA282">
      <w:pPr>
        <w:pStyle w:val="CoverNormal"/>
        <w:rPr>
          <w:noProof/>
        </w:rPr>
      </w:pPr>
      <w:r>
        <w:rPr>
          <w:rStyle w:val="HideTWBExt"/>
        </w:rPr>
        <w:t>&lt;Titre&gt;</w:t>
      </w:r>
      <w:r>
        <w:t>sur la proposition de décision du Parlement européen et du Conseil relative à la mobilisation du Fonds européen d’ajustement à la mondialisation en faveur des travailleurs licenciés à la suite d’une demande de la Belgique – EGF/2026/001 BE/Cora</w:t>
      </w:r>
      <w:r>
        <w:rPr>
          <w:rStyle w:val="HideTWBExt"/>
        </w:rPr>
        <w:t>&lt;/Titre&gt;</w:t>
      </w:r>
    </w:p>
    <w:p w:rsidR="004D2440" w:rsidRPr="00DA78B9" w14:paraId="3255D5B7" w14:textId="1BF41042">
      <w:pPr>
        <w:pStyle w:val="CoverNormal24a"/>
        <w:rPr>
          <w:noProof/>
        </w:rPr>
      </w:pPr>
      <w:r>
        <w:rPr>
          <w:rStyle w:val="HideTWBExt"/>
        </w:rPr>
        <w:t>&lt;DocRef&gt;</w:t>
      </w:r>
      <w:r>
        <w:t>(COM(2026)0155 – C10</w:t>
      </w:r>
      <w:r>
        <w:noBreakHyphen/>
        <w:t>0200/2026 – 2026/0197(BUD))</w:t>
      </w:r>
      <w:r>
        <w:rPr>
          <w:rStyle w:val="HideTWBExt"/>
        </w:rPr>
        <w:t>&lt;/DocRef&gt;</w:t>
      </w:r>
    </w:p>
    <w:p w:rsidR="004D2440" w:rsidRPr="00DA78B9" w14:paraId="21F48E25" w14:textId="77777777">
      <w:pPr>
        <w:pStyle w:val="CoverNormal24a"/>
        <w:rPr>
          <w:noProof/>
        </w:rPr>
      </w:pPr>
      <w:r>
        <w:rPr>
          <w:rStyle w:val="HideTWBExt"/>
        </w:rPr>
        <w:t>&lt;Commission&gt;</w:t>
      </w:r>
      <w:r>
        <w:rPr>
          <w:rStyle w:val="HideTWBInt"/>
        </w:rPr>
        <w:t>{BUDG}</w:t>
      </w:r>
      <w:r>
        <w:t>Commission des budgets</w:t>
      </w:r>
      <w:r>
        <w:rPr>
          <w:rStyle w:val="HideTWBExt"/>
        </w:rPr>
        <w:t>&lt;/Commission&gt;</w:t>
      </w:r>
    </w:p>
    <w:p w:rsidR="004D2440" w:rsidRPr="00DA78B9" w14:paraId="3DFDF1EA" w14:textId="5CA1DE11">
      <w:pPr>
        <w:pStyle w:val="CoverNormal24a"/>
        <w:rPr>
          <w:noProof/>
        </w:rPr>
      </w:pPr>
      <w:r>
        <w:t xml:space="preserve">Rapporteur: </w:t>
      </w:r>
      <w:r>
        <w:rPr>
          <w:rStyle w:val="HideTWBExt"/>
        </w:rPr>
        <w:t>&lt;Depute&gt;</w:t>
      </w:r>
      <w:r>
        <w:t>Hélder Sousa Silva</w:t>
      </w:r>
      <w:r>
        <w:rPr>
          <w:rStyle w:val="HideTWBExt"/>
        </w:rPr>
        <w:t>&lt;/Depute&gt;</w:t>
      </w:r>
    </w:p>
    <w:p w:rsidR="0058028A" w:rsidRPr="00DA78B9" w:rsidP="0058028A" w14:paraId="52367AFE" w14:textId="77777777">
      <w:pPr>
        <w:pStyle w:val="CoverNormal"/>
        <w:rPr>
          <w:noProof/>
        </w:rPr>
      </w:pPr>
    </w:p>
    <w:p w:rsidR="004D2440" w:rsidRPr="00DA78B9" w:rsidP="00300158" w14:paraId="0F194C13" w14:textId="77777777">
      <w:pPr>
        <w:widowControl/>
        <w:tabs>
          <w:tab w:val="center" w:pos="4677"/>
        </w:tabs>
        <w:rPr>
          <w:noProof/>
        </w:rPr>
      </w:pPr>
      <w:r>
        <w:br w:type="page"/>
      </w:r>
      <w:r>
        <w:t>PR_BUD_Funds</w:t>
      </w:r>
    </w:p>
    <w:p w:rsidR="004D2440" w:rsidRPr="00DA78B9" w14:paraId="58883AA9" w14:textId="77777777">
      <w:pPr>
        <w:pStyle w:val="TOCHeading"/>
        <w:rPr>
          <w:noProof/>
        </w:rPr>
      </w:pPr>
      <w:r>
        <w:t>SOMMAIRE</w:t>
      </w:r>
    </w:p>
    <w:p w:rsidR="004D2440" w:rsidRPr="00DA78B9" w14:paraId="7D3F435A" w14:textId="77777777">
      <w:pPr>
        <w:pStyle w:val="TOCPage"/>
        <w:rPr>
          <w:noProof/>
        </w:rPr>
      </w:pPr>
      <w:r>
        <w:t>Page</w:t>
      </w:r>
    </w:p>
    <w:p w:rsidR="00DA7BE1" w14:paraId="1D3B928A" w14:textId="40AFCAC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A78B9">
        <w:fldChar w:fldCharType="begin"/>
      </w:r>
      <w:r w:rsidRPr="00DA78B9">
        <w:instrText xml:space="preserve"> TOC \t "PageHeading</w:instrText>
      </w:r>
      <w:r w:rsidRPr="00DA78B9" w:rsidR="00B67064">
        <w:instrText>;</w:instrText>
      </w:r>
      <w:r w:rsidRPr="00DA78B9">
        <w:instrText xml:space="preserve">1" </w:instrText>
      </w:r>
      <w:r w:rsidRPr="00DA78B9">
        <w:fldChar w:fldCharType="separate"/>
      </w:r>
      <w:r>
        <w:rPr>
          <w:noProof/>
        </w:rPr>
        <w:t>PROPOSITION DE RÉSOLUTION DU PARLEMENT EUROPÉEN</w:t>
      </w:r>
      <w:r>
        <w:rPr>
          <w:noProof/>
        </w:rPr>
        <w:tab/>
      </w:r>
      <w:r>
        <w:rPr>
          <w:noProof/>
        </w:rPr>
        <w:fldChar w:fldCharType="begin"/>
      </w:r>
      <w:r>
        <w:rPr>
          <w:noProof/>
        </w:rPr>
        <w:instrText xml:space="preserve"> PAGEREF _Toc241669764 \h </w:instrText>
      </w:r>
      <w:r>
        <w:rPr>
          <w:noProof/>
        </w:rPr>
        <w:fldChar w:fldCharType="separate"/>
      </w:r>
      <w:r>
        <w:rPr>
          <w:noProof/>
        </w:rPr>
        <w:t>3</w:t>
      </w:r>
      <w:r>
        <w:rPr>
          <w:noProof/>
        </w:rPr>
        <w:fldChar w:fldCharType="end"/>
      </w:r>
    </w:p>
    <w:p w:rsidR="00DA7BE1" w14:paraId="11718370" w14:textId="7003A4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DÉCISION DU PARLEMENT EUROPÉEN ET DU CONSEIL</w:t>
      </w:r>
      <w:r>
        <w:rPr>
          <w:noProof/>
        </w:rPr>
        <w:tab/>
      </w:r>
      <w:r>
        <w:rPr>
          <w:noProof/>
        </w:rPr>
        <w:fldChar w:fldCharType="begin"/>
      </w:r>
      <w:r>
        <w:rPr>
          <w:noProof/>
        </w:rPr>
        <w:instrText xml:space="preserve"> PAGEREF _Toc241669765 \h </w:instrText>
      </w:r>
      <w:r>
        <w:rPr>
          <w:noProof/>
        </w:rPr>
        <w:fldChar w:fldCharType="separate"/>
      </w:r>
      <w:r>
        <w:rPr>
          <w:noProof/>
        </w:rPr>
        <w:t>8</w:t>
      </w:r>
      <w:r>
        <w:rPr>
          <w:noProof/>
        </w:rPr>
        <w:fldChar w:fldCharType="end"/>
      </w:r>
    </w:p>
    <w:p w:rsidR="00DA7BE1" w14:paraId="4ACC2838" w14:textId="6F721DB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_Toc241669766 \h </w:instrText>
      </w:r>
      <w:r>
        <w:rPr>
          <w:noProof/>
        </w:rPr>
        <w:fldChar w:fldCharType="separate"/>
      </w:r>
      <w:r>
        <w:rPr>
          <w:noProof/>
        </w:rPr>
        <w:t>10</w:t>
      </w:r>
      <w:r>
        <w:rPr>
          <w:noProof/>
        </w:rPr>
        <w:fldChar w:fldCharType="end"/>
      </w:r>
    </w:p>
    <w:p w:rsidR="00DA7BE1" w14:paraId="152FBF98" w14:textId="031E686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_Toc241669767 \h </w:instrText>
      </w:r>
      <w:r>
        <w:rPr>
          <w:noProof/>
        </w:rPr>
        <w:fldChar w:fldCharType="separate"/>
      </w:r>
      <w:r>
        <w:rPr>
          <w:noProof/>
        </w:rPr>
        <w:t>13</w:t>
      </w:r>
      <w:r>
        <w:rPr>
          <w:noProof/>
        </w:rPr>
        <w:fldChar w:fldCharType="end"/>
      </w:r>
    </w:p>
    <w:p w:rsidR="00DA7BE1" w14:paraId="63D5D620" w14:textId="2459887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LETTRE DE LA COMMISSION DE L’EMPLOI ET DES AFFAIRES SOCIALES</w:t>
      </w:r>
      <w:r>
        <w:rPr>
          <w:noProof/>
        </w:rPr>
        <w:tab/>
      </w:r>
      <w:r>
        <w:rPr>
          <w:noProof/>
        </w:rPr>
        <w:fldChar w:fldCharType="begin"/>
      </w:r>
      <w:r>
        <w:rPr>
          <w:noProof/>
        </w:rPr>
        <w:instrText xml:space="preserve"> PAGEREF _Toc241669768 \h </w:instrText>
      </w:r>
      <w:r>
        <w:rPr>
          <w:noProof/>
        </w:rPr>
        <w:fldChar w:fldCharType="separate"/>
      </w:r>
      <w:r>
        <w:rPr>
          <w:noProof/>
        </w:rPr>
        <w:t>14</w:t>
      </w:r>
      <w:r>
        <w:rPr>
          <w:noProof/>
        </w:rPr>
        <w:fldChar w:fldCharType="end"/>
      </w:r>
    </w:p>
    <w:p w:rsidR="00DA7BE1" w14:paraId="1D847466" w14:textId="270F811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_Toc241669769 \h </w:instrText>
      </w:r>
      <w:r>
        <w:rPr>
          <w:noProof/>
        </w:rPr>
        <w:fldChar w:fldCharType="separate"/>
      </w:r>
      <w:r>
        <w:rPr>
          <w:noProof/>
        </w:rPr>
        <w:t>18</w:t>
      </w:r>
      <w:r>
        <w:rPr>
          <w:noProof/>
        </w:rPr>
        <w:fldChar w:fldCharType="end"/>
      </w:r>
    </w:p>
    <w:p w:rsidR="00DA7BE1" w14:paraId="7D7240AC" w14:textId="0E36D29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_Toc241669770 \h </w:instrText>
      </w:r>
      <w:r>
        <w:rPr>
          <w:noProof/>
        </w:rPr>
        <w:fldChar w:fldCharType="separate"/>
      </w:r>
      <w:r>
        <w:rPr>
          <w:noProof/>
        </w:rPr>
        <w:t>19</w:t>
      </w:r>
      <w:r>
        <w:rPr>
          <w:noProof/>
        </w:rPr>
        <w:fldChar w:fldCharType="end"/>
      </w:r>
    </w:p>
    <w:p w:rsidR="004D2440" w:rsidRPr="00DA78B9" w:rsidP="006E4E08" w14:paraId="55AC72DE" w14:textId="2327FB99">
      <w:r w:rsidRPr="00DA78B9">
        <w:fldChar w:fldCharType="end"/>
      </w:r>
    </w:p>
    <w:p w:rsidR="00DA78B9" w:rsidRPr="00DA78B9" w:rsidP="00DA78B9" w14:paraId="20F7056A" w14:textId="17A08521">
      <w:pPr>
        <w:pStyle w:val="PageHeading"/>
        <w:rPr>
          <w:noProof/>
        </w:rPr>
      </w:pPr>
      <w:r>
        <w:br w:type="page"/>
      </w:r>
      <w:bookmarkStart w:id="0" w:name="_Toc241669764"/>
      <w:r>
        <w:t>PROPOSITION DE RÉSOLUTION DU PARLEMENT EUROPÉEN</w:t>
      </w:r>
      <w:bookmarkEnd w:id="0"/>
    </w:p>
    <w:p w:rsidR="00DA78B9" w:rsidRPr="00DA78B9" w:rsidP="00DA78B9" w14:paraId="3F976735" w14:textId="77777777">
      <w:pPr>
        <w:pStyle w:val="NormalBold"/>
        <w:rPr>
          <w:noProof/>
        </w:rPr>
      </w:pPr>
      <w:r>
        <w:t>sur la proposition de décision du Parlement européen et du Conseil relative à la mobilisation du Fonds européen d’ajustement à la mondialisation en faveur des travailleurs licenciés à la suite d’une demande de la Belgique — EGF/2026/001 BE/Cora</w:t>
      </w:r>
    </w:p>
    <w:p w:rsidR="00DA78B9" w:rsidRPr="00DA78B9" w:rsidP="00DA78B9" w14:paraId="2E5F42D5" w14:textId="77777777">
      <w:pPr>
        <w:pStyle w:val="NormalBold"/>
        <w:rPr>
          <w:noProof/>
        </w:rPr>
      </w:pPr>
      <w:r>
        <w:t>(COM(2026)0155 – C10</w:t>
      </w:r>
      <w:r>
        <w:noBreakHyphen/>
        <w:t>0200/2026 – 2026/0197(BUD))</w:t>
      </w:r>
    </w:p>
    <w:p w:rsidR="00DA78B9" w:rsidRPr="00DA78B9" w:rsidP="00DA78B9" w14:paraId="1793B268" w14:textId="77777777">
      <w:pPr>
        <w:pStyle w:val="EPComma"/>
        <w:rPr>
          <w:noProof/>
        </w:rPr>
      </w:pPr>
      <w:r>
        <w:rPr>
          <w:i/>
        </w:rPr>
        <w:t>Le Parlement européen,</w:t>
      </w:r>
    </w:p>
    <w:p w:rsidR="00DA78B9" w:rsidRPr="00DA78B9" w:rsidP="00DA78B9" w14:paraId="18300F22" w14:textId="77777777">
      <w:pPr>
        <w:pStyle w:val="NormalHanging12a"/>
        <w:rPr>
          <w:noProof/>
        </w:rPr>
      </w:pPr>
      <w:r>
        <w:t>–</w:t>
      </w:r>
      <w:r>
        <w:tab/>
        <w:t>vu la proposition de la Commission au Parlement européen et au Conseil (COM(2026)0155 – C10</w:t>
      </w:r>
      <w:r>
        <w:noBreakHyphen/>
        <w:t>0200/2026),</w:t>
      </w:r>
    </w:p>
    <w:p w:rsidR="00DA78B9" w:rsidRPr="00DA78B9" w:rsidP="00DA78B9" w14:paraId="06C14C8B" w14:textId="77777777">
      <w:pPr>
        <w:pStyle w:val="NormalHanging12a"/>
      </w:pPr>
      <w:r>
        <w:t>–</w:t>
      </w:r>
      <w:r>
        <w:tab/>
        <w:t>vu le règlement (UE) 2021/691 du Parlement européen et du Conseil du 28 avril 2021 relatif au Fonds européen d’ajustement à la mondialisation en faveur des travailleurs licenciés (FEM) et abrogeant le règlement (UE) nº 1309/2013</w:t>
      </w:r>
      <w:r>
        <w:rPr>
          <w:vertAlign w:val="superscript"/>
        </w:rPr>
        <w:footnoteReference w:id="2"/>
      </w:r>
      <w:r>
        <w:t xml:space="preserve"> (ci-après le «règlement FEM»), tel que modifié par le règlement (UE) 2026/1139</w:t>
      </w:r>
      <w:r>
        <w:rPr>
          <w:rStyle w:val="FootnoteReference"/>
        </w:rPr>
        <w:footnoteReference w:id="3"/>
      </w:r>
      <w:r>
        <w:t xml:space="preserve">, </w:t>
      </w:r>
    </w:p>
    <w:p w:rsidR="00DA78B9" w:rsidRPr="00DA78B9" w:rsidP="00DA78B9" w14:paraId="40A22505" w14:textId="77777777">
      <w:pPr>
        <w:pStyle w:val="NormalHanging12a"/>
        <w:rPr>
          <w:noProof/>
        </w:rPr>
      </w:pPr>
      <w:r>
        <w:t>–</w:t>
      </w:r>
      <w:r>
        <w:tab/>
        <w:t>vu le règlement (UE, Euratom) 2020/2093 du Conseil du 17 décembre 2020 fixant le cadre financier pluriannuel pour les années 2021 à 2027</w:t>
      </w:r>
      <w:r>
        <w:rPr>
          <w:noProof/>
          <w:vertAlign w:val="superscript"/>
        </w:rPr>
        <w:footnoteReference w:id="4"/>
      </w:r>
      <w:r>
        <w:t>, tel que modifié par le règlement (UE, Euratom) 2024/765</w:t>
      </w:r>
      <w:r>
        <w:rPr>
          <w:noProof/>
          <w:vertAlign w:val="superscript"/>
        </w:rPr>
        <w:footnoteReference w:id="5"/>
      </w:r>
      <w:r>
        <w:t xml:space="preserve">, et notamment son article 8, </w:t>
      </w:r>
    </w:p>
    <w:p w:rsidR="00DA78B9" w:rsidRPr="00DA78B9" w:rsidP="00DA78B9" w14:paraId="27731752" w14:textId="77777777">
      <w:pPr>
        <w:pStyle w:val="NormalHanging12a"/>
        <w:rPr>
          <w:noProof/>
        </w:rPr>
      </w:pPr>
      <w:r>
        <w:t>–</w:t>
      </w:r>
      <w:r>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rStyle w:val="FootnoteReference"/>
          <w:noProof/>
        </w:rPr>
        <w:footnoteReference w:id="6"/>
      </w:r>
      <w:r>
        <w:t>, et notamment son point 9,</w:t>
      </w:r>
    </w:p>
    <w:p w:rsidR="00DA78B9" w:rsidRPr="00DA78B9" w:rsidP="00DA78B9" w14:paraId="05526ADA" w14:textId="77777777">
      <w:pPr>
        <w:pStyle w:val="NormalHanging12a"/>
      </w:pPr>
      <w:r>
        <w:t>–</w:t>
      </w:r>
      <w:r>
        <w:tab/>
        <w:t>vu le socle européen des droits sociaux,</w:t>
      </w:r>
    </w:p>
    <w:p w:rsidR="00DA78B9" w:rsidRPr="00DA78B9" w:rsidP="00DA78B9" w14:paraId="45D9DA4D" w14:textId="77777777">
      <w:pPr>
        <w:pStyle w:val="NormalHanging12a"/>
      </w:pPr>
      <w:r>
        <w:t>–</w:t>
      </w:r>
      <w:r>
        <w:tab/>
        <w:t>vu la lettre de la commission de l’emploi et des affaires sociales,</w:t>
      </w:r>
    </w:p>
    <w:p w:rsidR="00DA78B9" w:rsidRPr="00DA78B9" w:rsidP="00DA78B9" w14:paraId="5198A326" w14:textId="77777777">
      <w:pPr>
        <w:pStyle w:val="NormalHanging12a"/>
      </w:pPr>
      <w:r>
        <w:t>–</w:t>
      </w:r>
      <w:r>
        <w:tab/>
        <w:t>vu le rapport de la commission des budgets (A10-0241/2026),</w:t>
      </w:r>
    </w:p>
    <w:p w:rsidR="00DA78B9" w:rsidRPr="00DA78B9" w:rsidP="00DA78B9" w14:paraId="67B7C736" w14:textId="77777777">
      <w:pPr>
        <w:pStyle w:val="NormalHanging12a"/>
        <w:rPr>
          <w:noProof/>
        </w:rPr>
      </w:pPr>
      <w:r>
        <w:t>A.</w:t>
      </w:r>
      <w:r>
        <w:tab/>
        <w:t xml:space="preserve">considérant que l’Union a instauré des instruments législatifs et budgétaires pour apporter un soutien complémentaire aux travailleurs qui subissent les conséquences de mutations structurelles majeures du commerce mondial ou qui sont menacés de licenciement imminent dans des entreprises en restructuration, afin de faciliter leur réinsertion rapide et durable sur le marché du travail ou leur transition professionnelle et de leur dispenser des formations, des formations de reconversion et des formations professionnelles permettant de renforcer leurs compétences au regard des besoins du marché du travail; que cette aide prend la forme d’un soutien financier accordé aux travailleurs; qu’il convient d’affecter ce soutien à la réinsertion rapide des travailleurs </w:t>
      </w:r>
      <w:r>
        <w:t>dans des emplois de qualité;</w:t>
      </w:r>
    </w:p>
    <w:p w:rsidR="00DA78B9" w:rsidRPr="00DA78B9" w:rsidP="00DA78B9" w14:paraId="10625DBA" w14:textId="77777777">
      <w:pPr>
        <w:pStyle w:val="NormalHanging12a"/>
      </w:pPr>
      <w:r>
        <w:t>B.</w:t>
      </w:r>
      <w:r>
        <w:tab/>
        <w:t>considérant que la Belgique a introduit la demande EGF/2026/001 BE/Cora en vue d’obtenir une contribution financière du FEM à la suite de 1 257 licenciements</w:t>
      </w:r>
      <w:r>
        <w:rPr>
          <w:vertAlign w:val="superscript"/>
        </w:rPr>
        <w:footnoteReference w:id="7"/>
      </w:r>
      <w:r>
        <w:t xml:space="preserve"> intervenus dans les secteurs économiques relevant des divisions 47 (Commerce de détail) et 49 (Transports par terre et transport par conduites) de la NACE Rév. 2 dans la région de Bruxelles-Capitale (BE10) ainsi que dans les provinces de Hainaut (BE32), de Liège (BE33) et de Luxembourg (BE34), dont un total de 662 licenciements au cours de la période de référence comprise entre le 1</w:t>
      </w:r>
      <w:r>
        <w:rPr>
          <w:vertAlign w:val="superscript"/>
        </w:rPr>
        <w:t>er</w:t>
      </w:r>
      <w:r>
        <w:t> septembre 2025 et le 1</w:t>
      </w:r>
      <w:r>
        <w:rPr>
          <w:vertAlign w:val="superscript"/>
        </w:rPr>
        <w:t>er</w:t>
      </w:r>
      <w:r>
        <w:t> janvier 2026, à savoir 621 travailleurs licenciés par Cora SA (Cora) et 41 par le fournisseur STEF Logistics Courcelles, et 595 licenciements survenus en dehors de cette période;</w:t>
      </w:r>
    </w:p>
    <w:p w:rsidR="00DA78B9" w:rsidRPr="00DA78B9" w:rsidP="00DA78B9" w14:paraId="28B26CC2" w14:textId="77777777">
      <w:pPr>
        <w:pStyle w:val="NormalHanging12a"/>
      </w:pPr>
      <w:r>
        <w:t>C.</w:t>
      </w:r>
      <w:r>
        <w:tab/>
        <w:t>considérant que la demande remplit les critères d’intervention prévus à l’article 4, paragraphe 2, point a), du règlement FEM; que, pour les 595 travailleurs dont l’activité a cessé avant ou après la période de référence de quatre mois, un lien de causalité direct peut être établi avec l’événement ayant entraîné la cessation d’activité des travailleurs concernés au cours de ladite période, conformément à l’article 6 du règlement FEM;</w:t>
      </w:r>
    </w:p>
    <w:p w:rsidR="00DA78B9" w:rsidRPr="00DA78B9" w:rsidP="00DA78B9" w14:paraId="60030D31" w14:textId="77777777">
      <w:pPr>
        <w:pStyle w:val="NormalHanging12a"/>
        <w:rPr>
          <w:noProof/>
        </w:rPr>
      </w:pPr>
      <w:r>
        <w:t>D.</w:t>
      </w:r>
      <w:r>
        <w:tab/>
        <w:t>considérant que l’entreprise Cora, en dépit de nombreuses mesures prises au cours des dix dernières années pour consolider sa situation financière, a été contrainte de réduire progressivement ses effectifs et de procéder à des vagues successives de licenciements collectifs depuis septembre 2025; que cette évolution s’inscrit dans le cadre plus large de profondes mutations au sein du secteur du commerce de détail, caractérisées notamment par l’essor rapide du commerce électronique, l’intensification de la concurrence des détaillants en ligne de pays tiers, y compris des plateformes chinoises, et la pression accrue exercée sur les détaillants européens par des concurrents à bas coûts qui ne sont pas nécessairement soumis à des normes réglementaires et de production équivalentes; que ces bouleversements touchent de manière disproportionnée les travailleurs occupant un emploi précaire, à temps partiel ou faiblement rémunéré;</w:t>
      </w:r>
    </w:p>
    <w:p w:rsidR="00DA78B9" w:rsidRPr="00DA78B9" w:rsidP="00DA78B9" w14:paraId="701DEBE9" w14:textId="77777777">
      <w:pPr>
        <w:pStyle w:val="NormalHanging12a"/>
        <w:rPr>
          <w:noProof/>
          <w:szCs w:val="24"/>
        </w:rPr>
      </w:pPr>
      <w:r>
        <w:t>E.</w:t>
      </w:r>
      <w:r>
        <w:tab/>
        <w:t>considérant que les contributions financières du FEM devraient être orientées vers des mesures actives ciblant le marché du travail et vers des services personnalisés visant à réinsérer rapidement leurs bénéficiaires dans des emplois de qualité et durables ou à les aider à mener à bien leur transition professionnelle, tout en leur offrant des formations pour faciliter leur réinsertion et renforcer leur habilité numérique;</w:t>
      </w:r>
    </w:p>
    <w:p w:rsidR="00DA78B9" w:rsidRPr="00DA78B9" w:rsidP="00DA78B9" w14:paraId="46F0450D" w14:textId="77777777">
      <w:pPr>
        <w:pStyle w:val="NormalHanging12a"/>
        <w:rPr>
          <w:noProof/>
        </w:rPr>
      </w:pPr>
      <w:r>
        <w:t>F.</w:t>
      </w:r>
      <w:r>
        <w:tab/>
        <w:t>considérant que l’utilisation du FEM reste inégalement répartie sur le territoire de l’Union, plusieurs États membres n’ayant jamais présenté de demande d’intervention du Fonds; qu’une sensibilisation accrue, un cadre législatif adapté, une concertation plus en amont avec les partenaires sociaux et une assistance technique renforcée à l’intention des autorités nationales et régionales peuvent permettre d’assurer la visibilité du FEM ainsi qu’un accès rapide et effectif à celui-ci pour les travailleurs admissibles et les régions touchées par des restructurations majeures;</w:t>
      </w:r>
    </w:p>
    <w:p w:rsidR="00DA78B9" w:rsidRPr="00DA78B9" w:rsidP="00DA78B9" w14:paraId="0A95E3DC" w14:textId="77777777">
      <w:pPr>
        <w:pStyle w:val="NormalHanging12a"/>
      </w:pPr>
      <w:r>
        <w:t>G.</w:t>
      </w:r>
      <w:r>
        <w:tab/>
        <w:t>considérant que le Forem et la Région wallonne assurent le préfinancement et le cofinancement nationaux des mesures;</w:t>
      </w:r>
    </w:p>
    <w:p w:rsidR="00DA78B9" w:rsidRPr="00DA78B9" w:rsidP="00DA78B9" w14:paraId="3353241F" w14:textId="77777777">
      <w:pPr>
        <w:pStyle w:val="NormalHanging12a"/>
      </w:pPr>
      <w:r>
        <w:t>H.</w:t>
      </w:r>
      <w:r>
        <w:tab/>
        <w:t>que les exigences fixées par la législation nationale et par le droit de l’Union en matière de licenciements collectifs ont été respectées;</w:t>
      </w:r>
    </w:p>
    <w:p w:rsidR="00DA78B9" w:rsidRPr="00DA78B9" w:rsidP="00DA78B9" w14:paraId="179D91C1" w14:textId="77777777">
      <w:pPr>
        <w:pStyle w:val="NormalHanging12a"/>
      </w:pPr>
      <w:r>
        <w:t>I.</w:t>
      </w:r>
      <w:r>
        <w:tab/>
        <w:t>considérant que la dotation annuelle du FEM n’excède pas 30 millions d’EUR (aux prix de 2018)</w:t>
      </w:r>
      <w:r>
        <w:rPr>
          <w:rStyle w:val="FootnoteReference"/>
        </w:rPr>
        <w:footnoteReference w:id="8"/>
      </w:r>
      <w:r>
        <w:t xml:space="preserve">; </w:t>
      </w:r>
    </w:p>
    <w:p w:rsidR="00DA78B9" w:rsidRPr="00DA78B9" w:rsidP="00DA78B9" w14:paraId="12ED6073" w14:textId="77777777">
      <w:pPr>
        <w:pStyle w:val="NormalHanging12a"/>
      </w:pPr>
      <w:r>
        <w:t>1.</w:t>
      </w:r>
      <w:r>
        <w:tab/>
        <w:t>convient avec la Commission que les conditions fixées dans le règlement FEM, notamment à l’article 4, paragraphe 2, point a), sont remplies et que la Belgique a droit, au titre de ce règlement, à une contribution financière d’un montant de 3 821 460 EUR, soit 85 % du coût total de 4 495 836 EUR, qui correspond aux dépenses afférentes aux services personnalisés à hauteur de 4 441 774 EUR et aux dépenses afférentes aux activités de préparation, de gestion, d’information et de publicité, ainsi qu’aux activités de contrôle et de rapport, à hauteur de 54 062 EUR;</w:t>
      </w:r>
    </w:p>
    <w:p w:rsidR="00DA78B9" w:rsidRPr="00DA78B9" w:rsidP="00DA78B9" w14:paraId="3799CC42" w14:textId="77777777">
      <w:pPr>
        <w:pStyle w:val="NormalHanging12a"/>
        <w:rPr>
          <w:noProof/>
        </w:rPr>
      </w:pPr>
      <w:r>
        <w:t>2.</w:t>
      </w:r>
      <w:r>
        <w:tab/>
        <w:t>constate que les autorités belges ont présenté leur demande le 25 mars 2026 et que, après avoir reçu des informations complémentaires de leur part, la Commission a achevé son évaluation le 16 juillet 2026 et l’a communiquée au Parlement le 24 août 2026; souligne qu’il importe de raccourcir le délai entre la présentation d’une demande d’aide au titre du FEM et la décision de financement, tout en préservant pleinement les droits du Parlement européen en tant que branche de l’autorité budgétaire;3.</w:t>
      </w:r>
      <w:r>
        <w:tab/>
        <w:t>constate que la demande concerne 1 257 travailleurs licenciés par Cora et un fournisseur; relève en outre que 1 010 travailleurs licenciés résidant en Wallonie seront les bénéficiaires visés;</w:t>
      </w:r>
    </w:p>
    <w:p w:rsidR="00DA78B9" w:rsidRPr="00DA78B9" w:rsidP="00DA78B9" w14:paraId="223DC776" w14:textId="77777777">
      <w:pPr>
        <w:pStyle w:val="NormalHanging12a"/>
      </w:pPr>
      <w:r>
        <w:t>4.</w:t>
      </w:r>
      <w:r>
        <w:tab/>
        <w:t>prend acte que l’enseigne d’hypermarchés Cora a éprouvé des difficultés à s’adapter à l’évolution des modes de consommation et l’intensification de la concurrence, tenant notamment à l’expansion rapide du commerce en ligne et des cybercommerçants à bas coûts établis hors de l’Union, la hausse des coûts d’exploitation aggravant encore ses difficultés financières; rappelle la nécessité de garantir des conditions de concurrence équitables entre les détaillants européens et les entreprises de pays tiers; souligne que cette situation met en évidence l’importance d’une économie européenne robuste et compétitive et d’un cadre propice aux entreprises, à même de permettre à ces dernières de s’adapter aux mutations structurelles et de préserver leur compétitivité; prend acte des répercussions des licenciements intervenus par la suite en Wallonie, en particulier dans la province de Hainaut; souligne qu’il importe de renforcer la capacité des entreprises européennes à anticiper les mutations du marché et à s’y adapter, tout en préservant des emplois durables et de qualité ainsi que les droits des travailleurs, afin de sauvegarder leur compétitivité et de prévenir les licenciements dans la mesure du possible; plaide pour qu’au moins une partie des travailleurs soient réembauchés dans les entités ouvertes sur les sites des sept anciens hypermarchés Cora où 95 % de la surface commerciale est désormais louée;</w:t>
      </w:r>
    </w:p>
    <w:p w:rsidR="00DA78B9" w:rsidRPr="00DA78B9" w:rsidP="00DA78B9" w14:paraId="3719B849" w14:textId="77777777">
      <w:pPr>
        <w:pStyle w:val="NormalHanging12a"/>
        <w:rPr>
          <w:szCs w:val="24"/>
        </w:rPr>
      </w:pPr>
      <w:r>
        <w:t>5.</w:t>
      </w:r>
      <w:r>
        <w:tab/>
        <w:t>constate que ce dossier concerne la province du Hainaut, où le taux de chômage reste préoccupant; insiste sur la nécessité de prévenir le déclin régional structurel et de créer des emplois de qualité et d’avenir afin de renforcer la résilience économique et sociale à long terme; souligne la nécessité de politiques favorisant la compétitivité industrielle, la cohésion sociale et le développement régional;</w:t>
      </w:r>
    </w:p>
    <w:p w:rsidR="00DA78B9" w:rsidRPr="00DA78B9" w:rsidP="00DA78B9" w14:paraId="70BF87C2" w14:textId="77777777">
      <w:pPr>
        <w:pStyle w:val="NormalHanging12a"/>
        <w:rPr>
          <w:szCs w:val="24"/>
        </w:rPr>
      </w:pPr>
      <w:r>
        <w:t>6.</w:t>
      </w:r>
      <w:r>
        <w:tab/>
      </w:r>
      <w:bookmarkStart w:id="1" w:name="_Hlk240630036"/>
      <w:r>
        <w:t xml:space="preserve">souligne qu’il faut à l’Union un environnement économique stable, prévisible et favorable à l’innovation qui soutienne le développement technologique et renforce la compétitivité; </w:t>
      </w:r>
      <w:bookmarkEnd w:id="1"/>
      <w:r>
        <w:t>rappelle que des entreprises fortes et compétitives sont essentielles pour pérenniser les emplois de qualité, stimuler la croissance économique, promouvoir la cohésion territoriale, économique et sociale et renforcer la résilience stratégique de l’Europe;</w:t>
      </w:r>
    </w:p>
    <w:p w:rsidR="00DA78B9" w:rsidRPr="00DA78B9" w:rsidP="00DA78B9" w14:paraId="7EC80300" w14:textId="77777777">
      <w:pPr>
        <w:pStyle w:val="NormalHanging12a"/>
      </w:pPr>
      <w:r>
        <w:t>7.</w:t>
      </w:r>
      <w:r>
        <w:tab/>
        <w:t>prend acte que huit travailleurs licenciés sur dix ont un niveau d’éducation correspondant au deuxième cycle de l’enseignement secondaire ou inférieur, un sur trois étant âgé de plus de 54 ans et devant faire face à des obstacles plus importants pour réintégrer le marché du travail; invite les autorités belges et régionales à s’attaquer aux disparités sociales et aux obstacles structurels empêchant les travailleurs licenciés d’accéder à un emploi de qualité, y compris la discrimination fondée sur l’âge; souligne qu’un soutien ciblé et personnalisé favorise leur réinsertion durable sur le marché du travail; relève qu’une réinsertion réussie contribue de manière déterminante à la résilience et à la compétitivité de l’économie européenne; souligne qu’il faut adapter les formations aux besoins du marché du travail au fur et à mesure de leur évolution afin de faciliter une réinsertion rapide dans des emplois de qualité;</w:t>
      </w:r>
    </w:p>
    <w:p w:rsidR="00DA78B9" w:rsidRPr="00DA78B9" w:rsidP="00DA78B9" w14:paraId="5A281BFF" w14:textId="77777777">
      <w:pPr>
        <w:pStyle w:val="NormalHanging12a"/>
      </w:pPr>
      <w:r>
        <w:t>8.</w:t>
      </w:r>
      <w:r>
        <w:tab/>
        <w:t>rappelle que, en concertation avec les bénéficiaires visés, leurs représentants et les partenaires sociaux, dont la participation significative est essentielle à la qualité et à la légitimité du processus de réinsertion, les services personnalisés à dispenser aux travailleurs licenciés consistent en les mesures suivantes: des services de reclassement prévoyant l’orientation professionnelle, l’homologation des compétences, la formation et la reconversion professionnelles, l’aide à la création d’entreprise et une contribution au lancement d’une entreprise, des incitations et des allocations afin de prévenir le chômage de longue durée, y compris pour les travailleurs âgés; souligne que les représentants syndicaux devraient être associés tout au long de la mise en œuvre des mesures du FEM, y compris pendant la phase de suivi, afin de garantir la qualité et la pertinence du soutien offert aux bénéficiaires;</w:t>
      </w:r>
    </w:p>
    <w:p w:rsidR="00DA78B9" w:rsidRPr="00DA78B9" w:rsidP="00DA78B9" w14:paraId="4FC6EF5C" w14:textId="77777777">
      <w:pPr>
        <w:pStyle w:val="NormalHanging12a"/>
      </w:pPr>
      <w:r>
        <w:t>9.</w:t>
      </w:r>
      <w:r>
        <w:tab/>
        <w:t>souligne que les autorités belges doivent veiller à la visibilité du financement de l’Union et mettre en valeur sa valeur ajoutée en dispensant une information efficace, claire et en temps utile aux bénéficiaires, aux autorités régionales et locales, aux partenaires sociaux ainsi qu’au grand public;</w:t>
      </w:r>
    </w:p>
    <w:p w:rsidR="00DA78B9" w:rsidRPr="00DA78B9" w:rsidP="00DA78B9" w14:paraId="1DD98194" w14:textId="77777777">
      <w:pPr>
        <w:pStyle w:val="NormalHanging12a"/>
      </w:pPr>
      <w:r>
        <w:t>10.</w:t>
      </w:r>
      <w:r>
        <w:tab/>
        <w:t>rappelle que le FEM est un instrument de solidarité et de transition juste et que, s’il apporte un soutien à la suite de pertes d’emplois, il ne saurait remplacer une politique industrielle active; considère que la mobilisation du FEM doit s’inscrire dans une réponse politique plus large à tous les niveaux politiques afin de garantir que les travailleurs concernés trouvent des perspectives correspondant à leurs qualifications et à leurs compétences; souligne la nécessité d’apporter un soutien spécifique adapté aux besoins et aux profils des travailleurs ayant un niveau d’instruction inférieur, tout en prenant des mesures pour réduire les faillites et remédier aux disparités sociales conduisant à l’exclusion du marché du travail;</w:t>
      </w:r>
    </w:p>
    <w:p w:rsidR="00DA78B9" w:rsidRPr="00DA78B9" w:rsidP="00DA78B9" w14:paraId="3C4CC67C" w14:textId="77777777">
      <w:pPr>
        <w:pStyle w:val="NormalHanging12a"/>
        <w:rPr>
          <w:szCs w:val="24"/>
        </w:rPr>
      </w:pPr>
      <w:r>
        <w:t>11.</w:t>
      </w:r>
      <w:r>
        <w:tab/>
        <w:t xml:space="preserve">souligne qu’il faut faire mieux connaître le FEM dans certains États membres et en renforcer la visibilité; invite la Commission, en coopération avec les États membres et les partenaires sociaux, à renforcer les actions de sensibilisation et l’assistance </w:t>
      </w:r>
      <w:r>
        <w:t>technique, en accordant une attention particulière aux autorités nationales et régionales n’ayant pas ou peu d’expérience dans l’accès au soutien du FEM;</w:t>
      </w:r>
    </w:p>
    <w:p w:rsidR="00DA78B9" w:rsidRPr="00DA78B9" w:rsidP="00DA78B9" w14:paraId="686753F8" w14:textId="77777777">
      <w:pPr>
        <w:pStyle w:val="NormalHanging12a"/>
      </w:pPr>
      <w:r>
        <w:t>12.</w:t>
      </w:r>
      <w:r>
        <w:tab/>
        <w:t>demande des évaluations finales approfondies des mesures mises en œuvre, qui comportent des informations claires sur l’utilisation des fonds, l’aboutissement de la réinsertion des travailleurs sur le marché du travail et l’efficacité de celle-ci, afin de garantir l’obligation de rendre compte, la bonne gestion financière et l’utilisation efficiente des fonds de l’Union; réaffirme qu’il faut procéder à un suivi et à un contrôle appropriés de l’utilisation des crédits du FEM et vérifier si les objectifs du FEM sont atteints;</w:t>
      </w:r>
    </w:p>
    <w:p w:rsidR="00DA78B9" w:rsidRPr="00DA78B9" w:rsidP="00DA78B9" w14:paraId="5F0D3186" w14:textId="77777777">
      <w:pPr>
        <w:pStyle w:val="NormalHanging12a"/>
      </w:pPr>
      <w:r>
        <w:t>13.</w:t>
      </w:r>
      <w:r>
        <w:tab/>
        <w:t>relève que la Belgique a commencé à fournir des services personnalisés aux bénéficiaires visés et à engager des dépenses administratives pour la mise en œuvre du FEM respectivement le 1</w:t>
      </w:r>
      <w:r>
        <w:rPr>
          <w:vertAlign w:val="superscript"/>
        </w:rPr>
        <w:t>er</w:t>
      </w:r>
      <w:r>
        <w:t> septembre 2025 et le 9 avril 2025, et que la période d’admissibilité à une contribution financière du FEM courra par conséquent de ces dates jusqu’à l’expiration d’un délai de 24 mois et de 31 mois, respectivement, à compter de la date d’entrée en vigueur de la décision de financement;</w:t>
      </w:r>
    </w:p>
    <w:p w:rsidR="00DA78B9" w:rsidRPr="00DA78B9" w:rsidP="00DA78B9" w14:paraId="1831D91E" w14:textId="77777777">
      <w:pPr>
        <w:pStyle w:val="NormalHanging12a"/>
      </w:pPr>
      <w:r>
        <w:t>14.</w:t>
      </w:r>
      <w:r>
        <w:tab/>
        <w:t>constate que les autorités belges ont donné l’assurance que les principes d’égalité de traitement et de non-discrimination seront respectés pour ce qui concerne l’accès aux mesures proposées et leur mise en œuvre, et que tout double financement sera évité;</w:t>
      </w:r>
    </w:p>
    <w:p w:rsidR="00DA78B9" w:rsidRPr="00DA78B9" w:rsidP="00DA78B9" w14:paraId="4B631BE7" w14:textId="77777777">
      <w:pPr>
        <w:pStyle w:val="NormalHanging12a"/>
      </w:pPr>
      <w:r>
        <w:t>15.</w:t>
      </w:r>
      <w:r>
        <w:tab/>
        <w:t>rappelle que l’intervention du FEM ne doit pas se substituer aux actions qui relèvent de la responsabilité des pouvoirs publics ou des entreprises en vertu du droit national ou de conventions collectives; rappelle que le FEM est un mécanisme limité, ciblé et complémentaire et qu’il ne saurait se substituer à des politiques économiques et sociales structurelles qui soutiennent la croissance économique durable, qui favorisent un environnement économique stable, prévisible et propice à l’innovation et qui protègent les entreprises et opérateurs économiques de l’Union ainsi que leurs travailleurs;</w:t>
      </w:r>
    </w:p>
    <w:p w:rsidR="00DA78B9" w:rsidRPr="00DA78B9" w:rsidP="00DA78B9" w14:paraId="34325C1D" w14:textId="77777777">
      <w:pPr>
        <w:pStyle w:val="NormalHanging12a"/>
      </w:pPr>
      <w:r>
        <w:t>16.</w:t>
      </w:r>
      <w:r>
        <w:tab/>
        <w:t>approuve la décision annexée à la présente résolution;</w:t>
      </w:r>
    </w:p>
    <w:p w:rsidR="00DA78B9" w:rsidRPr="00DA78B9" w:rsidP="00DA78B9" w14:paraId="0B048D4B" w14:textId="77777777">
      <w:pPr>
        <w:pStyle w:val="NormalHanging12a"/>
      </w:pPr>
      <w:r>
        <w:t>17.</w:t>
      </w:r>
      <w:r>
        <w:tab/>
        <w:t xml:space="preserve">charge sa Présidente de signer cette décision avec le Président du Conseil et d’en assurer la publication au </w:t>
      </w:r>
      <w:r>
        <w:rPr>
          <w:i/>
        </w:rPr>
        <w:t>Journal officiel de l’Union européenne</w:t>
      </w:r>
      <w:r>
        <w:t>;</w:t>
      </w:r>
    </w:p>
    <w:p w:rsidR="00DA78B9" w:rsidRPr="00DA78B9" w:rsidP="00DA78B9" w14:paraId="48AD3808" w14:textId="77777777">
      <w:pPr>
        <w:pStyle w:val="NormalHanging12a"/>
      </w:pPr>
      <w:r>
        <w:t>18.</w:t>
      </w:r>
      <w:r>
        <w:tab/>
        <w:t>charge sa Présidente de transmettre la présente résolution, y compris son annexe, au Conseil et à la Commission.</w:t>
      </w:r>
    </w:p>
    <w:p w:rsidR="00DA78B9" w:rsidRPr="00DA78B9" w:rsidP="00DA78B9" w14:paraId="384B772E" w14:textId="77777777">
      <w:pPr>
        <w:rPr>
          <w:noProof/>
        </w:rPr>
      </w:pPr>
    </w:p>
    <w:p w:rsidR="00DA78B9" w:rsidRPr="00DA78B9" w:rsidP="00DA78B9" w14:paraId="4227E53F" w14:textId="77777777">
      <w:pPr>
        <w:pStyle w:val="PageHeading"/>
        <w:rPr>
          <w:noProof/>
        </w:rPr>
        <w:sectPr w:rsidSect="00DA78B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DA78B9" w:rsidRPr="00DA78B9" w:rsidP="00DA78B9" w14:paraId="0F926AF2" w14:textId="77777777">
      <w:pPr>
        <w:pStyle w:val="PageHeading"/>
        <w:rPr>
          <w:noProof/>
        </w:rPr>
      </w:pPr>
      <w:bookmarkStart w:id="2" w:name="_Toc241576515"/>
      <w:bookmarkStart w:id="3" w:name="_Toc241669765"/>
      <w:r>
        <w:t>ANNEXE: DÉCISION DU PARLEMENT EUROPÉEN ET DU CONSEIL</w:t>
      </w:r>
      <w:bookmarkEnd w:id="2"/>
      <w:bookmarkEnd w:id="3"/>
    </w:p>
    <w:p w:rsidR="00DA78B9" w:rsidRPr="00DA78B9" w:rsidP="00DA78B9" w14:paraId="7F1D7D35" w14:textId="77777777">
      <w:pPr>
        <w:pStyle w:val="NormalBold24a"/>
      </w:pPr>
      <w:r>
        <w:t>relative à la mobilisation du Fonds européen d’ajustement à la mondialisation en faveur des travailleurs licenciés à la suite d’une demande de la Belgique – EGF/2026/001 BE/Cora</w:t>
      </w:r>
    </w:p>
    <w:p w:rsidR="00DA78B9" w:rsidRPr="00DA78B9" w:rsidP="00DA78B9" w14:paraId="29595C68" w14:textId="77777777">
      <w:pPr>
        <w:pStyle w:val="NormalHanging12a"/>
      </w:pPr>
      <w:r>
        <w:t>LE PARLEMENT EUROPÉEN ET LE CONSEIL DE L’UNION EUROPÉENNE,</w:t>
      </w:r>
    </w:p>
    <w:p w:rsidR="00DA78B9" w:rsidRPr="00DA78B9" w:rsidP="00DA78B9" w14:paraId="643AC8E3" w14:textId="77777777">
      <w:pPr>
        <w:pStyle w:val="NormalHanging12a"/>
        <w:ind w:left="0" w:firstLine="0"/>
        <w:jc w:val="both"/>
      </w:pPr>
      <w:bookmarkStart w:id="4" w:name="_Hlk239688946"/>
      <w:r>
        <w:t>vu le traité sur le fonctionnement de l’Union européenne,</w:t>
      </w:r>
    </w:p>
    <w:p w:rsidR="00DA78B9" w:rsidRPr="00DA78B9" w:rsidP="00DA78B9" w14:paraId="3E3994C4" w14:textId="77777777">
      <w:pPr>
        <w:pStyle w:val="NormalHanging12a"/>
        <w:ind w:left="0" w:firstLine="0"/>
        <w:jc w:val="both"/>
      </w:pPr>
      <w:r>
        <w:t>vu le règlement (UE) 2021/691 du Parlement européen et du Conseil du 28 avril 2021 relatif au Fonds européen d’ajustement à la mondialisation en faveur des travailleurs licenciés (FEM) et abrogeant le règlement (UE) nº 1309/2013</w:t>
      </w:r>
      <w:r>
        <w:rPr>
          <w:vertAlign w:val="superscript"/>
        </w:rPr>
        <w:footnoteReference w:id="9"/>
      </w:r>
      <w:r>
        <w:t>, et notamment son article 15, paragraphe 1, premier alinéa,</w:t>
      </w:r>
    </w:p>
    <w:p w:rsidR="00DA78B9" w:rsidRPr="00DA78B9" w:rsidP="00DA78B9" w14:paraId="420CF70C" w14:textId="77777777">
      <w:pPr>
        <w:pStyle w:val="NormalHanging12a"/>
        <w:ind w:left="0" w:firstLine="0"/>
        <w:jc w:val="both"/>
      </w:pPr>
      <w: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vertAlign w:val="superscript"/>
        </w:rPr>
        <w:footnoteReference w:id="10"/>
      </w:r>
      <w:r>
        <w:t>, et notamment son point 9,</w:t>
      </w:r>
    </w:p>
    <w:p w:rsidR="00DA78B9" w:rsidRPr="00DA78B9" w:rsidP="00DA78B9" w14:paraId="066E6B05" w14:textId="77777777">
      <w:pPr>
        <w:pStyle w:val="NormalHanging12a"/>
        <w:ind w:left="0" w:firstLine="0"/>
        <w:jc w:val="both"/>
      </w:pPr>
      <w:r>
        <w:t>vu la proposition de la Commission européenne,</w:t>
      </w:r>
    </w:p>
    <w:p w:rsidR="00DA78B9" w:rsidRPr="00DA78B9" w:rsidP="00DA78B9" w14:paraId="550C4242" w14:textId="77777777">
      <w:pPr>
        <w:pStyle w:val="NormalHanging12a"/>
        <w:ind w:left="0" w:firstLine="0"/>
        <w:jc w:val="both"/>
      </w:pPr>
      <w:r>
        <w:t>considérant ce qui suit:</w:t>
      </w:r>
    </w:p>
    <w:p w:rsidR="00DA78B9" w:rsidRPr="00DA78B9" w:rsidP="00DA78B9" w14:paraId="5256B498" w14:textId="77777777">
      <w:pPr>
        <w:pStyle w:val="NormalHanging12a"/>
        <w:jc w:val="both"/>
      </w:pPr>
      <w:r>
        <w:t>(1)</w:t>
      </w:r>
      <w:r>
        <w:tab/>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rsidR="00DA78B9" w:rsidRPr="00DA78B9" w:rsidP="00DA78B9" w14:paraId="635B0428" w14:textId="77777777">
      <w:pPr>
        <w:pStyle w:val="NormalHanging12a"/>
        <w:jc w:val="both"/>
      </w:pPr>
      <w:r>
        <w:t>(2)</w:t>
      </w:r>
      <w:r>
        <w:tab/>
        <w:t>La dotation annuelle du FEM n’excède pas un montant maximal de 30 000 000 EUR (aux prix de 2018), comme le prévoient l’article 8 du règlement (UE, Euratom) 2020/2093</w:t>
      </w:r>
      <w:r>
        <w:rPr>
          <w:vertAlign w:val="superscript"/>
        </w:rPr>
        <w:footnoteReference w:id="11"/>
      </w:r>
      <w:r>
        <w:t xml:space="preserve"> du Conseil, modifié par le règlement (UE, Euratom) 2024/765</w:t>
      </w:r>
      <w:r>
        <w:rPr>
          <w:vertAlign w:val="superscript"/>
        </w:rPr>
        <w:footnoteReference w:id="12"/>
      </w:r>
      <w:r>
        <w:t xml:space="preserve"> du Conseil, et l’article 16 du règlement (UE) 2021/691.</w:t>
      </w:r>
    </w:p>
    <w:p w:rsidR="00DA78B9" w:rsidRPr="00DA78B9" w:rsidP="00DA78B9" w14:paraId="35BB63AD" w14:textId="77777777">
      <w:pPr>
        <w:pStyle w:val="NormalHanging12a"/>
        <w:jc w:val="both"/>
      </w:pPr>
      <w:r>
        <w:t>(3)</w:t>
      </w:r>
      <w:r>
        <w:tab/>
        <w:t xml:space="preserve">Le 25 mars 2026, la Belgique a présenté une demande de mobilisation du FEM conformément à l’article 8, paragraphe 1, du règlement (UE) 2021/691, en ce qui concerne les licenciements intervenus au sein de l’entreprise Cora SA et chez un de ses fournisseurs en Belgique. Des informations complémentaires ont été fournies conformément à l’article 8, paragraphe 5, du règlement (UE) 2021/691. Cette demande est considérée comme remplissant les conditions d’octroi d’une contribution financière </w:t>
      </w:r>
      <w:r>
        <w:t>du FEM conformément à l’article 13 du règlement (UE) 2021/691, sur la base de l’évaluation effectuée par la Commission dans la proposition de décision du Parlement européen et du Conseil relative à la mobilisation du FEM</w:t>
      </w:r>
      <w:r>
        <w:rPr>
          <w:vertAlign w:val="superscript"/>
        </w:rPr>
        <w:footnoteReference w:id="13"/>
      </w:r>
      <w:r>
        <w:t>.</w:t>
      </w:r>
    </w:p>
    <w:p w:rsidR="00DA78B9" w:rsidRPr="00DA78B9" w:rsidP="00DA78B9" w14:paraId="70EBA1F6" w14:textId="77777777">
      <w:pPr>
        <w:pStyle w:val="NormalHanging12a"/>
        <w:jc w:val="both"/>
      </w:pPr>
      <w:r>
        <w:t>(4)</w:t>
      </w:r>
      <w:r>
        <w:tab/>
        <w:t>Il y a lieu, par conséquent, de mobiliser le FEM en vue d’octroyer une contribution financière d’un montant de 3 821 460 EUR en réponse à la demande présentée par la Belgique.</w:t>
      </w:r>
    </w:p>
    <w:p w:rsidR="00DA78B9" w:rsidRPr="00DA78B9" w:rsidP="00DA78B9" w14:paraId="1AB14A76" w14:textId="77777777">
      <w:pPr>
        <w:pStyle w:val="NormalHanging12a"/>
        <w:jc w:val="both"/>
      </w:pPr>
      <w:r>
        <w:t>(5)</w:t>
      </w:r>
      <w:r>
        <w:tab/>
        <w:t>Afin de limiter au maximum le délai nécessaire pour déclencher l’intervention du Fonds, la présente décision devrait s’appliquer à partir de la date de son adoption,</w:t>
      </w:r>
      <w:bookmarkEnd w:id="4"/>
    </w:p>
    <w:p w:rsidR="00DA78B9" w:rsidRPr="00DA78B9" w:rsidP="00DA78B9" w14:paraId="1E826085" w14:textId="77777777">
      <w:pPr>
        <w:pStyle w:val="Institutionquisigne"/>
        <w:spacing w:before="100" w:beforeAutospacing="1" w:after="100" w:afterAutospacing="1"/>
        <w:rPr>
          <w:i w:val="0"/>
          <w:noProof/>
        </w:rPr>
      </w:pPr>
      <w:r>
        <w:rPr>
          <w:i w:val="0"/>
        </w:rPr>
        <w:t xml:space="preserve">ONT ADOPTÉ LA PRÉSENTE DÉCISION: </w:t>
      </w:r>
    </w:p>
    <w:p w:rsidR="00DA78B9" w:rsidRPr="00DA78B9" w:rsidP="00DA78B9" w14:paraId="0ABD8505" w14:textId="77777777">
      <w:pPr>
        <w:pStyle w:val="Institutionquisigne"/>
        <w:spacing w:before="100" w:beforeAutospacing="1" w:after="100" w:afterAutospacing="1"/>
        <w:jc w:val="center"/>
        <w:rPr>
          <w:iCs/>
          <w:noProof/>
        </w:rPr>
      </w:pPr>
      <w:r>
        <w:t>Article premier</w:t>
      </w:r>
    </w:p>
    <w:p w:rsidR="00DA78B9" w:rsidRPr="00DA78B9" w:rsidP="00DA78B9" w14:paraId="23A4B4DC" w14:textId="77777777">
      <w:pPr>
        <w:pStyle w:val="Institutionquisigne"/>
        <w:spacing w:before="100" w:beforeAutospacing="1" w:after="100" w:afterAutospacing="1"/>
        <w:rPr>
          <w:i w:val="0"/>
          <w:noProof/>
        </w:rPr>
      </w:pPr>
      <w:r>
        <w:rPr>
          <w:i w:val="0"/>
        </w:rPr>
        <w:t>Dans le cadre du budget général de l’Union établi pour l’exercice 2026, un montant de 3 821 460 EUR en crédits d’engagement et de paiement est mobilisé au titre du Fonds européen d’ajustement à la mondialisation en faveur des travailleurs licenciés.</w:t>
      </w:r>
    </w:p>
    <w:p w:rsidR="00DA78B9" w:rsidRPr="00DA78B9" w:rsidP="00DA78B9" w14:paraId="00BB1D90" w14:textId="77777777">
      <w:pPr>
        <w:pStyle w:val="Institutionquisigne"/>
        <w:spacing w:before="100" w:beforeAutospacing="1" w:after="100" w:afterAutospacing="1"/>
        <w:jc w:val="center"/>
        <w:rPr>
          <w:iCs/>
          <w:noProof/>
        </w:rPr>
      </w:pPr>
      <w:r>
        <w:t>Article 2</w:t>
      </w:r>
    </w:p>
    <w:p w:rsidR="00DA78B9" w:rsidRPr="00DA78B9" w:rsidP="00DA78B9" w14:paraId="2569D549" w14:textId="77777777">
      <w:pPr>
        <w:pStyle w:val="Institutionquisigne"/>
        <w:spacing w:before="100" w:beforeAutospacing="1" w:after="100" w:afterAutospacing="1"/>
        <w:rPr>
          <w:i w:val="0"/>
          <w:noProof/>
        </w:rPr>
      </w:pPr>
      <w:r>
        <w:rPr>
          <w:i w:val="0"/>
        </w:rPr>
        <w:t>La présente décision entre en vigueur le jour de sa publication au</w:t>
      </w:r>
      <w:r>
        <w:t xml:space="preserve"> Journal officiel de l’Union européenne</w:t>
      </w:r>
      <w:r>
        <w:rPr>
          <w:i w:val="0"/>
        </w:rPr>
        <w:t>. Elle est applicable à partir du</w:t>
      </w:r>
      <w:r>
        <w:t xml:space="preserve"> [date de son adoption]* .</w:t>
      </w:r>
    </w:p>
    <w:p w:rsidR="00DA78B9" w:rsidRPr="00DA78B9" w:rsidP="00DA78B9" w14:paraId="68281F4B" w14:textId="77777777">
      <w:pPr>
        <w:pStyle w:val="Institutionquisigne"/>
        <w:spacing w:before="100" w:beforeAutospacing="1" w:after="100" w:afterAutospacing="1"/>
        <w:rPr>
          <w:i w:val="0"/>
          <w:noProof/>
        </w:rPr>
      </w:pPr>
      <w:r>
        <w:rPr>
          <w:i w:val="0"/>
        </w:rPr>
        <w:t>Fait à Bruxelles, le</w:t>
      </w:r>
    </w:p>
    <w:p w:rsidR="00DA78B9" w:rsidRPr="00DA78B9" w:rsidP="00DA78B9" w14:paraId="66457A6A" w14:textId="77777777">
      <w:pPr>
        <w:pStyle w:val="Institutionquisigne"/>
        <w:spacing w:before="100" w:beforeAutospacing="1" w:after="100" w:afterAutospacing="1"/>
        <w:rPr>
          <w:i w:val="0"/>
          <w:noProof/>
        </w:rPr>
      </w:pPr>
    </w:p>
    <w:p w:rsidR="00DA78B9" w:rsidRPr="00DA78B9" w:rsidP="00DA78B9" w14:paraId="127627E7" w14:textId="77777777">
      <w:pPr>
        <w:pStyle w:val="Institutionquisigne"/>
        <w:spacing w:before="100" w:beforeAutospacing="1" w:after="100" w:afterAutospacing="1"/>
        <w:rPr>
          <w:noProof/>
        </w:rPr>
      </w:pPr>
      <w:r>
        <w:t>Pour le Parlement européen</w:t>
      </w:r>
      <w:r>
        <w:tab/>
        <w:t>Pour le Conseil</w:t>
      </w:r>
    </w:p>
    <w:p w:rsidR="00DA78B9" w:rsidRPr="00DA78B9" w:rsidP="00DA78B9" w14:paraId="59E571E7" w14:textId="77777777">
      <w:pPr>
        <w:pStyle w:val="Personnequisigne"/>
        <w:spacing w:before="100" w:beforeAutospacing="1" w:after="100" w:afterAutospacing="1"/>
        <w:rPr>
          <w:noProof/>
        </w:rPr>
      </w:pPr>
      <w:r>
        <w:t>La présidente</w:t>
      </w:r>
      <w:r>
        <w:tab/>
        <w:t>Le président/La présidente</w:t>
      </w:r>
      <w:r>
        <w:br/>
      </w:r>
    </w:p>
    <w:p w:rsidR="00DA78B9" w:rsidRPr="00DA78B9" w:rsidP="00DA78B9" w14:paraId="524F9278" w14:textId="77777777">
      <w:pPr>
        <w:pStyle w:val="NormalHanging12a"/>
      </w:pPr>
    </w:p>
    <w:p w:rsidR="00DA78B9" w:rsidRPr="00DA78B9" w:rsidP="00DA78B9" w14:paraId="51B2E07B" w14:textId="77777777">
      <w:pPr>
        <w:sectPr w:rsidSect="00DA78B9">
          <w:footnotePr>
            <w:numRestart w:val="eachSect"/>
          </w:footnotePr>
          <w:endnotePr>
            <w:numFmt w:val="decimal"/>
          </w:endnotePr>
          <w:pgSz w:w="11906" w:h="16838" w:code="9"/>
          <w:pgMar w:top="1134" w:right="1418" w:bottom="1418" w:left="1418" w:header="567" w:footer="567" w:gutter="0"/>
          <w:cols w:space="720"/>
          <w:noEndnote/>
          <w:docGrid w:linePitch="326"/>
        </w:sectPr>
      </w:pPr>
    </w:p>
    <w:p w:rsidR="00DA78B9" w:rsidRPr="00DA78B9" w:rsidP="00DA78B9" w14:paraId="565AB52F" w14:textId="77777777">
      <w:pPr>
        <w:pStyle w:val="PageHeading"/>
      </w:pPr>
      <w:bookmarkStart w:id="5" w:name="_Toc241576516"/>
      <w:bookmarkStart w:id="6" w:name="_Toc241669766"/>
      <w:r>
        <w:t>EXPOSÉ DES MOTIFS</w:t>
      </w:r>
      <w:bookmarkEnd w:id="5"/>
      <w:bookmarkEnd w:id="6"/>
    </w:p>
    <w:p w:rsidR="00DA78B9" w:rsidRPr="00DA78B9" w:rsidP="00DA78B9" w14:paraId="70E5B87E" w14:textId="77777777">
      <w:pPr>
        <w:widowControl/>
        <w:tabs>
          <w:tab w:val="left" w:pos="426"/>
        </w:tabs>
        <w:jc w:val="both"/>
        <w:rPr>
          <w:rFonts w:eastAsia="Calibri"/>
          <w:b/>
          <w:szCs w:val="24"/>
        </w:rPr>
      </w:pPr>
      <w:r>
        <w:rPr>
          <w:b/>
        </w:rPr>
        <w:t>I. Contexte</w:t>
      </w:r>
    </w:p>
    <w:p w:rsidR="00DA78B9" w:rsidRPr="00DA78B9" w:rsidP="00DA78B9" w14:paraId="37E3B39C" w14:textId="77777777">
      <w:pPr>
        <w:widowControl/>
        <w:tabs>
          <w:tab w:val="left" w:pos="426"/>
        </w:tabs>
        <w:jc w:val="both"/>
        <w:rPr>
          <w:rFonts w:eastAsia="Calibri"/>
          <w:b/>
          <w:szCs w:val="24"/>
          <w:lang w:eastAsia="en-US"/>
        </w:rPr>
      </w:pPr>
    </w:p>
    <w:p w:rsidR="00DA78B9" w:rsidRPr="00DA78B9" w:rsidP="00DA78B9" w14:paraId="356E28A3" w14:textId="77777777">
      <w:pPr>
        <w:widowControl/>
        <w:spacing w:before="120"/>
        <w:rPr>
          <w:rFonts w:eastAsia="Calibri"/>
          <w:szCs w:val="24"/>
        </w:rPr>
      </w:pPr>
      <w:r>
        <w:t xml:space="preserve">Le Fonds européen d’ajustement à la mondialisation (FEM) a vocation à fournir une aide complémentaire aux travailleurs subissant les conséquences de modifications majeures de la structure du commerce mondial. </w:t>
      </w:r>
    </w:p>
    <w:p w:rsidR="00DA78B9" w:rsidRPr="00DA78B9" w:rsidP="00DA78B9" w14:paraId="5E19BB32" w14:textId="77777777">
      <w:pPr>
        <w:widowControl/>
        <w:spacing w:before="120"/>
        <w:rPr>
          <w:rFonts w:eastAsia="Calibri"/>
          <w:szCs w:val="24"/>
        </w:rPr>
      </w:pPr>
      <w:r>
        <w:t>Conformément au point 9 de l’accord interinstitutionnel du 16 décembre 2020</w:t>
      </w:r>
      <w:r>
        <w:rPr>
          <w:rFonts w:eastAsia="Calibri"/>
          <w:szCs w:val="24"/>
          <w:vertAlign w:val="superscript"/>
          <w:lang w:eastAsia="en-US"/>
        </w:rPr>
        <w:footnoteReference w:id="14"/>
      </w:r>
      <w:r>
        <w:t>, la Commission est tenue, à la suite de l’évaluation positive d’une demande, de soumettre à l’autorité budgétaire une proposition de mobilisation du Fonds et de la compléter par une demande correspondante de virement sur les lignes budgétaires concernées.</w:t>
      </w:r>
    </w:p>
    <w:p w:rsidR="00DA78B9" w:rsidRPr="00DA78B9" w:rsidP="00DA78B9" w14:paraId="1C2F6008" w14:textId="77777777">
      <w:pPr>
        <w:widowControl/>
        <w:tabs>
          <w:tab w:val="left" w:pos="426"/>
        </w:tabs>
        <w:spacing w:before="120"/>
        <w:rPr>
          <w:rFonts w:eastAsia="Calibri"/>
          <w:szCs w:val="24"/>
          <w:lang w:eastAsia="en-US"/>
        </w:rPr>
      </w:pPr>
    </w:p>
    <w:p w:rsidR="00DA78B9" w:rsidRPr="00DA78B9" w:rsidP="00DA78B9" w14:paraId="6083D7D7" w14:textId="77777777">
      <w:pPr>
        <w:widowControl/>
        <w:tabs>
          <w:tab w:val="left" w:pos="426"/>
        </w:tabs>
        <w:spacing w:before="120"/>
        <w:rPr>
          <w:rFonts w:eastAsia="Calibri"/>
          <w:b/>
          <w:szCs w:val="24"/>
        </w:rPr>
      </w:pPr>
      <w:r>
        <w:rPr>
          <w:b/>
        </w:rPr>
        <w:t xml:space="preserve">II. Demande de la Belgique et proposition de la Commission </w:t>
      </w:r>
    </w:p>
    <w:p w:rsidR="00DA78B9" w:rsidRPr="00DA78B9" w:rsidP="00DA78B9" w14:paraId="3CFC3124" w14:textId="77777777">
      <w:pPr>
        <w:widowControl/>
        <w:tabs>
          <w:tab w:val="left" w:pos="426"/>
        </w:tabs>
        <w:spacing w:before="120"/>
        <w:rPr>
          <w:rFonts w:eastAsia="Calibri"/>
          <w:b/>
          <w:szCs w:val="24"/>
          <w:lang w:eastAsia="en-US"/>
        </w:rPr>
      </w:pPr>
    </w:p>
    <w:p w:rsidR="00DA78B9" w:rsidRPr="00DA78B9" w:rsidP="00DA78B9" w14:paraId="31F60A58" w14:textId="77777777">
      <w:pPr>
        <w:widowControl/>
        <w:spacing w:before="120"/>
        <w:rPr>
          <w:rFonts w:eastAsia="Calibri"/>
          <w:szCs w:val="24"/>
        </w:rPr>
      </w:pPr>
      <w:r>
        <w:t>Le 25 mars 2026, la Belgique a introduit la demande EGF/2026/001 BE/Cora en vue d’obtenir une contribution financière du FEM, à la suite de 1 257 licenciements</w:t>
      </w:r>
      <w:r>
        <w:rPr>
          <w:rFonts w:eastAsia="Calibri"/>
          <w:szCs w:val="24"/>
          <w:vertAlign w:val="superscript"/>
          <w:lang w:eastAsia="en-US"/>
        </w:rPr>
        <w:footnoteReference w:id="15"/>
      </w:r>
      <w:r>
        <w:t xml:space="preserve"> survenus chez Cora SA et chez l’un de ses fournisseurs. </w:t>
      </w:r>
      <w:bookmarkStart w:id="7" w:name="_Hlk236304525"/>
      <w:r>
        <w:t>Il s’agit de la première demande pour 2026 et de la septième à être examinée dans le cadre du budget 2026.</w:t>
      </w:r>
      <w:bookmarkEnd w:id="7"/>
    </w:p>
    <w:p w:rsidR="00DA78B9" w:rsidRPr="00DA78B9" w:rsidP="00DA78B9" w14:paraId="46F7AAC2" w14:textId="77777777">
      <w:pPr>
        <w:widowControl/>
        <w:spacing w:before="120"/>
        <w:rPr>
          <w:rFonts w:eastAsia="Calibri"/>
          <w:szCs w:val="24"/>
        </w:rPr>
      </w:pPr>
      <w:r>
        <w:t xml:space="preserve">Au terme de l’évaluation de cette demande, la Commission a conclu, conformément à l’ensemble des dispositions applicables du règlement FEM, que les conditions d’octroi d’une contribution financière du FEM étaient remplies. </w:t>
      </w:r>
    </w:p>
    <w:p w:rsidR="00DA78B9" w:rsidRPr="00DA78B9" w:rsidP="00DA78B9" w14:paraId="265EB7AF" w14:textId="77777777">
      <w:pPr>
        <w:widowControl/>
        <w:spacing w:before="120"/>
        <w:rPr>
          <w:rFonts w:eastAsia="Calibri"/>
          <w:szCs w:val="24"/>
        </w:rPr>
      </w:pPr>
      <w:r>
        <w:t>Le 16 juillet 2026, la Commission a adopté une proposition de décision sur la mobilisation du FEM en faveur de la Belgique pour l’élaboration de mesures adaptées afin de soutenir la réinsertion sur le marché du travail des 1 010 bénéficiaires visés, c’est-à-dire les travailleurs licenciés par Cora (détaillant d’hypermarchés) et par l’un de ses fournisseurs (entreprise de transport). Un montant total de 3 821 460 EUR sera mobilisé au titre du FEM, soit un montant égal à 85 % du coût total des mesures proposées.</w:t>
      </w:r>
    </w:p>
    <w:p w:rsidR="00DA78B9" w:rsidRPr="00DA78B9" w:rsidP="00DA78B9" w14:paraId="1AB97AEF" w14:textId="77777777">
      <w:pPr>
        <w:widowControl/>
        <w:spacing w:before="120"/>
        <w:rPr>
          <w:rFonts w:eastAsia="Calibri"/>
          <w:szCs w:val="24"/>
        </w:rPr>
      </w:pPr>
      <w:r>
        <w:t>La Commission a jugé la demande de la Belgique admissible au titre du critère d’intervention énoncé à l’article 4, paragraphe 2, point a), du règlement FEM, qui exige la cessation d’activité d’au moins 200 travailleurs licenciés ou travailleurs indépendants, sur une période de référence de quatre mois, dans une entreprise d’un État membre, y compris lorsque cette cessation d’activité concerne des travailleurs licenciés chez ses fournisseurs ou ses producteurs en aval.</w:t>
      </w:r>
    </w:p>
    <w:p w:rsidR="00DA78B9" w:rsidRPr="00DA78B9" w:rsidP="00DA78B9" w14:paraId="58ADEBCE" w14:textId="77777777">
      <w:pPr>
        <w:widowControl/>
        <w:spacing w:before="120"/>
        <w:rPr>
          <w:rFonts w:eastAsia="Calibri"/>
          <w:szCs w:val="24"/>
        </w:rPr>
      </w:pPr>
      <w:r>
        <w:t xml:space="preserve">Un cofinancement du FEM a été demandé pour les six types d’actions suivantes, à fournir aux travailleurs licenciés: </w:t>
      </w:r>
    </w:p>
    <w:p w:rsidR="00DA78B9" w:rsidRPr="00DA78B9" w:rsidP="00DA78B9" w14:paraId="233C1488" w14:textId="77777777">
      <w:pPr>
        <w:pStyle w:val="Tiret1"/>
        <w:numPr>
          <w:ilvl w:val="0"/>
          <w:numId w:val="0"/>
        </w:numPr>
        <w:tabs>
          <w:tab w:val="left" w:pos="709"/>
        </w:tabs>
        <w:ind w:left="709" w:hanging="359"/>
        <w:jc w:val="left"/>
        <w:rPr>
          <w:noProof/>
        </w:rPr>
      </w:pPr>
      <w:r>
        <w:t>a)</w:t>
      </w:r>
      <w:r>
        <w:tab/>
      </w:r>
      <w:r>
        <w:rPr>
          <w:u w:val="single"/>
        </w:rPr>
        <w:t xml:space="preserve">Reclassement et orientation professionnels: </w:t>
      </w:r>
      <w:r>
        <w:t xml:space="preserve">Ces services sont assurés par une équipe composée de conseillers en orientation professionnelle spécialisés dans les restructurations et d’intervenants chargés de l’accompagnement social, généralement issus de la délégation du personnel de l’entreprise. Les conseillers dispensent des </w:t>
      </w:r>
      <w:r>
        <w:t>services de reclassement, d’orientation professionnelle et de soutien à la réinsertion professionnelle au moyen de séances individuelles et collectives de conseil et d’accompagnement. De leur côté, les intervenants chargés de l’accompagnement social prêtent assistance dans les démarches administratives liées à l’évolution de la situation professionnelle et contribuent à maintenir un cadre de solidarité collective entre les travailleurs.</w:t>
      </w:r>
    </w:p>
    <w:p w:rsidR="00DA78B9" w:rsidRPr="00DA78B9" w:rsidP="00DA78B9" w14:paraId="52EC5EF3" w14:textId="77777777">
      <w:pPr>
        <w:pStyle w:val="Tiret1"/>
        <w:numPr>
          <w:ilvl w:val="0"/>
          <w:numId w:val="0"/>
        </w:numPr>
        <w:tabs>
          <w:tab w:val="left" w:pos="709"/>
        </w:tabs>
        <w:ind w:left="709" w:hanging="359"/>
        <w:jc w:val="left"/>
        <w:rPr>
          <w:noProof/>
        </w:rPr>
      </w:pPr>
      <w:r>
        <w:t>b)</w:t>
      </w:r>
      <w:r>
        <w:tab/>
      </w:r>
      <w:r>
        <w:rPr>
          <w:u w:val="single"/>
        </w:rPr>
        <w:t xml:space="preserve">Homologation des compétences: </w:t>
      </w:r>
      <w:r>
        <w:t>Les anciens travailleurs de Cora peuvent faire valider leurs compétences professionnelles par le Consortium de validation des compétences. Le Consortium organise des épreuves de validation personnalisées en fonction du profil et des besoins des travailleurs. L’homologation des compétences contribue à sécuriser et à accélérer la réinsertion sur le marché du travail, tout en favorisant des parcours de formation plus efficaces.</w:t>
      </w:r>
    </w:p>
    <w:p w:rsidR="00DA78B9" w:rsidRPr="00DA78B9" w:rsidP="00DA78B9" w14:paraId="51037D4C" w14:textId="77777777">
      <w:pPr>
        <w:pStyle w:val="Tiret1"/>
        <w:numPr>
          <w:ilvl w:val="0"/>
          <w:numId w:val="0"/>
        </w:numPr>
        <w:tabs>
          <w:tab w:val="left" w:pos="709"/>
        </w:tabs>
        <w:ind w:left="709" w:hanging="359"/>
        <w:jc w:val="left"/>
        <w:rPr>
          <w:noProof/>
        </w:rPr>
      </w:pPr>
      <w:bookmarkStart w:id="8" w:name="_Hlk215479487"/>
      <w:r>
        <w:t>c)</w:t>
      </w:r>
      <w:r>
        <w:tab/>
      </w:r>
      <w:bookmarkEnd w:id="8"/>
      <w:r>
        <w:rPr>
          <w:u w:val="single"/>
        </w:rPr>
        <w:t>Formation</w:t>
      </w:r>
      <w:r>
        <w:t>: Des formations spécifiques seront proposées afin de répondre aux besoins recensés des travailleurs, après profilage et concertation sur les projets individuels avec les conseillers d’orientation professionnelle. Ces formations complètent l’offre de formation standard du Forem et de ses partenaires. Deux modules informatiques, conçus pour développer et renforcer l’autonomie numérique, sont proposés aux travailleurs en tant que formation transversale.</w:t>
      </w:r>
    </w:p>
    <w:p w:rsidR="00DA78B9" w:rsidRPr="00DA78B9" w:rsidP="00DA78B9" w14:paraId="0DEAB177" w14:textId="77777777">
      <w:pPr>
        <w:pStyle w:val="Tiret1"/>
        <w:numPr>
          <w:ilvl w:val="0"/>
          <w:numId w:val="0"/>
        </w:numPr>
        <w:tabs>
          <w:tab w:val="left" w:pos="709"/>
        </w:tabs>
        <w:ind w:left="709" w:hanging="359"/>
        <w:jc w:val="left"/>
        <w:rPr>
          <w:noProof/>
          <w:u w:val="single"/>
        </w:rPr>
      </w:pPr>
      <w:r>
        <w:t>d)</w:t>
      </w:r>
      <w:r>
        <w:tab/>
      </w:r>
      <w:r>
        <w:rPr>
          <w:u w:val="single"/>
        </w:rPr>
        <w:t xml:space="preserve">Aide à la création d’entreprise: </w:t>
      </w:r>
      <w:r>
        <w:t>Cette mesure s’adresse aux travailleurs qui souhaitent créer leur propre entreprise et comprend une phase de diagnostic et d’orientation, des activités de sensibilisation à l’esprit d’entreprise, des séances d’information sur les perspectives de création d’entreprise (fondées sur des analyses économiques territoriales) ainsi que la mise en réseau avec des chefs d’entreprise confirmés et des accompagnateurs agréés à la création d’entreprise.</w:t>
      </w:r>
    </w:p>
    <w:p w:rsidR="00DA78B9" w:rsidRPr="00DA78B9" w:rsidP="00DA78B9" w14:paraId="7FA6E86F" w14:textId="77777777">
      <w:pPr>
        <w:pStyle w:val="Tiret1"/>
        <w:numPr>
          <w:ilvl w:val="0"/>
          <w:numId w:val="0"/>
        </w:numPr>
        <w:tabs>
          <w:tab w:val="left" w:pos="709"/>
        </w:tabs>
        <w:ind w:left="709" w:hanging="359"/>
        <w:jc w:val="left"/>
        <w:rPr>
          <w:noProof/>
          <w:u w:val="single"/>
        </w:rPr>
      </w:pPr>
      <w:r>
        <w:t>e)</w:t>
      </w:r>
      <w:r>
        <w:tab/>
      </w:r>
      <w:r>
        <w:rPr>
          <w:u w:val="single"/>
        </w:rPr>
        <w:t>Contribution à la création d’entreprise:</w:t>
      </w:r>
      <w:r>
        <w:t xml:space="preserve"> Les travailleurs qui créent une entreprise ou s’installent comme indépendants percevront une contribution d’un montant maximal de 15 000 EUR. Cette contribution sera versée en deux tranches, sous réserve de la justification du lancement et du développement de l’activité par la production de pièces justificatives.</w:t>
      </w:r>
    </w:p>
    <w:p w:rsidR="00DA78B9" w:rsidRPr="00DA78B9" w:rsidP="00DA78B9" w14:paraId="412FF218" w14:textId="77777777">
      <w:pPr>
        <w:pStyle w:val="Tiret1"/>
        <w:numPr>
          <w:ilvl w:val="0"/>
          <w:numId w:val="0"/>
        </w:numPr>
        <w:tabs>
          <w:tab w:val="left" w:pos="709"/>
        </w:tabs>
        <w:ind w:left="709" w:hanging="359"/>
        <w:jc w:val="left"/>
        <w:rPr>
          <w:noProof/>
          <w:u w:val="single"/>
        </w:rPr>
      </w:pPr>
      <w:r>
        <w:t>f)</w:t>
      </w:r>
      <w:r>
        <w:tab/>
      </w:r>
      <w:r>
        <w:rPr>
          <w:u w:val="single"/>
        </w:rPr>
        <w:t>Mesures d’incitation et allocations:</w:t>
      </w:r>
    </w:p>
    <w:p w:rsidR="00DA78B9" w:rsidRPr="00DA78B9" w:rsidP="00DA78B9" w14:paraId="676761A7" w14:textId="77777777">
      <w:pPr>
        <w:pStyle w:val="Tiret1"/>
        <w:numPr>
          <w:ilvl w:val="0"/>
          <w:numId w:val="0"/>
        </w:numPr>
        <w:tabs>
          <w:tab w:val="left" w:pos="709"/>
          <w:tab w:val="left" w:pos="1560"/>
        </w:tabs>
        <w:ind w:left="720" w:hanging="359"/>
        <w:jc w:val="left"/>
        <w:rPr>
          <w:noProof/>
        </w:rPr>
      </w:pPr>
      <w:r>
        <w:tab/>
        <w:t>1) Allocation de recherche d’emploi. Les travailleurs percevront 2 EUR par heure de participation effective aux activités de recherche d’emploi ouvrant droit à l’allocation.</w:t>
      </w:r>
    </w:p>
    <w:p w:rsidR="00DA78B9" w:rsidRPr="00DA78B9" w:rsidP="00DA78B9" w14:paraId="041A22D5" w14:textId="77777777">
      <w:pPr>
        <w:pStyle w:val="Tiret1"/>
        <w:numPr>
          <w:ilvl w:val="0"/>
          <w:numId w:val="0"/>
        </w:numPr>
        <w:tabs>
          <w:tab w:val="left" w:pos="709"/>
          <w:tab w:val="left" w:pos="1560"/>
        </w:tabs>
        <w:ind w:left="709" w:hanging="359"/>
        <w:jc w:val="left"/>
        <w:rPr>
          <w:noProof/>
          <w:u w:val="single"/>
        </w:rPr>
      </w:pPr>
      <w:r>
        <w:tab/>
        <w:t>2) Allocation de reprise d’études. Une allocation mensuelle de 350 EUR sera accordée aux travailleurs qui entreprennent des études secondaires ou supérieures à temps plein, ou une formation qualifiante en vue d’acquérir les compétences requises pour des métiers en pénurie ou associés à des fonctions critiques</w:t>
      </w:r>
      <w:r>
        <w:rPr>
          <w:rStyle w:val="FootnoteReference"/>
          <w:noProof/>
        </w:rPr>
        <w:footnoteReference w:id="16"/>
      </w:r>
      <w:r>
        <w:t>.</w:t>
      </w:r>
    </w:p>
    <w:p w:rsidR="00DA78B9" w:rsidRPr="00DA78B9" w:rsidP="00DA78B9" w14:paraId="79B6ECB7" w14:textId="77777777">
      <w:pPr>
        <w:pStyle w:val="Tiret1"/>
        <w:numPr>
          <w:ilvl w:val="0"/>
          <w:numId w:val="0"/>
        </w:numPr>
        <w:tabs>
          <w:tab w:val="left" w:pos="709"/>
          <w:tab w:val="left" w:pos="1560"/>
        </w:tabs>
        <w:ind w:left="709" w:hanging="359"/>
        <w:jc w:val="left"/>
        <w:rPr>
          <w:noProof/>
        </w:rPr>
      </w:pPr>
      <w:r>
        <w:tab/>
        <w:t xml:space="preserve">3) Allocation d’aide à la création d’entreprise. Afin d’accompagner les travailleurs lors de la création de leur entreprise, une allocation mensuelle de 350 EUR leur sera octroyée pour une durée maximale de 12 mois, pouvant être portée à 18 mois dans certaines conditions. </w:t>
      </w:r>
    </w:p>
    <w:p w:rsidR="00DA78B9" w:rsidRPr="00DA78B9" w:rsidP="00DA78B9" w14:paraId="79A4102E" w14:textId="77777777">
      <w:pPr>
        <w:widowControl/>
        <w:spacing w:before="120"/>
        <w:ind w:left="1440"/>
        <w:rPr>
          <w:rFonts w:eastAsia="Calibri"/>
          <w:szCs w:val="24"/>
        </w:rPr>
      </w:pPr>
    </w:p>
    <w:p w:rsidR="00DA78B9" w:rsidRPr="00DA78B9" w:rsidP="00DA78B9" w14:paraId="260D9D8A" w14:textId="77777777">
      <w:pPr>
        <w:rPr>
          <w:b/>
        </w:rPr>
      </w:pPr>
      <w:r>
        <w:rPr>
          <w:b/>
        </w:rPr>
        <w:t>III. Procédure</w:t>
      </w:r>
    </w:p>
    <w:p w:rsidR="00DA78B9" w:rsidRPr="00DA78B9" w:rsidP="00DA78B9" w14:paraId="73616F1A" w14:textId="77777777">
      <w:pPr>
        <w:rPr>
          <w:b/>
        </w:rPr>
      </w:pPr>
    </w:p>
    <w:p w:rsidR="00DA78B9" w:rsidRPr="00DA78B9" w:rsidP="00DA78B9" w14:paraId="7BF02C95" w14:textId="77777777">
      <w:pPr>
        <w:spacing w:after="120"/>
      </w:pPr>
      <w:r>
        <w:t xml:space="preserve">Afin de mobiliser le Fonds, la Commission a soumis à l’autorité budgétaire une demande de </w:t>
      </w:r>
      <w:r>
        <w:t>virement d’un montant global de 3 821 460 EUR prélevé sur la réserve FEM (ligne budgétaire 30 04 02; crédits d’engagement) vers la ligne FEM (ligne budgétaire 16 02 02; crédits d’engagement).</w:t>
      </w:r>
    </w:p>
    <w:p w:rsidR="00DA78B9" w:rsidRPr="00DA78B9" w:rsidP="00DA78B9" w14:paraId="47EB3EF3" w14:textId="77777777">
      <w:r>
        <w:t>En vertu d’un accord interne au Parlement, la commission de l’emploi et des affaires sociales et la commission du développement régional doivent être associées à la procédure, de manière à pouvoir contribuer et concourir de façon constructive à l’évaluation des demandes de mobilisation du Fonds.</w:t>
      </w:r>
    </w:p>
    <w:p w:rsidR="00DA78B9" w:rsidRPr="00DA78B9" w:rsidP="00DA78B9" w14:paraId="26DABCA2" w14:textId="77777777">
      <w:pPr>
        <w:widowControl/>
        <w:sectPr w:rsidSect="00DA78B9">
          <w:footnotePr>
            <w:numRestart w:val="eachSect"/>
          </w:footnotePr>
          <w:endnotePr>
            <w:numFmt w:val="decimal"/>
          </w:endnotePr>
          <w:pgSz w:w="11906" w:h="16838" w:code="9"/>
          <w:pgMar w:top="1134" w:right="1418" w:bottom="1418" w:left="1418" w:header="567" w:footer="567" w:gutter="0"/>
          <w:cols w:space="720"/>
          <w:noEndnote/>
          <w:docGrid w:linePitch="326"/>
        </w:sectPr>
      </w:pPr>
    </w:p>
    <w:p w:rsidR="00DA78B9" w:rsidRPr="00DA78B9" w:rsidP="00DA78B9" w14:paraId="308349DA" w14:textId="77777777">
      <w:pPr>
        <w:widowControl/>
      </w:pPr>
    </w:p>
    <w:p w:rsidR="00DA78B9" w:rsidRPr="00DA78B9" w:rsidP="00DA78B9" w14:paraId="37B4F01C" w14:textId="77777777">
      <w:pPr>
        <w:pStyle w:val="PageHeading"/>
        <w:rPr>
          <w:noProof/>
        </w:rPr>
      </w:pPr>
      <w:bookmarkStart w:id="9" w:name="_Toc241576517"/>
      <w:bookmarkStart w:id="10" w:name="FootprintPageRR"/>
      <w:bookmarkStart w:id="11" w:name="_Toc241669767"/>
      <w:r>
        <w:t>ANNEXE: DÉCLARATION DES CONTRIBUTIONS</w:t>
      </w:r>
      <w:bookmarkEnd w:id="9"/>
      <w:bookmarkEnd w:id="11"/>
    </w:p>
    <w:p w:rsidR="00DA78B9" w:rsidRPr="00DA78B9" w:rsidP="00DA78B9" w14:paraId="336C39B0" w14:textId="77777777">
      <w:pPr>
        <w:pStyle w:val="Normal24a"/>
        <w:spacing w:after="240"/>
      </w:pPr>
      <w:r>
        <w:rPr>
          <w:rStyle w:val="HideTWBExt"/>
        </w:rPr>
        <w:t>&lt;FootprintIntro&gt;</w:t>
      </w:r>
      <w:r>
        <w:t>Le rapporteur déclare, sous sa responsabilité exclusive, n’avoir inclus dans son rapport aucune contribution de représentants d’intérêts relevant du champ d’application de l’accord interinstitutionnel sur un registre de transparence obligatoire</w:t>
      </w:r>
      <w:r>
        <w:rPr>
          <w:rStyle w:val="FootnoteReference"/>
        </w:rPr>
        <w:footnoteReference w:id="17"/>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rsidR="00DA78B9" w:rsidRPr="00DA78B9" w:rsidP="00DA78B9" w14:paraId="59EDF4C5" w14:textId="77777777">
      <w:pPr>
        <w:pStyle w:val="Footprint12b"/>
        <w:sectPr w:rsidSect="00DA78B9">
          <w:footnotePr>
            <w:numRestart w:val="eachSect"/>
          </w:footnotePr>
          <w:endnotePr>
            <w:numFmt w:val="decimal"/>
          </w:endnotePr>
          <w:pgSz w:w="11906" w:h="16838" w:code="9"/>
          <w:pgMar w:top="1134" w:right="1418" w:bottom="1418" w:left="1418" w:header="567" w:footer="567" w:gutter="0"/>
          <w:cols w:space="720"/>
          <w:noEndnote/>
          <w:docGrid w:linePitch="326"/>
        </w:sectPr>
      </w:pPr>
    </w:p>
    <w:p w:rsidR="00DA78B9" w:rsidRPr="00DA78B9" w:rsidP="00DA78B9" w14:paraId="18D40F9F" w14:textId="77777777">
      <w:pPr>
        <w:pStyle w:val="Normal24a"/>
      </w:pPr>
      <w:r>
        <w:rPr>
          <w:rStyle w:val="HideTWBExt"/>
        </w:rPr>
        <w:t>&lt;Date&gt;&lt;/Date&gt;</w:t>
      </w:r>
    </w:p>
    <w:p w:rsidR="00DA78B9" w:rsidRPr="00DA78B9" w:rsidP="00DA78B9" w14:paraId="1A680960" w14:textId="77777777">
      <w:pPr>
        <w:pStyle w:val="PageHeading"/>
      </w:pPr>
      <w:bookmarkStart w:id="12" w:name="OpinionToc_1"/>
      <w:bookmarkStart w:id="13" w:name="_Toc241576518"/>
      <w:bookmarkStart w:id="14" w:name="_Toc241669768"/>
      <w:r>
        <w:t>LETTRE DE LA COMMISSION DE L’EMPLOI ET DES AFFAIRES SOCIALES</w:t>
      </w:r>
      <w:bookmarkEnd w:id="12"/>
      <w:bookmarkEnd w:id="13"/>
      <w:bookmarkEnd w:id="14"/>
    </w:p>
    <w:p w:rsidR="00DA78B9" w:rsidRPr="00DA78B9" w:rsidP="00DA78B9" w14:paraId="243C6DB6" w14:textId="77777777">
      <w:r>
        <w:t>M. Johan Van Overtveldt</w:t>
      </w:r>
    </w:p>
    <w:p w:rsidR="00DA78B9" w:rsidRPr="00DA78B9" w:rsidP="00DA78B9" w14:paraId="3D499DAF" w14:textId="77777777">
      <w:r>
        <w:t>Président</w:t>
      </w:r>
    </w:p>
    <w:p w:rsidR="00DA78B9" w:rsidRPr="00DA78B9" w:rsidP="00DA78B9" w14:paraId="4C330FC0" w14:textId="77777777">
      <w:r>
        <w:t>Commission des budgets</w:t>
      </w:r>
    </w:p>
    <w:p w:rsidR="00DA78B9" w:rsidRPr="00DA78B9" w:rsidP="00DA78B9" w14:paraId="5DF01609" w14:textId="77777777">
      <w:r>
        <w:t>BRUXELLES</w:t>
      </w:r>
    </w:p>
    <w:p w:rsidR="00DA78B9" w:rsidRPr="00DA78B9" w:rsidP="00DA78B9" w14:paraId="5E8A3694" w14:textId="77777777">
      <w:pPr>
        <w:pStyle w:val="LetterSubject"/>
      </w:pPr>
      <w:r>
        <w:t>Objet:</w:t>
      </w:r>
      <w:r>
        <w:tab/>
      </w:r>
      <w:r>
        <w:rPr>
          <w:rStyle w:val="HideTWBExt"/>
        </w:rPr>
        <w:t>&lt;Titre&gt;</w:t>
      </w:r>
      <w:r>
        <w:t>Avis sur la mobilisation du Fonds européen d’ajustement à la mondialisation en faveur des travailleurs licenciés à la suite d’une demande de la Belgique – EGF/2026/001 BE/Cora</w:t>
      </w:r>
      <w:r>
        <w:rPr>
          <w:vanish/>
        </w:rPr>
        <w:t xml:space="preserve"> </w:t>
      </w:r>
      <w:r>
        <w:rPr>
          <w:rStyle w:val="HideTWBExt"/>
        </w:rPr>
        <w:t>&lt;/Titre&gt;</w:t>
      </w:r>
      <w:r>
        <w:t xml:space="preserve"> </w:t>
      </w:r>
      <w:r>
        <w:rPr>
          <w:rStyle w:val="HideTWBExt"/>
        </w:rPr>
        <w:t>&lt;DocRef&gt;</w:t>
      </w:r>
      <w:r>
        <w:t>(2026/0197(BUD))</w:t>
      </w:r>
      <w:r>
        <w:rPr>
          <w:rStyle w:val="HideTWBExt"/>
        </w:rPr>
        <w:t>&lt;/DocRef&gt;</w:t>
      </w:r>
    </w:p>
    <w:p w:rsidR="00DA78B9" w:rsidRPr="00DA78B9" w:rsidP="00DA78B9" w14:paraId="775CA766" w14:textId="77777777">
      <w:pPr>
        <w:pStyle w:val="LetterSalutation"/>
      </w:pPr>
      <w:r>
        <w:t>Monsieur le Président,</w:t>
      </w:r>
    </w:p>
    <w:p w:rsidR="00DA78B9" w:rsidRPr="00DA78B9" w:rsidP="00DA78B9" w14:paraId="388EF9E1" w14:textId="77777777">
      <w:pPr>
        <w:pStyle w:val="Normal12a"/>
      </w:pPr>
      <w:r>
        <w:t xml:space="preserve">Dans le cadre de la procédure en objet, la commission de l’emploi et des affaires sociales a été chargée de soumettre un avis à votre commission, qu’elle a décidé de transmettre sous forme de lettre. </w:t>
      </w:r>
    </w:p>
    <w:p w:rsidR="00DA78B9" w:rsidRPr="00DA78B9" w:rsidP="00DA78B9" w14:paraId="6014F019" w14:textId="77777777">
      <w:pPr>
        <w:pStyle w:val="Normal12a"/>
      </w:pPr>
      <w:r>
        <w:t>La commission de l’emploi et des affaires sociales a examiné la question et, lors de sa réunion du 10 septembre 2026, a décidé de soumettre l’avis présenté ci-dessous à la commission des budgets, compétente au fond.</w:t>
      </w:r>
    </w:p>
    <w:p w:rsidR="00DA78B9" w:rsidRPr="00DA78B9" w:rsidP="00DA78B9" w14:paraId="1E4BD43D" w14:textId="77777777">
      <w:pPr>
        <w:pStyle w:val="Normal12a"/>
      </w:pPr>
      <w:r>
        <w:t>Veuillez agréer, Monsieur le Président, l’expression de ma haute considération,</w:t>
      </w:r>
    </w:p>
    <w:p w:rsidR="00DA78B9" w:rsidRPr="00DA78B9" w:rsidP="00DA78B9" w14:paraId="5E19E3E0" w14:textId="77777777">
      <w:pPr>
        <w:pStyle w:val="LetterSignature66b"/>
      </w:pPr>
      <w:r>
        <w:t>Li Andersson</w:t>
      </w:r>
    </w:p>
    <w:p w:rsidR="00DA78B9" w:rsidRPr="00DA78B9" w:rsidP="00DA78B9" w14:paraId="2247FFAA" w14:textId="77777777"/>
    <w:p w:rsidR="00DA78B9" w:rsidRPr="00DA78B9" w:rsidP="00DA78B9" w14:paraId="3F27D6D4" w14:textId="77777777">
      <w:pPr>
        <w:widowControl/>
      </w:pPr>
      <w:r>
        <w:br w:type="page"/>
      </w:r>
    </w:p>
    <w:p w:rsidR="00DA78B9" w:rsidRPr="00DA78B9" w:rsidP="00DA78B9" w14:paraId="76695416" w14:textId="77777777">
      <w:pPr>
        <w:pStyle w:val="PageHeadingNotTOC"/>
      </w:pPr>
      <w:r>
        <w:t>AVIS</w:t>
      </w:r>
    </w:p>
    <w:p w:rsidR="00DA78B9" w:rsidRPr="00DA78B9" w:rsidP="00DA78B9" w14:paraId="41CBBE5D" w14:textId="77777777">
      <w:pPr>
        <w:pStyle w:val="NormalHanging12a"/>
      </w:pPr>
      <w:r>
        <w:t>A.</w:t>
      </w:r>
      <w:r>
        <w:tab/>
        <w:t>considérant que, le 25 mars 2026, la Belgique a introduit la demande EGF/2026/001 BE/Cora en vue d’obtenir une contribution financière du Fonds européen d’ajustement à la mondialisation en faveur des travailleurs licenciés (FEM), à la suite de licenciements intervenus chez Cora SA ainsi que chez un fournisseur et producteur en aval en Belgique; que l’entreprise principale opérait dans le secteur économique relevant de la division 47 de la NACE révision 2 (Commerce de détail, à l’exception des véhicules automobiles et des motocycles), et que les emplois supprimés chez Cora et son fournisseur se situent principalement dans la province de Hainaut (BE32), région de niveau NUTS 2;</w:t>
      </w:r>
    </w:p>
    <w:p w:rsidR="00DA78B9" w:rsidRPr="00DA78B9" w:rsidP="00DA78B9" w14:paraId="4052BEB1" w14:textId="77777777">
      <w:pPr>
        <w:pStyle w:val="NormalHanging12a"/>
      </w:pPr>
      <w:r>
        <w:t>B.</w:t>
      </w:r>
      <w:r>
        <w:tab/>
        <w:t>considérant que la Belgique a présenté sa demande au titre du critère d’intervention énoncé à l’article 4, paragraphe 2, point a), du règlement (UE) 2021/691, qui subordonne l’intervention à la cessation d’activité d’au moins 200 travailleurs licenciés, sur une période de référence de quatre mois (en l’espèce du 1</w:t>
      </w:r>
      <w:r>
        <w:rPr>
          <w:vertAlign w:val="superscript"/>
        </w:rPr>
        <w:t>er</w:t>
      </w:r>
      <w:r>
        <w:t> septembre 2025 au 1</w:t>
      </w:r>
      <w:r>
        <w:rPr>
          <w:vertAlign w:val="superscript"/>
        </w:rPr>
        <w:t>er</w:t>
      </w:r>
      <w:r>
        <w:t> janvier 2026), dans une entreprise d’un État membre, y compris lorsque cette cessation d’activité concerne des travailleurs licenciés chez ses fournisseurs ou ses producteurs en aval et/ou des indépendants dont l’activité a cessé; que, au terme de l’évaluation de cette demande, la Commission a conclu, conformément à toutes les dispositions applicables du règlement FEM, que les conditions d’octroi d’une contribution financière du FEM étaient réunies;</w:t>
      </w:r>
    </w:p>
    <w:p w:rsidR="00DA78B9" w:rsidRPr="00DA78B9" w:rsidP="00DA78B9" w14:paraId="416A5C06" w14:textId="77777777">
      <w:pPr>
        <w:pStyle w:val="NormalHanging12a"/>
      </w:pPr>
      <w:r>
        <w:t>C.</w:t>
      </w:r>
      <w:r>
        <w:tab/>
        <w:t>considérant que la demande vise 1 257 travailleurs licenciés (bénéficiaires admissibles) dont l’activité a cessé dans le secteur économique susmentionné (soit 662 suppressions d’emplois pendant la période de référence et 595 travailleurs licenciés dont l’activité a cessé avant ou après celle-ci);</w:t>
      </w:r>
    </w:p>
    <w:p w:rsidR="00DA78B9" w:rsidRPr="00DA78B9" w:rsidP="00DA78B9" w14:paraId="28593636" w14:textId="77777777">
      <w:pPr>
        <w:pStyle w:val="NormalHanging12a"/>
      </w:pPr>
      <w:r>
        <w:t>D.</w:t>
      </w:r>
      <w:r>
        <w:tab/>
        <w:t>considérant que, le 16 juillet 2026, la Commission a adopté une proposition de décision relative à la mobilisation du FEM en faveur de la Belgique en vue de faciliter la réinsertion sur le marché du travail de 1 010 bénéficiaires visés;</w:t>
      </w:r>
    </w:p>
    <w:p w:rsidR="00DA78B9" w:rsidRPr="00DA78B9" w:rsidP="00DA78B9" w14:paraId="01817BE7" w14:textId="77777777">
      <w:pPr>
        <w:pStyle w:val="NormalHanging12a"/>
      </w:pPr>
      <w:r>
        <w:t>E.</w:t>
      </w:r>
      <w:r>
        <w:tab/>
        <w:t xml:space="preserve">considérant que le modèle de l’hypermarché se heurte actuellement à des difficultés majeures, la mutation des habitudes de consommation (les consommateurs privilégiant de plus en plus la rapidité et la commodité des achats) et l’essor du commerce alimentaire en ligne ayant réduit la fréquentation des grandes surfaces; que la concurrence d’autres formats de vente au détail s’est également accrue, les supermarchés de proximité et les magasins spécialisés, notamment d’alimentation biologique et fine, gagnant du terrain; que, en outre, les frais d’exploitation plus lourds inhérents au format des hypermarchés, comparés à ceux des surfaces réduites ou du commerce en ligne, pèsent lourdement sur la rentabilité; </w:t>
      </w:r>
    </w:p>
    <w:p w:rsidR="00DA78B9" w:rsidRPr="00DA78B9" w:rsidP="00DA78B9" w14:paraId="5F7B0EEE" w14:textId="77777777">
      <w:pPr>
        <w:pStyle w:val="NormalHanging12a"/>
      </w:pPr>
      <w:r>
        <w:t>F.</w:t>
      </w:r>
      <w:r>
        <w:tab/>
        <w:t xml:space="preserve">considérant que, pour s’adapter à ces évolutions du marché et redresser sa situation financière, Cora a pris plusieurs initiatives, dont de multiples plans de redressement (adoptés en 2014, 2017 et 2023), des recapitalisations à hauteur de près de 112 millions d’EUR depuis 2020, ainsi que des partenariats commerciaux stratégiques avec Carrefour et Intermarché; que la poussée inflationniste a alourdi les charges d’exploitation et que les coûts salariaux horaires ont subi, depuis 2021, dix indexations successives qui se sont traduites par une hausse cumulée supérieure à 20 %; qu’en 2024, Cora a essuyé une perte de 34 millions d’EUR et un recul de 6,1 % de son chiffre </w:t>
      </w:r>
      <w:r>
        <w:t>d’affaires; que, sur la période 2020-2024, la marge brute de Cora s’est contractée de 16,1 millions d’EUR et que son EBITDA s’est détérioré, chutant de -3,7 millions d’EUR à -22,5 millions d’EUR, ce qui a contribué à une perte nette cumulée de 123 millions d’EUR; que, en dépit de ses efforts, Cora n’est pas parvenue à redresser sa situation financière; que l’entreprise a dès lors procédé à des licenciements collectifs par vagues successives à compter de septembre 2025, par une mise à l’arrêt progressive de ses activités;</w:t>
      </w:r>
    </w:p>
    <w:p w:rsidR="00DA78B9" w:rsidRPr="00DA78B9" w:rsidP="00DA78B9" w14:paraId="0EF89B47" w14:textId="77777777">
      <w:pPr>
        <w:pStyle w:val="NormalHanging12a"/>
      </w:pPr>
      <w:r>
        <w:t>G.</w:t>
      </w:r>
      <w:r>
        <w:tab/>
        <w:t>considérant que les suppressions d’emplois opérées par Cora représentent un choc économique pour la Wallonie, dès lors qu’elles surviennent sur un marché du travail déjà fragilisé par d’autres restructurations, notamment celles de TNT-FedEx, de Makro ou de Liberty, pour lesquelles la Belgique a également sollicité l’aide du FEM; que le taux de chômage s’établit en Belgique à 6,4 %, soit un niveau légèrement supérieur à la moyenne de l’Union (5,8 %); que, toutefois, en Wallonie, ce taux atteint 8,3 %, soit environ 2 points de pourcentage de plus que la moyenne nationale; que Cora exploitait deux magasins à Bruxelles et cinq en Wallonie; que ces licenciements touchent principalement la province wallonne de Hainaut, où résident deux travailleurs concernés sur trois, et tout particulièrement la ville de Charleroi, qui accueillait par ailleurs le siège administratif de Cora;</w:t>
      </w:r>
    </w:p>
    <w:p w:rsidR="00DA78B9" w:rsidRPr="00DA78B9" w:rsidP="00DA78B9" w14:paraId="7269B76D" w14:textId="77777777">
      <w:pPr>
        <w:pStyle w:val="NormalHanging12a"/>
      </w:pPr>
      <w:r>
        <w:t>H.</w:t>
      </w:r>
      <w:r>
        <w:tab/>
        <w:t>considérant que le taux d’emploi en Wallonie est fortement corrélé à l’âge et au niveau d’instruction, les écarts atteignant 23 à 30 points de pourcentage entre chaque niveau de qualification; que, parmi la population en âge de travailler, le taux d’emploi n’atteint que 31 % chez les personnes faiblement qualifiées, contre 61 % pour un niveau de qualification intermédiaire et 84 % pour les personnes hautement qualifiées; que, alors que le taux d’emploi s’élève à 77 % pour la tranche d’âge des 25-49 ans, il chute de 16 points de pourcentage pour les personnes de 50 ans et plus;</w:t>
      </w:r>
    </w:p>
    <w:p w:rsidR="00DA78B9" w:rsidRPr="00DA78B9" w:rsidP="00DA78B9" w14:paraId="5CAEB91F" w14:textId="77777777">
      <w:pPr>
        <w:pStyle w:val="NormalHanging12a"/>
      </w:pPr>
      <w:r>
        <w:t>I.</w:t>
      </w:r>
      <w:r>
        <w:tab/>
        <w:t xml:space="preserve">considérant que la Belgique a précisé que le train de mesures coordonnées de services personnalisés avait été élaboré en concertation avec les partenaires sociaux, conformément à l’article 7, paragraphe 4, du règlement FEM; </w:t>
      </w:r>
    </w:p>
    <w:p w:rsidR="00DA78B9" w:rsidRPr="00DA78B9" w:rsidP="00DA78B9" w14:paraId="3600C316" w14:textId="77777777">
      <w:pPr>
        <w:pStyle w:val="NormalHanging12a"/>
      </w:pPr>
      <w:r>
        <w:t>J.</w:t>
      </w:r>
      <w:r>
        <w:tab/>
        <w:t>considérant que la dotation annuelle du FEM n’excède pas un montant maximal de 30 millions d’EUR (aux prix de 2018), comme le prévoit l’article 8 du règlement (UE, Euratom) 2020/2093 du Conseil du 17 décembre 2020 fixant le cadre financier pluriannuel pour les années 2021 à 2027;</w:t>
      </w:r>
    </w:p>
    <w:p w:rsidR="00DA78B9" w:rsidRPr="00DA78B9" w:rsidP="00DA78B9" w14:paraId="56490140" w14:textId="77777777">
      <w:pPr>
        <w:pStyle w:val="NormalHanging12a"/>
        <w:ind w:left="0" w:firstLine="0"/>
      </w:pPr>
      <w:r>
        <w:t>Par conséquent, la commission de l’emploi et des affaires sociales invite la commission des budgets, compétente au fond, à incorporer dans la proposition de résolution qu’elle adoptera les suggestions suivantes:</w:t>
      </w:r>
    </w:p>
    <w:p w:rsidR="00DA78B9" w:rsidRPr="00DA78B9" w:rsidP="00DA78B9" w14:paraId="49C1E16C" w14:textId="77777777">
      <w:pPr>
        <w:pStyle w:val="NormalHanging12a"/>
      </w:pPr>
      <w:r>
        <w:t>1.</w:t>
      </w:r>
      <w:r>
        <w:tab/>
        <w:t xml:space="preserve">rappelle que l’objectif du FEM est de témoigner de la solidarité envers les bénéficiaires et de leur apporter un soutien; estime que les contributions financières du FEM devraient être prioritairement affectées à des mesures actives de la politique du marché du travail et à des services personnalisés visant à assurer la réinsertion rapide et pérenne des bénéficiaires sur le marché du travail, avec des emplois décents, dans leur secteur d’activité initial ou en dehors de celui-ci; souligne la nécessité de préparer et d’accompagner les travailleurs face à l’impératif des transitions écologique et numérique de l’économie et de la société européennes; réaffirme, dans ce contexte, le rôle important que joue l’Union, y compris par l’intermédiaire du FEM, en contribuant </w:t>
      </w:r>
      <w:r>
        <w:t>au financement des qualifications nécessaires à une transition juste, conformément au pacte vert pour l’Europe;</w:t>
      </w:r>
    </w:p>
    <w:p w:rsidR="00DA78B9" w:rsidRPr="00DA78B9" w:rsidP="00DA78B9" w14:paraId="2DF1B8AA" w14:textId="77777777">
      <w:pPr>
        <w:pStyle w:val="NormalHanging12a"/>
      </w:pPr>
      <w:r>
        <w:t>2.</w:t>
      </w:r>
      <w:r>
        <w:tab/>
        <w:t>convient avec la Commission que les conditions fixées à l’article 4, paragraphe 2, point a), du règlement FEM sont remplies et que la Belgique a droit, au titre de ce règlement, à une contribution financière d’un montant de 3 821 460 EUR, soit 85 % du coût total de 4 495 836 EUR, qui correspond aux dépenses afférentes aux services personnalisés à concurrence de 4 441 774 EUR et aux dépenses afférentes aux activités de préparation, de gestion, d’information et de publicité, ainsi qu’aux activités de contrôle et d’établissement de rapports, à concurrence de 54 062 EUR;</w:t>
      </w:r>
    </w:p>
    <w:p w:rsidR="00DA78B9" w:rsidRPr="00DA78B9" w:rsidP="00DA78B9" w14:paraId="2D460FBA" w14:textId="77777777">
      <w:pPr>
        <w:pStyle w:val="NormalHanging12a"/>
      </w:pPr>
      <w:r>
        <w:t>3.</w:t>
      </w:r>
      <w:r>
        <w:tab/>
        <w:t>constate que la Belgique a apporté toutes les assurances nécessaires que les exigences fixées dans la législation nationale et dans celle de l’Union concernant les licenciements collectifs ont été respectées et que les principes d’égalité de traitement et de non-discrimination seront respectés pour l’accès aux mesures proposées et leur mise en œuvre;</w:t>
      </w:r>
    </w:p>
    <w:p w:rsidR="00DA78B9" w:rsidRPr="00DA78B9" w:rsidP="00DA78B9" w14:paraId="73D60E5C" w14:textId="77777777">
      <w:pPr>
        <w:pStyle w:val="NormalHanging12a"/>
      </w:pPr>
      <w:r>
        <w:t>4.</w:t>
      </w:r>
      <w:r>
        <w:tab/>
        <w:t>rappelle le profil des travailleurs licenciés, dont plus de la moitié sont des femmes et environ un tiers sont âgés de plus de 50 ans, et estime que, compte tenu de la pression exercée sur le marché du travail, les travailleurs auront besoin d’un soutien supplémentaire adapté, en particulier d’une assistance ciblée axée sur le perfectionnement et la reconversion professionnels, pour les aider à réussir leur transition professionnelle;</w:t>
      </w:r>
    </w:p>
    <w:p w:rsidR="00DA78B9" w:rsidRPr="00DA78B9" w:rsidP="00DA78B9" w14:paraId="75F1DDAC" w14:textId="77777777">
      <w:pPr>
        <w:pStyle w:val="NormalHanging12a"/>
      </w:pPr>
      <w:r>
        <w:t>5.</w:t>
      </w:r>
      <w:r>
        <w:tab/>
        <w:t>souligne que la Belgique a confirmé que les mesures soutenues par le FEM ne bénéficieront d’aucune contribution financière au titre d’autres instruments financiers de l’Union;</w:t>
      </w:r>
    </w:p>
    <w:p w:rsidR="00DA78B9" w:rsidRPr="00DA78B9" w:rsidP="00DA78B9" w14:paraId="5AD2123C" w14:textId="77777777">
      <w:pPr>
        <w:pStyle w:val="NormalHanging12a"/>
        <w:rPr>
          <w:noProof/>
        </w:rPr>
      </w:pPr>
      <w:r>
        <w:t>6.</w:t>
      </w:r>
      <w:r>
        <w:tab/>
      </w:r>
      <w:bookmarkStart w:id="15" w:name="_Hlk239756697"/>
      <w:r>
        <w:t>relève que l’ensemble coordonné personnalisé qui doit être fourni aux travailleurs licenciés comprend les mesures suivantes: a) reclassement et orientation professionnelle; b) validation des compétences; c) formation; d) appui à la création d’entreprise; e) aide au démarrage d’entreprise (les travailleurs créant une entreprise ou démarrant une activité indépendante recevront une contribution pouvant atteindre 15 000 EUR); et f) mesures incitatives et allocations: 1) allocations de recherche d’emploi, d’un montant de 2 EUR par heure de participation effective à des activités de recherche d’emploi ouvrant droit à l’allocation; 2) allocations de reprise d’études, prévoyant une aide mensuelle de 350 EUR au bénéfice des personnes qui entreprennent des études secondaires ou supérieures à plein temps ou une formation certifiante visant des métiers en pénurie de main-d’œuvre, des postes difficiles à pourvoir ou des fonctions critiques; 3) primes à la création d’entreprise destinées à soutenir les travailleurs dans leur installation, d’un montant mensuel de 350 EUR versé pendant 12 mois au maximum (durée pouvant être portée à 18 mois sous réserve de remplir certaines conditions);</w:t>
      </w:r>
      <w:bookmarkEnd w:id="15"/>
    </w:p>
    <w:p w:rsidR="00DA78B9" w:rsidRPr="00DA78B9" w:rsidP="00DA78B9" w14:paraId="48126049" w14:textId="77777777">
      <w:pPr>
        <w:pStyle w:val="NormalHanging12a"/>
      </w:pPr>
      <w:r>
        <w:t>7.</w:t>
      </w:r>
      <w:r>
        <w:tab/>
        <w:t>rappelle la possibilité de prévoir des mesures spéciales d’une durée limitée au sein du train de mesures coordonnées, comprenant notamment le versement d’allocations de garde d’enfants, comme le prévoit l’article 7, paragraphe 2, point b), du règlement FEM afin de faciliter la participation des demandeurs d’emploi aux activités proposées.</w:t>
      </w:r>
    </w:p>
    <w:bookmarkEnd w:id="10"/>
    <w:p w:rsidR="00DA78B9" w:rsidRPr="00DA78B9" w:rsidP="00DA78B9" w14:paraId="0404BE38" w14:textId="77777777"/>
    <w:p w:rsidR="00B67064" w:rsidRPr="00DA78B9" w:rsidP="00DA78B9" w14:paraId="2EF7D058" w14:textId="45021AD3">
      <w:pPr>
        <w:pStyle w:val="PageHeading"/>
        <w:sectPr w:rsidSect="00DA78B9">
          <w:footnotePr>
            <w:numRestart w:val="eachSect"/>
          </w:footnotePr>
          <w:endnotePr>
            <w:numFmt w:val="decimal"/>
          </w:endnotePr>
          <w:pgSz w:w="11906" w:h="16838" w:code="9"/>
          <w:pgMar w:top="1134" w:right="1418" w:bottom="1418" w:left="1418" w:header="567" w:footer="567" w:gutter="0"/>
          <w:cols w:space="720"/>
          <w:noEndnote/>
          <w:docGrid w:linePitch="326"/>
        </w:sectPr>
      </w:pPr>
    </w:p>
    <w:p w:rsidR="00B67064" w:rsidRPr="00DA78B9" w:rsidP="00B67064" w14:paraId="64C3ED64" w14:textId="07618435">
      <w:pPr>
        <w:pStyle w:val="PageHeading"/>
      </w:pPr>
      <w:bookmarkStart w:id="16" w:name="ProcPageRR"/>
      <w:bookmarkStart w:id="17" w:name="_Toc241669769"/>
      <w:r>
        <w:t>INFORMATIONS SUR L’ADOPTION</w:t>
      </w:r>
      <w:r>
        <w:br/>
        <w:t>PAR LA COMMISSION COMPÉTENTE AU FOND</w:t>
      </w:r>
      <w:bookmarkEnd w:id="17"/>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27C212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7064" w:rsidRPr="00DA78B9" w14:paraId="4B771156" w14:textId="77777777">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7064" w:rsidRPr="00DA78B9" w14:paraId="31E0DB52" w14:textId="77777777">
            <w:pPr>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7064" w:rsidRPr="00DA78B9" w14:paraId="1A4AB2C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7064" w:rsidRPr="00DA78B9" w14:paraId="3EB95BE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7064" w:rsidRPr="00DA78B9" w14:paraId="68077E10" w14:textId="77777777">
            <w:pPr>
              <w:autoSpaceDE w:val="0"/>
              <w:autoSpaceDN w:val="0"/>
              <w:adjustRightInd w:val="0"/>
              <w:rPr>
                <w:rFonts w:ascii="sans-serif" w:hAnsi="sans-serif" w:cs="sans-serif"/>
                <w:color w:val="000000"/>
              </w:rPr>
            </w:pPr>
          </w:p>
        </w:tc>
      </w:tr>
      <w:tr w14:paraId="650710C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7064" w:rsidRPr="00DA78B9" w14:paraId="6F1099E0" w14:textId="7777777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7064" w:rsidRPr="00DA78B9" w14:paraId="6AEC15DE" w14:textId="77777777">
            <w:pPr>
              <w:autoSpaceDE w:val="0"/>
              <w:autoSpaceDN w:val="0"/>
              <w:adjustRightInd w:val="0"/>
              <w:rPr>
                <w:color w:val="000000"/>
                <w:sz w:val="20"/>
              </w:rPr>
            </w:pPr>
            <w:r>
              <w:rPr>
                <w:color w:val="000000"/>
                <w:sz w:val="20"/>
              </w:rPr>
              <w:t>+:</w:t>
            </w:r>
          </w:p>
          <w:p w:rsidR="00B67064" w:rsidRPr="00DA78B9" w14:paraId="7E0FE15A" w14:textId="77777777">
            <w:pPr>
              <w:autoSpaceDE w:val="0"/>
              <w:autoSpaceDN w:val="0"/>
              <w:adjustRightInd w:val="0"/>
              <w:rPr>
                <w:color w:val="000000"/>
                <w:sz w:val="20"/>
              </w:rPr>
            </w:pPr>
            <w:r>
              <w:rPr>
                <w:color w:val="000000"/>
                <w:sz w:val="20"/>
              </w:rPr>
              <w:t>–:</w:t>
            </w:r>
          </w:p>
          <w:p w:rsidR="00B67064" w:rsidRPr="00DA78B9" w14:paraId="424535B4"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7064" w:rsidRPr="00DA78B9" w14:paraId="742A058A" w14:textId="77777777">
            <w:pPr>
              <w:autoSpaceDE w:val="0"/>
              <w:autoSpaceDN w:val="0"/>
              <w:adjustRightInd w:val="0"/>
              <w:rPr>
                <w:color w:val="000000"/>
                <w:sz w:val="20"/>
              </w:rPr>
            </w:pPr>
            <w:r>
              <w:rPr>
                <w:color w:val="000000"/>
                <w:sz w:val="20"/>
              </w:rPr>
              <w:t>21</w:t>
            </w:r>
          </w:p>
          <w:p w:rsidR="00B67064" w:rsidRPr="00DA78B9" w14:paraId="0B238675" w14:textId="77777777">
            <w:pPr>
              <w:autoSpaceDE w:val="0"/>
              <w:autoSpaceDN w:val="0"/>
              <w:adjustRightInd w:val="0"/>
              <w:rPr>
                <w:color w:val="000000"/>
                <w:sz w:val="20"/>
              </w:rPr>
            </w:pPr>
            <w:r>
              <w:rPr>
                <w:color w:val="000000"/>
                <w:sz w:val="20"/>
              </w:rPr>
              <w:t>2</w:t>
            </w:r>
          </w:p>
          <w:p w:rsidR="00B67064" w:rsidRPr="00DA78B9" w14:paraId="6CE9EBC7" w14:textId="77777777">
            <w:pPr>
              <w:autoSpaceDE w:val="0"/>
              <w:autoSpaceDN w:val="0"/>
              <w:adjustRightInd w:val="0"/>
              <w:rPr>
                <w:color w:val="000000"/>
                <w:sz w:val="20"/>
              </w:rPr>
            </w:pPr>
            <w:r>
              <w:rPr>
                <w:color w:val="000000"/>
                <w:sz w:val="20"/>
              </w:rPr>
              <w:t>1</w:t>
            </w:r>
          </w:p>
        </w:tc>
      </w:tr>
    </w:tbl>
    <w:p w:rsidR="00B67064" w:rsidRPr="00DA78B9" w14:paraId="5B1A7F79" w14:textId="77777777"/>
    <w:bookmarkEnd w:id="16"/>
    <w:p w:rsidR="00DA78B9" w:rsidRPr="00DA78B9" w:rsidP="00DA78B9" w14:paraId="6F8B37DE" w14:textId="53812366">
      <w:pPr>
        <w:sectPr w:rsidSect="00DA78B9">
          <w:pgSz w:w="11894" w:h="15840"/>
          <w:pgMar w:top="1700" w:right="1417" w:bottom="1417" w:left="1417" w:header="720" w:footer="720" w:gutter="0"/>
          <w:cols w:space="720"/>
          <w:noEndnote/>
          <w:docGrid w:linePitch="326"/>
        </w:sectPr>
      </w:pPr>
    </w:p>
    <w:p w:rsidR="00DA78B9" w:rsidRPr="00DA78B9" w:rsidP="00DA78B9" w14:paraId="74233BF6" w14:textId="77777777">
      <w:pPr>
        <w:pStyle w:val="PageHeading"/>
      </w:pPr>
      <w:bookmarkStart w:id="18" w:name="RollCallPageRR"/>
      <w:bookmarkStart w:id="19" w:name="_Toc241669770"/>
      <w:r>
        <w:t>VOTE FINAL PAR APPEL NOMINAL</w:t>
      </w:r>
      <w:r>
        <w:br/>
        <w:t>PAR LA COMMISSION COMPÉTENTE AU FOND</w:t>
      </w:r>
      <w:bookmarkEnd w:id="1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704287A" w14:textId="77777777" w:rsidTr="00A703F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A78B9" w:rsidRPr="00DA78B9" w:rsidP="00A703FD" w14:paraId="06C04382" w14:textId="77777777">
            <w:pPr>
              <w:pStyle w:val="RollCallVotes"/>
            </w:pPr>
            <w:r>
              <w:t>21</w:t>
            </w:r>
          </w:p>
        </w:tc>
        <w:tc>
          <w:tcPr>
            <w:tcW w:w="7371" w:type="dxa"/>
            <w:shd w:val="pct10" w:color="000000" w:fill="FFFFFF"/>
          </w:tcPr>
          <w:p w:rsidR="00DA78B9" w:rsidRPr="00DA78B9" w:rsidP="00A703FD" w14:paraId="18EA7E83" w14:textId="77777777">
            <w:pPr>
              <w:pStyle w:val="RollCallSymbols14pt"/>
            </w:pPr>
            <w:r>
              <w:t>+</w:t>
            </w:r>
          </w:p>
        </w:tc>
      </w:tr>
      <w:tr w14:paraId="47C8FF2C"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7591B5B2" w14:textId="77777777">
            <w:pPr>
              <w:pStyle w:val="RollCallTable"/>
            </w:pPr>
            <w:r>
              <w:t>ECR</w:t>
            </w:r>
          </w:p>
        </w:tc>
        <w:tc>
          <w:tcPr>
            <w:tcW w:w="7371" w:type="dxa"/>
            <w:shd w:val="clear" w:color="auto" w:fill="FFFFFF"/>
          </w:tcPr>
          <w:p w:rsidR="00DA78B9" w:rsidRPr="00DA78B9" w:rsidP="00A703FD" w14:paraId="71F464B9" w14:textId="77777777">
            <w:pPr>
              <w:pStyle w:val="RollCallTable"/>
            </w:pPr>
            <w:r>
              <w:t>Tobiasz Bocheński</w:t>
            </w:r>
          </w:p>
        </w:tc>
      </w:tr>
      <w:tr w14:paraId="44C26A04"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04F21F78" w14:textId="77777777">
            <w:pPr>
              <w:pStyle w:val="RollCallTable"/>
            </w:pPr>
            <w:r>
              <w:t>PPE</w:t>
            </w:r>
          </w:p>
        </w:tc>
        <w:tc>
          <w:tcPr>
            <w:tcW w:w="7371" w:type="dxa"/>
            <w:shd w:val="clear" w:color="auto" w:fill="FFFFFF"/>
          </w:tcPr>
          <w:p w:rsidR="00DA78B9" w:rsidRPr="00DA78B9" w:rsidP="00A703FD" w14:paraId="57ADE1F5" w14:textId="77777777">
            <w:pPr>
              <w:pStyle w:val="RollCallTable"/>
            </w:pPr>
            <w:r>
              <w:t>Georgios Aftias, Isabel Benjumea Benjumea, Monika Hohlmeier, Kinga Kollár, Jüri Ratas, Hélder Sousa Silva</w:t>
            </w:r>
          </w:p>
        </w:tc>
      </w:tr>
      <w:tr w14:paraId="1BE74D23"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7169F883" w14:textId="77777777">
            <w:pPr>
              <w:pStyle w:val="RollCallTable"/>
            </w:pPr>
            <w:r>
              <w:t>PfE</w:t>
            </w:r>
          </w:p>
        </w:tc>
        <w:tc>
          <w:tcPr>
            <w:tcW w:w="7371" w:type="dxa"/>
            <w:shd w:val="clear" w:color="auto" w:fill="FFFFFF"/>
          </w:tcPr>
          <w:p w:rsidR="00DA78B9" w:rsidRPr="00DA78B9" w:rsidP="00A703FD" w14:paraId="096FAA5C" w14:textId="77777777">
            <w:pPr>
              <w:pStyle w:val="RollCallTable"/>
            </w:pPr>
            <w:r>
              <w:t>Angéline Furet, András Gyürk, Virginie Joron, Balázs Orbán</w:t>
            </w:r>
          </w:p>
        </w:tc>
      </w:tr>
      <w:tr w14:paraId="1D0AAC9F"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1386F6A8" w14:textId="77777777">
            <w:pPr>
              <w:pStyle w:val="RollCallTable"/>
            </w:pPr>
            <w:r>
              <w:t>Renew</w:t>
            </w:r>
          </w:p>
        </w:tc>
        <w:tc>
          <w:tcPr>
            <w:tcW w:w="7371" w:type="dxa"/>
            <w:shd w:val="clear" w:color="auto" w:fill="FFFFFF"/>
          </w:tcPr>
          <w:p w:rsidR="00DA78B9" w:rsidRPr="00DA78B9" w:rsidP="00A703FD" w14:paraId="3BB154B0" w14:textId="77777777">
            <w:pPr>
              <w:pStyle w:val="RollCallTable"/>
            </w:pPr>
            <w:r>
              <w:t>Olivier Chastel, Lucia Yar</w:t>
            </w:r>
          </w:p>
        </w:tc>
      </w:tr>
      <w:tr w14:paraId="1767AA0E"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3D8D0A95" w14:textId="77777777">
            <w:pPr>
              <w:pStyle w:val="RollCallTable"/>
            </w:pPr>
            <w:r>
              <w:t>S&amp;D</w:t>
            </w:r>
          </w:p>
        </w:tc>
        <w:tc>
          <w:tcPr>
            <w:tcW w:w="7371" w:type="dxa"/>
            <w:shd w:val="clear" w:color="auto" w:fill="FFFFFF"/>
          </w:tcPr>
          <w:p w:rsidR="00DA78B9" w:rsidRPr="00DA78B9" w:rsidP="00A703FD" w14:paraId="66DBC028" w14:textId="77777777">
            <w:pPr>
              <w:pStyle w:val="RollCallTable"/>
            </w:pPr>
            <w:r>
              <w:t>Matthias Ecke, Jean-Marc Germain, Sandra Gómez López, Giuseppe Lupo, Victor Negrescu, Nils Ušakovs</w:t>
            </w:r>
          </w:p>
        </w:tc>
      </w:tr>
      <w:tr w14:paraId="4EE45D62"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7EF3A7A9" w14:textId="77777777">
            <w:pPr>
              <w:pStyle w:val="RollCallTable"/>
            </w:pPr>
            <w:r>
              <w:t>The Left</w:t>
            </w:r>
          </w:p>
        </w:tc>
        <w:tc>
          <w:tcPr>
            <w:tcW w:w="7371" w:type="dxa"/>
            <w:shd w:val="clear" w:color="auto" w:fill="FFFFFF"/>
          </w:tcPr>
          <w:p w:rsidR="00DA78B9" w:rsidRPr="00DA78B9" w:rsidP="00A703FD" w14:paraId="6473F0A9" w14:textId="77777777">
            <w:pPr>
              <w:pStyle w:val="RollCallTable"/>
            </w:pPr>
            <w:r>
              <w:t>Younous Omarjee</w:t>
            </w:r>
          </w:p>
        </w:tc>
      </w:tr>
      <w:tr w14:paraId="78868E2D"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29DF5836" w14:textId="77777777">
            <w:pPr>
              <w:pStyle w:val="RollCallTable"/>
            </w:pPr>
            <w:r>
              <w:t>Verts/ALE</w:t>
            </w:r>
          </w:p>
        </w:tc>
        <w:tc>
          <w:tcPr>
            <w:tcW w:w="7371" w:type="dxa"/>
            <w:shd w:val="clear" w:color="auto" w:fill="FFFFFF"/>
          </w:tcPr>
          <w:p w:rsidR="00DA78B9" w:rsidRPr="00DA78B9" w:rsidP="00A703FD" w14:paraId="7847E0C3" w14:textId="77777777">
            <w:pPr>
              <w:pStyle w:val="RollCallTable"/>
            </w:pPr>
            <w:r>
              <w:t>Rasmus Andresen</w:t>
            </w:r>
          </w:p>
        </w:tc>
      </w:tr>
    </w:tbl>
    <w:p w:rsidR="00DA78B9" w:rsidRPr="00DA78B9" w:rsidP="00DA78B9" w14:paraId="5D093F9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06FBB79" w14:textId="77777777" w:rsidTr="00A703F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A78B9" w:rsidRPr="00DA78B9" w:rsidP="00A703FD" w14:paraId="46D89B2E" w14:textId="77777777">
            <w:pPr>
              <w:pStyle w:val="RollCallVotes"/>
            </w:pPr>
            <w:r>
              <w:t>2</w:t>
            </w:r>
          </w:p>
        </w:tc>
        <w:tc>
          <w:tcPr>
            <w:tcW w:w="7371" w:type="dxa"/>
            <w:shd w:val="pct10" w:color="000000" w:fill="FFFFFF"/>
          </w:tcPr>
          <w:p w:rsidR="00DA78B9" w:rsidRPr="00DA78B9" w:rsidP="00A703FD" w14:paraId="7EC61710" w14:textId="789B07D7">
            <w:pPr>
              <w:pStyle w:val="RollCallSymbols14pt"/>
            </w:pPr>
            <w:r>
              <w:t>–</w:t>
            </w:r>
          </w:p>
        </w:tc>
      </w:tr>
      <w:tr w14:paraId="37AA5B91"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2977D1C6" w14:textId="77777777">
            <w:pPr>
              <w:pStyle w:val="RollCallTable"/>
            </w:pPr>
            <w:r>
              <w:t>ESN</w:t>
            </w:r>
          </w:p>
        </w:tc>
        <w:tc>
          <w:tcPr>
            <w:tcW w:w="7371" w:type="dxa"/>
            <w:shd w:val="clear" w:color="auto" w:fill="FFFFFF"/>
          </w:tcPr>
          <w:p w:rsidR="00DA78B9" w:rsidRPr="00DA78B9" w:rsidP="00A703FD" w14:paraId="74B750F9" w14:textId="77777777">
            <w:pPr>
              <w:pStyle w:val="RollCallTable"/>
            </w:pPr>
            <w:r>
              <w:t>Alexander Jungbluth</w:t>
            </w:r>
          </w:p>
        </w:tc>
      </w:tr>
      <w:tr w14:paraId="2D514301" w14:textId="77777777" w:rsidTr="00A703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1D878DF0" w14:textId="77777777">
            <w:pPr>
              <w:pStyle w:val="RollCallTable"/>
            </w:pPr>
            <w:r>
              <w:t>PfE</w:t>
            </w:r>
          </w:p>
        </w:tc>
        <w:tc>
          <w:tcPr>
            <w:tcW w:w="7371" w:type="dxa"/>
            <w:shd w:val="clear" w:color="auto" w:fill="FFFFFF"/>
          </w:tcPr>
          <w:p w:rsidR="00DA78B9" w:rsidRPr="00DA78B9" w:rsidP="00A703FD" w14:paraId="745CF5DE" w14:textId="77777777">
            <w:pPr>
              <w:pStyle w:val="RollCallTable"/>
            </w:pPr>
            <w:r>
              <w:t>Tomasz Buczek</w:t>
            </w:r>
          </w:p>
        </w:tc>
      </w:tr>
    </w:tbl>
    <w:p w:rsidR="00DA78B9" w:rsidRPr="00DA78B9" w:rsidP="00DA78B9" w14:paraId="218452DC"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27563ED" w14:textId="77777777" w:rsidTr="00A703FD">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A78B9" w:rsidRPr="00DA78B9" w:rsidP="00A703FD" w14:paraId="6C6B7F10" w14:textId="77777777">
            <w:pPr>
              <w:pStyle w:val="RollCallVotes"/>
            </w:pPr>
            <w:r>
              <w:t>1</w:t>
            </w:r>
          </w:p>
        </w:tc>
        <w:tc>
          <w:tcPr>
            <w:tcW w:w="7371" w:type="dxa"/>
            <w:shd w:val="pct10" w:color="000000" w:fill="FFFFFF"/>
          </w:tcPr>
          <w:p w:rsidR="00DA78B9" w:rsidRPr="00DA78B9" w:rsidP="00A703FD" w14:paraId="72F66B0A" w14:textId="77777777">
            <w:pPr>
              <w:pStyle w:val="RollCallSymbols14pt"/>
            </w:pPr>
            <w:r>
              <w:t>0</w:t>
            </w:r>
          </w:p>
        </w:tc>
      </w:tr>
      <w:tr w14:paraId="457FDD54" w14:textId="77777777" w:rsidTr="00A703FD">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DA78B9" w:rsidRPr="00DA78B9" w:rsidP="00A703FD" w14:paraId="1C8780B3" w14:textId="77777777">
            <w:pPr>
              <w:pStyle w:val="RollCallTable"/>
            </w:pPr>
            <w:r>
              <w:t>NI</w:t>
            </w:r>
          </w:p>
        </w:tc>
        <w:tc>
          <w:tcPr>
            <w:tcW w:w="7371" w:type="dxa"/>
            <w:shd w:val="clear" w:color="auto" w:fill="FFFFFF"/>
          </w:tcPr>
          <w:p w:rsidR="00DA78B9" w:rsidRPr="00DA78B9" w:rsidP="00A703FD" w14:paraId="15610169" w14:textId="77777777">
            <w:pPr>
              <w:pStyle w:val="RollCallTable"/>
            </w:pPr>
            <w:r>
              <w:t>Thomas Geisel</w:t>
            </w:r>
          </w:p>
        </w:tc>
      </w:tr>
    </w:tbl>
    <w:p w:rsidR="00DA78B9" w:rsidRPr="00DA78B9" w:rsidP="00DA78B9" w14:paraId="3D2B2BDB" w14:textId="555AC498">
      <w:pPr>
        <w:pStyle w:val="PageHeading"/>
        <w:jc w:val="left"/>
        <w:rPr>
          <w:b w:val="0"/>
          <w:bCs/>
        </w:rPr>
      </w:pPr>
    </w:p>
    <w:p w:rsidR="00DA78B9" w:rsidRPr="00DA78B9" w:rsidP="00B735E3" w14:paraId="3C3E33B2" w14:textId="2CA1CBEB">
      <w:r>
        <w:t>Légende des signes utilisés:</w:t>
      </w:r>
    </w:p>
    <w:p w:rsidR="00DA78B9" w:rsidRPr="00DA78B9" w:rsidP="001C6342" w14:paraId="395203EA" w14:textId="0C1331AE">
      <w:pPr>
        <w:pStyle w:val="RollCallTabs"/>
      </w:pPr>
      <w:r>
        <w:t>+</w:t>
      </w:r>
      <w:r>
        <w:tab/>
        <w:t>:</w:t>
      </w:r>
      <w:r>
        <w:tab/>
        <w:t>pour</w:t>
      </w:r>
    </w:p>
    <w:p w:rsidR="00DA78B9" w:rsidRPr="00DA78B9" w:rsidP="001C6342" w14:paraId="1A6CF017" w14:textId="6DDCE43F">
      <w:pPr>
        <w:pStyle w:val="RollCallTabs"/>
      </w:pPr>
      <w:r>
        <w:t>-</w:t>
      </w:r>
      <w:r>
        <w:tab/>
        <w:t>:</w:t>
      </w:r>
      <w:r>
        <w:tab/>
        <w:t>contre</w:t>
      </w:r>
    </w:p>
    <w:p w:rsidR="00DA78B9" w:rsidRPr="00DA78B9" w:rsidP="001C6342" w14:paraId="60437227" w14:textId="37C66BDD">
      <w:pPr>
        <w:pStyle w:val="RollCallTabs"/>
      </w:pPr>
      <w:r>
        <w:t>0</w:t>
      </w:r>
      <w:r>
        <w:tab/>
        <w:t>:</w:t>
      </w:r>
      <w:r>
        <w:tab/>
        <w:t>abstention</w:t>
      </w:r>
    </w:p>
    <w:p w:rsidR="00DA78B9" w:rsidRPr="00DA78B9" w:rsidP="00AD5932" w14:paraId="167F2D2B" w14:textId="77777777"/>
    <w:bookmarkEnd w:id="18"/>
    <w:p w:rsidR="00B67064" w:rsidRPr="00DA78B9" w:rsidP="00B67064" w14:paraId="187DA265" w14:textId="31269ACD"/>
    <w:sectPr w:rsidSect="00DA78B9">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8B9" w:rsidRPr="00DA78B9" w:rsidP="00DA78B9" w14:paraId="77669761" w14:textId="77777777">
    <w:pPr>
      <w:pStyle w:val="EPFooter"/>
    </w:pPr>
    <w:r w:rsidRPr="00DA78B9">
      <w:t>PE</w:t>
    </w:r>
    <w:r w:rsidRPr="00DA78B9">
      <w:rPr>
        <w:rStyle w:val="HideTWBExt"/>
      </w:rPr>
      <w:t>&lt;NoPE&gt;</w:t>
    </w:r>
    <w:r w:rsidRPr="00DA78B9">
      <w:t>792.010</w:t>
    </w:r>
    <w:r w:rsidRPr="00DA78B9">
      <w:rPr>
        <w:rStyle w:val="HideTWBExt"/>
      </w:rPr>
      <w:t>&lt;/NoPE&gt;&lt;Version&gt;</w:t>
    </w:r>
    <w:r w:rsidRPr="00DA78B9">
      <w:t>v02-00</w:t>
    </w:r>
    <w:r w:rsidRPr="00DA78B9">
      <w:rPr>
        <w:rStyle w:val="HideTWBExt"/>
      </w:rPr>
      <w:t>&lt;/Version&gt;</w:t>
    </w:r>
    <w:r w:rsidRPr="00DA78B9">
      <w:tab/>
    </w:r>
    <w:r w:rsidRPr="00DA78B9">
      <w:fldChar w:fldCharType="begin"/>
    </w:r>
    <w:r w:rsidRPr="00DA78B9">
      <w:instrText xml:space="preserve"> PAGE  \* MERGEFORMAT </w:instrText>
    </w:r>
    <w:r w:rsidRPr="00DA78B9">
      <w:fldChar w:fldCharType="separate"/>
    </w:r>
    <w:r w:rsidRPr="00DA78B9">
      <w:rPr>
        <w:noProof/>
      </w:rPr>
      <w:t>2</w:t>
    </w:r>
    <w:r w:rsidRPr="00DA78B9">
      <w:fldChar w:fldCharType="end"/>
    </w:r>
    <w:r w:rsidRPr="00DA78B9">
      <w:t>/</w:t>
    </w:r>
    <w:r>
      <w:fldChar w:fldCharType="begin"/>
    </w:r>
    <w:r>
      <w:instrText xml:space="preserve"> NUMPAGES  \* MERGEFORMAT </w:instrText>
    </w:r>
    <w:r>
      <w:fldChar w:fldCharType="separate"/>
    </w:r>
    <w:r w:rsidRPr="00DA78B9">
      <w:rPr>
        <w:noProof/>
      </w:rPr>
      <w:t>18</w:t>
    </w:r>
    <w:r w:rsidRPr="00DA78B9">
      <w:rPr>
        <w:noProof/>
      </w:rPr>
      <w:fldChar w:fldCharType="end"/>
    </w:r>
    <w:r w:rsidRPr="00DA78B9">
      <w:tab/>
    </w:r>
    <w:r w:rsidRPr="00DA78B9">
      <w:rPr>
        <w:rStyle w:val="HideTWBExt"/>
      </w:rPr>
      <w:t>&lt;PathFdR&gt;</w:t>
    </w:r>
    <w:r w:rsidRPr="00DA78B9">
      <w:t>RR\1351577FR.docx</w:t>
    </w:r>
    <w:r w:rsidRPr="00DA78B9">
      <w:rPr>
        <w:rStyle w:val="HideTWBExt"/>
      </w:rPr>
      <w:t>&lt;/PathFdR&gt;</w:t>
    </w:r>
  </w:p>
  <w:p w:rsidR="00DA78B9" w:rsidRPr="00DA78B9" w:rsidP="00DA78B9" w14:paraId="3C72DD90" w14:textId="0A00AD36">
    <w:pPr>
      <w:pStyle w:val="EPFooter2"/>
    </w:pPr>
    <w:r w:rsidRPr="00DA78B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8B9" w:rsidRPr="00DA78B9" w:rsidP="00DA78B9" w14:paraId="73EEE2C7" w14:textId="77777777">
    <w:pPr>
      <w:pStyle w:val="EPFooter"/>
    </w:pPr>
    <w:r w:rsidRPr="00DA78B9">
      <w:rPr>
        <w:rStyle w:val="HideTWBExt"/>
      </w:rPr>
      <w:t>&lt;PathFdR&gt;</w:t>
    </w:r>
    <w:r w:rsidRPr="00DA78B9">
      <w:t>RR\1351577FR.docx</w:t>
    </w:r>
    <w:r w:rsidRPr="00DA78B9">
      <w:rPr>
        <w:rStyle w:val="HideTWBExt"/>
      </w:rPr>
      <w:t>&lt;/PathFdR&gt;</w:t>
    </w:r>
    <w:r w:rsidRPr="00DA78B9">
      <w:tab/>
    </w:r>
    <w:r w:rsidRPr="00DA78B9">
      <w:fldChar w:fldCharType="begin"/>
    </w:r>
    <w:r w:rsidRPr="00DA78B9">
      <w:instrText xml:space="preserve"> PAGE  \* MERGEFORMAT </w:instrText>
    </w:r>
    <w:r w:rsidRPr="00DA78B9">
      <w:fldChar w:fldCharType="separate"/>
    </w:r>
    <w:r w:rsidRPr="00DA78B9">
      <w:rPr>
        <w:noProof/>
      </w:rPr>
      <w:t>7</w:t>
    </w:r>
    <w:r w:rsidRPr="00DA78B9">
      <w:fldChar w:fldCharType="end"/>
    </w:r>
    <w:r w:rsidRPr="00DA78B9">
      <w:t>/</w:t>
    </w:r>
    <w:r>
      <w:fldChar w:fldCharType="begin"/>
    </w:r>
    <w:r>
      <w:instrText xml:space="preserve"> NUMPAGES  \* MERGEFORMAT </w:instrText>
    </w:r>
    <w:r>
      <w:fldChar w:fldCharType="separate"/>
    </w:r>
    <w:r w:rsidRPr="00DA78B9">
      <w:rPr>
        <w:noProof/>
      </w:rPr>
      <w:t>18</w:t>
    </w:r>
    <w:r w:rsidRPr="00DA78B9">
      <w:rPr>
        <w:noProof/>
      </w:rPr>
      <w:fldChar w:fldCharType="end"/>
    </w:r>
    <w:r w:rsidRPr="00DA78B9">
      <w:tab/>
      <w:t>PE</w:t>
    </w:r>
    <w:r w:rsidRPr="00DA78B9">
      <w:rPr>
        <w:rStyle w:val="HideTWBExt"/>
      </w:rPr>
      <w:t>&lt;NoPE&gt;</w:t>
    </w:r>
    <w:r w:rsidRPr="00DA78B9">
      <w:t>792.010</w:t>
    </w:r>
    <w:r w:rsidRPr="00DA78B9">
      <w:rPr>
        <w:rStyle w:val="HideTWBExt"/>
      </w:rPr>
      <w:t>&lt;/NoPE&gt;&lt;Version&gt;</w:t>
    </w:r>
    <w:r w:rsidRPr="00DA78B9">
      <w:t>v02-00</w:t>
    </w:r>
    <w:r w:rsidRPr="00DA78B9">
      <w:rPr>
        <w:rStyle w:val="HideTWBExt"/>
      </w:rPr>
      <w:t>&lt;/Version&gt;</w:t>
    </w:r>
  </w:p>
  <w:p w:rsidR="00DA78B9" w:rsidRPr="00DA78B9" w:rsidP="00DA78B9" w14:paraId="373DE340" w14:textId="3534E289">
    <w:pPr>
      <w:pStyle w:val="EPFooter2"/>
    </w:pPr>
    <w:r w:rsidRPr="00DA78B9">
      <w:tab/>
    </w:r>
    <w:r w:rsidRPr="00DA78B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8B9" w:rsidRPr="00DA78B9" w:rsidP="00DA78B9" w14:paraId="0487F38F" w14:textId="77777777">
    <w:pPr>
      <w:pStyle w:val="EPFooter"/>
    </w:pPr>
    <w:r w:rsidRPr="00DA78B9">
      <w:rPr>
        <w:rStyle w:val="HideTWBExt"/>
      </w:rPr>
      <w:t>&lt;PathFdR&gt;</w:t>
    </w:r>
    <w:r w:rsidRPr="00DA78B9">
      <w:t>RR\1351577FR.docx</w:t>
    </w:r>
    <w:r w:rsidRPr="00DA78B9">
      <w:rPr>
        <w:rStyle w:val="HideTWBExt"/>
      </w:rPr>
      <w:t>&lt;/PathFdR&gt;</w:t>
    </w:r>
    <w:r w:rsidRPr="00DA78B9">
      <w:tab/>
    </w:r>
    <w:r w:rsidRPr="00DA78B9">
      <w:tab/>
      <w:t>PE</w:t>
    </w:r>
    <w:r w:rsidRPr="00DA78B9">
      <w:rPr>
        <w:rStyle w:val="HideTWBExt"/>
      </w:rPr>
      <w:t>&lt;NoPE&gt;</w:t>
    </w:r>
    <w:r w:rsidRPr="00DA78B9">
      <w:t>792.010</w:t>
    </w:r>
    <w:r w:rsidRPr="00DA78B9">
      <w:rPr>
        <w:rStyle w:val="HideTWBExt"/>
      </w:rPr>
      <w:t>&lt;/NoPE&gt;&lt;Version&gt;</w:t>
    </w:r>
    <w:r w:rsidRPr="00DA78B9">
      <w:t>v02-00</w:t>
    </w:r>
    <w:r w:rsidRPr="00DA78B9">
      <w:rPr>
        <w:rStyle w:val="HideTWBExt"/>
      </w:rPr>
      <w:t>&lt;/Version&gt;</w:t>
    </w:r>
  </w:p>
  <w:p w:rsidR="00DA78B9" w:rsidRPr="00DA78B9" w:rsidP="00DA78B9" w14:paraId="68F05AC0" w14:textId="4F9DC313">
    <w:pPr>
      <w:pStyle w:val="EPFooter2"/>
    </w:pPr>
    <w:r w:rsidRPr="00DA78B9">
      <w:t>FR</w:t>
    </w:r>
    <w:r w:rsidRPr="00DA78B9">
      <w:tab/>
    </w:r>
    <w:r w:rsidRPr="00DA78B9">
      <w:rPr>
        <w:b w:val="0"/>
        <w:i/>
        <w:color w:val="C0C0C0"/>
        <w:sz w:val="22"/>
      </w:rPr>
      <w:t>Unie dans la diversité</w:t>
    </w:r>
    <w:r w:rsidRPr="00DA78B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61787" w:rsidRPr="00DA78B9" w14:paraId="4FFDA605" w14:textId="77777777">
      <w:r w:rsidRPr="00DA78B9">
        <w:separator/>
      </w:r>
    </w:p>
  </w:footnote>
  <w:footnote w:type="continuationSeparator" w:id="1">
    <w:p w:rsidR="00E61787" w:rsidRPr="00DA78B9" w14:paraId="5FEF24C9" w14:textId="77777777">
      <w:r w:rsidRPr="00DA78B9">
        <w:continuationSeparator/>
      </w:r>
    </w:p>
  </w:footnote>
  <w:footnote w:id="2">
    <w:p w:rsidR="00DA78B9" w:rsidRPr="00DA78B9" w:rsidP="00DA78B9" w14:paraId="7CCBD821" w14:textId="2F6D5238">
      <w:pPr>
        <w:pStyle w:val="FootnoteText"/>
      </w:pPr>
      <w:r>
        <w:rPr>
          <w:rStyle w:val="FootnoteReference"/>
        </w:rPr>
        <w:footnoteRef/>
      </w:r>
      <w:r>
        <w:t xml:space="preserve"> JO L 153 du 3.5.2021, p. 48, ELI: </w:t>
      </w:r>
      <w:hyperlink r:id="rId1" w:history="1">
        <w:r>
          <w:rPr>
            <w:rStyle w:val="Hyperlink"/>
          </w:rPr>
          <w:t>http://data.europa.eu/eli/reg/2021/691/oj</w:t>
        </w:r>
      </w:hyperlink>
      <w:r>
        <w:t>.</w:t>
      </w:r>
    </w:p>
  </w:footnote>
  <w:footnote w:id="3">
    <w:p w:rsidR="00DA78B9" w:rsidRPr="00DA78B9" w:rsidP="00DA78B9" w14:paraId="332F7522" w14:textId="39B7E0BD">
      <w:pPr>
        <w:pStyle w:val="FootnoteText"/>
      </w:pPr>
      <w:r>
        <w:rPr>
          <w:rStyle w:val="FootnoteReference"/>
        </w:rPr>
        <w:footnoteRef/>
      </w:r>
      <w:r>
        <w:t xml:space="preserve"> JO L, 2026/1139, 20.5.2026, ELI: </w:t>
      </w:r>
      <w:hyperlink r:id="rId2" w:history="1">
        <w:r>
          <w:rPr>
            <w:rStyle w:val="Hyperlink"/>
          </w:rPr>
          <w:t>http://data.europa.eu/eli/reg/2026/1139/oj</w:t>
        </w:r>
      </w:hyperlink>
      <w:r>
        <w:t>.</w:t>
      </w:r>
    </w:p>
  </w:footnote>
  <w:footnote w:id="4">
    <w:p w:rsidR="00DA78B9" w:rsidRPr="00DA78B9" w:rsidP="00DA78B9" w14:paraId="3EAD58AB" w14:textId="4564D2CE">
      <w:pPr>
        <w:pStyle w:val="FootnoteText"/>
      </w:pPr>
      <w:r>
        <w:rPr>
          <w:rStyle w:val="FootnoteReference"/>
        </w:rPr>
        <w:footnoteRef/>
      </w:r>
      <w:r>
        <w:t xml:space="preserve"> JO L 433 I du 22.12.2020, p. 11, ELI: </w:t>
      </w:r>
      <w:hyperlink r:id="rId3" w:history="1">
        <w:r>
          <w:rPr>
            <w:rStyle w:val="Hyperlink"/>
          </w:rPr>
          <w:t>http://data.europa.eu/eli/reg/2020/2093/oj</w:t>
        </w:r>
      </w:hyperlink>
      <w:r>
        <w:t>.</w:t>
      </w:r>
    </w:p>
  </w:footnote>
  <w:footnote w:id="5">
    <w:p w:rsidR="00DA78B9" w:rsidRPr="00DA78B9" w:rsidP="00DA78B9" w14:paraId="1B2F5E42" w14:textId="0F52269F">
      <w:pPr>
        <w:pStyle w:val="FootnoteText"/>
      </w:pPr>
      <w:r>
        <w:rPr>
          <w:rStyle w:val="FootnoteReference"/>
        </w:rPr>
        <w:footnoteRef/>
      </w:r>
      <w:r>
        <w:t xml:space="preserve"> </w:t>
      </w:r>
      <w:r>
        <w:rPr>
          <w:shd w:val="clear" w:color="auto" w:fill="FFFFFF"/>
        </w:rPr>
        <w:t>JO L, 2024/765, 29.2.2024, ELI:</w:t>
      </w:r>
      <w:r>
        <w:rPr>
          <w:color w:val="333333"/>
          <w:shd w:val="clear" w:color="auto" w:fill="FFFFFF"/>
        </w:rPr>
        <w:t xml:space="preserve"> </w:t>
      </w:r>
      <w:hyperlink r:id="rId4" w:history="1">
        <w:r>
          <w:rPr>
            <w:rStyle w:val="Hyperlink"/>
            <w:shd w:val="clear" w:color="auto" w:fill="FFFFFF"/>
          </w:rPr>
          <w:t>http://data.europa.eu/eli/reg/2024/765/oj</w:t>
        </w:r>
      </w:hyperlink>
      <w:r>
        <w:rPr>
          <w:i/>
          <w:color w:val="333333"/>
          <w:shd w:val="clear" w:color="auto" w:fill="FFFFFF"/>
        </w:rPr>
        <w:t>.</w:t>
      </w:r>
    </w:p>
  </w:footnote>
  <w:footnote w:id="6">
    <w:p w:rsidR="00DA78B9" w:rsidRPr="00DA78B9" w:rsidP="00DA78B9" w14:paraId="033FBE0E" w14:textId="69354AE0">
      <w:pPr>
        <w:pStyle w:val="FootnoteText"/>
      </w:pPr>
      <w:r>
        <w:rPr>
          <w:rStyle w:val="FootnoteReference"/>
        </w:rPr>
        <w:footnoteRef/>
      </w:r>
      <w:r>
        <w:t xml:space="preserve"> JO L 433 I du 22.12.2020, p. 28, ELI: </w:t>
      </w:r>
      <w:hyperlink r:id="rId5" w:history="1">
        <w:r>
          <w:rPr>
            <w:rStyle w:val="Hyperlink"/>
          </w:rPr>
          <w:t>http://data.europa.eu/eli/agree_interinstit/2020/1222/oj</w:t>
        </w:r>
      </w:hyperlink>
      <w:r>
        <w:t>.</w:t>
      </w:r>
    </w:p>
  </w:footnote>
  <w:footnote w:id="7">
    <w:p w:rsidR="00DA78B9" w:rsidRPr="00DA78B9" w:rsidP="00DA78B9" w14:paraId="3F6ADBC7" w14:textId="77777777">
      <w:pPr>
        <w:pStyle w:val="FootnoteText"/>
      </w:pPr>
      <w:r>
        <w:rPr>
          <w:rStyle w:val="FootnoteReference"/>
        </w:rPr>
        <w:footnoteRef/>
      </w:r>
      <w:r>
        <w:t xml:space="preserve"> Au sens de l’article 3 du règlement FEM.</w:t>
      </w:r>
    </w:p>
  </w:footnote>
  <w:footnote w:id="8">
    <w:p w:rsidR="00DA78B9" w:rsidRPr="00DA78B9" w:rsidP="00DA78B9" w14:paraId="017E4015" w14:textId="77777777">
      <w:pPr>
        <w:pStyle w:val="FootnoteText"/>
      </w:pPr>
      <w:r>
        <w:rPr>
          <w:rStyle w:val="FootnoteReference"/>
        </w:rPr>
        <w:footnoteRef/>
      </w:r>
      <w:r>
        <w:t xml:space="preserve"> Article 8 du règlement fixant le cadre financier pluriannuel.</w:t>
      </w:r>
    </w:p>
  </w:footnote>
  <w:footnote w:id="9">
    <w:p w:rsidR="00DA78B9" w:rsidRPr="00DA78B9" w:rsidP="00DA78B9" w14:paraId="636D277D" w14:textId="0AF8FE5E">
      <w:pPr>
        <w:pStyle w:val="FootnoteText"/>
      </w:pPr>
      <w:r>
        <w:rPr>
          <w:rStyle w:val="FootnoteReference"/>
        </w:rPr>
        <w:footnoteRef/>
      </w:r>
      <w:r>
        <w:t xml:space="preserve"> JO L 153 du 3.5.2021, p. 48, ELI: </w:t>
      </w:r>
      <w:hyperlink r:id="rId1" w:history="1">
        <w:r>
          <w:rPr>
            <w:rStyle w:val="Hyperlink"/>
          </w:rPr>
          <w:t>http://data.europa.eu/eli/reg/2021/691/oj</w:t>
        </w:r>
      </w:hyperlink>
      <w:r>
        <w:t>.</w:t>
      </w:r>
    </w:p>
  </w:footnote>
  <w:footnote w:id="10">
    <w:p w:rsidR="00DA78B9" w:rsidRPr="00DA78B9" w:rsidP="00DA78B9" w14:paraId="6D90D9A6" w14:textId="5FEF27FA">
      <w:pPr>
        <w:pStyle w:val="FootnoteText"/>
      </w:pPr>
      <w:r>
        <w:rPr>
          <w:rStyle w:val="FootnoteReference"/>
        </w:rPr>
        <w:footnoteRef/>
      </w:r>
      <w:r>
        <w:t xml:space="preserve"> JO L 433 I du 22.12.2020, p. 28, ELI: </w:t>
      </w:r>
      <w:hyperlink r:id="rId5" w:history="1">
        <w:r>
          <w:rPr>
            <w:rStyle w:val="Hyperlink"/>
          </w:rPr>
          <w:t>http://data.europa.eu/eli/agree_interinstit/2020/1222/oj</w:t>
        </w:r>
      </w:hyperlink>
      <w:r>
        <w:t>.</w:t>
      </w:r>
    </w:p>
  </w:footnote>
  <w:footnote w:id="11">
    <w:p w:rsidR="00DA78B9" w:rsidRPr="00DA78B9" w:rsidP="00DA78B9" w14:paraId="68FAA88B" w14:textId="73674B53">
      <w:pPr>
        <w:pStyle w:val="FootnoteText"/>
      </w:pPr>
      <w:r>
        <w:rPr>
          <w:rStyle w:val="FootnoteReference"/>
        </w:rPr>
        <w:footnoteRef/>
      </w:r>
      <w:r>
        <w:t xml:space="preserve"> Règlement (UE, Euratom) 2020/2093 du Conseil du 17 décembre 2020 fixant le cadre financier pluriannuel pour les années 2021 à 2027 (JO L 433 I du 22.12.2020, p. 11, ELI: http://data.europa.eu/eli/reg/2020/2093/oj). </w:t>
      </w:r>
      <w:hyperlink r:id="rId3" w:history="1">
        <w:r>
          <w:rPr>
            <w:rStyle w:val="Hyperlink"/>
          </w:rPr>
          <w:t>http://data.europa.eu/eli/reg/2020/2093/oj</w:t>
        </w:r>
      </w:hyperlink>
      <w:r>
        <w:t>).</w:t>
      </w:r>
    </w:p>
  </w:footnote>
  <w:footnote w:id="12">
    <w:p w:rsidR="00DA78B9" w:rsidRPr="00DA78B9" w:rsidP="00DA78B9" w14:paraId="7320C46B" w14:textId="0E513DB9">
      <w:pPr>
        <w:pStyle w:val="FootnoteText"/>
      </w:pPr>
      <w:r>
        <w:rPr>
          <w:rStyle w:val="FootnoteReference"/>
        </w:rPr>
        <w:footnoteRef/>
      </w:r>
      <w:r>
        <w:t xml:space="preserve"> Règlement (UE, Euratom) 2024/765 du Conseil du 29 février 2024 modifiant le règlement (UE, Euratom) 2020/2093 fixant le cadre financier pluriannuel pour les années 2021 à 2027 (JO L, 2024/765, 29.2.2024, ELI: </w:t>
      </w:r>
      <w:hyperlink r:id="rId4" w:history="1">
        <w:r>
          <w:rPr>
            <w:rStyle w:val="Hyperlink"/>
          </w:rPr>
          <w:t>http://data.europa.eu/eli/reg/2024/765/oj</w:t>
        </w:r>
      </w:hyperlink>
      <w:r>
        <w:t>).</w:t>
      </w:r>
    </w:p>
  </w:footnote>
  <w:footnote w:id="13">
    <w:p w:rsidR="00DA78B9" w:rsidRPr="00DA78B9" w:rsidP="00DA78B9" w14:paraId="4B1C3A9A" w14:textId="77777777">
      <w:pPr>
        <w:pStyle w:val="FootnoteText"/>
      </w:pPr>
      <w:r>
        <w:rPr>
          <w:rStyle w:val="FootnoteReference"/>
        </w:rPr>
        <w:footnoteRef/>
      </w:r>
      <w:r>
        <w:t xml:space="preserve"> COM(2026) 155.</w:t>
      </w:r>
    </w:p>
    <w:p w:rsidR="00DA78B9" w:rsidRPr="00DA78B9" w:rsidP="00DA78B9" w14:paraId="1500F7FF" w14:textId="77777777">
      <w:pPr>
        <w:pStyle w:val="FootnoteText"/>
      </w:pPr>
      <w:r>
        <w:t>* Date à insérer par le Parlement européen avant la publication au JO.</w:t>
      </w:r>
    </w:p>
    <w:p w:rsidR="00DA78B9" w:rsidRPr="00DA78B9" w:rsidP="00DA78B9" w14:paraId="6136A124" w14:textId="77777777">
      <w:pPr>
        <w:pStyle w:val="FootnoteText"/>
      </w:pPr>
    </w:p>
  </w:footnote>
  <w:footnote w:id="14">
    <w:p w:rsidR="00DA78B9" w:rsidRPr="00DA78B9" w:rsidP="00DA78B9" w14:paraId="07D0C211" w14:textId="77777777">
      <w:pPr>
        <w:pStyle w:val="FootnoteText"/>
      </w:pPr>
      <w:r>
        <w:rPr>
          <w:rStyle w:val="FootnoteReference"/>
        </w:rPr>
        <w:footnoteRef/>
      </w:r>
      <w:r>
        <w:t xml:space="preserve"> Accord interinstitutionnel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w:t>
      </w:r>
    </w:p>
  </w:footnote>
  <w:footnote w:id="15">
    <w:p w:rsidR="00DA78B9" w:rsidRPr="00DA78B9" w:rsidP="00DA78B9" w14:paraId="6EB1AD70" w14:textId="77777777">
      <w:pPr>
        <w:pStyle w:val="FootnoteText"/>
      </w:pPr>
      <w:r>
        <w:rPr>
          <w:rStyle w:val="FootnoteReference"/>
        </w:rPr>
        <w:footnoteRef/>
      </w:r>
      <w:r>
        <w:t xml:space="preserve"> Au sens de l’article 3 du règlement FEM.</w:t>
      </w:r>
    </w:p>
  </w:footnote>
  <w:footnote w:id="16">
    <w:p w:rsidR="00DA78B9" w:rsidRPr="00DA78B9" w:rsidP="00DA78B9" w14:paraId="3157826C" w14:textId="327C9A16">
      <w:pPr>
        <w:pStyle w:val="FootnoteText"/>
      </w:pPr>
      <w:r>
        <w:rPr>
          <w:rStyle w:val="FootnoteReference"/>
        </w:rPr>
        <w:footnoteRef/>
      </w:r>
      <w:r>
        <w:t xml:space="preserve"> </w:t>
      </w:r>
      <w:hyperlink r:id="rId6" w:history="1">
        <w:r>
          <w:rPr>
            <w:rStyle w:val="Hyperlink"/>
          </w:rPr>
          <w:t>Liste des métiers/fonctions critiques et en pénurie de main-d’œuvre</w:t>
        </w:r>
      </w:hyperlink>
      <w:r>
        <w:t>, Le Forem 2025-2026.</w:t>
      </w:r>
    </w:p>
  </w:footnote>
  <w:footnote w:id="17">
    <w:p w:rsidR="00DA78B9" w:rsidRPr="00DA78B9" w:rsidP="00DA78B9" w14:paraId="05332FE5" w14:textId="5A155A52">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7"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5C64" w14:paraId="43D601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5C64" w14:paraId="38017D5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5C64" w14:paraId="2185F9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87"/>
    <w:rsid w:val="000555E6"/>
    <w:rsid w:val="00155B2F"/>
    <w:rsid w:val="00167F25"/>
    <w:rsid w:val="001C6342"/>
    <w:rsid w:val="001F24B0"/>
    <w:rsid w:val="00215C42"/>
    <w:rsid w:val="0022041B"/>
    <w:rsid w:val="002C2DB2"/>
    <w:rsid w:val="00300158"/>
    <w:rsid w:val="00396BD0"/>
    <w:rsid w:val="003B4F3D"/>
    <w:rsid w:val="003B5885"/>
    <w:rsid w:val="003D5173"/>
    <w:rsid w:val="003F207F"/>
    <w:rsid w:val="00470DFE"/>
    <w:rsid w:val="004D2440"/>
    <w:rsid w:val="004D3492"/>
    <w:rsid w:val="0050453C"/>
    <w:rsid w:val="0052720D"/>
    <w:rsid w:val="00533501"/>
    <w:rsid w:val="005449A3"/>
    <w:rsid w:val="0058028A"/>
    <w:rsid w:val="00581E60"/>
    <w:rsid w:val="005B0658"/>
    <w:rsid w:val="005F27D5"/>
    <w:rsid w:val="00601E96"/>
    <w:rsid w:val="00611B44"/>
    <w:rsid w:val="00616E75"/>
    <w:rsid w:val="006E4E08"/>
    <w:rsid w:val="00703318"/>
    <w:rsid w:val="007260CD"/>
    <w:rsid w:val="00731ECF"/>
    <w:rsid w:val="00761A6D"/>
    <w:rsid w:val="007F63FC"/>
    <w:rsid w:val="00843D7C"/>
    <w:rsid w:val="00861675"/>
    <w:rsid w:val="008A3711"/>
    <w:rsid w:val="008F1614"/>
    <w:rsid w:val="008F25B2"/>
    <w:rsid w:val="00917358"/>
    <w:rsid w:val="009200B0"/>
    <w:rsid w:val="00921B78"/>
    <w:rsid w:val="00945699"/>
    <w:rsid w:val="0097776D"/>
    <w:rsid w:val="009C01D2"/>
    <w:rsid w:val="00A205D2"/>
    <w:rsid w:val="00A27E62"/>
    <w:rsid w:val="00A703FD"/>
    <w:rsid w:val="00AB1F0A"/>
    <w:rsid w:val="00AD5932"/>
    <w:rsid w:val="00AE2ABE"/>
    <w:rsid w:val="00AF4089"/>
    <w:rsid w:val="00AF6B2F"/>
    <w:rsid w:val="00B12873"/>
    <w:rsid w:val="00B339D2"/>
    <w:rsid w:val="00B41168"/>
    <w:rsid w:val="00B44310"/>
    <w:rsid w:val="00B5725D"/>
    <w:rsid w:val="00B67064"/>
    <w:rsid w:val="00B67944"/>
    <w:rsid w:val="00B735E3"/>
    <w:rsid w:val="00BB725E"/>
    <w:rsid w:val="00C327B5"/>
    <w:rsid w:val="00C54775"/>
    <w:rsid w:val="00C753BD"/>
    <w:rsid w:val="00C85D0F"/>
    <w:rsid w:val="00CA4836"/>
    <w:rsid w:val="00D15C64"/>
    <w:rsid w:val="00D17520"/>
    <w:rsid w:val="00D461B7"/>
    <w:rsid w:val="00D63FD3"/>
    <w:rsid w:val="00D82527"/>
    <w:rsid w:val="00DA78B9"/>
    <w:rsid w:val="00DA7BE1"/>
    <w:rsid w:val="00DE1BE3"/>
    <w:rsid w:val="00DF46ED"/>
    <w:rsid w:val="00E20F2E"/>
    <w:rsid w:val="00E6007E"/>
    <w:rsid w:val="00E61787"/>
    <w:rsid w:val="00E70719"/>
    <w:rsid w:val="00E71B80"/>
    <w:rsid w:val="00E96B4F"/>
    <w:rsid w:val="00E9757B"/>
    <w:rsid w:val="00EA7BAF"/>
    <w:rsid w:val="00EF5487"/>
    <w:rsid w:val="00F130D9"/>
    <w:rsid w:val="00F17C55"/>
    <w:rsid w:val="00F77515"/>
    <w:rsid w:val="00FB2E5E"/>
    <w:rsid w:val="00FC056F"/>
    <w:rsid w:val="00FC56AB"/>
    <w:rsid w:val="00FC7626"/>
    <w:rsid w:val="00FF4EA9"/>
  </w:rsids>
  <w:docVars>
    <w:docVar w:name="AUTHORMFMNU" w:val=" 1"/>
    <w:docVar w:name="DOCDT" w:val="07/09/2026"/>
    <w:docVar w:name="LastEditedSection" w:val=" 1"/>
    <w:docVar w:name="strDocTypeID" w:val="PR_BUD_Funds"/>
    <w:docVar w:name="strSubDir" w:val="1351"/>
    <w:docVar w:name="TXTAUTHOR" w:val="Hélder Sousa Silva"/>
    <w:docVar w:name="TXTLANGUE" w:val="FR"/>
    <w:docVar w:name="TXTLANGUEMIN" w:val="fr"/>
    <w:docVar w:name="TXTNRBUD" w:val="2026/0197"/>
    <w:docVar w:name="TXTNRC" w:val="0200/2026"/>
    <w:docVar w:name="TXTNRCOM" w:val="(2026)0155"/>
    <w:docVar w:name="TXTNRPE" w:val="792.010"/>
    <w:docVar w:name="TXTPEorAP" w:val="PE"/>
    <w:docVar w:name="TXTROUTE" w:val="RR\1351577FR.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CAE8D55-F92D-4FBC-82CC-63256A11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AB1F0A"/>
    <w:rPr>
      <w:sz w:val="20"/>
    </w:rPr>
  </w:style>
  <w:style w:type="character" w:customStyle="1" w:styleId="FootnoteTextChar">
    <w:name w:val="Footnote Text Char"/>
    <w:basedOn w:val="DefaultParagraphFont"/>
    <w:link w:val="FootnoteText"/>
    <w:uiPriority w:val="99"/>
    <w:rsid w:val="00AB1F0A"/>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AB1F0A"/>
    <w:rPr>
      <w:vertAlign w:val="superscript"/>
    </w:rPr>
  </w:style>
  <w:style w:type="character" w:styleId="Hyperlink">
    <w:name w:val="Hyperlink"/>
    <w:basedOn w:val="DefaultParagraphFont"/>
    <w:uiPriority w:val="99"/>
    <w:rsid w:val="00AB1F0A"/>
    <w:rPr>
      <w:color w:val="0563C1" w:themeColor="hyperlink"/>
      <w:u w:val="single"/>
    </w:rPr>
  </w:style>
  <w:style w:type="character" w:customStyle="1" w:styleId="NormalHanging12aChar">
    <w:name w:val="NormalHanging12a Char"/>
    <w:basedOn w:val="DefaultParagraphFont"/>
    <w:link w:val="NormalHanging12a"/>
    <w:locked/>
    <w:rsid w:val="00AB1F0A"/>
    <w:rPr>
      <w:sz w:val="24"/>
      <w:lang w:val="fr-FR"/>
    </w:rPr>
  </w:style>
  <w:style w:type="paragraph" w:customStyle="1" w:styleId="Personnequisigne">
    <w:name w:val="Personne qui signe"/>
    <w:basedOn w:val="Normal"/>
    <w:next w:val="Institutionquisigne"/>
    <w:rsid w:val="00AB1F0A"/>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AB1F0A"/>
    <w:pPr>
      <w:keepNext/>
      <w:widowControl/>
      <w:tabs>
        <w:tab w:val="left" w:pos="4252"/>
      </w:tabs>
      <w:spacing w:before="720"/>
      <w:jc w:val="both"/>
    </w:pPr>
    <w:rPr>
      <w:rFonts w:eastAsiaTheme="minorHAnsi"/>
      <w:i/>
      <w:szCs w:val="22"/>
      <w:lang w:eastAsia="en-US"/>
    </w:rPr>
  </w:style>
  <w:style w:type="paragraph" w:customStyle="1" w:styleId="Tiret1">
    <w:name w:val="Tiret 1"/>
    <w:basedOn w:val="Normal"/>
    <w:rsid w:val="00AB1F0A"/>
    <w:pPr>
      <w:widowControl/>
      <w:numPr>
        <w:numId w:val="41"/>
      </w:numPr>
      <w:spacing w:before="120" w:after="120"/>
      <w:jc w:val="both"/>
    </w:pPr>
    <w:rPr>
      <w:rFonts w:eastAsiaTheme="minorHAnsi"/>
      <w:szCs w:val="22"/>
      <w:lang w:eastAsia="en-US"/>
    </w:rPr>
  </w:style>
  <w:style w:type="paragraph" w:styleId="Footer">
    <w:name w:val="footer"/>
    <w:basedOn w:val="Normal"/>
    <w:link w:val="FooterChar"/>
    <w:semiHidden/>
    <w:rsid w:val="00AB1F0A"/>
    <w:pPr>
      <w:tabs>
        <w:tab w:val="center" w:pos="4513"/>
        <w:tab w:val="right" w:pos="9026"/>
      </w:tabs>
    </w:pPr>
  </w:style>
  <w:style w:type="character" w:customStyle="1" w:styleId="FooterChar">
    <w:name w:val="Footer Char"/>
    <w:basedOn w:val="DefaultParagraphFont"/>
    <w:link w:val="Footer"/>
    <w:semiHidden/>
    <w:rsid w:val="00AB1F0A"/>
    <w:rPr>
      <w:sz w:val="24"/>
      <w:lang w:val="fr-FR"/>
    </w:rPr>
  </w:style>
  <w:style w:type="paragraph" w:customStyle="1" w:styleId="Normal12a">
    <w:name w:val="Normal12a"/>
    <w:basedOn w:val="Normal"/>
    <w:rsid w:val="00DA78B9"/>
    <w:pPr>
      <w:spacing w:after="240"/>
    </w:pPr>
  </w:style>
  <w:style w:type="paragraph" w:customStyle="1" w:styleId="RollCallVotes">
    <w:name w:val="RollCallVotes"/>
    <w:basedOn w:val="Normal"/>
    <w:rsid w:val="00DA78B9"/>
    <w:pPr>
      <w:spacing w:before="120" w:after="120"/>
      <w:jc w:val="center"/>
    </w:pPr>
    <w:rPr>
      <w:b/>
      <w:bCs/>
      <w:snapToGrid w:val="0"/>
      <w:sz w:val="16"/>
      <w:lang w:eastAsia="en-US"/>
    </w:rPr>
  </w:style>
  <w:style w:type="paragraph" w:customStyle="1" w:styleId="RollCallTabs">
    <w:name w:val="RollCallTabs"/>
    <w:basedOn w:val="Normal"/>
    <w:qFormat/>
    <w:rsid w:val="00DA78B9"/>
    <w:pPr>
      <w:tabs>
        <w:tab w:val="center" w:pos="284"/>
        <w:tab w:val="left" w:pos="426"/>
      </w:tabs>
    </w:pPr>
    <w:rPr>
      <w:snapToGrid w:val="0"/>
      <w:lang w:eastAsia="en-US"/>
    </w:rPr>
  </w:style>
  <w:style w:type="paragraph" w:customStyle="1" w:styleId="RollCallSymbols14pt">
    <w:name w:val="RollCallSymbols14pt"/>
    <w:basedOn w:val="Normal"/>
    <w:rsid w:val="00DA78B9"/>
    <w:pPr>
      <w:spacing w:before="120" w:after="120"/>
      <w:jc w:val="center"/>
    </w:pPr>
    <w:rPr>
      <w:rFonts w:ascii="Arial" w:hAnsi="Arial"/>
      <w:b/>
      <w:bCs/>
      <w:snapToGrid w:val="0"/>
      <w:sz w:val="28"/>
      <w:lang w:eastAsia="en-US"/>
    </w:rPr>
  </w:style>
  <w:style w:type="paragraph" w:customStyle="1" w:styleId="RollCallTable">
    <w:name w:val="RollCallTable"/>
    <w:basedOn w:val="Normal"/>
    <w:rsid w:val="00DA78B9"/>
    <w:pPr>
      <w:spacing w:before="120" w:after="120"/>
    </w:pPr>
    <w:rPr>
      <w:snapToGrid w:val="0"/>
      <w:sz w:val="16"/>
      <w:lang w:eastAsia="en-US"/>
    </w:rPr>
  </w:style>
  <w:style w:type="character" w:customStyle="1" w:styleId="PageHeadingChar">
    <w:name w:val="PageHeading Char"/>
    <w:basedOn w:val="DefaultParagraphFont"/>
    <w:link w:val="PageHeading"/>
    <w:rsid w:val="00DA78B9"/>
    <w:rPr>
      <w:rFonts w:ascii="Arial" w:hAnsi="Arial" w:cs="Arial"/>
      <w:b/>
      <w:sz w:val="24"/>
    </w:rPr>
  </w:style>
  <w:style w:type="paragraph" w:customStyle="1" w:styleId="Normal24a">
    <w:name w:val="Normal24a"/>
    <w:basedOn w:val="Normal"/>
    <w:rsid w:val="00DA78B9"/>
    <w:pPr>
      <w:spacing w:after="480"/>
    </w:pPr>
  </w:style>
  <w:style w:type="paragraph" w:customStyle="1" w:styleId="Footprint12b">
    <w:name w:val="Footprint12b"/>
    <w:basedOn w:val="Normal"/>
    <w:rsid w:val="00DA78B9"/>
    <w:pPr>
      <w:spacing w:before="240"/>
    </w:pPr>
    <w:rPr>
      <w:szCs w:val="24"/>
    </w:rPr>
  </w:style>
  <w:style w:type="paragraph" w:customStyle="1" w:styleId="LetterSalutation">
    <w:name w:val="LetterSalutation"/>
    <w:basedOn w:val="Normal"/>
    <w:rsid w:val="00DA78B9"/>
    <w:pPr>
      <w:spacing w:before="600" w:after="360"/>
    </w:pPr>
  </w:style>
  <w:style w:type="paragraph" w:customStyle="1" w:styleId="LetterSubject">
    <w:name w:val="LetterSubject"/>
    <w:basedOn w:val="Normal"/>
    <w:rsid w:val="00DA78B9"/>
    <w:pPr>
      <w:spacing w:before="480"/>
      <w:ind w:left="1134" w:hanging="1134"/>
    </w:pPr>
  </w:style>
  <w:style w:type="paragraph" w:customStyle="1" w:styleId="LetterSignature66b">
    <w:name w:val="LetterSignature66b"/>
    <w:basedOn w:val="Normal"/>
    <w:next w:val="Normal"/>
    <w:rsid w:val="00DA78B9"/>
    <w:pPr>
      <w:spacing w:before="1320"/>
    </w:pPr>
  </w:style>
  <w:style w:type="paragraph" w:customStyle="1" w:styleId="PageHeadingNotTOC">
    <w:name w:val="PageHeadingNotTOC"/>
    <w:basedOn w:val="Normal"/>
    <w:rsid w:val="00DA78B9"/>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s://www.leforem.be/documents/citoyens/penuries-liste-metiers.pdf"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5807</Words>
  <Characters>32407</Characters>
  <Application>Microsoft Office Word</Application>
  <DocSecurity>0</DocSecurity>
  <Lines>600</Lines>
  <Paragraphs>205</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2</cp:revision>
  <cp:lastPrinted>2004-12-08T15:27:00Z</cp:lastPrinted>
  <dcterms:created xsi:type="dcterms:W3CDTF">2026-09-30T12:09:00Z</dcterms:created>
  <dcterms:modified xsi:type="dcterms:W3CDTF">2026-09-30T12:09:00Z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1351577</vt:lpwstr>
  </property>
  <property fmtid="{D5CDD505-2E9C-101B-9397-08002B2CF9AE}" pid="4" name="&lt;Model&gt;">
    <vt:lpwstr>PR_BUD_Funds</vt:lpwstr>
  </property>
  <property fmtid="{D5CDD505-2E9C-101B-9397-08002B2CF9AE}" pid="5" name="&lt;ModelCod&gt;">
    <vt:lpwstr>\\eiciLUXpr1\pdocep$\DocEP\DOCS\General\PR\PR_BUD\BUDGET\BUD\PR_BUD_Funds.dotx(05/07/2024 10:40:03)</vt:lpwstr>
  </property>
  <property fmtid="{D5CDD505-2E9C-101B-9397-08002B2CF9AE}" pid="6" name="&lt;ModelTra&gt;">
    <vt:lpwstr>\\eiciLUXpr1\pdocep$\DocEP\TRANSFIL\FR\PR_BUD_Funds.FR(03/03/2026 15:20:28)</vt:lpwstr>
  </property>
  <property fmtid="{D5CDD505-2E9C-101B-9397-08002B2CF9AE}" pid="7" name="&lt;Type&gt;">
    <vt:lpwstr>RR</vt:lpwstr>
  </property>
  <property fmtid="{D5CDD505-2E9C-101B-9397-08002B2CF9AE}" pid="8" name="Bookout">
    <vt:lpwstr>OK - 2026/09/30 14:09</vt:lpwstr>
  </property>
  <property fmtid="{D5CDD505-2E9C-101B-9397-08002B2CF9AE}" pid="9" name="Created with">
    <vt:lpwstr>10.3.1 Build [20260701]</vt:lpwstr>
  </property>
  <property fmtid="{D5CDD505-2E9C-101B-9397-08002B2CF9AE}" pid="10" name="FooterPath">
    <vt:lpwstr>RR\1351577FR.docx</vt:lpwstr>
  </property>
  <property fmtid="{D5CDD505-2E9C-101B-9397-08002B2CF9AE}" pid="11" name="LastEdited with">
    <vt:lpwstr>10.3.1 Build [20260902]</vt:lpwstr>
  </property>
  <property fmtid="{D5CDD505-2E9C-101B-9397-08002B2CF9AE}" pid="12" name="PE number">
    <vt:lpwstr>792.010</vt:lpwstr>
  </property>
  <property fmtid="{D5CDD505-2E9C-101B-9397-08002B2CF9AE}" pid="13" name="RegistreCheck">
    <vt:lpwstr>OK</vt:lpwstr>
  </property>
  <property fmtid="{D5CDD505-2E9C-101B-9397-08002B2CF9AE}" pid="14" name="SDLStudio">
    <vt:lpwstr/>
  </property>
</Properties>
</file>