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5C6C26E7"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E96B4F" w:rsidRPr="005F1A81" w:rsidP="00C85D0F" w14:paraId="48FBD24B" w14:textId="77777777">
            <w:pPr>
              <w:pStyle w:val="EPName"/>
            </w:pPr>
            <w:r>
              <w:t>Parlement européen</w:t>
            </w:r>
          </w:p>
          <w:p w:rsidR="00E96B4F" w:rsidRPr="005F1A81" w:rsidP="00C85D0F" w14:paraId="7FBF747D" w14:textId="42DA38C1">
            <w:pPr>
              <w:pStyle w:val="EPTerm"/>
            </w:pPr>
            <w:r>
              <w:t>2024-2029</w:t>
            </w:r>
          </w:p>
        </w:tc>
        <w:tc>
          <w:tcPr>
            <w:tcW w:w="2268" w:type="dxa"/>
            <w:shd w:val="clear" w:color="auto" w:fill="auto"/>
          </w:tcPr>
          <w:p w:rsidR="00E96B4F" w:rsidRPr="005F1A81" w:rsidP="00C85D0F" w14:paraId="6EE4D92B" w14:textId="77777777">
            <w:pPr>
              <w:pStyle w:val="EPLogo"/>
            </w:pPr>
            <w:r w:rsidRPr="005F1A8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981276"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461B7" w:rsidRPr="005F1A81" w:rsidP="00D461B7" w14:paraId="3C1D557E" w14:textId="77777777">
      <w:pPr>
        <w:pStyle w:val="LineTop"/>
      </w:pPr>
    </w:p>
    <w:p w:rsidR="00D461B7" w:rsidRPr="005F1A81" w:rsidP="00D461B7" w14:paraId="4C6599FD" w14:textId="5A7C0DA1">
      <w:pPr>
        <w:pStyle w:val="EPBody"/>
      </w:pPr>
      <w:r>
        <w:t>Document de séance</w:t>
      </w:r>
    </w:p>
    <w:p w:rsidR="00D461B7" w:rsidRPr="005F1A81" w:rsidP="00D461B7" w14:paraId="70D1693B" w14:textId="77777777">
      <w:pPr>
        <w:pStyle w:val="LineBottom"/>
      </w:pPr>
    </w:p>
    <w:p w:rsidR="004D2440" w:rsidRPr="005F1A81" w14:paraId="2CBEF2F9" w14:textId="6465A2C8">
      <w:pPr>
        <w:pStyle w:val="CoverReference"/>
        <w:rPr>
          <w:noProof/>
        </w:rPr>
      </w:pPr>
      <w:r>
        <w:rPr>
          <w:rStyle w:val="HideTWBExt"/>
        </w:rPr>
        <w:t>&lt;NoDocSe&gt;</w:t>
      </w:r>
      <w:r>
        <w:t>A10</w:t>
      </w:r>
      <w:r>
        <w:noBreakHyphen/>
        <w:t>0242/2026</w:t>
      </w:r>
      <w:r>
        <w:rPr>
          <w:rStyle w:val="HideTWBExt"/>
        </w:rPr>
        <w:t>&lt;/NoDocSe&gt;</w:t>
      </w:r>
    </w:p>
    <w:p w:rsidR="004D2440" w:rsidRPr="005F1A81" w14:paraId="347BFBB8" w14:textId="4BA8AC66">
      <w:pPr>
        <w:pStyle w:val="CoverDate"/>
        <w:rPr>
          <w:noProof/>
        </w:rPr>
      </w:pPr>
      <w:r>
        <w:rPr>
          <w:rStyle w:val="HideTWBExt"/>
        </w:rPr>
        <w:t>&lt;Date&gt;</w:t>
      </w:r>
      <w:r>
        <w:rPr>
          <w:rStyle w:val="HideTWBInt"/>
        </w:rPr>
        <w:t>{29/09/2026}</w:t>
      </w:r>
      <w:r>
        <w:t>29.9.2026</w:t>
      </w:r>
      <w:r>
        <w:rPr>
          <w:rStyle w:val="HideTWBExt"/>
        </w:rPr>
        <w:t>&lt;/Date&gt;</w:t>
      </w:r>
    </w:p>
    <w:p w:rsidR="004D2440" w:rsidRPr="005F1A81" w14:paraId="1374A3B4" w14:textId="14A6F79B">
      <w:pPr>
        <w:pStyle w:val="CoverDocType24a"/>
        <w:rPr>
          <w:noProof/>
        </w:rPr>
      </w:pPr>
      <w:r>
        <w:rPr>
          <w:rStyle w:val="HideTWBExt"/>
          <w:b w:val="0"/>
        </w:rPr>
        <w:t>&lt;TitreType&gt;</w:t>
      </w:r>
      <w:r>
        <w:t>RAPPORT</w:t>
      </w:r>
      <w:r>
        <w:rPr>
          <w:rStyle w:val="HideTWBExt"/>
          <w:b w:val="0"/>
        </w:rPr>
        <w:t>&lt;/TitreType&gt;</w:t>
      </w:r>
    </w:p>
    <w:p w:rsidR="00A9405A" w:rsidRPr="005F1A81" w:rsidP="00A9405A" w14:paraId="58398C42" w14:textId="77777777">
      <w:pPr>
        <w:pStyle w:val="CoverNormal"/>
        <w:rPr>
          <w:noProof/>
        </w:rPr>
      </w:pPr>
      <w:r>
        <w:rPr>
          <w:rStyle w:val="HideTWBExt"/>
        </w:rPr>
        <w:t>&lt;Titre&gt;</w:t>
      </w:r>
      <w:r>
        <w:t>sur la proposition de décision du Parlement européen et du Conseil relative à la mobilisation du Fonds européen d’ajustement à la mondialisation en faveur des travailleurs licenciés à la suite d’une demande présentée par l’Espagne – EGF/2026/002 ES/Galicia automotive ancillary</w:t>
      </w:r>
      <w:r>
        <w:rPr>
          <w:rStyle w:val="HideTWBExt"/>
        </w:rPr>
        <w:t>&lt;/Titre&gt;</w:t>
      </w:r>
    </w:p>
    <w:p w:rsidR="00A9405A" w:rsidRPr="0054483D" w:rsidP="00A9405A" w14:paraId="32C6A402" w14:textId="77777777">
      <w:pPr>
        <w:pStyle w:val="CoverNormal24a"/>
        <w:rPr>
          <w:noProof/>
          <w:lang w:val="pt-PT"/>
        </w:rPr>
      </w:pPr>
      <w:r w:rsidRPr="0054483D">
        <w:rPr>
          <w:rStyle w:val="HideTWBExt"/>
          <w:lang w:val="pt-PT"/>
        </w:rPr>
        <w:t>&lt;DocRef&gt;</w:t>
      </w:r>
      <w:r w:rsidRPr="0054483D">
        <w:rPr>
          <w:lang w:val="pt-PT"/>
        </w:rPr>
        <w:t>(COM(2026)0170 – C10</w:t>
      </w:r>
      <w:r w:rsidRPr="0054483D">
        <w:rPr>
          <w:lang w:val="pt-PT"/>
        </w:rPr>
        <w:noBreakHyphen/>
        <w:t>0198/2026 – 2026/0195(BUD))</w:t>
      </w:r>
      <w:r w:rsidRPr="0054483D">
        <w:rPr>
          <w:rStyle w:val="HideTWBExt"/>
          <w:lang w:val="pt-PT"/>
        </w:rPr>
        <w:t>&lt;/DocRef&gt;</w:t>
      </w:r>
    </w:p>
    <w:p w:rsidR="004D2440" w:rsidRPr="005F1A81" w14:paraId="373783B7" w14:textId="77777777">
      <w:pPr>
        <w:pStyle w:val="CoverNormal24a"/>
        <w:rPr>
          <w:noProof/>
        </w:rPr>
      </w:pPr>
      <w:r>
        <w:rPr>
          <w:rStyle w:val="HideTWBExt"/>
        </w:rPr>
        <w:t>&lt;Commission&gt;</w:t>
      </w:r>
      <w:r>
        <w:rPr>
          <w:rStyle w:val="HideTWBInt"/>
        </w:rPr>
        <w:t>{BUDG}</w:t>
      </w:r>
      <w:r>
        <w:t>Commission des budgets</w:t>
      </w:r>
      <w:r>
        <w:rPr>
          <w:rStyle w:val="HideTWBExt"/>
        </w:rPr>
        <w:t>&lt;/Commission&gt;</w:t>
      </w:r>
    </w:p>
    <w:p w:rsidR="004D2440" w:rsidRPr="005F1A81" w14:paraId="67C4D60D" w14:textId="70426B2B">
      <w:pPr>
        <w:pStyle w:val="CoverNormal24a"/>
        <w:rPr>
          <w:noProof/>
        </w:rPr>
      </w:pPr>
      <w:r>
        <w:t xml:space="preserve">Rapporteure: </w:t>
      </w:r>
      <w:r>
        <w:rPr>
          <w:rStyle w:val="HideTWBExt"/>
        </w:rPr>
        <w:t>&lt;Depute&gt;</w:t>
      </w:r>
      <w:r>
        <w:t>Sandra Gómez López</w:t>
      </w:r>
      <w:r>
        <w:rPr>
          <w:rStyle w:val="HideTWBExt"/>
        </w:rPr>
        <w:t>&lt;/Depute&gt;</w:t>
      </w:r>
    </w:p>
    <w:p w:rsidR="0058028A" w:rsidRPr="005F1A81" w:rsidP="0058028A" w14:paraId="05549102" w14:textId="77777777">
      <w:pPr>
        <w:pStyle w:val="CoverNormal"/>
        <w:rPr>
          <w:noProof/>
        </w:rPr>
      </w:pPr>
    </w:p>
    <w:p w:rsidR="004D2440" w:rsidRPr="005F1A81" w:rsidP="00300158" w14:paraId="184BBCDD" w14:textId="77777777">
      <w:pPr>
        <w:widowControl/>
        <w:tabs>
          <w:tab w:val="center" w:pos="4677"/>
        </w:tabs>
        <w:rPr>
          <w:noProof/>
        </w:rPr>
      </w:pPr>
      <w:r>
        <w:br w:type="page"/>
      </w:r>
      <w:r>
        <w:t>PR_BUD_Funds</w:t>
      </w:r>
    </w:p>
    <w:p w:rsidR="004D2440" w:rsidRPr="005F1A81" w14:paraId="2C993A89" w14:textId="77777777">
      <w:pPr>
        <w:pStyle w:val="TOCHeading"/>
        <w:rPr>
          <w:noProof/>
        </w:rPr>
      </w:pPr>
      <w:r>
        <w:t>SOMMAIRE</w:t>
      </w:r>
    </w:p>
    <w:p w:rsidR="004D2440" w:rsidRPr="005F1A81" w14:paraId="0D6761DB" w14:textId="77777777">
      <w:pPr>
        <w:pStyle w:val="TOCPage"/>
        <w:rPr>
          <w:noProof/>
        </w:rPr>
      </w:pPr>
      <w:r>
        <w:t>Page</w:t>
      </w:r>
    </w:p>
    <w:p w:rsidR="00FE4BD3" w14:paraId="33EA6D0D" w14:textId="215726F5">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5F1A81">
        <w:fldChar w:fldCharType="begin"/>
      </w:r>
      <w:r w:rsidRPr="005F1A81">
        <w:instrText xml:space="preserve"> TOC \t "PageHeading</w:instrText>
      </w:r>
      <w:r w:rsidR="00FB0016">
        <w:instrText>;</w:instrText>
      </w:r>
      <w:r w:rsidRPr="005F1A81">
        <w:instrText xml:space="preserve">1" </w:instrText>
      </w:r>
      <w:r w:rsidRPr="005F1A81">
        <w:fldChar w:fldCharType="separate"/>
      </w:r>
      <w:r>
        <w:rPr>
          <w:noProof/>
        </w:rPr>
        <w:t>PROPOSITION DE RÉSOLUTION DU PARLEMENT EUROPÉEN</w:t>
      </w:r>
      <w:r>
        <w:rPr>
          <w:noProof/>
        </w:rPr>
        <w:tab/>
      </w:r>
      <w:r>
        <w:rPr>
          <w:noProof/>
        </w:rPr>
        <w:fldChar w:fldCharType="begin"/>
      </w:r>
      <w:r>
        <w:rPr>
          <w:noProof/>
        </w:rPr>
        <w:instrText xml:space="preserve"> PAGEREF _Toc241747115 \h </w:instrText>
      </w:r>
      <w:r>
        <w:rPr>
          <w:noProof/>
        </w:rPr>
        <w:fldChar w:fldCharType="separate"/>
      </w:r>
      <w:r>
        <w:rPr>
          <w:noProof/>
        </w:rPr>
        <w:t>3</w:t>
      </w:r>
      <w:r>
        <w:rPr>
          <w:noProof/>
        </w:rPr>
        <w:fldChar w:fldCharType="end"/>
      </w:r>
    </w:p>
    <w:p w:rsidR="00FE4BD3" w14:paraId="43665C7F" w14:textId="3071D68C">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ANNEXE: DÉCISION DU PARLEMENT EUROPÉEN ET DU CONSEIL</w:t>
      </w:r>
      <w:r>
        <w:rPr>
          <w:noProof/>
        </w:rPr>
        <w:tab/>
      </w:r>
      <w:r>
        <w:rPr>
          <w:noProof/>
        </w:rPr>
        <w:fldChar w:fldCharType="begin"/>
      </w:r>
      <w:r>
        <w:rPr>
          <w:noProof/>
        </w:rPr>
        <w:instrText xml:space="preserve"> PAGEREF _Toc241747116 \h </w:instrText>
      </w:r>
      <w:r>
        <w:rPr>
          <w:noProof/>
        </w:rPr>
        <w:fldChar w:fldCharType="separate"/>
      </w:r>
      <w:r>
        <w:rPr>
          <w:noProof/>
        </w:rPr>
        <w:t>8</w:t>
      </w:r>
      <w:r>
        <w:rPr>
          <w:noProof/>
        </w:rPr>
        <w:fldChar w:fldCharType="end"/>
      </w:r>
    </w:p>
    <w:p w:rsidR="00FE4BD3" w14:paraId="48F746A2" w14:textId="3751D0D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EXPOSÉ DES MOTIFS</w:t>
      </w:r>
      <w:r>
        <w:rPr>
          <w:noProof/>
        </w:rPr>
        <w:tab/>
      </w:r>
      <w:r>
        <w:rPr>
          <w:noProof/>
        </w:rPr>
        <w:fldChar w:fldCharType="begin"/>
      </w:r>
      <w:r>
        <w:rPr>
          <w:noProof/>
        </w:rPr>
        <w:instrText xml:space="preserve"> PAGEREF _Toc241747117 \h </w:instrText>
      </w:r>
      <w:r>
        <w:rPr>
          <w:noProof/>
        </w:rPr>
        <w:fldChar w:fldCharType="separate"/>
      </w:r>
      <w:r>
        <w:rPr>
          <w:noProof/>
        </w:rPr>
        <w:t>10</w:t>
      </w:r>
      <w:r>
        <w:rPr>
          <w:noProof/>
        </w:rPr>
        <w:fldChar w:fldCharType="end"/>
      </w:r>
    </w:p>
    <w:p w:rsidR="00FE4BD3" w14:paraId="515D8E2A" w14:textId="32E23B91">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ANNEXE: DÉCLARATION DES CONTRIBUTIONS</w:t>
      </w:r>
      <w:r>
        <w:rPr>
          <w:noProof/>
        </w:rPr>
        <w:tab/>
      </w:r>
      <w:r>
        <w:rPr>
          <w:noProof/>
        </w:rPr>
        <w:fldChar w:fldCharType="begin"/>
      </w:r>
      <w:r>
        <w:rPr>
          <w:noProof/>
        </w:rPr>
        <w:instrText xml:space="preserve"> PAGEREF _Toc241747118 \h </w:instrText>
      </w:r>
      <w:r>
        <w:rPr>
          <w:noProof/>
        </w:rPr>
        <w:fldChar w:fldCharType="separate"/>
      </w:r>
      <w:r>
        <w:rPr>
          <w:noProof/>
        </w:rPr>
        <w:t>13</w:t>
      </w:r>
      <w:r>
        <w:rPr>
          <w:noProof/>
        </w:rPr>
        <w:fldChar w:fldCharType="end"/>
      </w:r>
    </w:p>
    <w:p w:rsidR="00FE4BD3" w14:paraId="0D23CEE2" w14:textId="1614396C">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LETTRE DE LA COMMISSION DE L’EMPLOI ET DES AFFAIRES SOCIALES</w:t>
      </w:r>
      <w:r>
        <w:rPr>
          <w:noProof/>
        </w:rPr>
        <w:tab/>
      </w:r>
      <w:r>
        <w:rPr>
          <w:noProof/>
        </w:rPr>
        <w:fldChar w:fldCharType="begin"/>
      </w:r>
      <w:r>
        <w:rPr>
          <w:noProof/>
        </w:rPr>
        <w:instrText xml:space="preserve"> PAGEREF _Toc241747119 \h </w:instrText>
      </w:r>
      <w:r>
        <w:rPr>
          <w:noProof/>
        </w:rPr>
        <w:fldChar w:fldCharType="separate"/>
      </w:r>
      <w:r>
        <w:rPr>
          <w:noProof/>
        </w:rPr>
        <w:t>14</w:t>
      </w:r>
      <w:r>
        <w:rPr>
          <w:noProof/>
        </w:rPr>
        <w:fldChar w:fldCharType="end"/>
      </w:r>
    </w:p>
    <w:p w:rsidR="00FE4BD3" w14:paraId="31C45D9D" w14:textId="0AD71F6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INFORMATIONS SUR L’ADOPTION PAR LA COMMISSION COMPÉTENTE AU FOND</w:t>
      </w:r>
      <w:r>
        <w:rPr>
          <w:noProof/>
        </w:rPr>
        <w:tab/>
      </w:r>
      <w:r>
        <w:rPr>
          <w:noProof/>
        </w:rPr>
        <w:fldChar w:fldCharType="begin"/>
      </w:r>
      <w:r>
        <w:rPr>
          <w:noProof/>
        </w:rPr>
        <w:instrText xml:space="preserve"> PAGEREF _Toc241747120 \h </w:instrText>
      </w:r>
      <w:r>
        <w:rPr>
          <w:noProof/>
        </w:rPr>
        <w:fldChar w:fldCharType="separate"/>
      </w:r>
      <w:r>
        <w:rPr>
          <w:noProof/>
        </w:rPr>
        <w:t>18</w:t>
      </w:r>
      <w:r>
        <w:rPr>
          <w:noProof/>
        </w:rPr>
        <w:fldChar w:fldCharType="end"/>
      </w:r>
    </w:p>
    <w:p w:rsidR="00FE4BD3" w14:paraId="55481BA3" w14:textId="0B066093">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VOTE FINAL PAR APPEL NOMINAL PAR LA COMMISSION COMPÉTENTE AU FOND</w:t>
      </w:r>
      <w:r>
        <w:rPr>
          <w:noProof/>
        </w:rPr>
        <w:tab/>
      </w:r>
      <w:r>
        <w:rPr>
          <w:noProof/>
        </w:rPr>
        <w:fldChar w:fldCharType="begin"/>
      </w:r>
      <w:r>
        <w:rPr>
          <w:noProof/>
        </w:rPr>
        <w:instrText xml:space="preserve"> PAGEREF _Toc241747121 \h </w:instrText>
      </w:r>
      <w:r>
        <w:rPr>
          <w:noProof/>
        </w:rPr>
        <w:fldChar w:fldCharType="separate"/>
      </w:r>
      <w:r>
        <w:rPr>
          <w:noProof/>
        </w:rPr>
        <w:t>19</w:t>
      </w:r>
      <w:r>
        <w:rPr>
          <w:noProof/>
        </w:rPr>
        <w:fldChar w:fldCharType="end"/>
      </w:r>
    </w:p>
    <w:p w:rsidR="004D2440" w:rsidRPr="005F1A81" w:rsidP="006E4E08" w14:paraId="77721D97" w14:textId="4A59209E">
      <w:r w:rsidRPr="005F1A81">
        <w:fldChar w:fldCharType="end"/>
      </w:r>
    </w:p>
    <w:p w:rsidR="00365F38" w:rsidRPr="005F1A81" w:rsidP="00365F38" w14:paraId="6A285FAD" w14:textId="77777777">
      <w:pPr>
        <w:pStyle w:val="PageHeading"/>
        <w:rPr>
          <w:noProof/>
        </w:rPr>
      </w:pPr>
      <w:r>
        <w:br w:type="page"/>
      </w:r>
      <w:bookmarkStart w:id="0" w:name="_Toc239682963"/>
      <w:bookmarkStart w:id="1" w:name="_Toc241747115"/>
      <w:r>
        <w:t>PROPOSITION DE RÉSOLUTION DU PARLEMENT EUROPÉEN</w:t>
      </w:r>
      <w:bookmarkEnd w:id="1"/>
    </w:p>
    <w:p w:rsidR="00365F38" w:rsidRPr="005F1A81" w:rsidP="00365F38" w14:paraId="29EB60C4" w14:textId="77777777">
      <w:pPr>
        <w:pStyle w:val="NormalBold"/>
        <w:rPr>
          <w:noProof/>
        </w:rPr>
      </w:pPr>
      <w:r>
        <w:t>sur la proposition de décision du Parlement européen et du Conseil relative à la mobilisation du Fonds européen d’ajustement à la mondialisation en faveur des travailleurs licenciés à la suite d’une demande présentée par l’Espagne – EGF/2026/002 ES/Galicia automotive ancillary</w:t>
      </w:r>
    </w:p>
    <w:p w:rsidR="00365F38" w:rsidRPr="005F1A81" w:rsidP="00365F38" w14:paraId="45EC0EC7" w14:textId="77777777">
      <w:pPr>
        <w:pStyle w:val="NormalBold"/>
        <w:rPr>
          <w:noProof/>
        </w:rPr>
      </w:pPr>
      <w:r>
        <w:t>(COM(2026)0170 – C10</w:t>
      </w:r>
      <w:r>
        <w:noBreakHyphen/>
        <w:t>0198/2026 – 2026/0195(BUD))</w:t>
      </w:r>
    </w:p>
    <w:p w:rsidR="00365F38" w:rsidRPr="005F1A81" w:rsidP="00365F38" w14:paraId="0BFFBE64" w14:textId="77777777">
      <w:pPr>
        <w:pStyle w:val="EPComma"/>
        <w:rPr>
          <w:noProof/>
        </w:rPr>
      </w:pPr>
      <w:r>
        <w:rPr>
          <w:i/>
        </w:rPr>
        <w:t>Le Parlement européen</w:t>
      </w:r>
      <w:r>
        <w:t>,</w:t>
      </w:r>
    </w:p>
    <w:p w:rsidR="00365F38" w:rsidRPr="00504767" w:rsidP="00365F38" w14:paraId="6D37AA7D" w14:textId="77777777">
      <w:pPr>
        <w:pStyle w:val="NormalHanging12a"/>
        <w:rPr>
          <w:noProof/>
        </w:rPr>
      </w:pPr>
      <w:r>
        <w:t>–</w:t>
      </w:r>
      <w:r>
        <w:tab/>
        <w:t>vu la proposition de la Commission au Parlement européen et au Conseil (COM(2026)0170 – C10</w:t>
      </w:r>
      <w:r>
        <w:noBreakHyphen/>
        <w:t>0198/2026),</w:t>
      </w:r>
    </w:p>
    <w:p w:rsidR="00365F38" w:rsidRPr="00504767" w:rsidP="00365F38" w14:paraId="0B94650A" w14:textId="77777777">
      <w:pPr>
        <w:pStyle w:val="NormalHanging12a"/>
        <w:rPr>
          <w:noProof/>
        </w:rPr>
      </w:pPr>
      <w:r>
        <w:t>–</w:t>
      </w:r>
      <w:r>
        <w:tab/>
        <w:t>vu le règlement (UE) 2021/691 du Parlement européen et du Conseil du 28 avril 2021 relatif au Fonds européen d’ajustement à la mondialisation en faveur des travailleurs licenciés (FEM) et abrogeant le règlement (UE) nº 1309/2013</w:t>
      </w:r>
      <w:r>
        <w:rPr>
          <w:noProof/>
          <w:vertAlign w:val="superscript"/>
        </w:rPr>
        <w:footnoteReference w:id="2"/>
      </w:r>
      <w:r>
        <w:t xml:space="preserve"> (ci-après dénommé «règlement FEM»), tel que modifié par le règlement (UE) 2026/1139</w:t>
      </w:r>
      <w:r>
        <w:rPr>
          <w:noProof/>
          <w:vertAlign w:val="superscript"/>
        </w:rPr>
        <w:footnoteReference w:id="3"/>
      </w:r>
      <w:r>
        <w:t>,</w:t>
      </w:r>
    </w:p>
    <w:p w:rsidR="00365F38" w:rsidRPr="00504767" w:rsidP="00365F38" w14:paraId="56F4EC33" w14:textId="77777777">
      <w:pPr>
        <w:pStyle w:val="NormalHanging12a"/>
        <w:rPr>
          <w:noProof/>
        </w:rPr>
      </w:pPr>
      <w:r>
        <w:t>–</w:t>
      </w:r>
      <w:r>
        <w:tab/>
        <w:t>vu le règlement (UE, Euratom) 2020/2093 du Conseil du 17 décembre 2020 fixant le cadre financier pluriannuel pour les années 2021 à 2027</w:t>
      </w:r>
      <w:r>
        <w:rPr>
          <w:noProof/>
          <w:vertAlign w:val="superscript"/>
        </w:rPr>
        <w:footnoteReference w:id="4"/>
      </w:r>
      <w:r>
        <w:t>, tel que modifié par le règlement (UE, Euratom) 2024/765</w:t>
      </w:r>
      <w:r>
        <w:rPr>
          <w:noProof/>
          <w:vertAlign w:val="superscript"/>
        </w:rPr>
        <w:footnoteReference w:id="5"/>
      </w:r>
      <w:r>
        <w:t>, et notamment son article 8,</w:t>
      </w:r>
    </w:p>
    <w:p w:rsidR="00365F38" w:rsidRPr="00504767" w:rsidP="00365F38" w14:paraId="0D1649E1" w14:textId="77777777">
      <w:pPr>
        <w:pStyle w:val="NormalHanging12a"/>
        <w:rPr>
          <w:noProof/>
        </w:rPr>
      </w:pPr>
      <w:r>
        <w:t>–</w:t>
      </w:r>
      <w:r>
        <w:tab/>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Pr>
          <w:noProof/>
          <w:vertAlign w:val="superscript"/>
        </w:rPr>
        <w:footnoteReference w:id="6"/>
      </w:r>
      <w:r>
        <w:t>, et notamment son point 9,</w:t>
      </w:r>
    </w:p>
    <w:p w:rsidR="00365F38" w:rsidRPr="00504767" w:rsidP="00365F38" w14:paraId="2B1CFF0D" w14:textId="77777777">
      <w:pPr>
        <w:pStyle w:val="NormalHanging12a"/>
        <w:rPr>
          <w:noProof/>
        </w:rPr>
      </w:pPr>
      <w:r>
        <w:t>–</w:t>
      </w:r>
      <w:r>
        <w:tab/>
        <w:t>vu le socle européen des droits sociaux,</w:t>
      </w:r>
    </w:p>
    <w:p w:rsidR="00365F38" w:rsidRPr="00504767" w:rsidP="00365F38" w14:paraId="1271660D" w14:textId="77777777">
      <w:pPr>
        <w:pStyle w:val="NormalHanging12a"/>
        <w:rPr>
          <w:noProof/>
        </w:rPr>
      </w:pPr>
      <w:r>
        <w:t>–</w:t>
      </w:r>
      <w:r>
        <w:tab/>
        <w:t>vu la lettre de la commission de l’emploi et des affaires sociales,</w:t>
      </w:r>
    </w:p>
    <w:p w:rsidR="00365F38" w:rsidRPr="00504767" w:rsidP="00365F38" w14:paraId="2364A969" w14:textId="77777777">
      <w:pPr>
        <w:pStyle w:val="NormalHanging12a"/>
        <w:rPr>
          <w:noProof/>
        </w:rPr>
      </w:pPr>
      <w:r>
        <w:t>–</w:t>
      </w:r>
      <w:r>
        <w:tab/>
        <w:t>vu le rapport de la commission des budgets (A10-0242/2026),</w:t>
      </w:r>
    </w:p>
    <w:p w:rsidR="00365F38" w:rsidRPr="00504767" w:rsidP="00365F38" w14:paraId="67C3ECD2" w14:textId="77777777">
      <w:pPr>
        <w:pStyle w:val="NormalHanging12a"/>
        <w:rPr>
          <w:noProof/>
        </w:rPr>
      </w:pPr>
      <w:r>
        <w:t>A.</w:t>
      </w:r>
      <w:r>
        <w:tab/>
        <w:t>considérant que l’Union a mis en place des instruments législatifs et budgétaires pour apporter une aide complémentaire aux travailleurs qui subissent les conséquences d’événements et de changements majeurs touchant la structure du commerce international ou qui sont concernés par un licenciement imminent dans des entreprises en cours de restructuration, et pour les accompagner dans leur réinsertion rapide sur le marché du travail ou leur transition professionnelle et leur assurer la formation nécessaire pour les doter de compétences adaptées aux besoins du marché du travail; que cette aide est fournie sous la forme d’un soutien financier accordé aux travailleurs;</w:t>
      </w:r>
    </w:p>
    <w:p w:rsidR="00365F38" w:rsidRPr="00504767" w:rsidP="00365F38" w14:paraId="62611FA9" w14:textId="77777777">
      <w:pPr>
        <w:pStyle w:val="NormalHanging12a"/>
        <w:rPr>
          <w:noProof/>
        </w:rPr>
      </w:pPr>
      <w:r>
        <w:t>B.</w:t>
      </w:r>
      <w:r>
        <w:tab/>
        <w:t>considérant que l’Espagne a présenté la demande EGF/2026/002 ES/Galicia automotive ancillary en vue d’obtenir une contribution financière du FEM à la suite de 671 licenciements</w:t>
      </w:r>
      <w:r>
        <w:rPr>
          <w:noProof/>
          <w:vertAlign w:val="superscript"/>
        </w:rPr>
        <w:footnoteReference w:id="7"/>
      </w:r>
      <w:r>
        <w:t xml:space="preserve"> dans les secteurs économiques relevant des divisions 25 (Fabrication de produits métalliques, à l’exception des machines et des équipements), 27 (Fabrication d’équipements électriques), 28 (Fabrication de machines et équipements), 29 (Industrie automobile) et 74 (Autres activités spécialisées, scientifiques et techniques) de la NACE Rév. 2 dans la région de Galice (ES11), dont 313 licenciements au total au cours d’une période de référence allant du 15 septembre 2025 au 15 janvier 2026, ces travailleurs ayant été licenciés de 20 entreprises différentes, et 358 licenciements en dehors de la période de référence;</w:t>
      </w:r>
    </w:p>
    <w:p w:rsidR="00365F38" w:rsidRPr="00504767" w:rsidP="00365F38" w14:paraId="43087B66" w14:textId="77777777">
      <w:pPr>
        <w:pStyle w:val="NormalHanging12a"/>
        <w:rPr>
          <w:noProof/>
        </w:rPr>
      </w:pPr>
      <w:r>
        <w:t>C.</w:t>
      </w:r>
      <w:r>
        <w:tab/>
        <w:t>considérant que la demande est fondée sur les critères d’intervention visés à l’article 4, paragraphe 2, point c), du règlement FEM; que, pour les 358 licenciements de travailleurs dont l’activité a cessé avant ou après la période de référence de quatre mois, un lien de causalité clair peut être établi avec l’événement ayant déclenché la cessation d’activité des travailleurs concernés au cours de ladite période, conformément à l’article 6 du règlement FEM;</w:t>
      </w:r>
    </w:p>
    <w:p w:rsidR="00365F38" w:rsidRPr="00504767" w:rsidP="00365F38" w14:paraId="3772CC33" w14:textId="77777777">
      <w:pPr>
        <w:pStyle w:val="NormalHanging12a"/>
        <w:rPr>
          <w:noProof/>
        </w:rPr>
      </w:pPr>
      <w:r>
        <w:t>D.</w:t>
      </w:r>
      <w:r>
        <w:tab/>
        <w:t>considérant que la situation économique du secteur espagnol des équipementiers automobiles s’est détériorée depuis 2024, le secteur affichant une baisse constante des recettes et de l’emploi qui s’explique par une restructuration générale des marchés clients des fournisseurs espagnols de composants automobiles et de leur main-d’œuvre; que, malgré ces difficultés, la Galice conserve une base automobile solide, dotée d’une grande capacité d’emploi, d’investissement et d’exportation; que ces phénomènes mettent en évidence la nécessité de renforcer la compétitivité et la résilience de l’industrie automobile européenne et de sa chaîne d’approvisionnement ainsi que de conserver une base industrielle solide et des emplois de qualité dans l’Union;</w:t>
      </w:r>
    </w:p>
    <w:p w:rsidR="00365F38" w:rsidRPr="00504767" w:rsidP="00365F38" w14:paraId="4A1099B1" w14:textId="77777777">
      <w:pPr>
        <w:pStyle w:val="NormalHanging12a"/>
        <w:rPr>
          <w:noProof/>
        </w:rPr>
      </w:pPr>
      <w:r>
        <w:t>E.</w:t>
      </w:r>
      <w:r>
        <w:tab/>
        <w:t>considérant que les exigences fixées dans la législation nationale et dans celle de l’Union concernant les licenciements collectifs ont été respectées;</w:t>
      </w:r>
    </w:p>
    <w:p w:rsidR="00365F38" w:rsidRPr="00504767" w:rsidP="00365F38" w14:paraId="79E4FAFB" w14:textId="77777777">
      <w:pPr>
        <w:pStyle w:val="NormalHanging12a"/>
        <w:rPr>
          <w:noProof/>
        </w:rPr>
      </w:pPr>
      <w:r>
        <w:t>F.</w:t>
      </w:r>
      <w:r>
        <w:tab/>
        <w:t>considérant que les contributions financières du FEM devraient essentiellement être orientées vers des mesures actives ciblant le marché du travail et vers des services personnalisés visant à réinsérer rapidement leurs bénéficiaires dans des emplois de décents et durables ou à les aider à mener à bien leur transition professionnelle, tout en leur offrant des formations pour faciliter leur réinsertion sur le marché du travail;</w:t>
      </w:r>
    </w:p>
    <w:p w:rsidR="00365F38" w:rsidRPr="00504767" w:rsidP="00365F38" w14:paraId="607D6DA9" w14:textId="77777777">
      <w:pPr>
        <w:pStyle w:val="NormalHanging12a"/>
        <w:rPr>
          <w:noProof/>
        </w:rPr>
      </w:pPr>
      <w:r>
        <w:t>G.</w:t>
      </w:r>
      <w:r>
        <w:tab/>
        <w:t>considérant que le recours au FEM reste limité et géographiquement inégal dans l’ensemble de l’Union; que plusieurs États membres n’ont pas encore eu recours au FEM, bien qu’ils connaissent des restructurations et des suppressions d’emplois; qu’une sensibilisation accrue, un cadre législatif adapté, une concertation plus en amont avec les partenaires sociaux et une assistance technique renforcée à l’intention des autorités nationales et régionales sont nécessaires pour assurer la visibilité du FEM ainsi qu’un accès rapide et effectif à celui-ci pour les travailleurs admissibles et les régions touchées par des événements de restructuration majeurs;</w:t>
      </w:r>
      <w:r>
        <w:rPr>
          <w:b/>
          <w:i/>
        </w:rPr>
        <w:t xml:space="preserve"> </w:t>
      </w:r>
    </w:p>
    <w:p w:rsidR="00365F38" w:rsidRPr="00504767" w:rsidP="00365F38" w14:paraId="46E4DD9C" w14:textId="77777777">
      <w:pPr>
        <w:pStyle w:val="NormalHanging12a"/>
        <w:rPr>
          <w:noProof/>
        </w:rPr>
      </w:pPr>
      <w:r>
        <w:t>H.</w:t>
      </w:r>
      <w:r>
        <w:tab/>
        <w:t xml:space="preserve">considérant que la dotation annuelle du FEM ne peut excéder 30 millions d’EUR (aux </w:t>
      </w:r>
      <w:r>
        <w:t>prix de 2018)</w:t>
      </w:r>
      <w:r>
        <w:rPr>
          <w:noProof/>
          <w:vertAlign w:val="superscript"/>
        </w:rPr>
        <w:footnoteReference w:id="8"/>
      </w:r>
      <w:r>
        <w:t xml:space="preserve">; </w:t>
      </w:r>
    </w:p>
    <w:p w:rsidR="00365F38" w:rsidRPr="00504767" w:rsidP="00365F38" w14:paraId="5516951E" w14:textId="77777777">
      <w:pPr>
        <w:pStyle w:val="NormalHanging12a"/>
        <w:rPr>
          <w:noProof/>
        </w:rPr>
      </w:pPr>
      <w:r>
        <w:t>1.</w:t>
      </w:r>
      <w:r>
        <w:tab/>
        <w:t>convient avec la Commission que les conditions fixées dans le règlement FEM, et notamment à l’article 4, paragraphe 2, point c), sont remplies et que l’Espagne a droit, au titre de ce règlement, à une contribution financière d’un montant de 2 725 100 EUR, soit 85 % du coût total de 3 206 000 EUR, qui correspond aux dépenses afférentes aux services personnalisés à concurrence de 3 046 000 EUR et aux dépenses afférentes aux activités de préparation, de gestion, d’information et de publicité, ainsi qu’aux activités de contrôle et d’établissement de rapports, à concurrence de 160 000 EUR;</w:t>
      </w:r>
    </w:p>
    <w:p w:rsidR="00365F38" w:rsidRPr="00504767" w:rsidP="00365F38" w14:paraId="5E638BDE" w14:textId="77777777">
      <w:pPr>
        <w:pStyle w:val="NormalHanging12a"/>
        <w:rPr>
          <w:noProof/>
        </w:rPr>
      </w:pPr>
      <w:r>
        <w:t>2.</w:t>
      </w:r>
      <w:r>
        <w:tab/>
        <w:t xml:space="preserve">constate que les autorités espagnoles ont présenté leur demande le 7 avril 2026 et que, après avoir reçu des informations complémentaires de leur part, la Commission a achevé son évaluation le 16 juillet 2026 et l’a communiquée au Parlement le 24 août 2026; </w:t>
      </w:r>
    </w:p>
    <w:p w:rsidR="00365F38" w:rsidRPr="00504767" w:rsidP="00365F38" w14:paraId="2BF9BA09" w14:textId="77777777">
      <w:pPr>
        <w:pStyle w:val="NormalHanging12a"/>
        <w:rPr>
          <w:noProof/>
        </w:rPr>
      </w:pPr>
      <w:r>
        <w:t>3.</w:t>
      </w:r>
      <w:r>
        <w:tab/>
        <w:t>relève que la demande concerne 671 travailleurs licenciés dans le secteur des équipements automobiles de Galice; relève également que 400 travailleurs licenciés résidant en Galice seront les bénéficiaires visés;</w:t>
      </w:r>
    </w:p>
    <w:p w:rsidR="00365F38" w:rsidRPr="00504767" w:rsidP="00365F38" w14:paraId="2662C4D0" w14:textId="77777777">
      <w:pPr>
        <w:pStyle w:val="NormalHanging12a"/>
        <w:rPr>
          <w:noProof/>
        </w:rPr>
      </w:pPr>
      <w:r>
        <w:t>4.</w:t>
      </w:r>
      <w:r>
        <w:tab/>
        <w:t>constate que les entreprises de fabrication de composants automobiles de Galice sont fortement orientées vers l’exportation, 60 à 70 % de leur production étant destinée à l’Union; déplore qu’une combinaison de facteurs, notamment la demande européenne plus faible que prévu et les perturbations des échanges et de la chaîne d’approvisionnement, ait entraîné des ajustements structurels tout au long de la chaîne de valeur du secteur automobile en Galice, donnant lieu à des dispositifs de chômage temporaire et à des licenciements, à des procédures d’insolvabilité et à des liquidations; observe que, sur le territoire le plus touché par les licenciements, à savoir la région de Vigo, le taux de chômage s’élève à 11,2 %, soit près du double de la moyenne de l’Union (5,8 %); souligne que ces évolutions mettent en évidence l’importance d’un environnement économique compétitif, stable et propice à l’innovation, qui encourage les investissements en faveur de la double transition et permette aux entreprises automobiles et à leurs fournisseurs de s’adapter aux changements structurels et technologiques tout en préservant la production et l’emploi de qualité en Europe; souligne que le secteur de l’automobile et de la mobilité en Galice a clôturé l’exercice 2025 avec un chiffre d’affaires de 13,3 milliards d’euros, soit une hausse de 5 % par rapport à l’année précédente</w:t>
      </w:r>
      <w:r>
        <w:rPr>
          <w:rStyle w:val="FootnoteReference"/>
          <w:bCs/>
          <w:iCs/>
        </w:rPr>
        <w:footnoteReference w:id="9"/>
      </w:r>
      <w:r>
        <w:t>;</w:t>
      </w:r>
    </w:p>
    <w:p w:rsidR="00365F38" w:rsidRPr="00504767" w:rsidP="00365F38" w14:paraId="3625155D" w14:textId="77777777">
      <w:pPr>
        <w:pStyle w:val="NormalHanging12a"/>
        <w:rPr>
          <w:bCs/>
          <w:iCs/>
        </w:rPr>
      </w:pPr>
      <w:r>
        <w:t xml:space="preserve">5. </w:t>
      </w:r>
      <w:r>
        <w:tab/>
        <w:t>souligne qu’il faut à l’Union un environnement économique stable, prévisible et favorable à l’innovation qui soutienne le développement technologique et renforce la compétitivité; rappelle que des entreprises fortes et compétitives sont essentielles pour maintenir des emplois de qualité, stimuler la croissance économique, promouvoir la cohésion territoriale, économique et sociale et renforcer la résilience stratégique de l’Europe;</w:t>
      </w:r>
    </w:p>
    <w:p w:rsidR="00365F38" w:rsidRPr="00504767" w:rsidP="00365F38" w14:paraId="47B1544C" w14:textId="77777777">
      <w:pPr>
        <w:pStyle w:val="NormalHanging12a"/>
        <w:rPr>
          <w:noProof/>
        </w:rPr>
      </w:pPr>
      <w:r>
        <w:t>6.</w:t>
      </w:r>
      <w:r>
        <w:tab/>
        <w:t xml:space="preserve">relève que le secteur automobile et de la mobilité en Galice a vu ses effectifs augmenter de 1,6 % en 2025, pour atteindre 23 900 emplois directs à la fin de l’année; souligne dès </w:t>
      </w:r>
      <w:r>
        <w:t xml:space="preserve">lors que les salariés licenciés doivent être réintégrés dans des emplois de qualité; </w:t>
      </w:r>
    </w:p>
    <w:p w:rsidR="00365F38" w:rsidRPr="00504767" w:rsidP="00365F38" w14:paraId="78FBB455" w14:textId="77777777">
      <w:pPr>
        <w:pStyle w:val="NormalHanging12a"/>
        <w:rPr>
          <w:noProof/>
        </w:rPr>
      </w:pPr>
      <w:r>
        <w:t>7.</w:t>
      </w:r>
      <w:r>
        <w:tab/>
        <w:t>constate que huit travailleurs licenciés sur dix ont un niveau d’éducation post-secondaire ou inférieur, et qu’un sur quatre est âgé de plus de 54 ans et fait face à des obstacles plus importants pour réintégrer le marché du travail; invite les autorités espagnoles et régionales à s’attaquer aux disparités sociales et aux obstacles structurels qui empêchent les travailleurs licenciés d’accéder à un emploi de qualité, dont l’inégalité d’accès à l’éducation et la discrimination liée à l’âge; prend acte du fait que l’industrie automobile galicienne emploie une grande proportion de travailleurs qualifiés et spécialisés et que le marché du travail régional n’a qu’une capacité limitée à réemployer immédiatement ces travailleurs spécialisés; souligne qu’il faut adapter les formations aux besoins du marché du travail au fur et à mesure de leur évolution afin de faciliter une réinsertion rapide dans l’emploi; souligne qu’il importe de favoriser la création d’emplois de qualité et tournés vers l’avenir afin de garantir la résilience économique et sociale à long terme; souligne que, dans le cadre des efforts de réinsertion, il convient de privilégier les emplois stables et de qualité plutôt que les contrats temporaires;</w:t>
      </w:r>
    </w:p>
    <w:p w:rsidR="00365F38" w:rsidRPr="00504767" w:rsidP="00365F38" w14:paraId="6B422114" w14:textId="77777777">
      <w:pPr>
        <w:pStyle w:val="NormalHanging12a"/>
        <w:rPr>
          <w:noProof/>
        </w:rPr>
      </w:pPr>
      <w:r>
        <w:t>8.</w:t>
      </w:r>
      <w:r>
        <w:tab/>
        <w:t>souligne, dans ce contexte, l’importance d’une coopération étroite avec les entreprises, les employeurs et les partenaires sociaux régionaux afin de recenser les possibilités d’emploi et de veiller à ce que les programmes de formation et de reconversion répondent aux besoins concrets du marché du travail;</w:t>
      </w:r>
    </w:p>
    <w:p w:rsidR="00365F38" w:rsidRPr="00504767" w:rsidP="00365F38" w14:paraId="62FBF460" w14:textId="77777777">
      <w:pPr>
        <w:pStyle w:val="NormalHanging12a"/>
        <w:rPr>
          <w:noProof/>
        </w:rPr>
      </w:pPr>
      <w:r>
        <w:t>9.</w:t>
      </w:r>
      <w:r>
        <w:tab/>
        <w:t>rappelle qu’en accord avec les syndicats, les autorités régionales et les partenaires sociaux, les services personnalisés devant être fournis aux travailleurs licenciés comprennent les mesures suivantes: information, phase d’accueil et profilage des travailleurs; orientation professionnelle; formation; aide à la recherche d’emploi; accompagnement; soutien financier et incitations afin de prévenir le chômage de longue durée, y compris pour les travailleurs âgés;</w:t>
      </w:r>
    </w:p>
    <w:p w:rsidR="00365F38" w:rsidRPr="00504767" w:rsidP="00365F38" w14:paraId="76DAE74E" w14:textId="77777777">
      <w:pPr>
        <w:pStyle w:val="NormalHanging12a"/>
        <w:rPr>
          <w:bCs/>
          <w:iCs/>
          <w:noProof/>
        </w:rPr>
      </w:pPr>
      <w:r>
        <w:t>10.</w:t>
      </w:r>
      <w:r>
        <w:tab/>
        <w:t>souligne que les autorités espagnoles et régionales doivent garantir la visibilité du financement de l’Union et mettre en évidence sa valeur ajoutée en fournissant en temps opportun des informations efficaces et claires aux bénéficiaires, aux collectivités régionales et locales, aux partenaires sociaux et au grand public; souligne que le FEM est l’expression concrète de la solidarité européenne et démontre que l’Union est aux côtés des travailleurs et des collectivités qui subissent les conséquences de grandes transformations économiques et structurelles; souligne qu’il est essentiel de communiquer clairement sur le soutien apporté par l’intermédiaire du FEM pour mettre en avant les avantages concrets de l’action de l’Union et renforcer la confiance des citoyens dans le projet européen;</w:t>
      </w:r>
    </w:p>
    <w:p w:rsidR="00365F38" w:rsidRPr="00504767" w:rsidP="00365F38" w14:paraId="46E892C6" w14:textId="77777777">
      <w:pPr>
        <w:pStyle w:val="NormalHanging12a"/>
        <w:rPr>
          <w:noProof/>
        </w:rPr>
      </w:pPr>
      <w:r>
        <w:t>11.</w:t>
      </w:r>
      <w:r>
        <w:tab/>
        <w:t>souligne qu’il faut faire mieux connaître le FEM dans certains États membres et en renforcer la visibilité; invite la Commission, en coopération avec les États membres et les partenaires sociaux, à renforcer les actions de sensibilisation et l’assistance technique, en accordant une attention particulière aux autorités nationales et régionales n’ayant qu’une expérience limitée dans l’accès au soutien du FEM ou n’en ayant aucune;</w:t>
      </w:r>
    </w:p>
    <w:p w:rsidR="00365F38" w:rsidRPr="00504767" w:rsidP="00365F38" w14:paraId="63537E15" w14:textId="77777777">
      <w:pPr>
        <w:pStyle w:val="NormalHanging12a"/>
        <w:rPr>
          <w:noProof/>
        </w:rPr>
      </w:pPr>
      <w:r>
        <w:t>12.</w:t>
      </w:r>
      <w:r>
        <w:tab/>
        <w:t xml:space="preserve">demande que les mesures mises en œuvre fassent l’objet d’évaluations finales </w:t>
      </w:r>
      <w:r>
        <w:t>approfondies, portant notamment sur la manière dont les fonds ont été utilisés, sur la réinsertion des travailleurs sur le marché du travail et sur la réalisation ou non des objectifs du FEM; souligne qu’un suivi régulier doit évaluer l’efficacité des mesures financées et permettre de vérifier que le financement du FEM concourt bel et bien à la réinsertion rapide et durable des bénéficiaires dans un emploi de qualité;</w:t>
      </w:r>
    </w:p>
    <w:p w:rsidR="00365F38" w:rsidRPr="00504767" w:rsidP="00365F38" w14:paraId="1518E8C3" w14:textId="77777777">
      <w:pPr>
        <w:pStyle w:val="NormalHanging12a"/>
        <w:rPr>
          <w:noProof/>
        </w:rPr>
      </w:pPr>
      <w:r>
        <w:t xml:space="preserve">13. </w:t>
      </w:r>
      <w:r>
        <w:tab/>
        <w:t>rappelle que les autorités nationales et régionales doivent garantir l’égalité des chances entre les hommes et les femmes, en veillant à ce que cette égalité soit prise en compte et encouragée tout au long de la mise en œuvre des mesures du FEM;</w:t>
      </w:r>
    </w:p>
    <w:p w:rsidR="00365F38" w:rsidRPr="00504767" w:rsidP="00365F38" w14:paraId="77A6415A" w14:textId="77777777">
      <w:pPr>
        <w:pStyle w:val="NormalHanging12a"/>
        <w:rPr>
          <w:noProof/>
        </w:rPr>
      </w:pPr>
      <w:r>
        <w:t>14.</w:t>
      </w:r>
      <w:r>
        <w:tab/>
        <w:t>relève que l’Espagne a commencé à fournir des services personnalisés aux bénéficiaires visés et à engager des dépenses administratives afin de mettre en œuvre le FEM respectivement le 1</w:t>
      </w:r>
      <w:r>
        <w:rPr>
          <w:vertAlign w:val="superscript"/>
        </w:rPr>
        <w:t>er</w:t>
      </w:r>
      <w:r>
        <w:t> septembre 2026 et le 1</w:t>
      </w:r>
      <w:r>
        <w:rPr>
          <w:vertAlign w:val="superscript"/>
        </w:rPr>
        <w:t>er</w:t>
      </w:r>
      <w:r>
        <w:t> juillet 2026, et que la période d’éligibilité au bénéfice d’une contribution financière du FEM courra de ces dates jusqu’à l’expiration d’un délai de respectivement 24 mois et 31 mois à compter de la date d’entrée en vigueur de la décision de financement;</w:t>
      </w:r>
    </w:p>
    <w:p w:rsidR="00365F38" w:rsidRPr="00504767" w:rsidP="00365F38" w14:paraId="40260298" w14:textId="77777777">
      <w:pPr>
        <w:pStyle w:val="NormalHanging12a"/>
        <w:rPr>
          <w:noProof/>
        </w:rPr>
      </w:pPr>
      <w:r>
        <w:t>15.</w:t>
      </w:r>
      <w:r>
        <w:tab/>
        <w:t>constate que les autorités espagnoles ont donné l’assurance que les principes d’égalité de traitement et de non-discrimination seraient respectés dans les mesures proposées et leur mise en œuvre, et que tout double financement serait évité;</w:t>
      </w:r>
    </w:p>
    <w:p w:rsidR="00365F38" w:rsidRPr="00504767" w:rsidP="00365F38" w14:paraId="0D3E6673" w14:textId="77777777">
      <w:pPr>
        <w:pStyle w:val="NormalHanging12a"/>
        <w:rPr>
          <w:noProof/>
        </w:rPr>
      </w:pPr>
      <w:r>
        <w:t>16.</w:t>
      </w:r>
      <w:r>
        <w:tab/>
        <w:t>rappelle que l’aide du FEM ne doit pas se substituer aux actions relevant de la responsabilité des autorités publiques ou des entreprises en vertu du droit national ou de conventions collectives; rappelle que le FEM est un mécanisme limité, ciblé et complémentaire et qu’il doit s’accompagner de politiques économiques et sociales structurelles plus larges destinées à soutenir une croissance économique durable, à favoriser un environnement économique stable et propice à l’innovation et à protéger les entreprises, les opérateurs économiques et leurs travailleurs dans l’Union;</w:t>
      </w:r>
    </w:p>
    <w:p w:rsidR="00365F38" w:rsidRPr="00504767" w:rsidP="00365F38" w14:paraId="2DED0C77" w14:textId="77777777">
      <w:pPr>
        <w:pStyle w:val="NormalHanging12a"/>
        <w:rPr>
          <w:noProof/>
        </w:rPr>
      </w:pPr>
      <w:r>
        <w:t>17.</w:t>
      </w:r>
      <w:r>
        <w:tab/>
        <w:t>reconnaît que les défis auxquels est confronté le secteur automobile ne se limitent pas à la Galice ou à l’Espagne, mais touchent les chaînes de valeur automobiles et leurs travailleurs dans plusieurs États membres; invite la Commission à suivre de près l’évolution de l’emploi dans le secteur automobile européen et à mettre en place, si nécessaire, des mesures ciblées pour soutenir les travailleurs, les régions et les entreprises européennes confrontées à des transformations structurelles, notamment au moyen d’instruments venant compléter le FEM; souligne qu’une réponse européenne coordonnée est essentielle pour préserver la base industrielle, les emplois qualifiés et la compétitivité de l’Europe et assurer une transition équitable pour les travailleurs;</w:t>
      </w:r>
    </w:p>
    <w:p w:rsidR="00365F38" w:rsidRPr="00504767" w:rsidP="00365F38" w14:paraId="7A03FE07" w14:textId="77777777">
      <w:pPr>
        <w:pStyle w:val="NormalHanging12a"/>
        <w:rPr>
          <w:noProof/>
        </w:rPr>
      </w:pPr>
      <w:r>
        <w:t>18.</w:t>
      </w:r>
      <w:r>
        <w:tab/>
        <w:t>approuve la décision annexée à la présente résolution;</w:t>
      </w:r>
    </w:p>
    <w:p w:rsidR="00365F38" w:rsidRPr="00504767" w:rsidP="00365F38" w14:paraId="063559B8" w14:textId="77777777">
      <w:pPr>
        <w:pStyle w:val="NormalHanging12a"/>
        <w:rPr>
          <w:noProof/>
        </w:rPr>
      </w:pPr>
      <w:r>
        <w:t>19.</w:t>
      </w:r>
      <w:r>
        <w:tab/>
        <w:t xml:space="preserve">charge sa Présidente de signer cette décision avec le Président du Conseil et d’en assurer la publication au </w:t>
      </w:r>
      <w:r>
        <w:rPr>
          <w:i/>
          <w:iCs/>
        </w:rPr>
        <w:t>Journal officiel de l’Union européenne</w:t>
      </w:r>
      <w:r>
        <w:t>;</w:t>
      </w:r>
    </w:p>
    <w:p w:rsidR="00365F38" w:rsidRPr="00504767" w:rsidP="00365F38" w14:paraId="47BF8F08" w14:textId="77777777">
      <w:pPr>
        <w:pStyle w:val="NormalHanging12a"/>
        <w:rPr>
          <w:noProof/>
        </w:rPr>
      </w:pPr>
      <w:r>
        <w:t>20.</w:t>
      </w:r>
      <w:r>
        <w:tab/>
        <w:t>charge sa Présidente de transmettre la présente résolution, y compris son annexe, au Conseil et à la Commission.</w:t>
      </w:r>
    </w:p>
    <w:p w:rsidR="00365F38" w:rsidRPr="005F1A81" w:rsidP="00365F38" w14:paraId="1ADEFFAC" w14:textId="77777777">
      <w:pPr>
        <w:sectPr w:rsidSect="00365F38">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365F38" w:rsidRPr="005F1A81" w:rsidP="00365F38" w14:paraId="23662A52" w14:textId="77777777">
      <w:pPr>
        <w:pStyle w:val="PageHeading"/>
        <w:rPr>
          <w:noProof/>
        </w:rPr>
      </w:pPr>
      <w:bookmarkStart w:id="2" w:name="_Toc239682964"/>
      <w:bookmarkStart w:id="3" w:name="_Toc241747116"/>
      <w:bookmarkEnd w:id="0"/>
      <w:r>
        <w:t>ANNEXE: DÉCISION DU PARLEMENT EUROPÉEN ET DU CONSEIL</w:t>
      </w:r>
      <w:bookmarkEnd w:id="3"/>
    </w:p>
    <w:p w:rsidR="00365F38" w:rsidRPr="00504767" w:rsidP="00365F38" w14:paraId="217255BF" w14:textId="77777777">
      <w:pPr>
        <w:pStyle w:val="NormalBold24a"/>
      </w:pPr>
      <w:r>
        <w:t>relative à la mobilisation du Fonds européen d’ajustement à la mondialisation en faveur des travailleurs licenciés à la suite d’une demande présentée par l’Espagne – EGF/2026/002 ES/Galicia automotive ancillary</w:t>
      </w:r>
    </w:p>
    <w:p w:rsidR="00365F38" w:rsidRPr="00504767" w:rsidP="00365F38" w14:paraId="3A503E94" w14:textId="77777777">
      <w:pPr>
        <w:pStyle w:val="NormalHanging12a"/>
        <w:jc w:val="both"/>
      </w:pPr>
      <w:r>
        <w:t>LE PARLEMENT EUROPÉEN ET LE CONSEIL DE L’UNION EUROPÉENNE,</w:t>
      </w:r>
    </w:p>
    <w:p w:rsidR="00365F38" w:rsidRPr="00504767" w:rsidP="00365F38" w14:paraId="337D8477" w14:textId="77777777">
      <w:pPr>
        <w:pStyle w:val="NormalHanging12a"/>
        <w:jc w:val="both"/>
      </w:pPr>
      <w:r>
        <w:t>vu le traité sur le fonctionnement de l’Union européenne,</w:t>
      </w:r>
    </w:p>
    <w:p w:rsidR="00365F38" w:rsidRPr="00504767" w:rsidP="00365F38" w14:paraId="714F94C1" w14:textId="77777777">
      <w:pPr>
        <w:pStyle w:val="NormalHanging12a"/>
        <w:ind w:left="0" w:firstLine="0"/>
        <w:jc w:val="both"/>
      </w:pPr>
      <w:r>
        <w:t>vu le règlement (UE) 2021/691 du Parlement européen et du Conseil du 28 avril 2021 relatif au Fonds européen d’ajustement à la mondialisation en faveur des travailleurs licenciés (FEM) et abrogeant le règlement (UE) nº 1309/2013</w:t>
      </w:r>
      <w:r>
        <w:rPr>
          <w:vertAlign w:val="superscript"/>
        </w:rPr>
        <w:footnoteReference w:id="10"/>
      </w:r>
      <w:r>
        <w:t>, et notamment son article 15, paragraphe 1, premier alinéa,</w:t>
      </w:r>
    </w:p>
    <w:p w:rsidR="00365F38" w:rsidRPr="00504767" w:rsidP="00365F38" w14:paraId="150AB3EA" w14:textId="77777777">
      <w:pPr>
        <w:pStyle w:val="NormalHanging12a"/>
        <w:ind w:left="0" w:firstLine="0"/>
        <w:jc w:val="both"/>
      </w:pPr>
      <w:r>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Pr>
          <w:vertAlign w:val="superscript"/>
        </w:rPr>
        <w:footnoteReference w:id="11"/>
      </w:r>
      <w:r>
        <w:t>, et notamment son point 9,</w:t>
      </w:r>
    </w:p>
    <w:p w:rsidR="00365F38" w:rsidRPr="00504767" w:rsidP="00365F38" w14:paraId="56A4DEF7" w14:textId="77777777">
      <w:pPr>
        <w:pStyle w:val="NormalHanging12a"/>
        <w:jc w:val="both"/>
      </w:pPr>
      <w:r>
        <w:t>vu la proposition de la Commission européenne,</w:t>
      </w:r>
    </w:p>
    <w:p w:rsidR="00365F38" w:rsidRPr="00504767" w:rsidP="00365F38" w14:paraId="0E0A8419" w14:textId="77777777">
      <w:pPr>
        <w:pStyle w:val="NormalHanging12a"/>
        <w:jc w:val="both"/>
      </w:pPr>
      <w:r>
        <w:t>considérant ce qui suit:</w:t>
      </w:r>
    </w:p>
    <w:p w:rsidR="00365F38" w:rsidRPr="00504767" w:rsidP="00365F38" w14:paraId="447A68CE" w14:textId="77777777">
      <w:pPr>
        <w:pStyle w:val="NormalHanging12a"/>
        <w:jc w:val="both"/>
      </w:pPr>
      <w:r>
        <w:t xml:space="preserve">(1) </w:t>
      </w:r>
      <w:r>
        <w:tab/>
        <w:t>Le Fonds européen d’ajustement à la mondialisation en faveur des travailleurs licenciés (ci-après dénommé «Fonds») vise à faire preuve de solidarité et à promouvoir des emplois décents et durables dans l’Union en apportant un soutien aux travailleurs licenciés et aux travailleurs indépendants dont l’activité a cessé par la suite de restructurations de grande ampleur, et à aider ces travailleurs à retrouver, dès que possible, un emploi décent et durable.</w:t>
      </w:r>
    </w:p>
    <w:p w:rsidR="00365F38" w:rsidRPr="00504767" w:rsidP="00365F38" w14:paraId="271389BE" w14:textId="77777777">
      <w:pPr>
        <w:pStyle w:val="NormalHanging12a"/>
        <w:jc w:val="both"/>
      </w:pPr>
      <w:r>
        <w:t>(2)</w:t>
      </w:r>
      <w:r>
        <w:tab/>
        <w:t>La dotation annuelle du FEM n’excède pas 30 millions d’euros (aux prix de 2018), comme le prévoient l’article 8 du règlement (UE, Euratom) 2020/2093 du Conseil</w:t>
      </w:r>
      <w:r>
        <w:rPr>
          <w:i/>
          <w:vertAlign w:val="superscript"/>
        </w:rPr>
        <w:footnoteReference w:id="12"/>
      </w:r>
      <w:r>
        <w:t>,</w:t>
      </w:r>
      <w:r>
        <w:rPr>
          <w:vertAlign w:val="superscript"/>
        </w:rPr>
        <w:t xml:space="preserve"> </w:t>
      </w:r>
      <w:r>
        <w:t xml:space="preserve"> tel que modifié par le règlement (UE, Euratom) 2024/765 du Conseil</w:t>
      </w:r>
      <w:r>
        <w:rPr>
          <w:i/>
          <w:vertAlign w:val="superscript"/>
        </w:rPr>
        <w:footnoteReference w:id="13"/>
      </w:r>
      <w:r>
        <w:t>, et l’article 16 du règlement (UE) 2021/691.</w:t>
      </w:r>
    </w:p>
    <w:p w:rsidR="00365F38" w:rsidRPr="00504767" w:rsidP="00365F38" w14:paraId="33980EDF" w14:textId="77777777">
      <w:pPr>
        <w:pStyle w:val="NormalHanging12a"/>
        <w:jc w:val="both"/>
      </w:pPr>
      <w:r>
        <w:t>(3)</w:t>
      </w:r>
      <w:r>
        <w:tab/>
        <w:t xml:space="preserve">Le 7 avril 2026, l’Espagne a introduit une demande de mobilisation du Fonds, conformément à l’article 8, paragraphe 1, du règlement (UE) 2021/691, concernant des licenciements intervenus dans les secteurs d’activité économique relevant des divisions 25 (Fabrication de produits métalliques, à l’exception des machines et des équipements), 27 (Fabrication d’équipements électriques), 28 (Fabrication de machines </w:t>
      </w:r>
      <w:r>
        <w:t>et équipements), 29 (Industrie automobile) et 74 (Autres activités spécialisées, scientifiques et techniques) de la nomenclature statistique des activités économiques dans la Communauté européenne («NACE») Rév. 2 situés dans la région de niveau 2 de la nomenclature des unités territoriales statistiques («NUTS») de Galice (ES11), en Espagne. Des informations complémentaires ont été fournies conformément à l’article 8, paragraphe 5, du règlement (UE) 2021/691. La demande est considérée comme remplissant les conditions d’octroi d’une contribution financière du Fonds conformément à l’article 13 du règlement (UE) 2021/691, sur la base de l’évaluation effectuée par la Commission dans la proposition de décision du Parlement européen et du Conseil relative à la mobilisation du Fonds</w:t>
      </w:r>
      <w:r>
        <w:rPr>
          <w:vertAlign w:val="superscript"/>
        </w:rPr>
        <w:footnoteReference w:id="14"/>
      </w:r>
      <w:r>
        <w:t xml:space="preserve">. </w:t>
      </w:r>
    </w:p>
    <w:p w:rsidR="00365F38" w:rsidRPr="00504767" w:rsidP="00365F38" w14:paraId="6B7F5A79" w14:textId="77777777">
      <w:pPr>
        <w:pStyle w:val="NormalHanging12a"/>
        <w:jc w:val="both"/>
      </w:pPr>
      <w:r>
        <w:t xml:space="preserve">(4) </w:t>
      </w:r>
      <w:r>
        <w:tab/>
        <w:t xml:space="preserve">Il convient, par conséquent, de mobiliser le Fonds en vue d’octroyer une contribution financière d’un montant de 2 725 100 EUR en réponse à la demande présentée par l’Espagne. </w:t>
      </w:r>
    </w:p>
    <w:p w:rsidR="00365F38" w:rsidRPr="00504767" w:rsidP="00365F38" w14:paraId="0FBECF84" w14:textId="77777777">
      <w:pPr>
        <w:pStyle w:val="NormalHanging12a"/>
        <w:jc w:val="both"/>
      </w:pPr>
      <w:r>
        <w:t>(5)</w:t>
      </w:r>
      <w:r>
        <w:tab/>
        <w:t>Afin de limiter au maximum le délai nécessaire pour déclencher l’intervention du Fonds, la présente décision devrait s’appliquer à partir de la date de son adoption,</w:t>
      </w:r>
    </w:p>
    <w:p w:rsidR="00365F38" w:rsidRPr="00504767" w:rsidP="00365F38" w14:paraId="262BC2A9" w14:textId="77777777">
      <w:pPr>
        <w:pStyle w:val="NormalHanging12a"/>
        <w:jc w:val="both"/>
      </w:pPr>
      <w:r>
        <w:t>ONT ADOPTÉ LA PRÉSENTE DÉCISION:</w:t>
      </w:r>
    </w:p>
    <w:p w:rsidR="00365F38" w:rsidRPr="00504767" w:rsidP="00365F38" w14:paraId="77D7A0B6" w14:textId="77777777">
      <w:pPr>
        <w:pStyle w:val="NormalHanging12a"/>
        <w:jc w:val="center"/>
        <w:rPr>
          <w:i/>
          <w:iCs/>
        </w:rPr>
      </w:pPr>
      <w:r>
        <w:rPr>
          <w:i/>
        </w:rPr>
        <w:t>Article premier</w:t>
      </w:r>
    </w:p>
    <w:p w:rsidR="00365F38" w:rsidRPr="00504767" w:rsidP="00365F38" w14:paraId="263D65B9" w14:textId="77777777">
      <w:pPr>
        <w:pStyle w:val="NormalHanging12a"/>
        <w:ind w:left="0" w:firstLine="0"/>
      </w:pPr>
      <w:r>
        <w:t>Dans le cadre du budget général de l’Union établi pour l’exercice 2026, un montant de 2 725 100 EUR en crédits d’engagement et de paiement est mobilisé au titre du Fonds européen d’ajustement à la mondialisation en faveur des travailleurs licenciés.</w:t>
      </w:r>
    </w:p>
    <w:p w:rsidR="00365F38" w:rsidRPr="00504767" w:rsidP="00365F38" w14:paraId="1C742A93" w14:textId="77777777">
      <w:pPr>
        <w:pStyle w:val="NormalHanging12a"/>
        <w:jc w:val="center"/>
        <w:rPr>
          <w:i/>
          <w:iCs/>
        </w:rPr>
      </w:pPr>
      <w:r>
        <w:rPr>
          <w:i/>
        </w:rPr>
        <w:t>Article 2</w:t>
      </w:r>
    </w:p>
    <w:p w:rsidR="00365F38" w:rsidRPr="00504767" w:rsidP="00365F38" w14:paraId="2F91FE01" w14:textId="77777777">
      <w:pPr>
        <w:pStyle w:val="NormalHanging12a"/>
        <w:ind w:left="0" w:firstLine="0"/>
      </w:pPr>
      <w:r>
        <w:t xml:space="preserve">La présente décision entre en vigueur le jour de sa publication au </w:t>
      </w:r>
      <w:r>
        <w:rPr>
          <w:i/>
          <w:iCs/>
        </w:rPr>
        <w:t>Journal officiel de l’Union européenne</w:t>
      </w:r>
      <w:r>
        <w:t>. Elle est applicable à partir du [date de son adoption]*.</w:t>
      </w:r>
    </w:p>
    <w:p w:rsidR="00365F38" w:rsidRPr="00504767" w:rsidP="00365F38" w14:paraId="0ECA3379" w14:textId="77777777">
      <w:pPr>
        <w:pStyle w:val="NormalHanging12a"/>
      </w:pPr>
      <w:r>
        <w:t>Fait à Bruxelles,</w:t>
      </w:r>
    </w:p>
    <w:p w:rsidR="00365F38" w:rsidRPr="00504767" w:rsidP="00365F38" w14:paraId="7E256AE4" w14:textId="77777777">
      <w:pPr>
        <w:pStyle w:val="NormalHanging12a"/>
      </w:pPr>
    </w:p>
    <w:p w:rsidR="00365F38" w:rsidRPr="00504767" w:rsidP="00365F38" w14:paraId="7C82A708" w14:textId="77777777">
      <w:pPr>
        <w:pStyle w:val="NormalHanging12a"/>
        <w:rPr>
          <w:i/>
        </w:rPr>
      </w:pPr>
      <w:r>
        <w:rPr>
          <w:i/>
        </w:rPr>
        <w:t>Par le Parlement européen</w:t>
      </w:r>
      <w:r>
        <w:rPr>
          <w:i/>
        </w:rPr>
        <w:tab/>
      </w:r>
      <w:r>
        <w:rPr>
          <w:i/>
        </w:rPr>
        <w:tab/>
      </w:r>
      <w:r>
        <w:rPr>
          <w:i/>
        </w:rPr>
        <w:tab/>
        <w:t>Par le Conseil</w:t>
      </w:r>
    </w:p>
    <w:p w:rsidR="00365F38" w:rsidRPr="00504767" w:rsidP="00365F38" w14:paraId="3B4EE800" w14:textId="77777777">
      <w:pPr>
        <w:pStyle w:val="NormalHanging12a"/>
        <w:rPr>
          <w:i/>
        </w:rPr>
      </w:pPr>
      <w:r>
        <w:rPr>
          <w:i/>
        </w:rPr>
        <w:t>La présidente</w:t>
      </w:r>
      <w:r>
        <w:rPr>
          <w:i/>
        </w:rPr>
        <w:tab/>
      </w:r>
      <w:r>
        <w:rPr>
          <w:i/>
        </w:rPr>
        <w:tab/>
      </w:r>
      <w:r>
        <w:rPr>
          <w:i/>
        </w:rPr>
        <w:tab/>
      </w:r>
      <w:r>
        <w:rPr>
          <w:i/>
        </w:rPr>
        <w:tab/>
      </w:r>
      <w:r>
        <w:rPr>
          <w:i/>
        </w:rPr>
        <w:tab/>
        <w:t>Le président</w:t>
      </w:r>
      <w:r>
        <w:rPr>
          <w:i/>
        </w:rPr>
        <w:br/>
      </w:r>
    </w:p>
    <w:p w:rsidR="00365F38" w:rsidRPr="005F1A81" w:rsidP="00365F38" w14:paraId="5D2718D9" w14:textId="77777777">
      <w:pPr>
        <w:sectPr w:rsidSect="00365F38">
          <w:headerReference w:type="even" r:id="rId12"/>
          <w:head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rsidR="00365F38" w:rsidRPr="005F1A81" w:rsidP="00365F38" w14:paraId="5AABF5B2" w14:textId="77777777">
      <w:pPr>
        <w:pStyle w:val="PageHeading"/>
      </w:pPr>
      <w:bookmarkStart w:id="4" w:name="_Toc241747117"/>
      <w:bookmarkEnd w:id="2"/>
      <w:r>
        <w:t>EXPOSÉ DES MOTIFS</w:t>
      </w:r>
      <w:bookmarkEnd w:id="4"/>
    </w:p>
    <w:p w:rsidR="00365F38" w:rsidRPr="00504767" w:rsidP="00365F38" w14:paraId="11FD8CE7" w14:textId="77777777">
      <w:pPr>
        <w:widowControl/>
        <w:tabs>
          <w:tab w:val="left" w:pos="426"/>
        </w:tabs>
        <w:jc w:val="both"/>
        <w:rPr>
          <w:rFonts w:eastAsia="Calibri"/>
          <w:b/>
          <w:szCs w:val="24"/>
        </w:rPr>
      </w:pPr>
      <w:r>
        <w:rPr>
          <w:b/>
        </w:rPr>
        <w:t>I. Contexte</w:t>
      </w:r>
    </w:p>
    <w:p w:rsidR="00365F38" w:rsidRPr="00504767" w:rsidP="00365F38" w14:paraId="47132839" w14:textId="77777777">
      <w:pPr>
        <w:widowControl/>
        <w:tabs>
          <w:tab w:val="left" w:pos="426"/>
        </w:tabs>
        <w:jc w:val="both"/>
        <w:rPr>
          <w:rFonts w:eastAsia="Calibri"/>
          <w:b/>
          <w:szCs w:val="24"/>
          <w:lang w:eastAsia="en-US"/>
        </w:rPr>
      </w:pPr>
    </w:p>
    <w:p w:rsidR="00365F38" w:rsidRPr="00504767" w:rsidP="00365F38" w14:paraId="44FAF649" w14:textId="77777777">
      <w:pPr>
        <w:widowControl/>
        <w:spacing w:before="120"/>
        <w:rPr>
          <w:rFonts w:eastAsia="Calibri"/>
          <w:szCs w:val="24"/>
        </w:rPr>
      </w:pPr>
      <w:r>
        <w:t xml:space="preserve">Le Fonds européen d’ajustement à la mondialisation (FEM) a vocation à fournir une aide complémentaire aux travailleurs subissant les conséquences de modifications majeures de la structure du commerce mondial. </w:t>
      </w:r>
    </w:p>
    <w:p w:rsidR="00365F38" w:rsidRPr="00504767" w:rsidP="00365F38" w14:paraId="6AC737B7" w14:textId="77777777">
      <w:pPr>
        <w:widowControl/>
        <w:spacing w:before="120"/>
        <w:rPr>
          <w:rFonts w:eastAsia="Calibri"/>
          <w:szCs w:val="24"/>
        </w:rPr>
      </w:pPr>
      <w:r>
        <w:t>Conformément au point 9 de l’accord interinstitutionnel du 16 décembre 2020</w:t>
      </w:r>
      <w:r>
        <w:rPr>
          <w:rFonts w:eastAsia="Calibri"/>
          <w:szCs w:val="24"/>
          <w:vertAlign w:val="superscript"/>
          <w:lang w:eastAsia="en-US"/>
        </w:rPr>
        <w:footnoteReference w:id="15"/>
      </w:r>
      <w:r>
        <w:t>, la Commission est tenue, à la suite de l’évaluation positive d’une demande, de soumettre à l’autorité budgétaire une proposition de mobilisation du Fonds et de la compléter par une demande correspondante de virement vers les lignes budgétaires concernées.</w:t>
      </w:r>
    </w:p>
    <w:p w:rsidR="00365F38" w:rsidRPr="00504767" w:rsidP="00365F38" w14:paraId="77B16894" w14:textId="77777777">
      <w:pPr>
        <w:widowControl/>
        <w:tabs>
          <w:tab w:val="left" w:pos="426"/>
        </w:tabs>
        <w:spacing w:before="120"/>
        <w:rPr>
          <w:rFonts w:eastAsia="Calibri"/>
          <w:szCs w:val="24"/>
          <w:lang w:eastAsia="en-US"/>
        </w:rPr>
      </w:pPr>
    </w:p>
    <w:p w:rsidR="00365F38" w:rsidRPr="00504767" w:rsidP="00365F38" w14:paraId="6C05F4C4" w14:textId="77777777">
      <w:pPr>
        <w:widowControl/>
        <w:tabs>
          <w:tab w:val="left" w:pos="426"/>
        </w:tabs>
        <w:spacing w:before="120"/>
        <w:rPr>
          <w:rFonts w:eastAsia="Calibri"/>
          <w:b/>
          <w:szCs w:val="24"/>
        </w:rPr>
      </w:pPr>
      <w:r>
        <w:rPr>
          <w:b/>
        </w:rPr>
        <w:t xml:space="preserve">II. Demande de l’Espagne et proposition de la Commission </w:t>
      </w:r>
    </w:p>
    <w:p w:rsidR="00365F38" w:rsidRPr="00504767" w:rsidP="00365F38" w14:paraId="3B8BFEE9" w14:textId="77777777">
      <w:pPr>
        <w:widowControl/>
        <w:tabs>
          <w:tab w:val="left" w:pos="426"/>
        </w:tabs>
        <w:spacing w:before="120"/>
        <w:rPr>
          <w:rFonts w:eastAsia="Calibri"/>
          <w:b/>
          <w:szCs w:val="24"/>
          <w:lang w:eastAsia="en-US"/>
        </w:rPr>
      </w:pPr>
    </w:p>
    <w:p w:rsidR="00365F38" w:rsidRPr="00504767" w:rsidP="00365F38" w14:paraId="04BF064B" w14:textId="77777777">
      <w:pPr>
        <w:widowControl/>
      </w:pPr>
      <w:r>
        <w:t>Le 7 avril 2026, l’Espagne a présenté la demande EGF/2026/002 ES/Galicia automotive</w:t>
      </w:r>
    </w:p>
    <w:p w:rsidR="00365F38" w:rsidRPr="00504767" w:rsidP="00365F38" w14:paraId="2F610FF6" w14:textId="77777777">
      <w:pPr>
        <w:widowControl/>
        <w:rPr>
          <w:rFonts w:eastAsia="Calibri"/>
          <w:szCs w:val="24"/>
        </w:rPr>
      </w:pPr>
      <w:r>
        <w:t>ancillary, dans laquelle elle requiert une contribution financière du FEM à la suite de 671 licenciements</w:t>
      </w:r>
      <w:r>
        <w:rPr>
          <w:rFonts w:eastAsia="Calibri"/>
          <w:szCs w:val="24"/>
          <w:vertAlign w:val="superscript"/>
          <w:lang w:eastAsia="en-US"/>
        </w:rPr>
        <w:footnoteReference w:id="16"/>
      </w:r>
      <w:r>
        <w:t xml:space="preserve"> </w:t>
      </w:r>
      <w:r>
        <w:rPr>
          <w:vertAlign w:val="superscript"/>
        </w:rPr>
        <w:t xml:space="preserve"> </w:t>
      </w:r>
      <w:r>
        <w:t xml:space="preserve">dans le secteur des équipements automobiles en Galice. </w:t>
      </w:r>
      <w:bookmarkStart w:id="5" w:name="_Hlk236304525"/>
      <w:r>
        <w:t>Il s’agit de la deuxième demande de ce type pour 2026 et de la huitième à être examinée dans le cadre du budget 2026.</w:t>
      </w:r>
      <w:bookmarkEnd w:id="5"/>
    </w:p>
    <w:p w:rsidR="00365F38" w:rsidRPr="00504767" w:rsidP="00365F38" w14:paraId="39AE2A5B" w14:textId="77777777">
      <w:pPr>
        <w:widowControl/>
        <w:spacing w:before="120"/>
        <w:rPr>
          <w:rFonts w:eastAsia="Calibri"/>
          <w:szCs w:val="24"/>
        </w:rPr>
      </w:pPr>
      <w:r>
        <w:t xml:space="preserve">À la suite de l’évaluation de cette demande, la Commission a conclu, conformément à l’ensemble des dispositions applicables du règlement FEM, que les conditions d’octroi d’une contribution financière du FEM étaient remplies. </w:t>
      </w:r>
    </w:p>
    <w:p w:rsidR="00365F38" w:rsidRPr="00504767" w:rsidP="00365F38" w14:paraId="699BC4AA" w14:textId="77777777">
      <w:pPr>
        <w:widowControl/>
        <w:spacing w:before="120"/>
        <w:rPr>
          <w:rFonts w:eastAsia="Calibri"/>
          <w:szCs w:val="24"/>
        </w:rPr>
      </w:pPr>
      <w:r>
        <w:t>Le 16 juillet 2026, la Commission a adopté une proposition de décision relative à la mobilisation du FEM en faveur de l’Espagne; l’objectif est de soutenir, par des mesures personnalisées, la réinsertion sur le marché du travail de 400 bénéficiaires visés, à savoir des travailleurs de l’industrie des équipements automobiles en Galice qui ont été licenciés. Un montant total de 2 725 100 EUR sera mobilisé au titre du FEM, soit un montant égal à 85 % du coût total des mesures proposées.</w:t>
      </w:r>
    </w:p>
    <w:p w:rsidR="00365F38" w:rsidRPr="00504767" w:rsidP="00365F38" w14:paraId="17D4A545" w14:textId="77777777">
      <w:pPr>
        <w:widowControl/>
        <w:spacing w:before="120"/>
        <w:rPr>
          <w:rFonts w:eastAsia="Calibri"/>
          <w:szCs w:val="24"/>
        </w:rPr>
      </w:pPr>
      <w:r>
        <w:t>La Commission a jugé la demande de l’Espagne admissible au titre du critère d’intervention énoncé à l’article 4, paragraphe 2, point c), du règlement FEM, qui exige la cessation d’activité d’au moins 200 travailleurs licenciés ou travailleurs indépendants, sur une période de référence de quatre mois, dans une entreprise d’un État membre, y compris lorsque cette cessation d’activité se produit chez ses fournisseurs ou ses producteurs en aval.</w:t>
      </w:r>
    </w:p>
    <w:p w:rsidR="00365F38" w:rsidRPr="00504767" w:rsidP="00365F38" w14:paraId="53D5170A" w14:textId="77777777">
      <w:pPr>
        <w:widowControl/>
        <w:spacing w:before="120"/>
        <w:rPr>
          <w:rFonts w:eastAsia="Calibri"/>
          <w:szCs w:val="24"/>
        </w:rPr>
      </w:pPr>
      <w:r>
        <w:t xml:space="preserve">Un cofinancement du FEM a été demandé pour les six types de mesures suivantes, destinées à aider les travailleurs licenciés: </w:t>
      </w:r>
    </w:p>
    <w:p w:rsidR="00365F38" w:rsidRPr="00504767" w:rsidP="00365F38" w14:paraId="30E1C5B5" w14:textId="77777777">
      <w:pPr>
        <w:pStyle w:val="Tiret1"/>
        <w:numPr>
          <w:ilvl w:val="0"/>
          <w:numId w:val="0"/>
        </w:numPr>
        <w:tabs>
          <w:tab w:val="left" w:pos="720"/>
        </w:tabs>
        <w:ind w:left="709" w:hanging="359"/>
        <w:rPr>
          <w:noProof/>
        </w:rPr>
      </w:pPr>
      <w:r>
        <w:t>a)</w:t>
      </w:r>
      <w:r>
        <w:tab/>
      </w:r>
      <w:r>
        <w:rPr>
          <w:u w:val="single"/>
        </w:rPr>
        <w:t>information, phase d’accueil et profilage des travailleurs</w:t>
      </w:r>
      <w:r>
        <w:t xml:space="preserve">: des séances d’information seront organisées afin de présenter les objectifs, le contenu et le calendrier de l’ensemble des mesures de soutien. Les participants seront informés des ressources et des aides mises à leur disposition pour les accompagner dans le développement de leurs </w:t>
      </w:r>
      <w:r>
        <w:t>compétences et l’amélioration de leur employabilité. Les demandes de participation seront recueillies au cours de ces séances.</w:t>
      </w:r>
    </w:p>
    <w:p w:rsidR="00365F38" w:rsidRPr="00504767" w:rsidP="00365F38" w14:paraId="606A79E2" w14:textId="77777777">
      <w:pPr>
        <w:pStyle w:val="Tiret1"/>
        <w:numPr>
          <w:ilvl w:val="0"/>
          <w:numId w:val="0"/>
        </w:numPr>
        <w:tabs>
          <w:tab w:val="left" w:pos="720"/>
        </w:tabs>
        <w:ind w:left="709"/>
        <w:rPr>
          <w:noProof/>
        </w:rPr>
      </w:pPr>
      <w:r>
        <w:t>La phase d’accueil reposera sur une collaboration avec les principaux partenaires sociaux de Galice, à savoir UGT-Galicia, CCOO-Galicia (organisations syndicales) et la Confédération des entreprises de Galice (CEG), ainsi qu’avec les services publics régionaux de l’emploi. La participation de ces acteurs sectoriels permettra aux travailleurs de préciser leurs attentes professionnelles afin de rester dans le secteur, de redéfinir leur parcours professionnel ou d’entreprendre une réorientation professionnelle.</w:t>
      </w:r>
    </w:p>
    <w:p w:rsidR="00365F38" w:rsidRPr="00504767" w:rsidP="00365F38" w14:paraId="6FD2B7BA" w14:textId="77777777">
      <w:pPr>
        <w:pStyle w:val="Tiret1"/>
        <w:numPr>
          <w:ilvl w:val="0"/>
          <w:numId w:val="0"/>
        </w:numPr>
        <w:tabs>
          <w:tab w:val="left" w:pos="720"/>
        </w:tabs>
        <w:ind w:left="709"/>
        <w:rPr>
          <w:noProof/>
        </w:rPr>
      </w:pPr>
      <w:r>
        <w:t>Une phase de profilage des travailleurs suivra. Au moyen d’entretiens individuels, la situation socioprofessionnelle, le parcours de formation, les attentes professionnelles, les aptitudes, les compétences, l’expérience et les centres d’intérêt de chaque participant seront évalués;</w:t>
      </w:r>
    </w:p>
    <w:p w:rsidR="00365F38" w:rsidRPr="00504767" w:rsidP="00365F38" w14:paraId="01DF589B" w14:textId="77777777">
      <w:pPr>
        <w:pStyle w:val="Tiret1"/>
        <w:numPr>
          <w:ilvl w:val="0"/>
          <w:numId w:val="0"/>
        </w:numPr>
        <w:tabs>
          <w:tab w:val="left" w:pos="720"/>
        </w:tabs>
        <w:ind w:left="709" w:hanging="359"/>
        <w:rPr>
          <w:noProof/>
        </w:rPr>
      </w:pPr>
      <w:r>
        <w:t>b)</w:t>
      </w:r>
      <w:r>
        <w:tab/>
      </w:r>
      <w:r>
        <w:rPr>
          <w:u w:val="single"/>
        </w:rPr>
        <w:t>orientation professionnelle</w:t>
      </w:r>
      <w:r>
        <w:t>: axée sur l’emploi salarié ou le travail indépendant, elle sera assurée tout au long de la période de mise en œuvre. Cette mesure comprend une aide à la recherche d’un emploi ainsi que des ateliers consacrés aux compétences comportementales;</w:t>
      </w:r>
    </w:p>
    <w:p w:rsidR="00365F38" w:rsidRPr="00504767" w:rsidP="00365F38" w14:paraId="7056D380" w14:textId="77777777">
      <w:pPr>
        <w:pStyle w:val="Tiret1"/>
        <w:numPr>
          <w:ilvl w:val="0"/>
          <w:numId w:val="0"/>
        </w:numPr>
        <w:tabs>
          <w:tab w:val="left" w:pos="720"/>
        </w:tabs>
        <w:ind w:left="709" w:hanging="359"/>
        <w:rPr>
          <w:noProof/>
        </w:rPr>
      </w:pPr>
      <w:bookmarkStart w:id="6" w:name="_Hlk215479487"/>
      <w:r>
        <w:t>c)</w:t>
      </w:r>
      <w:r>
        <w:tab/>
      </w:r>
      <w:bookmarkEnd w:id="6"/>
      <w:r>
        <w:rPr>
          <w:u w:val="single"/>
        </w:rPr>
        <w:t>formation</w:t>
      </w:r>
      <w:r>
        <w:t>: l’offre de formation comprendra: 1) Des formations transversales portant sur les compétences numériques de base et avancées, la numérisation de l’industrie, notamment les principes fondamentaux de l’industrie 4.0 et 5.0, la culture des données appliquée à l’industrie, les systèmes MES et SCADA, l’automatisation des processus au moyen de la RPA, ainsi que l’automatisation industrielle (par exemple les PLC), la prévention des risques professionnels, les procédés de production durables et les langues étrangères. 2) le perfectionnement des compétences, conformément au rapport sur la formation et l’emploi dans le secteur automobile de Galice de CEAGA (novembre 2025) et au plan directeur du secteur automobile de Galice 2025-2027; 3) la reconversion professionnelle visant l’acquisition d’une nouvelle qualification professionnelle, axée sur des formations liées à des secteurs clés tels que l’aéronautique, les énergies renouvelables, les transports et l’entreposage, ainsi que les infrastructures et la maintenance industrielle, qui présentent une forte capacité d’absorption des profils industriels; 4) une formation à l’entrepreneuriat, dispensée à ceux souhaitant exercer une activité indépendante;</w:t>
      </w:r>
    </w:p>
    <w:p w:rsidR="00365F38" w:rsidRPr="00504767" w:rsidP="00365F38" w14:paraId="4DFCC140" w14:textId="77777777">
      <w:pPr>
        <w:pStyle w:val="Tiret1"/>
        <w:numPr>
          <w:ilvl w:val="0"/>
          <w:numId w:val="0"/>
        </w:numPr>
        <w:tabs>
          <w:tab w:val="left" w:pos="720"/>
        </w:tabs>
        <w:ind w:left="709" w:hanging="359"/>
        <w:rPr>
          <w:noProof/>
          <w:u w:val="single"/>
        </w:rPr>
      </w:pPr>
      <w:r>
        <w:t>d)</w:t>
      </w:r>
      <w:r>
        <w:tab/>
      </w:r>
      <w:r>
        <w:rPr>
          <w:u w:val="single"/>
        </w:rPr>
        <w:t>aide intensive à la recherche d’emploi</w:t>
      </w:r>
      <w:r>
        <w:t>: elle comprendra la recherche active d’offres d’emploi aux niveaux local et régional (y compris pour les personnes souhaitant exercer une activité indépendante) ainsi que le rapprochement entre les offres et les demandes d’emploi;</w:t>
      </w:r>
    </w:p>
    <w:p w:rsidR="00365F38" w:rsidRPr="00504767" w:rsidP="00365F38" w14:paraId="748E8672" w14:textId="77777777">
      <w:pPr>
        <w:pStyle w:val="Tiret1"/>
        <w:numPr>
          <w:ilvl w:val="0"/>
          <w:numId w:val="0"/>
        </w:numPr>
        <w:tabs>
          <w:tab w:val="left" w:pos="720"/>
        </w:tabs>
        <w:ind w:left="709" w:hanging="359"/>
        <w:rPr>
          <w:noProof/>
          <w:u w:val="single"/>
        </w:rPr>
      </w:pPr>
      <w:r>
        <w:t>e)</w:t>
      </w:r>
      <w:r>
        <w:tab/>
      </w:r>
      <w:r>
        <w:rPr>
          <w:u w:val="single"/>
        </w:rPr>
        <w:t>accompagnement après le retour à l’emploi</w:t>
      </w:r>
      <w:r>
        <w:t>: la prise en charge des travailleurs ayant retrouvé un emploi pendant leurs premiers mois d’activité évitera d’éventuels problèmes liés à leur nouveau travail;</w:t>
      </w:r>
    </w:p>
    <w:p w:rsidR="00365F38" w:rsidRPr="00504767" w:rsidP="00365F38" w14:paraId="1AC8A739" w14:textId="77777777">
      <w:pPr>
        <w:pStyle w:val="Tiret1"/>
        <w:numPr>
          <w:ilvl w:val="0"/>
          <w:numId w:val="0"/>
        </w:numPr>
        <w:tabs>
          <w:tab w:val="left" w:pos="720"/>
        </w:tabs>
        <w:ind w:left="709" w:hanging="359"/>
        <w:rPr>
          <w:noProof/>
        </w:rPr>
      </w:pPr>
      <w:r>
        <w:t>f)</w:t>
      </w:r>
      <w:r>
        <w:tab/>
      </w:r>
      <w:r>
        <w:rPr>
          <w:u w:val="single"/>
        </w:rPr>
        <w:t>soutien financier et incitations</w:t>
      </w:r>
      <w:r>
        <w:t xml:space="preserve">: 1) incitation à la participation. Les travailleurs qui participent aux mesures et suivent le parcours de réinsertion convenu recevront un montant pouvant aller jusqu’à 400 EUR, versé soit en une seule fois, soit en plusieurs versements. 2) prise en charge des frais de déplacement. Les dépenses éligibles comprendront les frais de transport en commun ou les frais kilométriques liés à l’utilisation d’un véhicule privé (0,26 EUR/km), les péages, les frais de stationnement, les repas et l’hébergement, à concurrence de 340 EUR par formation. 3) soutien financier aux aidants ayant des personnes dépendantes à charge. Une allocation </w:t>
      </w:r>
      <w:r>
        <w:t>journalière pouvant atteindre 20 EUR sera accordée aux participants assumant des responsabilités de prise en charge (par exemple d’enfants, de personnes âgées ou de personnes handicapées dépendantes), afin de compenser les coûts supplémentaires liés à leur participation aux formations. 4) incitations au reclassement externe. Les personnes qui retrouvent un emploi, en tant que salariés ou travailleurs indépendants, recevront 200 EUR par mois pendant une période maximale de six mois. Cette incitation vise à encourager les travailleurs, en particulier les plus âgés, à rester sur le marché du travail et à retrouver rapidement un emploi.</w:t>
      </w:r>
      <w:r>
        <w:rPr>
          <w:b/>
        </w:rPr>
        <w:t xml:space="preserve"> </w:t>
      </w:r>
    </w:p>
    <w:p w:rsidR="00365F38" w:rsidRPr="00504767" w:rsidP="00365F38" w14:paraId="1EC3E716" w14:textId="77777777">
      <w:pPr>
        <w:widowControl/>
        <w:tabs>
          <w:tab w:val="left" w:pos="720"/>
        </w:tabs>
        <w:spacing w:before="120"/>
        <w:ind w:left="709" w:hanging="359"/>
        <w:rPr>
          <w:rFonts w:eastAsia="Calibri"/>
          <w:szCs w:val="24"/>
        </w:rPr>
      </w:pPr>
    </w:p>
    <w:p w:rsidR="00365F38" w:rsidRPr="00504767" w:rsidP="00365F38" w14:paraId="5C85055E" w14:textId="77777777">
      <w:pPr>
        <w:rPr>
          <w:b/>
        </w:rPr>
      </w:pPr>
      <w:r>
        <w:rPr>
          <w:b/>
        </w:rPr>
        <w:t>III. Procédure</w:t>
      </w:r>
    </w:p>
    <w:p w:rsidR="00365F38" w:rsidRPr="00504767" w:rsidP="00365F38" w14:paraId="762BC0D6" w14:textId="77777777">
      <w:pPr>
        <w:rPr>
          <w:b/>
        </w:rPr>
      </w:pPr>
    </w:p>
    <w:p w:rsidR="00365F38" w:rsidRPr="00504767" w:rsidP="00365F38" w14:paraId="0791BBD8" w14:textId="77777777">
      <w:pPr>
        <w:spacing w:after="120"/>
      </w:pPr>
      <w:r>
        <w:t>Afin de mobiliser le Fonds, la Commission a soumis à l’autorité budgétaire une demande de virement d’un montant total de 2 725 100 EUR prélevé sur la réserve FEM (ligne budgétaire 30 04 02; crédits d’engagement) vers la ligne FEM (ligne budgétaire 16 02 02; crédits d’engagement).</w:t>
      </w:r>
    </w:p>
    <w:p w:rsidR="00365F38" w:rsidRPr="00504767" w:rsidP="00365F38" w14:paraId="7CE008BC" w14:textId="77777777">
      <w:pPr>
        <w:spacing w:after="120"/>
      </w:pPr>
      <w:r>
        <w:t>En vertu d’un accord interne au Parlement, la commission de l’emploi et des affaires sociales et la commission du développement régional doivent être associées à la procédure, de manière à pouvoir contribuer et concourir de façon constructive à l’évaluation des demandes de mobilisation du Fonds.</w:t>
      </w:r>
    </w:p>
    <w:p w:rsidR="00365F38" w:rsidRPr="00504767" w:rsidP="00365F38" w14:paraId="39BC0823" w14:textId="77777777">
      <w:pPr>
        <w:widowControl/>
        <w:sectPr w:rsidSect="00365F38">
          <w:headerReference w:type="even" r:id="rId16"/>
          <w:head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567" w:footer="567" w:gutter="0"/>
          <w:cols w:space="720"/>
          <w:noEndnote/>
          <w:docGrid w:linePitch="326"/>
        </w:sectPr>
      </w:pPr>
    </w:p>
    <w:p w:rsidR="00365F38" w:rsidRPr="00504767" w:rsidP="00365F38" w14:paraId="48483A6C" w14:textId="77777777">
      <w:pPr>
        <w:widowControl/>
      </w:pPr>
    </w:p>
    <w:p w:rsidR="00365F38" w:rsidRPr="00504767" w:rsidP="00365F38" w14:paraId="15F61E26" w14:textId="0294E7BE">
      <w:pPr>
        <w:pStyle w:val="PageHeading"/>
        <w:rPr>
          <w:noProof/>
        </w:rPr>
      </w:pPr>
      <w:bookmarkStart w:id="7" w:name="_Toc241747118"/>
      <w:r>
        <w:t>ANNEXE: DÉCLARATION DES CONTRIBUTIONS</w:t>
      </w:r>
      <w:bookmarkEnd w:id="7"/>
    </w:p>
    <w:p w:rsidR="00365F38" w:rsidRPr="00504767" w:rsidP="00365F38" w14:paraId="1DEF5446" w14:textId="77777777">
      <w:pPr>
        <w:pStyle w:val="Normal24a"/>
        <w:spacing w:after="240"/>
      </w:pPr>
      <w:r>
        <w:rPr>
          <w:rStyle w:val="HideTWBExt"/>
        </w:rPr>
        <w:t>&lt;FootprintIntro&gt;</w:t>
      </w:r>
      <w:r>
        <w:t>La rapporteure déclare, sous sa responsabilité exclusive, n’avoir inclus dans son rapport aucune contribution de représentants d’intérêts relevant du champ d’application de l’accord interinstitutionnel sur un registre de transparence obligatoire</w:t>
      </w:r>
      <w:r>
        <w:rPr>
          <w:rStyle w:val="FootnoteReference"/>
        </w:rPr>
        <w:footnoteReference w:id="17"/>
      </w:r>
      <w:r>
        <w:t>, ou de représentants des autorités publiques de pays tiers, y compris leurs missions diplomatiques et ambassades, devant être énumérés dans la présente annexe en vertu de l’article 8 de l’annexe I du règlement intérieur.</w:t>
      </w:r>
      <w:r>
        <w:rPr>
          <w:rStyle w:val="HideTWBExt"/>
        </w:rPr>
        <w:t>&lt;/FootprintIntro&gt;</w:t>
      </w:r>
    </w:p>
    <w:p w:rsidR="00365F38" w:rsidRPr="00503055" w:rsidP="00365F38" w14:paraId="0180CB50" w14:textId="77777777"/>
    <w:p w:rsidR="00365F38" w:rsidP="00365F38" w14:paraId="2631F550" w14:textId="77777777">
      <w:pPr>
        <w:widowControl/>
        <w:sectPr w:rsidSect="00365F38">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65F38" w:rsidRPr="007E1877" w:rsidP="00365F38" w14:paraId="0D2F7871" w14:textId="77777777">
      <w:pPr>
        <w:pStyle w:val="Normal24a"/>
      </w:pPr>
      <w:bookmarkStart w:id="8" w:name="ProcPageRR"/>
      <w:r w:rsidRPr="0054483D">
        <w:rPr>
          <w:rStyle w:val="HideTWBExt"/>
          <w:lang w:val="fr-BE"/>
        </w:rPr>
        <w:t>&lt;Date&gt;&lt;/Date&gt;</w:t>
      </w:r>
    </w:p>
    <w:p w:rsidR="00365F38" w:rsidRPr="002511F5" w:rsidP="00365F38" w14:paraId="712C2C10" w14:textId="77777777">
      <w:pPr>
        <w:pStyle w:val="PageHeading"/>
      </w:pPr>
      <w:bookmarkStart w:id="9" w:name="OpinionToc_1"/>
      <w:bookmarkStart w:id="10" w:name="_Toc241747119"/>
      <w:r>
        <w:t>LETTRE DE LA COMMISSION DE L’EMPLOI ET DES AFFAIRES SOCIALES</w:t>
      </w:r>
      <w:bookmarkEnd w:id="9"/>
      <w:bookmarkEnd w:id="10"/>
    </w:p>
    <w:p w:rsidR="00365F38" w:rsidRPr="002511F5" w:rsidP="00365F38" w14:paraId="46A357AD" w14:textId="77777777">
      <w:r>
        <w:t>M. Johan Van Overtveldt</w:t>
      </w:r>
    </w:p>
    <w:p w:rsidR="00365F38" w:rsidRPr="00F31E6A" w:rsidP="00365F38" w14:paraId="0367570D" w14:textId="77777777">
      <w:r>
        <w:t>Président</w:t>
      </w:r>
    </w:p>
    <w:p w:rsidR="00365F38" w:rsidRPr="00F31E6A" w:rsidP="00365F38" w14:paraId="2E8340FA" w14:textId="77777777">
      <w:r>
        <w:t>Commission des budgets</w:t>
      </w:r>
    </w:p>
    <w:p w:rsidR="00365F38" w:rsidRPr="00F31E6A" w:rsidP="00365F38" w14:paraId="7C607395" w14:textId="77777777">
      <w:r>
        <w:t>BRUXELLES</w:t>
      </w:r>
    </w:p>
    <w:p w:rsidR="00365F38" w:rsidRPr="00F31E6A" w:rsidP="00365F38" w14:paraId="1B3F273F" w14:textId="77777777">
      <w:pPr>
        <w:pStyle w:val="LetterSubject"/>
      </w:pPr>
      <w:r>
        <w:t>Objet:</w:t>
      </w:r>
      <w:r>
        <w:tab/>
      </w:r>
      <w:r>
        <w:rPr>
          <w:rStyle w:val="HideTWBExt"/>
        </w:rPr>
        <w:t>&lt;Titre&gt;</w:t>
      </w:r>
      <w:r>
        <w:t>Avis relatif à la mobilisation du Fonds européen d’ajustement à la mondialisation en faveur des travailleurs licenciés à la suite d’une demande présentée par l’Espagne –</w:t>
      </w:r>
      <w:r>
        <w:rPr>
          <w:rStyle w:val="HideTWBExt"/>
        </w:rPr>
        <w:t>&lt;/Titre&gt;</w:t>
      </w:r>
      <w:r>
        <w:t xml:space="preserve"> </w:t>
      </w:r>
      <w:r>
        <w:rPr>
          <w:rStyle w:val="HideTWBExt"/>
        </w:rPr>
        <w:t>&lt;DocRef&gt;</w:t>
      </w:r>
      <w:r>
        <w:t>GF/2026/002 ES/Galicia automotive ancillary (2026/0195(BUD))</w:t>
      </w:r>
      <w:r>
        <w:rPr>
          <w:rStyle w:val="HideTWBExt"/>
        </w:rPr>
        <w:t>&lt;/DocRef&gt;</w:t>
      </w:r>
    </w:p>
    <w:p w:rsidR="00365F38" w:rsidRPr="00F31E6A" w:rsidP="00365F38" w14:paraId="60D16923" w14:textId="77777777">
      <w:pPr>
        <w:pStyle w:val="LetterSalutation"/>
      </w:pPr>
      <w:r>
        <w:t>Monsieur le Président,</w:t>
      </w:r>
    </w:p>
    <w:p w:rsidR="00365F38" w:rsidRPr="00F31E6A" w:rsidP="00365F38" w14:paraId="5CBB47F8" w14:textId="77777777">
      <w:pPr>
        <w:pStyle w:val="Normal12a"/>
      </w:pPr>
      <w:r>
        <w:t xml:space="preserve">Dans le cadre de la procédure en objet, la commission de l’emploi et des affaires sociales a été chargée de soumettre un avis à votre commission, qu’elle a décidé de transmettre sous forme de lettre. </w:t>
      </w:r>
    </w:p>
    <w:p w:rsidR="00365F38" w:rsidRPr="00F31E6A" w:rsidP="00365F38" w14:paraId="17C4D049" w14:textId="77777777">
      <w:pPr>
        <w:pStyle w:val="Normal12a"/>
      </w:pPr>
      <w:r>
        <w:t>La commission de l’emploi et des affaires sociales a examiné la question et, lors de sa réunion du 10 septembre 2026, a décidé de soumettre l’avis présenté ci-dessous à la commission des budgets, compétente au fond.</w:t>
      </w:r>
    </w:p>
    <w:p w:rsidR="00365F38" w:rsidRPr="00F31E6A" w:rsidP="00365F38" w14:paraId="7477362A" w14:textId="77777777">
      <w:pPr>
        <w:pStyle w:val="Normal12a"/>
      </w:pPr>
    </w:p>
    <w:p w:rsidR="00365F38" w:rsidRPr="00F31E6A" w:rsidP="00365F38" w14:paraId="1C65EB90" w14:textId="77777777">
      <w:pPr>
        <w:pStyle w:val="Normal12a"/>
      </w:pPr>
      <w:r>
        <w:t>Veuillez agréer, Monsieur le Président, l’assurance de ma haute considération.</w:t>
      </w:r>
    </w:p>
    <w:p w:rsidR="00365F38" w:rsidRPr="00F31E6A" w:rsidP="00365F38" w14:paraId="0D0AA1FF" w14:textId="77777777">
      <w:pPr>
        <w:pStyle w:val="LetterSignature66b"/>
      </w:pPr>
      <w:r>
        <w:t>Li Andersson</w:t>
      </w:r>
    </w:p>
    <w:p w:rsidR="00365F38" w:rsidRPr="00F31E6A" w:rsidP="00365F38" w14:paraId="6BF56D54" w14:textId="77777777">
      <w:pPr>
        <w:widowControl/>
      </w:pPr>
      <w:r>
        <w:br w:type="page"/>
      </w:r>
    </w:p>
    <w:p w:rsidR="00365F38" w:rsidRPr="00F31E6A" w:rsidP="00365F38" w14:paraId="41702A79" w14:textId="77777777">
      <w:pPr>
        <w:pStyle w:val="PageHeadingNotTOC"/>
        <w:rPr>
          <w:rFonts w:ascii="Times New Roman" w:hAnsi="Times New Roman" w:cs="Times New Roman"/>
          <w:b w:val="0"/>
        </w:rPr>
      </w:pPr>
      <w:r>
        <w:rPr>
          <w:rFonts w:ascii="Times New Roman" w:hAnsi="Times New Roman"/>
          <w:b w:val="0"/>
        </w:rPr>
        <w:t>AVIS</w:t>
      </w:r>
    </w:p>
    <w:p w:rsidR="00365F38" w:rsidRPr="00F31E6A" w:rsidP="00365F38" w14:paraId="071A40A6" w14:textId="77777777">
      <w:pPr>
        <w:pStyle w:val="NormalHanging12a"/>
      </w:pPr>
      <w:r>
        <w:t>A.</w:t>
      </w:r>
      <w:r>
        <w:tab/>
        <w:t>considérant que, le 7 avril 2026, l’Espagne a introduit la demande EGF/2026/002 ES/Galicia automotive ancillary en vue d’obtenir une contribution financière du Fonds européen d’ajustement à la mondialisation en faveur des travailleurs licenciés (FEM), à la suite de licenciements survenus dans le secteur des équipementiers automobiles (qui comprend les secteurs d’activité économique relevant des divisions de la NACE Rév. 2 énumérées dans la synthèse de la demande ci-dessous), dans la région de niveau NUTS 2 de Galice (ES11), en Espagne;</w:t>
      </w:r>
    </w:p>
    <w:p w:rsidR="00365F38" w:rsidRPr="00F31E6A" w:rsidP="00365F38" w14:paraId="152EC7DF" w14:textId="77777777">
      <w:pPr>
        <w:pStyle w:val="NormalHanging12a"/>
      </w:pPr>
      <w:r>
        <w:t>B.</w:t>
      </w:r>
      <w:r>
        <w:tab/>
        <w:t>considérant que la demande de l’Espagne est fondée sur le critère d’intervention énoncé à l’article 4, paragraphe 2, point c), du règlement (UE) 2021/691, qui exige la cessation d’activité d’au moins 200 travailleurs licenciés, sur une période de référence de quatre mois (en l’occurrence, du 15 septembre 2025 au 15 janvier 2026), dans des entreprises opérant dans des secteurs économiques identiques ou différents définis au niveau des divisions de la NACE Rév. 2 et situées dans la même région de niveau NUTS 2 sur le territoire d’un État membre; qu’il y a eu 313 travailleurs licenciés dans la région de niveau NUTS 2 de Galice (ES11); que, à la suite de l’évaluation de cette demande, la Commission a conclu, conformément à l’ensemble des dispositions applicables du règlement FEM, que les conditions d’octroi d’une contribution financière du FEM étaient remplies;</w:t>
      </w:r>
    </w:p>
    <w:p w:rsidR="00365F38" w:rsidRPr="00F31E6A" w:rsidP="00365F38" w14:paraId="3EB665E4" w14:textId="77777777">
      <w:pPr>
        <w:pStyle w:val="NormalHanging12a"/>
      </w:pPr>
      <w:r>
        <w:t>C.</w:t>
      </w:r>
      <w:r>
        <w:tab/>
        <w:t>considérant qu’outre les travailleurs déjà mentionnés, les bénéficiaires éligibles comprennent 358 travailleurs licenciés issus des mêmes entreprises et dont l’activité a cessé avant ou après la période de référence de quatre mois; que tous ces travailleurs ont cessé leur activité dans les six mois précédant le début de la période de référence, le 15 septembre 2025, et/ou entre la fin de la période de référence et la veille de l’adoption de la présente proposition, conformément à l’article 6, premier alinéa, point b), du règlement FEM; que le nombre total de bénéficiaires éligibles s’élève à 671;</w:t>
      </w:r>
    </w:p>
    <w:p w:rsidR="00365F38" w:rsidRPr="00F31E6A" w:rsidP="00365F38" w14:paraId="766FB849" w14:textId="77777777">
      <w:pPr>
        <w:pStyle w:val="NormalHanging12a"/>
      </w:pPr>
      <w:r>
        <w:t>D.</w:t>
      </w:r>
      <w:r>
        <w:tab/>
        <w:t>considérant que, le 16 juillet 2026, la Commission a adopté une proposition de décision relative à la mobilisation du FEM en faveur de l’Espagne afin de soutenir la réinsertion sur le marché du travail des travailleurs licenciés;</w:t>
      </w:r>
    </w:p>
    <w:p w:rsidR="00365F38" w:rsidRPr="00F31E6A" w:rsidP="00365F38" w14:paraId="36FDCE44" w14:textId="77777777">
      <w:pPr>
        <w:pStyle w:val="NormalHanging12a"/>
      </w:pPr>
      <w:r>
        <w:t>E.</w:t>
      </w:r>
      <w:r>
        <w:tab/>
        <w:t xml:space="preserve">considérant que, depuis 2024, le secteur espagnol des équipementiers automobiles connaît une dégradation continue; qu’en octobre 2025, l’association professionnelle du secteur (Sernauto) a revu à la baisse ses prévisions pour la fin de l’année, anticipant une diminution de près de 2 % du chiffre d’affaires et un recul de 1 % de l’emploi (3 000 emplois), soit une deuxième année consécutive de baisse globale; qu’en 2024, le secteur a enregistré un chiffre d’affaires de 41 238 milliards d’EUR, un recul de 0,7 % par rapport à l’année précédente et une diminution de 0,7 % de l’emploi direct, parallèlement à une forte baisse des investissements productifs (-12,3 %) et des dépenses de recherche et développement (-2 %); que ces chiffres confirment que cet </w:t>
      </w:r>
      <w:r>
        <w:t>ajustement n’est pas de nature conjoncturelle, mais qu’il traduit plutôt une restructuration des marges et des volumes sur les marchés clients des fournisseurs espagnols de composants automobiles;</w:t>
      </w:r>
    </w:p>
    <w:p w:rsidR="00365F38" w:rsidRPr="00F31E6A" w:rsidP="00365F38" w14:paraId="41DEE962" w14:textId="77777777">
      <w:pPr>
        <w:pStyle w:val="NormalHanging12a"/>
      </w:pPr>
      <w:r>
        <w:t>F.</w:t>
      </w:r>
      <w:r>
        <w:tab/>
        <w:t>considérant que la forte orientation à l’exportation des entreprises galiciennes de fabrication de composants automobiles — qui destinent 60 à 70 % de leur production à l’Union européenne — implique que toute fluctuation de la demande européenne a une incidence directe sur leur activité, leur charge de travail et la stabilité de l’emploi; que la conjugaison d’une demande européenne plus faible que prévu, des perturbations des échanges commerciaux et des chaînes d’approvisionnement — qui compromettent la stabilité des achats et le lancement de nouveaux modèles — et de la réorientation des investissements vers les plateformes électrifiées et une plus forte intégration de composants électroniques entraîne des suppressions d’emplois dans la région de Vigo (Stellantis, son réseau de sous-traitants et ses équipementiers);</w:t>
      </w:r>
    </w:p>
    <w:p w:rsidR="00365F38" w:rsidRPr="00F31E6A" w:rsidP="00365F38" w14:paraId="1FAC36E9" w14:textId="77777777">
      <w:pPr>
        <w:pStyle w:val="NormalHanging12a"/>
      </w:pPr>
      <w:r>
        <w:t xml:space="preserve">G. </w:t>
      </w:r>
      <w:r>
        <w:tab/>
        <w:t>considérant que l’indicateur du coût de la main-d’œuvre par véhicule, qui rapporte les dépenses totales de main-d’œuvre au nombre d’unités produites, est devenu une variable déterminante dans un contexte d’électrification et de resserrement des marges; que les pays où le coût de la main-d’œuvre est faible, comme le Maroc (90 EUR par véhicule) et la Turquie (350 EUR), absorbent une grande partie des nouvelles capacités industrielles, tandis que les pays à coût intermédiaire, comme l’Espagne (850 EUR), doivent préserver leur compétitivité en améliorant leur efficacité, en se spécialisant davantage et en renforçant leur logistique, ce qui accentue encore la pression, notamment dans les segments à faibles marges;</w:t>
      </w:r>
    </w:p>
    <w:p w:rsidR="00365F38" w:rsidRPr="00F31E6A" w:rsidP="00365F38" w14:paraId="2CC3481C" w14:textId="77777777">
      <w:pPr>
        <w:pStyle w:val="NormalHanging12a"/>
      </w:pPr>
      <w:r>
        <w:t>H.</w:t>
      </w:r>
      <w:r>
        <w:tab/>
        <w:t>considérant que la combinaison de tous ces facteurs a imposé des ajustements structurels tout au long de la chaîne de valeur du secteur automobile en Galice, se traduisant par des dispositifs de chômage temporaire et des licenciements (par exemple chez Stellantis, Akwel Vigo Spain ou CTAG), des procédures d’insolvabilité engagées par les créanciers ainsi que des liquidations (par exemple Cablerías Auto S.L. ou Troqueles y Moldes de Galicia);</w:t>
      </w:r>
    </w:p>
    <w:p w:rsidR="00365F38" w:rsidRPr="00F31E6A" w:rsidP="00365F38" w14:paraId="5AB22E3D" w14:textId="77777777">
      <w:pPr>
        <w:pStyle w:val="NormalHanging12a"/>
      </w:pPr>
      <w:r>
        <w:t>I.</w:t>
      </w:r>
      <w:r>
        <w:tab/>
        <w:t>considérant qu’on estime à 400 le nombre de travailleurs licenciés qui devraient participer aux mesures;</w:t>
      </w:r>
    </w:p>
    <w:p w:rsidR="00365F38" w:rsidRPr="00F31E6A" w:rsidP="00365F38" w14:paraId="00A4D2B9" w14:textId="77777777">
      <w:pPr>
        <w:pStyle w:val="NormalHanging12a"/>
      </w:pPr>
      <w:r>
        <w:t>J.</w:t>
      </w:r>
      <w:r>
        <w:tab/>
        <w:t>considérant que l’Espagne a indiqué que l’ensemble coordonné de services personnalisés a été élaboré en concertation avec les syndicats, conformément à l’article 7, paragraphe 4, du règlement FEM;</w:t>
      </w:r>
    </w:p>
    <w:p w:rsidR="00365F38" w:rsidRPr="00F31E6A" w:rsidP="00365F38" w14:paraId="4E34C0A6" w14:textId="77777777">
      <w:pPr>
        <w:pStyle w:val="NormalHanging12a"/>
      </w:pPr>
      <w:r>
        <w:t>K.</w:t>
      </w:r>
      <w:r>
        <w:tab/>
        <w:t>considérant que la dotation annuelle du FEM n’excède pas un montant maximal de 30 millions d’EUR (aux prix de 2018), comme le prévoit l’article 8 du règlement (UE, Euratom) 2020/2093 du Conseil du 17 décembre 2020 fixant le cadre financier pluriannuel pour les années 2021 à 2027.</w:t>
      </w:r>
    </w:p>
    <w:p w:rsidR="00365F38" w:rsidRPr="00F31E6A" w:rsidP="00365F38" w14:paraId="58CF780C" w14:textId="77777777">
      <w:pPr>
        <w:pStyle w:val="NormalHanging12a"/>
        <w:ind w:left="0" w:firstLine="0"/>
      </w:pPr>
      <w:r>
        <w:t>Par conséquent, la commission de l’emploi et des affaires sociales invite la commission des budgets, compétente au fond, à intégrer dans la proposition de résolution qu’elle adoptera les suggestions suivantes:</w:t>
      </w:r>
    </w:p>
    <w:p w:rsidR="00365F38" w:rsidRPr="00F31E6A" w:rsidP="00365F38" w14:paraId="2A3D3E33" w14:textId="77777777">
      <w:pPr>
        <w:pStyle w:val="NormalHanging12a"/>
      </w:pPr>
      <w:r>
        <w:t>1.</w:t>
      </w:r>
      <w:r>
        <w:tab/>
        <w:t>rappelle que l’objectif du FEM est de faire preuve de solidarité avec les bénéficiaires et de leur apporter un soutien; estime que les contributions financières du FEM devraient être affectées en priorité à des mesures actives de la politique du marché du travail et à des services personnalisés visant à assurer la réinsertion rapide des bénéficiaires dans des emplois décents et pérennes, dans leur secteur d’activité initial ou en dehors de celui-ci; souligne qu’il importe de préparer et d’accompagner les travailleurs face à l’impératif des transitions écologique et numérique de l’économie et de la société européennes; réaffirme, à cet égard, le rôle important que joue l’Union, y compris par l’intermédiaire du FEM, en contribuant au financement des qualifications nécessaires à une transition juste, conformément au pacte vert pour l’Europe;</w:t>
      </w:r>
    </w:p>
    <w:p w:rsidR="00365F38" w:rsidRPr="00F31E6A" w:rsidP="00365F38" w14:paraId="0A87FC34" w14:textId="77777777">
      <w:pPr>
        <w:pStyle w:val="NormalHanging12a"/>
      </w:pPr>
      <w:r>
        <w:t>2.</w:t>
      </w:r>
      <w:r>
        <w:tab/>
        <w:t>convient avec la Commission que les conditions fixées dans le règlement FEM sont remplies et que l’Espagne a droit, au titre de ce règlement, à une contribution financière d’un montant de 2 725 100 EUR, ce qui représente 85 % du coût total de 3 206 000 EUR, montant correspondant aux dépenses afférentes aux services personnalisés à hauteur de 3 046 000 EUR et à celles servant à financer les activités de préparation, de gestion, d’information et de publicité, ainsi que de contrôle et de rapport, à hauteur de 160 000 EUR;</w:t>
      </w:r>
    </w:p>
    <w:p w:rsidR="00365F38" w:rsidRPr="00F31E6A" w:rsidP="00365F38" w14:paraId="1DE309EB" w14:textId="77777777">
      <w:pPr>
        <w:pStyle w:val="NormalHanging12a"/>
      </w:pPr>
      <w:r>
        <w:t>3.</w:t>
      </w:r>
      <w:r>
        <w:tab/>
        <w:t>constate que l’Espagne a apporté toutes les assurances nécessaires que les exigences fixées dans la législation nationale et dans celle de l’Union concernant les licenciements collectifs ont été respectées et que les principes d’égalité de traitement et de non-discrimination seront respectés pour l’accès aux mesures proposées et leur mise en œuvre;</w:t>
      </w:r>
    </w:p>
    <w:p w:rsidR="00365F38" w:rsidRPr="00F31E6A" w:rsidP="00365F38" w14:paraId="2A004A99" w14:textId="77777777">
      <w:pPr>
        <w:pStyle w:val="NormalHanging12a"/>
      </w:pPr>
      <w:r>
        <w:t>4.</w:t>
      </w:r>
      <w:r>
        <w:tab/>
        <w:t>souligne que l’Espagne a confirmé que les mesures soutenues par le FEM ne bénéficieront d’aucune contribution financière au titre d’autres instruments financiers de l’Union;</w:t>
      </w:r>
    </w:p>
    <w:p w:rsidR="00365F38" w:rsidRPr="00F31E6A" w:rsidP="00365F38" w14:paraId="683A9B55" w14:textId="77777777">
      <w:pPr>
        <w:pStyle w:val="NormalHanging12a"/>
        <w:rPr>
          <w:noProof/>
        </w:rPr>
      </w:pPr>
      <w:r>
        <w:t>5.</w:t>
      </w:r>
      <w:r>
        <w:tab/>
        <w:t xml:space="preserve">note que l’ensemble coordonné personnalisé qui doit être fourni aux travailleurs licenciés comprend les mesures suivantes: a) orientation professionnelle, b) formation: (1) Des formations transversales portant sur les compétences numériques de base et avancées, la numérisation de l’industrie, notamment les principes fondamentaux de l’industrie 4.0 et 5.0, la culture des données appliquée à l’industrie, les systèmes MES et SCADA, l’automatisation des processus au moyen de la RPA, ainsi que l’automatisation industrielle (par exemple les PLC), la prévention des risques professionnels, les procédés de production durables et les langues étrangères. (2) Le perfectionnement des compétences, conformément au rapport sur la formation et l’emploi dans le secteur automobile de Galice de CEAGA (novembre 2025) et au plan directeur du secteur automobile de Galice 2025-2027. (3) La reconversion </w:t>
      </w:r>
      <w:r>
        <w:t>professionnelle visant l’acquisition d’une nouvelle qualification professionnelle sera axée sur des formations liées à des secteurs clés tels que l’aéronautique, les énergies renouvelables, les transports et l’entreposage, ainsi que les infrastructures et la maintenance industrielle, qui présentent une forte capacité d’absorption des profils industriels. (4) Une formation à l’entrepreneuriat sera dispensée à ceux souhaitant exercer une activité indépendante, c) aide intensive à la recherche d’un emploi, d) accompagnement après le retour à l’emploi et e) soutien financier et incitations: (1) Incitation à la participation. Les travailleurs qui participent aux mesures et suivent le parcours de réinsertion convenu recevront un montant pouvant aller jusqu’à 400 EUR, versé soit en une seule fois, soit en plusieurs versements. (2) Prise en charge des frais de déplacement. Les dépenses éligibles comprendront les frais de transport en commun ou les frais kilométriques liés à l’utilisation d’un véhicule privé (0,26 EUR/km), les péages, les frais de stationnement, les repas et l’hébergement, à concurrence de 340 EUR par formation. (3) Soutien financier aux aidants ayant des personnes dépendantes à charge. Une allocation journalière pouvant atteindre 20 EUR sera accordée aux participants assumant des responsabilités de prise en charge (par exemple d’enfants, de personnes âgées ou de personnes handicapées dépendantes), afin de compenser les coûts supplémentaires liés à leur participation aux formations. (4) Incitations au reclassement externe. Les personnes qui retrouvent un emploi, en tant que salariés ou travailleurs indépendants, recevront 200 EUR par mois pendant une période maximale de six mois. Cette incitation vise à encourager les travailleurs, en particulier les plus âgés, à rester sur le marché du travail et à retrouver rapidement un emploi;</w:t>
      </w:r>
    </w:p>
    <w:p w:rsidR="00365F38" w:rsidRPr="00F31E6A" w:rsidP="00365F38" w14:paraId="2B65FE39" w14:textId="77777777">
      <w:pPr>
        <w:pStyle w:val="NormalHanging12a"/>
      </w:pPr>
      <w:r>
        <w:t>6.</w:t>
      </w:r>
      <w:r>
        <w:tab/>
        <w:t>souligne en particulier l’importance de l’article 7, paragraphe 2, du règlement FEM, qui exige que l’ensemble coordonné de mesures anticipe les perspectives futures du marché du travail et les compétences qui y sont requises, lesquelles doivent être compatibles avec la transition vers une économie durable et efficace dans l’utilisation des ressources et mettre particulièrement l’accent sur la diffusion des compétences requises à l’ère industrielle numérique;</w:t>
      </w:r>
    </w:p>
    <w:p w:rsidR="00365F38" w:rsidRPr="00F31E6A" w:rsidP="00365F38" w14:paraId="02D68B3B" w14:textId="77777777">
      <w:pPr>
        <w:pStyle w:val="NormalHanging12a"/>
      </w:pPr>
      <w:r>
        <w:t>7.</w:t>
      </w:r>
      <w:r>
        <w:tab/>
        <w:t>rappelle qu’il est possible d’inclure dans l’ensemble coordonné des mesures spéciales d’une durée limitée pouvant servir, entre autres, au versement d’allocations de garde d’enfant, comme le prévoit l’article 7, paragraphe 2, point b), du règlement FEM afin de faciliter la participation des personnes en recherche d’emploi aux activités proposées.</w:t>
      </w:r>
    </w:p>
    <w:p w:rsidR="00365F38" w:rsidP="00365F38" w14:paraId="63A5C868" w14:textId="77777777">
      <w:pPr>
        <w:pStyle w:val="PageHeading"/>
      </w:pPr>
      <w:bookmarkStart w:id="11" w:name="RollCallPageRR"/>
      <w:bookmarkStart w:id="12" w:name="_Toc241747120"/>
      <w:bookmarkEnd w:id="8"/>
      <w:r>
        <w:t>INFORMATIONS SUR L’ADOPTION</w:t>
      </w:r>
      <w:r>
        <w:br/>
        <w:t>PAR LA COMMISSION COMPÉTENTE AU FOND</w:t>
      </w:r>
      <w:bookmarkEnd w:id="12"/>
    </w:p>
    <w:tbl>
      <w:tblPr>
        <w:tblW w:w="0" w:type="auto"/>
        <w:tblInd w:w="-10" w:type="dxa"/>
        <w:tblLayout w:type="fixed"/>
        <w:tblCellMar>
          <w:left w:w="0" w:type="dxa"/>
          <w:right w:w="0" w:type="dxa"/>
        </w:tblCellMar>
        <w:tblLook w:val="0000"/>
      </w:tblPr>
      <w:tblGrid>
        <w:gridCol w:w="3685"/>
        <w:gridCol w:w="1530"/>
        <w:gridCol w:w="1474"/>
        <w:gridCol w:w="1474"/>
        <w:gridCol w:w="1474"/>
      </w:tblGrid>
      <w:tr w14:paraId="79AAB961" w14:textId="77777777" w:rsidTr="00680A05">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65F38" w:rsidP="00680A05" w14:paraId="6A062C4C" w14:textId="77777777">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65F38" w:rsidP="00680A05" w14:paraId="09DE5CBE" w14:textId="77777777">
            <w:pPr>
              <w:autoSpaceDE w:val="0"/>
              <w:autoSpaceDN w:val="0"/>
              <w:adjustRightInd w:val="0"/>
              <w:rPr>
                <w:color w:val="000000"/>
                <w:sz w:val="20"/>
              </w:rPr>
            </w:pPr>
            <w:r>
              <w:rPr>
                <w:color w:val="000000"/>
                <w:sz w:val="20"/>
              </w:rPr>
              <w:t>28.9.2026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65F38" w:rsidP="00680A05" w14:paraId="3298A58A"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65F38" w:rsidP="00680A05" w14:paraId="251361AC"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65F38" w:rsidP="00680A05" w14:paraId="7396C259" w14:textId="77777777">
            <w:pPr>
              <w:autoSpaceDE w:val="0"/>
              <w:autoSpaceDN w:val="0"/>
              <w:adjustRightInd w:val="0"/>
              <w:rPr>
                <w:rFonts w:ascii="sans-serif" w:hAnsi="sans-serif" w:cs="sans-serif"/>
                <w:color w:val="000000"/>
              </w:rPr>
            </w:pPr>
          </w:p>
        </w:tc>
      </w:tr>
      <w:tr w14:paraId="521F3D0E" w14:textId="77777777" w:rsidTr="00680A05">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65F38" w:rsidP="00680A05" w14:paraId="2596B18E" w14:textId="77777777">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65F38" w:rsidP="00680A05" w14:paraId="21265D0B" w14:textId="77777777">
            <w:pPr>
              <w:autoSpaceDE w:val="0"/>
              <w:autoSpaceDN w:val="0"/>
              <w:adjustRightInd w:val="0"/>
              <w:rPr>
                <w:color w:val="000000"/>
                <w:sz w:val="20"/>
              </w:rPr>
            </w:pPr>
            <w:r>
              <w:rPr>
                <w:color w:val="000000"/>
                <w:sz w:val="20"/>
              </w:rPr>
              <w:t>+:</w:t>
            </w:r>
          </w:p>
          <w:p w:rsidR="00365F38" w:rsidP="00680A05" w14:paraId="57CC3B46" w14:textId="77777777">
            <w:pPr>
              <w:autoSpaceDE w:val="0"/>
              <w:autoSpaceDN w:val="0"/>
              <w:adjustRightInd w:val="0"/>
              <w:rPr>
                <w:color w:val="000000"/>
                <w:sz w:val="20"/>
              </w:rPr>
            </w:pPr>
            <w:r>
              <w:rPr>
                <w:color w:val="000000"/>
                <w:sz w:val="20"/>
              </w:rPr>
              <w:t>–:</w:t>
            </w:r>
          </w:p>
          <w:p w:rsidR="00365F38" w:rsidP="00680A05" w14:paraId="510AC2D2" w14:textId="7777777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65F38" w:rsidP="00680A05" w14:paraId="24E0DCB0" w14:textId="77777777">
            <w:pPr>
              <w:autoSpaceDE w:val="0"/>
              <w:autoSpaceDN w:val="0"/>
              <w:adjustRightInd w:val="0"/>
              <w:rPr>
                <w:color w:val="000000"/>
                <w:sz w:val="20"/>
              </w:rPr>
            </w:pPr>
            <w:r>
              <w:rPr>
                <w:color w:val="000000"/>
                <w:sz w:val="20"/>
              </w:rPr>
              <w:t>23</w:t>
            </w:r>
          </w:p>
          <w:p w:rsidR="00365F38" w:rsidP="00680A05" w14:paraId="617F2314" w14:textId="77777777">
            <w:pPr>
              <w:autoSpaceDE w:val="0"/>
              <w:autoSpaceDN w:val="0"/>
              <w:adjustRightInd w:val="0"/>
              <w:rPr>
                <w:color w:val="000000"/>
                <w:sz w:val="20"/>
              </w:rPr>
            </w:pPr>
            <w:r>
              <w:rPr>
                <w:color w:val="000000"/>
                <w:sz w:val="20"/>
              </w:rPr>
              <w:t>2</w:t>
            </w:r>
          </w:p>
          <w:p w:rsidR="00365F38" w:rsidP="00680A05" w14:paraId="6571999E" w14:textId="77777777">
            <w:pPr>
              <w:autoSpaceDE w:val="0"/>
              <w:autoSpaceDN w:val="0"/>
              <w:adjustRightInd w:val="0"/>
              <w:rPr>
                <w:color w:val="000000"/>
                <w:sz w:val="20"/>
              </w:rPr>
            </w:pPr>
            <w:r>
              <w:rPr>
                <w:color w:val="000000"/>
                <w:sz w:val="20"/>
              </w:rPr>
              <w:t>0</w:t>
            </w:r>
          </w:p>
        </w:tc>
      </w:tr>
    </w:tbl>
    <w:p w:rsidR="00365F38" w:rsidP="00365F38" w14:paraId="13762931" w14:textId="77777777"/>
    <w:p w:rsidR="00365F38" w:rsidRPr="0099178F" w:rsidP="00365F38" w14:paraId="139EEDD4" w14:textId="77777777">
      <w:pPr>
        <w:pStyle w:val="PageHeading"/>
      </w:pPr>
      <w:bookmarkStart w:id="13" w:name="RollCallPageAD"/>
      <w:bookmarkStart w:id="14" w:name="_Toc241747121"/>
      <w:bookmarkEnd w:id="11"/>
      <w:r>
        <w:t>VOTE FINAL PAR APPEL NOMINAL</w:t>
      </w:r>
      <w:r>
        <w:br/>
        <w:t>PAR LA COMMISSION COMPÉTENTE AU FOND</w:t>
      </w:r>
      <w:bookmarkEnd w:id="14"/>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ADE9B9D" w14:textId="77777777" w:rsidTr="00680A05">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365F38" w:rsidRPr="00504767" w:rsidP="00680A05" w14:paraId="53168E32" w14:textId="77777777">
            <w:pPr>
              <w:pStyle w:val="RollCallVotes"/>
            </w:pPr>
            <w:r>
              <w:t>23</w:t>
            </w:r>
          </w:p>
        </w:tc>
        <w:tc>
          <w:tcPr>
            <w:tcW w:w="7371" w:type="dxa"/>
            <w:shd w:val="pct10" w:color="000000" w:fill="FFFFFF"/>
          </w:tcPr>
          <w:p w:rsidR="00365F38" w:rsidRPr="00504767" w:rsidP="00680A05" w14:paraId="2359E623" w14:textId="77777777">
            <w:pPr>
              <w:pStyle w:val="RollCallSymbols14pt"/>
            </w:pPr>
            <w:r>
              <w:t>+</w:t>
            </w:r>
          </w:p>
        </w:tc>
      </w:tr>
      <w:tr w14:paraId="4C29AEC5" w14:textId="77777777" w:rsidTr="00680A05">
        <w:tblPrEx>
          <w:tblW w:w="0" w:type="auto"/>
          <w:tblInd w:w="145" w:type="dxa"/>
          <w:tblLayout w:type="fixed"/>
          <w:tblCellMar>
            <w:left w:w="145" w:type="dxa"/>
            <w:right w:w="145" w:type="dxa"/>
          </w:tblCellMar>
          <w:tblLook w:val="0000"/>
        </w:tblPrEx>
        <w:trPr>
          <w:cantSplit/>
        </w:trPr>
        <w:tc>
          <w:tcPr>
            <w:tcW w:w="1701" w:type="dxa"/>
            <w:shd w:val="clear" w:color="auto" w:fill="FFFFFF"/>
          </w:tcPr>
          <w:p w:rsidR="00365F38" w:rsidRPr="00504767" w:rsidP="00680A05" w14:paraId="5904BA23" w14:textId="77777777">
            <w:pPr>
              <w:pStyle w:val="RollCallTable"/>
            </w:pPr>
            <w:r>
              <w:t>ECR</w:t>
            </w:r>
          </w:p>
        </w:tc>
        <w:tc>
          <w:tcPr>
            <w:tcW w:w="7371" w:type="dxa"/>
            <w:shd w:val="clear" w:color="auto" w:fill="FFFFFF"/>
          </w:tcPr>
          <w:p w:rsidR="00365F38" w:rsidRPr="00504767" w:rsidP="00680A05" w14:paraId="2565C455" w14:textId="77777777">
            <w:pPr>
              <w:pStyle w:val="RollCallTable"/>
            </w:pPr>
            <w:r>
              <w:t>Tobiasz Bocheński</w:t>
            </w:r>
          </w:p>
        </w:tc>
      </w:tr>
      <w:tr w14:paraId="60D5158F" w14:textId="77777777" w:rsidTr="00680A05">
        <w:tblPrEx>
          <w:tblW w:w="0" w:type="auto"/>
          <w:tblInd w:w="145" w:type="dxa"/>
          <w:tblLayout w:type="fixed"/>
          <w:tblCellMar>
            <w:left w:w="145" w:type="dxa"/>
            <w:right w:w="145" w:type="dxa"/>
          </w:tblCellMar>
          <w:tblLook w:val="0000"/>
        </w:tblPrEx>
        <w:trPr>
          <w:cantSplit/>
        </w:trPr>
        <w:tc>
          <w:tcPr>
            <w:tcW w:w="1701" w:type="dxa"/>
            <w:shd w:val="clear" w:color="auto" w:fill="FFFFFF"/>
          </w:tcPr>
          <w:p w:rsidR="00365F38" w:rsidRPr="00504767" w:rsidP="00680A05" w14:paraId="762296C0" w14:textId="77777777">
            <w:pPr>
              <w:pStyle w:val="RollCallTable"/>
            </w:pPr>
            <w:r>
              <w:t>NI</w:t>
            </w:r>
          </w:p>
        </w:tc>
        <w:tc>
          <w:tcPr>
            <w:tcW w:w="7371" w:type="dxa"/>
            <w:shd w:val="clear" w:color="auto" w:fill="FFFFFF"/>
          </w:tcPr>
          <w:p w:rsidR="00365F38" w:rsidRPr="00504767" w:rsidP="00680A05" w14:paraId="27FE4621" w14:textId="77777777">
            <w:pPr>
              <w:pStyle w:val="RollCallTable"/>
            </w:pPr>
            <w:r>
              <w:t>Thomas Geisel</w:t>
            </w:r>
          </w:p>
        </w:tc>
      </w:tr>
      <w:tr w14:paraId="2CF95A9A" w14:textId="77777777" w:rsidTr="00680A05">
        <w:tblPrEx>
          <w:tblW w:w="0" w:type="auto"/>
          <w:tblInd w:w="145" w:type="dxa"/>
          <w:tblLayout w:type="fixed"/>
          <w:tblCellMar>
            <w:left w:w="145" w:type="dxa"/>
            <w:right w:w="145" w:type="dxa"/>
          </w:tblCellMar>
          <w:tblLook w:val="0000"/>
        </w:tblPrEx>
        <w:trPr>
          <w:cantSplit/>
        </w:trPr>
        <w:tc>
          <w:tcPr>
            <w:tcW w:w="1701" w:type="dxa"/>
            <w:shd w:val="clear" w:color="auto" w:fill="FFFFFF"/>
          </w:tcPr>
          <w:p w:rsidR="00365F38" w:rsidRPr="00504767" w:rsidP="00680A05" w14:paraId="69A90A47" w14:textId="77777777">
            <w:pPr>
              <w:pStyle w:val="RollCallTable"/>
            </w:pPr>
            <w:r>
              <w:t>PPE</w:t>
            </w:r>
          </w:p>
        </w:tc>
        <w:tc>
          <w:tcPr>
            <w:tcW w:w="7371" w:type="dxa"/>
            <w:shd w:val="clear" w:color="auto" w:fill="FFFFFF"/>
          </w:tcPr>
          <w:p w:rsidR="00365F38" w:rsidRPr="00504767" w:rsidP="00680A05" w14:paraId="14FC4540" w14:textId="77777777">
            <w:pPr>
              <w:pStyle w:val="RollCallTable"/>
            </w:pPr>
            <w:r>
              <w:t>Georgios Aftias, Isabel Benjumea Benjumea, Niclas Herbst, Monika Hohlmeier, Kinga Kollár, Jüri Ratas, Hélder Sousa Silva</w:t>
            </w:r>
          </w:p>
        </w:tc>
      </w:tr>
      <w:tr w14:paraId="278AA358" w14:textId="77777777" w:rsidTr="00680A05">
        <w:tblPrEx>
          <w:tblW w:w="0" w:type="auto"/>
          <w:tblInd w:w="145" w:type="dxa"/>
          <w:tblLayout w:type="fixed"/>
          <w:tblCellMar>
            <w:left w:w="145" w:type="dxa"/>
            <w:right w:w="145" w:type="dxa"/>
          </w:tblCellMar>
          <w:tblLook w:val="0000"/>
        </w:tblPrEx>
        <w:trPr>
          <w:cantSplit/>
        </w:trPr>
        <w:tc>
          <w:tcPr>
            <w:tcW w:w="1701" w:type="dxa"/>
            <w:shd w:val="clear" w:color="auto" w:fill="FFFFFF"/>
          </w:tcPr>
          <w:p w:rsidR="00365F38" w:rsidRPr="00504767" w:rsidP="00680A05" w14:paraId="7515A22E" w14:textId="77777777">
            <w:pPr>
              <w:pStyle w:val="RollCallTable"/>
            </w:pPr>
            <w:r>
              <w:t>PfE</w:t>
            </w:r>
          </w:p>
        </w:tc>
        <w:tc>
          <w:tcPr>
            <w:tcW w:w="7371" w:type="dxa"/>
            <w:shd w:val="clear" w:color="auto" w:fill="FFFFFF"/>
          </w:tcPr>
          <w:p w:rsidR="00365F38" w:rsidRPr="00504767" w:rsidP="00680A05" w14:paraId="59FBAF8D" w14:textId="77777777">
            <w:pPr>
              <w:pStyle w:val="RollCallTable"/>
            </w:pPr>
            <w:r>
              <w:t>Angéline Furet, András Gyürk, Virginie Joron, Balázs Orbán</w:t>
            </w:r>
          </w:p>
        </w:tc>
      </w:tr>
      <w:tr w14:paraId="5AB77B7F" w14:textId="77777777" w:rsidTr="00680A05">
        <w:tblPrEx>
          <w:tblW w:w="0" w:type="auto"/>
          <w:tblInd w:w="145" w:type="dxa"/>
          <w:tblLayout w:type="fixed"/>
          <w:tblCellMar>
            <w:left w:w="145" w:type="dxa"/>
            <w:right w:w="145" w:type="dxa"/>
          </w:tblCellMar>
          <w:tblLook w:val="0000"/>
        </w:tblPrEx>
        <w:trPr>
          <w:cantSplit/>
        </w:trPr>
        <w:tc>
          <w:tcPr>
            <w:tcW w:w="1701" w:type="dxa"/>
            <w:shd w:val="clear" w:color="auto" w:fill="FFFFFF"/>
          </w:tcPr>
          <w:p w:rsidR="00365F38" w:rsidRPr="00504767" w:rsidP="00680A05" w14:paraId="0CA928C2" w14:textId="77777777">
            <w:pPr>
              <w:pStyle w:val="RollCallTable"/>
            </w:pPr>
            <w:r>
              <w:t>Renew</w:t>
            </w:r>
          </w:p>
        </w:tc>
        <w:tc>
          <w:tcPr>
            <w:tcW w:w="7371" w:type="dxa"/>
            <w:shd w:val="clear" w:color="auto" w:fill="FFFFFF"/>
          </w:tcPr>
          <w:p w:rsidR="00365F38" w:rsidRPr="00504767" w:rsidP="00680A05" w14:paraId="508D6062" w14:textId="77777777">
            <w:pPr>
              <w:pStyle w:val="RollCallTable"/>
            </w:pPr>
            <w:r>
              <w:t>Olivier Chastel, Lucia Yar</w:t>
            </w:r>
          </w:p>
        </w:tc>
      </w:tr>
      <w:tr w14:paraId="351D13AD" w14:textId="77777777" w:rsidTr="00680A05">
        <w:tblPrEx>
          <w:tblW w:w="0" w:type="auto"/>
          <w:tblInd w:w="145" w:type="dxa"/>
          <w:tblLayout w:type="fixed"/>
          <w:tblCellMar>
            <w:left w:w="145" w:type="dxa"/>
            <w:right w:w="145" w:type="dxa"/>
          </w:tblCellMar>
          <w:tblLook w:val="0000"/>
        </w:tblPrEx>
        <w:trPr>
          <w:cantSplit/>
        </w:trPr>
        <w:tc>
          <w:tcPr>
            <w:tcW w:w="1701" w:type="dxa"/>
            <w:shd w:val="clear" w:color="auto" w:fill="FFFFFF"/>
          </w:tcPr>
          <w:p w:rsidR="00365F38" w:rsidRPr="00504767" w:rsidP="00680A05" w14:paraId="4C09A68E" w14:textId="77777777">
            <w:pPr>
              <w:pStyle w:val="RollCallTable"/>
            </w:pPr>
            <w:r>
              <w:t>S&amp;D</w:t>
            </w:r>
          </w:p>
        </w:tc>
        <w:tc>
          <w:tcPr>
            <w:tcW w:w="7371" w:type="dxa"/>
            <w:shd w:val="clear" w:color="auto" w:fill="FFFFFF"/>
          </w:tcPr>
          <w:p w:rsidR="00365F38" w:rsidRPr="00504767" w:rsidP="00680A05" w14:paraId="2947733F" w14:textId="77777777">
            <w:pPr>
              <w:pStyle w:val="RollCallTable"/>
            </w:pPr>
            <w:r>
              <w:t>Matthias Ecke, Jean-Marc Germain, Sandra Gómez López, Giuseppe Lupo, Victor Negrescu, Nils Ušakovs</w:t>
            </w:r>
          </w:p>
        </w:tc>
      </w:tr>
      <w:tr w14:paraId="3FA60981" w14:textId="77777777" w:rsidTr="00680A05">
        <w:tblPrEx>
          <w:tblW w:w="0" w:type="auto"/>
          <w:tblInd w:w="145" w:type="dxa"/>
          <w:tblLayout w:type="fixed"/>
          <w:tblCellMar>
            <w:left w:w="145" w:type="dxa"/>
            <w:right w:w="145" w:type="dxa"/>
          </w:tblCellMar>
          <w:tblLook w:val="0000"/>
        </w:tblPrEx>
        <w:trPr>
          <w:cantSplit/>
        </w:trPr>
        <w:tc>
          <w:tcPr>
            <w:tcW w:w="1701" w:type="dxa"/>
            <w:shd w:val="clear" w:color="auto" w:fill="FFFFFF"/>
          </w:tcPr>
          <w:p w:rsidR="00365F38" w:rsidRPr="00504767" w:rsidP="00680A05" w14:paraId="37889AE1" w14:textId="77777777">
            <w:pPr>
              <w:pStyle w:val="RollCallTable"/>
            </w:pPr>
            <w:r>
              <w:t>The Left</w:t>
            </w:r>
          </w:p>
        </w:tc>
        <w:tc>
          <w:tcPr>
            <w:tcW w:w="7371" w:type="dxa"/>
            <w:shd w:val="clear" w:color="auto" w:fill="FFFFFF"/>
          </w:tcPr>
          <w:p w:rsidR="00365F38" w:rsidRPr="00504767" w:rsidP="00680A05" w14:paraId="0EAA8B13" w14:textId="77777777">
            <w:pPr>
              <w:pStyle w:val="RollCallTable"/>
            </w:pPr>
            <w:r>
              <w:t>Younous Omarjee</w:t>
            </w:r>
          </w:p>
        </w:tc>
      </w:tr>
      <w:tr w14:paraId="67CE676C" w14:textId="77777777" w:rsidTr="00680A05">
        <w:tblPrEx>
          <w:tblW w:w="0" w:type="auto"/>
          <w:tblInd w:w="145" w:type="dxa"/>
          <w:tblLayout w:type="fixed"/>
          <w:tblCellMar>
            <w:left w:w="145" w:type="dxa"/>
            <w:right w:w="145" w:type="dxa"/>
          </w:tblCellMar>
          <w:tblLook w:val="0000"/>
        </w:tblPrEx>
        <w:trPr>
          <w:cantSplit/>
        </w:trPr>
        <w:tc>
          <w:tcPr>
            <w:tcW w:w="1701" w:type="dxa"/>
            <w:shd w:val="clear" w:color="auto" w:fill="FFFFFF"/>
          </w:tcPr>
          <w:p w:rsidR="00365F38" w:rsidRPr="00504767" w:rsidP="00680A05" w14:paraId="5FC77D24" w14:textId="77777777">
            <w:pPr>
              <w:pStyle w:val="RollCallTable"/>
            </w:pPr>
            <w:r>
              <w:t>Verts/ALE</w:t>
            </w:r>
          </w:p>
        </w:tc>
        <w:tc>
          <w:tcPr>
            <w:tcW w:w="7371" w:type="dxa"/>
            <w:shd w:val="clear" w:color="auto" w:fill="FFFFFF"/>
          </w:tcPr>
          <w:p w:rsidR="00365F38" w:rsidRPr="00504767" w:rsidP="00680A05" w14:paraId="0318C1C5" w14:textId="77777777">
            <w:pPr>
              <w:pStyle w:val="RollCallTable"/>
            </w:pPr>
            <w:r>
              <w:t>Rasmus Andresen</w:t>
            </w:r>
          </w:p>
        </w:tc>
      </w:tr>
    </w:tbl>
    <w:p w:rsidR="00365F38" w:rsidRPr="00504767" w:rsidP="00365F38" w14:paraId="746297AA"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37B24B7" w14:textId="77777777" w:rsidTr="00680A05">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365F38" w:rsidRPr="00504767" w:rsidP="00680A05" w14:paraId="05614827" w14:textId="77777777">
            <w:pPr>
              <w:pStyle w:val="RollCallVotes"/>
            </w:pPr>
            <w:r>
              <w:t>2</w:t>
            </w:r>
          </w:p>
        </w:tc>
        <w:tc>
          <w:tcPr>
            <w:tcW w:w="7371" w:type="dxa"/>
            <w:shd w:val="pct10" w:color="000000" w:fill="FFFFFF"/>
          </w:tcPr>
          <w:p w:rsidR="00365F38" w:rsidRPr="00504767" w:rsidP="00680A05" w14:paraId="0019A928" w14:textId="77777777">
            <w:pPr>
              <w:pStyle w:val="RollCallSymbols14pt"/>
            </w:pPr>
            <w:r>
              <w:t>-</w:t>
            </w:r>
          </w:p>
        </w:tc>
      </w:tr>
      <w:tr w14:paraId="2DCF9C15" w14:textId="77777777" w:rsidTr="00680A05">
        <w:tblPrEx>
          <w:tblW w:w="0" w:type="auto"/>
          <w:tblInd w:w="145" w:type="dxa"/>
          <w:tblLayout w:type="fixed"/>
          <w:tblCellMar>
            <w:left w:w="145" w:type="dxa"/>
            <w:right w:w="145" w:type="dxa"/>
          </w:tblCellMar>
          <w:tblLook w:val="0000"/>
        </w:tblPrEx>
        <w:trPr>
          <w:cantSplit/>
        </w:trPr>
        <w:tc>
          <w:tcPr>
            <w:tcW w:w="1701" w:type="dxa"/>
            <w:shd w:val="clear" w:color="auto" w:fill="FFFFFF"/>
          </w:tcPr>
          <w:p w:rsidR="00365F38" w:rsidRPr="00504767" w:rsidP="00680A05" w14:paraId="563C81BB" w14:textId="77777777">
            <w:pPr>
              <w:pStyle w:val="RollCallTable"/>
            </w:pPr>
            <w:r>
              <w:t>ESN</w:t>
            </w:r>
          </w:p>
        </w:tc>
        <w:tc>
          <w:tcPr>
            <w:tcW w:w="7371" w:type="dxa"/>
            <w:shd w:val="clear" w:color="auto" w:fill="FFFFFF"/>
          </w:tcPr>
          <w:p w:rsidR="00365F38" w:rsidRPr="00504767" w:rsidP="00680A05" w14:paraId="6A49D725" w14:textId="77777777">
            <w:pPr>
              <w:pStyle w:val="RollCallTable"/>
            </w:pPr>
            <w:r>
              <w:t>Alexander Jungbluth</w:t>
            </w:r>
          </w:p>
        </w:tc>
      </w:tr>
      <w:tr w14:paraId="3A63383C" w14:textId="77777777" w:rsidTr="00680A05">
        <w:tblPrEx>
          <w:tblW w:w="0" w:type="auto"/>
          <w:tblInd w:w="145" w:type="dxa"/>
          <w:tblLayout w:type="fixed"/>
          <w:tblCellMar>
            <w:left w:w="145" w:type="dxa"/>
            <w:right w:w="145" w:type="dxa"/>
          </w:tblCellMar>
          <w:tblLook w:val="0000"/>
        </w:tblPrEx>
        <w:trPr>
          <w:cantSplit/>
        </w:trPr>
        <w:tc>
          <w:tcPr>
            <w:tcW w:w="1701" w:type="dxa"/>
            <w:shd w:val="clear" w:color="auto" w:fill="FFFFFF"/>
          </w:tcPr>
          <w:p w:rsidR="00365F38" w:rsidRPr="00504767" w:rsidP="00680A05" w14:paraId="10A38BDA" w14:textId="77777777">
            <w:pPr>
              <w:pStyle w:val="RollCallTable"/>
            </w:pPr>
            <w:r>
              <w:t>PfE</w:t>
            </w:r>
          </w:p>
        </w:tc>
        <w:tc>
          <w:tcPr>
            <w:tcW w:w="7371" w:type="dxa"/>
            <w:shd w:val="clear" w:color="auto" w:fill="FFFFFF"/>
          </w:tcPr>
          <w:p w:rsidR="00365F38" w:rsidRPr="00504767" w:rsidP="00680A05" w14:paraId="6D38E2D7" w14:textId="77777777">
            <w:pPr>
              <w:pStyle w:val="RollCallTable"/>
            </w:pPr>
            <w:r>
              <w:t>Tomasz Buczek</w:t>
            </w:r>
          </w:p>
        </w:tc>
      </w:tr>
    </w:tbl>
    <w:p w:rsidR="00365F38" w:rsidRPr="00504767" w:rsidP="00365F38" w14:paraId="0B711F74" w14:textId="7777777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B8FD5FD" w14:textId="77777777" w:rsidTr="00680A05">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365F38" w:rsidRPr="00504767" w:rsidP="00680A05" w14:paraId="0DD06DD3" w14:textId="77777777">
            <w:pPr>
              <w:pStyle w:val="RollCallVotes"/>
            </w:pPr>
            <w:r>
              <w:t>0</w:t>
            </w:r>
          </w:p>
        </w:tc>
        <w:tc>
          <w:tcPr>
            <w:tcW w:w="7371" w:type="dxa"/>
            <w:shd w:val="pct10" w:color="000000" w:fill="FFFFFF"/>
          </w:tcPr>
          <w:p w:rsidR="00365F38" w:rsidRPr="00504767" w:rsidP="00680A05" w14:paraId="1011F279" w14:textId="77777777">
            <w:pPr>
              <w:pStyle w:val="RollCallSymbols14pt"/>
            </w:pPr>
            <w:r>
              <w:t>0</w:t>
            </w:r>
          </w:p>
        </w:tc>
      </w:tr>
      <w:tr w14:paraId="0AC1FDF4" w14:textId="77777777" w:rsidTr="00680A05">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365F38" w:rsidRPr="00504767" w:rsidP="00680A05" w14:paraId="78111011" w14:textId="77777777">
            <w:pPr>
              <w:pStyle w:val="RollCallTable"/>
            </w:pPr>
          </w:p>
        </w:tc>
        <w:tc>
          <w:tcPr>
            <w:tcW w:w="7371" w:type="dxa"/>
            <w:shd w:val="clear" w:color="auto" w:fill="FFFFFF"/>
          </w:tcPr>
          <w:p w:rsidR="00365F38" w:rsidRPr="00504767" w:rsidP="00680A05" w14:paraId="41A24F1E" w14:textId="77777777">
            <w:pPr>
              <w:pStyle w:val="RollCallTable"/>
            </w:pPr>
          </w:p>
        </w:tc>
      </w:tr>
    </w:tbl>
    <w:p w:rsidR="00365F38" w:rsidP="00365F38" w14:paraId="4F383B21" w14:textId="77777777">
      <w:pPr>
        <w:pStyle w:val="Normal12a"/>
      </w:pPr>
    </w:p>
    <w:p w:rsidR="00365F38" w:rsidP="00365F38" w14:paraId="3B413163" w14:textId="77777777">
      <w:r>
        <w:t>Légende des signes utilisés:</w:t>
      </w:r>
    </w:p>
    <w:p w:rsidR="00365F38" w:rsidP="00365F38" w14:paraId="4F1078FB" w14:textId="77777777">
      <w:pPr>
        <w:pStyle w:val="RollCallTabs"/>
      </w:pPr>
      <w:r>
        <w:t>+</w:t>
      </w:r>
      <w:r>
        <w:tab/>
        <w:t>:</w:t>
      </w:r>
      <w:r>
        <w:tab/>
        <w:t>pour</w:t>
      </w:r>
    </w:p>
    <w:p w:rsidR="00365F38" w:rsidP="00365F38" w14:paraId="45FE231A" w14:textId="77777777">
      <w:pPr>
        <w:pStyle w:val="RollCallTabs"/>
      </w:pPr>
      <w:r>
        <w:t>-</w:t>
      </w:r>
      <w:r>
        <w:tab/>
        <w:t>:</w:t>
      </w:r>
      <w:r>
        <w:tab/>
        <w:t>contre</w:t>
      </w:r>
    </w:p>
    <w:p w:rsidR="00365F38" w:rsidP="00365F38" w14:paraId="41958831" w14:textId="77777777">
      <w:pPr>
        <w:pStyle w:val="RollCallTabs"/>
      </w:pPr>
      <w:r>
        <w:t>0</w:t>
      </w:r>
      <w:r>
        <w:tab/>
        <w:t>:</w:t>
      </w:r>
      <w:r>
        <w:tab/>
        <w:t>abstention</w:t>
      </w:r>
    </w:p>
    <w:bookmarkEnd w:id="13"/>
    <w:p w:rsidR="00503055" w:rsidRPr="0018325B" w:rsidP="00365F38" w14:paraId="6C7A1027" w14:textId="77777777">
      <w:pPr>
        <w:pStyle w:val="PageHeading"/>
      </w:pPr>
    </w:p>
    <w:sectPr w:rsidSect="00365F38">
      <w:footerReference w:type="first" r:id="rId21"/>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5F38" w:rsidP="00365F38" w14:paraId="4B794881" w14:textId="77777777">
    <w:pPr>
      <w:pStyle w:val="EPFooter"/>
    </w:pPr>
    <w:r>
      <w:t>PE</w:t>
    </w:r>
    <w:r w:rsidRPr="00365F38">
      <w:rPr>
        <w:rStyle w:val="HideTWBExt"/>
      </w:rPr>
      <w:t>&lt;NoPE&gt;</w:t>
    </w:r>
    <w:r>
      <w:t>791.964</w:t>
    </w:r>
    <w:r w:rsidRPr="00365F38">
      <w:rPr>
        <w:rStyle w:val="HideTWBExt"/>
      </w:rPr>
      <w:t>&lt;/NoPE&gt;&lt;Version&gt;</w:t>
    </w:r>
    <w:r>
      <w:t>v01-00</w:t>
    </w:r>
    <w:r w:rsidRPr="00365F38">
      <w:rPr>
        <w:rStyle w:val="HideTWBExt"/>
      </w:rPr>
      <w:t>&lt;/Version&gt;</w:t>
    </w:r>
    <w:r>
      <w:tab/>
    </w:r>
    <w:r>
      <w:fldChar w:fldCharType="begin"/>
    </w:r>
    <w:r>
      <w:instrText xml:space="preserve"> PAGE  \* MERGEFORMAT </w:instrText>
    </w:r>
    <w:r>
      <w:fldChar w:fldCharType="separate"/>
    </w:r>
    <w:r>
      <w:rPr>
        <w:noProof/>
      </w:rPr>
      <w:t>14</w:t>
    </w:r>
    <w:r>
      <w:fldChar w:fldCharType="end"/>
    </w:r>
    <w:r>
      <w:t>/</w:t>
    </w:r>
    <w:r>
      <w:fldChar w:fldCharType="begin"/>
    </w:r>
    <w:r>
      <w:instrText xml:space="preserve"> NUMPAGES  \* MERGEFORMAT </w:instrText>
    </w:r>
    <w:r>
      <w:fldChar w:fldCharType="separate"/>
    </w:r>
    <w:r>
      <w:rPr>
        <w:noProof/>
      </w:rPr>
      <w:t>21</w:t>
    </w:r>
    <w:r>
      <w:rPr>
        <w:noProof/>
      </w:rPr>
      <w:fldChar w:fldCharType="end"/>
    </w:r>
    <w:r>
      <w:tab/>
    </w:r>
    <w:r w:rsidRPr="00365F38">
      <w:rPr>
        <w:rStyle w:val="HideTWBExt"/>
      </w:rPr>
      <w:t>&lt;PathFdR&gt;</w:t>
    </w:r>
    <w:r>
      <w:t>RR\1351603FR.docx</w:t>
    </w:r>
    <w:r w:rsidRPr="00365F38">
      <w:rPr>
        <w:rStyle w:val="HideTWBExt"/>
      </w:rPr>
      <w:t>&lt;/PathFdR&gt;</w:t>
    </w:r>
  </w:p>
  <w:p w:rsidR="00365F38" w:rsidRPr="005F1A81" w:rsidP="00365F38" w14:paraId="6B167854" w14:textId="40A5D0FC">
    <w:pPr>
      <w:pStyle w:val="EPFooter2"/>
    </w:pPr>
    <w: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5F38" w:rsidP="00365F38" w14:paraId="78D1F7FE" w14:textId="77777777">
    <w:pPr>
      <w:pStyle w:val="EPFooter"/>
    </w:pPr>
    <w:r w:rsidRPr="00365F38">
      <w:rPr>
        <w:rStyle w:val="HideTWBExt"/>
      </w:rPr>
      <w:t>&lt;PathFdR&gt;</w:t>
    </w:r>
    <w:r>
      <w:t>RR\1351603FR.docx</w:t>
    </w:r>
    <w:r w:rsidRPr="00365F38">
      <w:rPr>
        <w:rStyle w:val="HideTWBExt"/>
      </w:rPr>
      <w:t>&lt;/PathFdR&gt;</w:t>
    </w:r>
    <w:r>
      <w:tab/>
    </w:r>
    <w:r>
      <w:fldChar w:fldCharType="begin"/>
    </w:r>
    <w:r>
      <w:instrText xml:space="preserve"> PAGE  \* MERGEFORMAT </w:instrText>
    </w:r>
    <w:r>
      <w:fldChar w:fldCharType="separate"/>
    </w:r>
    <w:r>
      <w:rPr>
        <w:noProof/>
      </w:rPr>
      <w:t>13</w:t>
    </w:r>
    <w:r>
      <w:fldChar w:fldCharType="end"/>
    </w:r>
    <w:r>
      <w:t>/</w:t>
    </w:r>
    <w:r>
      <w:fldChar w:fldCharType="begin"/>
    </w:r>
    <w:r>
      <w:instrText xml:space="preserve"> NUMPAGES  \* MERGEFORMAT </w:instrText>
    </w:r>
    <w:r>
      <w:fldChar w:fldCharType="separate"/>
    </w:r>
    <w:r>
      <w:rPr>
        <w:noProof/>
      </w:rPr>
      <w:t>21</w:t>
    </w:r>
    <w:r>
      <w:rPr>
        <w:noProof/>
      </w:rPr>
      <w:fldChar w:fldCharType="end"/>
    </w:r>
    <w:r>
      <w:tab/>
      <w:t>PE</w:t>
    </w:r>
    <w:r w:rsidRPr="00365F38">
      <w:rPr>
        <w:rStyle w:val="HideTWBExt"/>
      </w:rPr>
      <w:t>&lt;NoPE&gt;</w:t>
    </w:r>
    <w:r>
      <w:t>791.964</w:t>
    </w:r>
    <w:r w:rsidRPr="00365F38">
      <w:rPr>
        <w:rStyle w:val="HideTWBExt"/>
      </w:rPr>
      <w:t>&lt;/NoPE&gt;&lt;Version&gt;</w:t>
    </w:r>
    <w:r>
      <w:t>v01-00</w:t>
    </w:r>
    <w:r w:rsidRPr="00365F38">
      <w:rPr>
        <w:rStyle w:val="HideTWBExt"/>
      </w:rPr>
      <w:t>&lt;/Version&gt;</w:t>
    </w:r>
  </w:p>
  <w:p w:rsidR="00365F38" w:rsidRPr="005F1A81" w:rsidP="00365F38" w14:paraId="5507F64A" w14:textId="36BC7270">
    <w:pPr>
      <w:pStyle w:val="EPFooter2"/>
    </w:pPr>
    <w:r>
      <w:tab/>
    </w:r>
    <w:r>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5F38" w:rsidP="00365F38" w14:paraId="3F4B9140" w14:textId="77777777">
    <w:pPr>
      <w:pStyle w:val="EPFooter"/>
    </w:pPr>
    <w:r w:rsidRPr="00365F38">
      <w:rPr>
        <w:rStyle w:val="HideTWBExt"/>
      </w:rPr>
      <w:t>&lt;PathFdR&gt;</w:t>
    </w:r>
    <w:r>
      <w:t>RR\1351603FR.docx</w:t>
    </w:r>
    <w:r w:rsidRPr="00365F38">
      <w:rPr>
        <w:rStyle w:val="HideTWBExt"/>
      </w:rPr>
      <w:t>&lt;/PathFdR&gt;</w:t>
    </w:r>
    <w:r>
      <w:tab/>
    </w:r>
    <w:r>
      <w:tab/>
      <w:t>PE</w:t>
    </w:r>
    <w:r w:rsidRPr="00365F38">
      <w:rPr>
        <w:rStyle w:val="HideTWBExt"/>
      </w:rPr>
      <w:t>&lt;NoPE&gt;</w:t>
    </w:r>
    <w:r>
      <w:t>791.964</w:t>
    </w:r>
    <w:r w:rsidRPr="00365F38">
      <w:rPr>
        <w:rStyle w:val="HideTWBExt"/>
      </w:rPr>
      <w:t>&lt;/NoPE&gt;&lt;Version&gt;</w:t>
    </w:r>
    <w:r>
      <w:t>v01-00</w:t>
    </w:r>
    <w:r w:rsidRPr="00365F38">
      <w:rPr>
        <w:rStyle w:val="HideTWBExt"/>
      </w:rPr>
      <w:t>&lt;/Version&gt;</w:t>
    </w:r>
  </w:p>
  <w:p w:rsidR="00365F38" w:rsidRPr="005F1A81" w:rsidP="00365F38" w14:paraId="6DB1C627" w14:textId="3166E002">
    <w:pPr>
      <w:pStyle w:val="EPFooter2"/>
    </w:pPr>
    <w:r>
      <w:t>FR</w:t>
    </w:r>
    <w:r>
      <w:tab/>
    </w:r>
    <w:r w:rsidRPr="00365F38">
      <w:rPr>
        <w:b w:val="0"/>
        <w:i/>
        <w:color w:val="C0C0C0"/>
        <w:sz w:val="22"/>
      </w:rPr>
      <w:t>Unie dans la diversité</w:t>
    </w:r>
    <w:r>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5F38" w:rsidP="00503055" w14:paraId="427BEBE5" w14:textId="77777777">
    <w:pPr>
      <w:pStyle w:val="EPFooter"/>
    </w:pPr>
    <w:r w:rsidRPr="00503055">
      <w:rPr>
        <w:rStyle w:val="HideTWBExt"/>
      </w:rPr>
      <w:t>&lt;PathFdR&gt;</w:t>
    </w:r>
    <w:r>
      <w:t>RR\1351603FR.docx</w:t>
    </w:r>
    <w:r w:rsidRPr="00503055">
      <w:rPr>
        <w:rStyle w:val="HideTWBExt"/>
      </w:rPr>
      <w:t>&lt;/PathFdR&gt;</w:t>
    </w:r>
    <w:r>
      <w:tab/>
    </w:r>
    <w:r>
      <w:tab/>
      <w:t>PE</w:t>
    </w:r>
    <w:r w:rsidRPr="00503055">
      <w:rPr>
        <w:rStyle w:val="HideTWBExt"/>
      </w:rPr>
      <w:t>&lt;NoPE&gt;</w:t>
    </w:r>
    <w:r>
      <w:t>791.964</w:t>
    </w:r>
    <w:r w:rsidRPr="00503055">
      <w:rPr>
        <w:rStyle w:val="HideTWBExt"/>
      </w:rPr>
      <w:t>&lt;/NoPE&gt;&lt;Version&gt;</w:t>
    </w:r>
    <w:r>
      <w:t>v01-00</w:t>
    </w:r>
    <w:r w:rsidRPr="00503055">
      <w:rPr>
        <w:rStyle w:val="HideTWBExt"/>
      </w:rPr>
      <w:t>&lt;/Version&gt;</w:t>
    </w:r>
  </w:p>
  <w:p w:rsidR="00365F38" w:rsidRPr="005F1A81" w:rsidP="00503055" w14:paraId="27158576" w14:textId="77777777">
    <w:pPr>
      <w:pStyle w:val="EPFooter2"/>
    </w:pPr>
    <w:r>
      <w:t>FR</w:t>
    </w:r>
    <w:r>
      <w:tab/>
    </w:r>
    <w:r w:rsidRPr="00503055">
      <w:rPr>
        <w:b w:val="0"/>
        <w:i/>
        <w:color w:val="C0C0C0"/>
        <w:sz w:val="22"/>
      </w:rPr>
      <w:t>Unie dans la diversité</w:t>
    </w:r>
    <w:r>
      <w:tab/>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5F38" w:rsidP="00503055" w14:paraId="2CB83F00" w14:textId="77777777">
    <w:pPr>
      <w:pStyle w:val="EPFooter"/>
    </w:pPr>
    <w:r w:rsidRPr="00503055">
      <w:rPr>
        <w:rStyle w:val="HideTWBExt"/>
      </w:rPr>
      <w:t>&lt;PathFdR&gt;</w:t>
    </w:r>
    <w:r>
      <w:t>RR\1351603FR.docx</w:t>
    </w:r>
    <w:r w:rsidRPr="00503055">
      <w:rPr>
        <w:rStyle w:val="HideTWBExt"/>
      </w:rPr>
      <w:t>&lt;/PathFdR&gt;</w:t>
    </w:r>
    <w:r>
      <w:tab/>
    </w:r>
    <w:r>
      <w:tab/>
      <w:t>PE</w:t>
    </w:r>
    <w:r w:rsidRPr="00503055">
      <w:rPr>
        <w:rStyle w:val="HideTWBExt"/>
      </w:rPr>
      <w:t>&lt;NoPE&gt;</w:t>
    </w:r>
    <w:r>
      <w:t>791.964</w:t>
    </w:r>
    <w:r w:rsidRPr="00503055">
      <w:rPr>
        <w:rStyle w:val="HideTWBExt"/>
      </w:rPr>
      <w:t>&lt;/NoPE&gt;&lt;Version&gt;</w:t>
    </w:r>
    <w:r>
      <w:t>v01-00</w:t>
    </w:r>
    <w:r w:rsidRPr="00503055">
      <w:rPr>
        <w:rStyle w:val="HideTWBExt"/>
      </w:rPr>
      <w:t>&lt;/Version&gt;</w:t>
    </w:r>
  </w:p>
  <w:p w:rsidR="00365F38" w:rsidRPr="005F1A81" w:rsidP="00503055" w14:paraId="3355C023" w14:textId="77777777">
    <w:pPr>
      <w:pStyle w:val="EPFooter2"/>
    </w:pPr>
    <w:r>
      <w:t>FR</w:t>
    </w:r>
    <w:r>
      <w:tab/>
    </w:r>
    <w:r w:rsidRPr="00503055">
      <w:rPr>
        <w:b w:val="0"/>
        <w:i/>
        <w:color w:val="C0C0C0"/>
        <w:sz w:val="22"/>
      </w:rPr>
      <w:t>Unie dans la diversité</w:t>
    </w:r>
    <w:r>
      <w:tab/>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5F38" w:rsidRPr="005F1A81" w:rsidP="00611B44" w14:paraId="405FBC39" w14:textId="77777777">
    <w:pPr>
      <w:pStyle w:val="EPFooter"/>
    </w:pPr>
    <w:r w:rsidRPr="005F1A81">
      <w:rPr>
        <w:rStyle w:val="HideTWBExt"/>
      </w:rPr>
      <w:t>&lt;PathFdR&gt;</w:t>
    </w:r>
    <w:r w:rsidRPr="005F1A81">
      <w:rPr>
        <w:color w:val="auto"/>
      </w:rPr>
      <w:t>PR\1349433FR.docx</w:t>
    </w:r>
    <w:r w:rsidRPr="005F1A81">
      <w:rPr>
        <w:rStyle w:val="HideTWBExt"/>
      </w:rPr>
      <w:t>&lt;/PathFdR&gt;</w:t>
    </w:r>
    <w:r w:rsidRPr="005F1A81">
      <w:tab/>
    </w:r>
    <w:r w:rsidRPr="005F1A81">
      <w:tab/>
      <w:t>PE</w:t>
    </w:r>
    <w:r w:rsidRPr="005F1A81">
      <w:rPr>
        <w:rStyle w:val="HideTWBExt"/>
      </w:rPr>
      <w:t>&lt;NoPE&gt;</w:t>
    </w:r>
    <w:r w:rsidRPr="005F1A81">
      <w:rPr>
        <w:color w:val="auto"/>
      </w:rPr>
      <w:t>791.964</w:t>
    </w:r>
    <w:r w:rsidRPr="005F1A81">
      <w:rPr>
        <w:rStyle w:val="HideTWBExt"/>
      </w:rPr>
      <w:t>&lt;/NoPE&gt;&lt;Version&gt;</w:t>
    </w:r>
    <w:r w:rsidRPr="005F1A81">
      <w:t>v</w:t>
    </w:r>
    <w:r w:rsidRPr="005F1A81">
      <w:rPr>
        <w:color w:val="auto"/>
      </w:rPr>
      <w:t>01-00</w:t>
    </w:r>
    <w:r w:rsidRPr="005F1A81">
      <w:rPr>
        <w:rStyle w:val="HideTWBExt"/>
      </w:rPr>
      <w:t>&lt;/Version&gt;</w:t>
    </w:r>
  </w:p>
  <w:p w:rsidR="00365F38" w:rsidRPr="005F1A81" w:rsidP="00533501" w14:paraId="33C4AFA6" w14:textId="50222C17">
    <w:pPr>
      <w:pStyle w:val="EPFooter2"/>
      <w:tabs>
        <w:tab w:val="clear" w:pos="4535"/>
        <w:tab w:val="center" w:pos="4536"/>
      </w:tabs>
    </w:pPr>
    <w:r w:rsidRPr="005F1A81">
      <w:fldChar w:fldCharType="begin"/>
    </w:r>
    <w:r w:rsidRPr="005F1A81">
      <w:instrText xml:space="preserve"> DOCPROPERTY "&lt;Extension&gt;" </w:instrText>
    </w:r>
    <w:r w:rsidRPr="005F1A81">
      <w:fldChar w:fldCharType="separate"/>
    </w:r>
    <w:r w:rsidR="0054483D">
      <w:t>FR</w:t>
    </w:r>
    <w:r w:rsidRPr="005F1A81">
      <w:fldChar w:fldCharType="end"/>
    </w:r>
    <w:r w:rsidRPr="005F1A81">
      <w:tab/>
    </w:r>
    <w:r w:rsidRPr="005F1A81">
      <w:rPr>
        <w:b w:val="0"/>
        <w:i/>
        <w:color w:val="C0C0C0"/>
        <w:sz w:val="22"/>
        <w:szCs w:val="22"/>
      </w:rPr>
      <w:t>Unie dans la diversité</w:t>
    </w:r>
    <w:r w:rsidRPr="005F1A81">
      <w:tab/>
    </w:r>
    <w:r w:rsidRPr="005F1A81">
      <w:fldChar w:fldCharType="begin"/>
    </w:r>
    <w:r w:rsidRPr="005F1A81">
      <w:instrText xml:space="preserve"> DOCPROPERTY "&lt;Extension&gt;" </w:instrText>
    </w:r>
    <w:r w:rsidRPr="005F1A81">
      <w:fldChar w:fldCharType="separate"/>
    </w:r>
    <w:r w:rsidR="0054483D">
      <w:t>FR</w:t>
    </w:r>
    <w:r w:rsidRPr="005F1A81">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725E" w:rsidRPr="005F1A81" w:rsidP="00611B44" w14:paraId="363528B9" w14:textId="3C787EA4">
    <w:pPr>
      <w:pStyle w:val="EPFooter"/>
    </w:pPr>
    <w:r w:rsidRPr="005F1A81">
      <w:rPr>
        <w:rStyle w:val="HideTWBExt"/>
      </w:rPr>
      <w:t>&lt;PathFdR&gt;</w:t>
    </w:r>
    <w:r w:rsidRPr="005F1A81" w:rsidR="00A9405A">
      <w:rPr>
        <w:color w:val="auto"/>
      </w:rPr>
      <w:t>PR\1349433FR.docx</w:t>
    </w:r>
    <w:r w:rsidRPr="005F1A81">
      <w:rPr>
        <w:rStyle w:val="HideTWBExt"/>
      </w:rPr>
      <w:t>&lt;/PathFdR&gt;</w:t>
    </w:r>
    <w:r w:rsidRPr="005F1A81">
      <w:tab/>
    </w:r>
    <w:r w:rsidRPr="005F1A81">
      <w:tab/>
      <w:t>PE</w:t>
    </w:r>
    <w:r w:rsidRPr="005F1A81">
      <w:rPr>
        <w:rStyle w:val="HideTWBExt"/>
      </w:rPr>
      <w:t>&lt;NoPE&gt;</w:t>
    </w:r>
    <w:r w:rsidRPr="005F1A81" w:rsidR="00A9405A">
      <w:rPr>
        <w:color w:val="auto"/>
      </w:rPr>
      <w:t>791.964</w:t>
    </w:r>
    <w:r w:rsidRPr="005F1A81">
      <w:rPr>
        <w:rStyle w:val="HideTWBExt"/>
      </w:rPr>
      <w:t>&lt;/NoPE&gt;&lt;Version&gt;</w:t>
    </w:r>
    <w:r w:rsidRPr="005F1A81" w:rsidR="00257359">
      <w:t>v</w:t>
    </w:r>
    <w:r w:rsidRPr="005F1A81" w:rsidR="00A9405A">
      <w:rPr>
        <w:color w:val="auto"/>
      </w:rPr>
      <w:t>01-00</w:t>
    </w:r>
    <w:r w:rsidRPr="005F1A81">
      <w:rPr>
        <w:rStyle w:val="HideTWBExt"/>
      </w:rPr>
      <w:t>&lt;/Version&gt;</w:t>
    </w:r>
  </w:p>
  <w:p w:rsidR="00BB725E" w:rsidRPr="005F1A81" w:rsidP="00533501" w14:paraId="306808FD" w14:textId="5A18CFE6">
    <w:pPr>
      <w:pStyle w:val="EPFooter2"/>
      <w:tabs>
        <w:tab w:val="clear" w:pos="4535"/>
        <w:tab w:val="center" w:pos="4536"/>
      </w:tabs>
    </w:pPr>
    <w:r w:rsidRPr="005F1A81">
      <w:fldChar w:fldCharType="begin"/>
    </w:r>
    <w:r w:rsidRPr="005F1A81">
      <w:instrText xml:space="preserve"> DOCPROPERTY "&lt;Extension&gt;" </w:instrText>
    </w:r>
    <w:r w:rsidRPr="005F1A81">
      <w:fldChar w:fldCharType="separate"/>
    </w:r>
    <w:r w:rsidR="0054483D">
      <w:t>FR</w:t>
    </w:r>
    <w:r w:rsidRPr="005F1A81">
      <w:fldChar w:fldCharType="end"/>
    </w:r>
    <w:r w:rsidRPr="005F1A81" w:rsidR="00533501">
      <w:tab/>
    </w:r>
    <w:r w:rsidRPr="005F1A81" w:rsidR="00A9405A">
      <w:rPr>
        <w:b w:val="0"/>
        <w:i/>
        <w:color w:val="C0C0C0"/>
        <w:sz w:val="22"/>
        <w:szCs w:val="22"/>
      </w:rPr>
      <w:t>Unie dans la diversité</w:t>
    </w:r>
    <w:r w:rsidRPr="005F1A81" w:rsidR="00533501">
      <w:tab/>
    </w:r>
    <w:r w:rsidRPr="005F1A81">
      <w:fldChar w:fldCharType="begin"/>
    </w:r>
    <w:r w:rsidRPr="005F1A81">
      <w:instrText xml:space="preserve"> DOCPROPERTY "&lt;Extension&gt;" </w:instrText>
    </w:r>
    <w:r w:rsidRPr="005F1A81">
      <w:fldChar w:fldCharType="separate"/>
    </w:r>
    <w:r w:rsidR="0054483D">
      <w:t>FR</w:t>
    </w:r>
    <w:r w:rsidRPr="005F1A8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57359" w:rsidRPr="005F1A81" w14:paraId="37AAE85E" w14:textId="77777777">
      <w:r w:rsidRPr="005F1A81">
        <w:separator/>
      </w:r>
    </w:p>
  </w:footnote>
  <w:footnote w:type="continuationSeparator" w:id="1">
    <w:p w:rsidR="00257359" w:rsidRPr="005F1A81" w14:paraId="6A729EAC" w14:textId="77777777">
      <w:r w:rsidRPr="005F1A81">
        <w:continuationSeparator/>
      </w:r>
    </w:p>
  </w:footnote>
  <w:footnote w:id="2">
    <w:p w:rsidR="00365F38" w:rsidRPr="0054483D" w:rsidP="00365F38" w14:paraId="2DF5F2F3" w14:textId="4E4A83E9">
      <w:pPr>
        <w:pStyle w:val="FootnoteText"/>
        <w:rPr>
          <w:lang w:val="fi-FI"/>
        </w:rPr>
      </w:pPr>
      <w:r>
        <w:rPr>
          <w:rStyle w:val="FootnoteReference"/>
        </w:rPr>
        <w:footnoteRef/>
      </w:r>
      <w:r w:rsidRPr="0054483D">
        <w:rPr>
          <w:lang w:val="fi-FI"/>
        </w:rPr>
        <w:t xml:space="preserve"> JO L 153 du 3.5.2021, p. 48, ELI: </w:t>
      </w:r>
      <w:hyperlink r:id="rId1" w:history="1">
        <w:r w:rsidRPr="0054483D">
          <w:rPr>
            <w:rStyle w:val="Hyperlink"/>
            <w:lang w:val="fi-FI"/>
          </w:rPr>
          <w:t>http://data.europa.eu/eli/reg/2021/691/oj</w:t>
        </w:r>
      </w:hyperlink>
      <w:r w:rsidRPr="0054483D">
        <w:rPr>
          <w:lang w:val="fi-FI"/>
        </w:rPr>
        <w:t>.</w:t>
      </w:r>
    </w:p>
  </w:footnote>
  <w:footnote w:id="3">
    <w:p w:rsidR="00365F38" w:rsidRPr="0054483D" w:rsidP="00365F38" w14:paraId="4F762221" w14:textId="4B61CEDD">
      <w:pPr>
        <w:pStyle w:val="FootnoteText"/>
        <w:rPr>
          <w:lang w:val="fi-FI"/>
        </w:rPr>
      </w:pPr>
      <w:r>
        <w:rPr>
          <w:rStyle w:val="FootnoteReference"/>
        </w:rPr>
        <w:footnoteRef/>
      </w:r>
      <w:r w:rsidRPr="0054483D">
        <w:rPr>
          <w:lang w:val="fi-FI"/>
        </w:rPr>
        <w:t xml:space="preserve"> JO L, 2026/1139, 20.5.2026, ELI: </w:t>
      </w:r>
      <w:hyperlink r:id="rId2" w:history="1">
        <w:r w:rsidRPr="0054483D">
          <w:rPr>
            <w:rStyle w:val="Hyperlink"/>
            <w:lang w:val="fi-FI"/>
          </w:rPr>
          <w:t>http://data.europa.eu/eli/reg/2026/1139/oj</w:t>
        </w:r>
      </w:hyperlink>
      <w:r w:rsidRPr="0054483D">
        <w:rPr>
          <w:lang w:val="fi-FI"/>
        </w:rPr>
        <w:t>.</w:t>
      </w:r>
    </w:p>
  </w:footnote>
  <w:footnote w:id="4">
    <w:p w:rsidR="00365F38" w:rsidRPr="0054483D" w:rsidP="00365F38" w14:paraId="02081B44" w14:textId="66277FC4">
      <w:pPr>
        <w:pStyle w:val="FootnoteText"/>
        <w:rPr>
          <w:lang w:val="da-DK"/>
        </w:rPr>
      </w:pPr>
      <w:r>
        <w:rPr>
          <w:rStyle w:val="FootnoteReference"/>
        </w:rPr>
        <w:footnoteRef/>
      </w:r>
      <w:r w:rsidRPr="0054483D">
        <w:rPr>
          <w:lang w:val="da-DK"/>
        </w:rPr>
        <w:t xml:space="preserve"> JO L 433 I du 22.12.2020, p. 11, ELI: </w:t>
      </w:r>
      <w:hyperlink r:id="rId3" w:history="1">
        <w:r w:rsidRPr="0054483D">
          <w:rPr>
            <w:rStyle w:val="Hyperlink"/>
            <w:lang w:val="da-DK"/>
          </w:rPr>
          <w:t>http://data.europa.eu/eli/reg/2020/2093/oj</w:t>
        </w:r>
      </w:hyperlink>
      <w:r w:rsidRPr="0054483D">
        <w:rPr>
          <w:lang w:val="da-DK"/>
        </w:rPr>
        <w:t>.</w:t>
      </w:r>
    </w:p>
  </w:footnote>
  <w:footnote w:id="5">
    <w:p w:rsidR="00365F38" w:rsidRPr="0054483D" w:rsidP="00365F38" w14:paraId="0C0AB9ED" w14:textId="610AA7D8">
      <w:pPr>
        <w:pStyle w:val="FootnoteText"/>
        <w:rPr>
          <w:lang w:val="fi-FI"/>
        </w:rPr>
      </w:pPr>
      <w:r>
        <w:rPr>
          <w:rStyle w:val="FootnoteReference"/>
        </w:rPr>
        <w:footnoteRef/>
      </w:r>
      <w:r w:rsidRPr="0054483D">
        <w:rPr>
          <w:lang w:val="fi-FI"/>
        </w:rPr>
        <w:t xml:space="preserve"> </w:t>
      </w:r>
      <w:r w:rsidRPr="0054483D">
        <w:rPr>
          <w:shd w:val="clear" w:color="auto" w:fill="FFFFFF"/>
          <w:lang w:val="fi-FI"/>
        </w:rPr>
        <w:t>JO L, 2024/765, 29.2.2024, ELI:</w:t>
      </w:r>
      <w:r w:rsidRPr="0054483D">
        <w:rPr>
          <w:color w:val="333333"/>
          <w:shd w:val="clear" w:color="auto" w:fill="FFFFFF"/>
          <w:lang w:val="fi-FI"/>
        </w:rPr>
        <w:t xml:space="preserve"> </w:t>
      </w:r>
      <w:hyperlink r:id="rId4" w:history="1">
        <w:r w:rsidRPr="0054483D">
          <w:rPr>
            <w:rStyle w:val="Hyperlink"/>
            <w:shd w:val="clear" w:color="auto" w:fill="FFFFFF"/>
            <w:lang w:val="fi-FI"/>
          </w:rPr>
          <w:t>http://data.europa.eu/eli/reg/2024/765/oj</w:t>
        </w:r>
      </w:hyperlink>
      <w:r w:rsidRPr="0054483D">
        <w:rPr>
          <w:i/>
          <w:color w:val="333333"/>
          <w:shd w:val="clear" w:color="auto" w:fill="FFFFFF"/>
          <w:lang w:val="fi-FI"/>
        </w:rPr>
        <w:t>.</w:t>
      </w:r>
    </w:p>
  </w:footnote>
  <w:footnote w:id="6">
    <w:p w:rsidR="00365F38" w:rsidRPr="0054483D" w:rsidP="00365F38" w14:paraId="128B71C0" w14:textId="5B91BBEF">
      <w:pPr>
        <w:pStyle w:val="FootnoteText"/>
        <w:rPr>
          <w:lang w:val="da-DK"/>
        </w:rPr>
      </w:pPr>
      <w:r>
        <w:rPr>
          <w:rStyle w:val="FootnoteReference"/>
        </w:rPr>
        <w:footnoteRef/>
      </w:r>
      <w:r w:rsidRPr="0054483D">
        <w:rPr>
          <w:lang w:val="da-DK"/>
        </w:rPr>
        <w:t xml:space="preserve"> JO L 433 I du 22.12.2020, p. 28, ELI: </w:t>
      </w:r>
      <w:hyperlink r:id="rId5" w:history="1">
        <w:r w:rsidRPr="0054483D">
          <w:rPr>
            <w:rStyle w:val="Hyperlink"/>
            <w:lang w:val="da-DK"/>
          </w:rPr>
          <w:t>http://data.europa.eu/eli/agree_interinstit/2020/1222/oj</w:t>
        </w:r>
      </w:hyperlink>
      <w:r w:rsidRPr="0054483D">
        <w:rPr>
          <w:lang w:val="da-DK"/>
        </w:rPr>
        <w:t>.</w:t>
      </w:r>
    </w:p>
  </w:footnote>
  <w:footnote w:id="7">
    <w:p w:rsidR="00365F38" w:rsidRPr="00504767" w:rsidP="00365F38" w14:paraId="0A978326" w14:textId="77777777">
      <w:pPr>
        <w:pStyle w:val="FootnoteText"/>
      </w:pPr>
      <w:r>
        <w:rPr>
          <w:rStyle w:val="FootnoteReference"/>
        </w:rPr>
        <w:footnoteRef/>
      </w:r>
      <w:r>
        <w:t xml:space="preserve"> Au sens de l’article 3 du règlement FEM.</w:t>
      </w:r>
    </w:p>
  </w:footnote>
  <w:footnote w:id="8">
    <w:p w:rsidR="00365F38" w:rsidRPr="00504767" w:rsidP="00365F38" w14:paraId="718EFA11" w14:textId="77777777">
      <w:pPr>
        <w:pStyle w:val="FootnoteText"/>
      </w:pPr>
      <w:r>
        <w:rPr>
          <w:rStyle w:val="FootnoteReference"/>
        </w:rPr>
        <w:footnoteRef/>
      </w:r>
      <w:r>
        <w:t xml:space="preserve"> Article 8 du règlement FEM.</w:t>
      </w:r>
    </w:p>
  </w:footnote>
  <w:footnote w:id="9">
    <w:p w:rsidR="00365F38" w:rsidRPr="00504767" w:rsidP="00365F38" w14:paraId="151C5BA5" w14:textId="39BB3BB4">
      <w:pPr>
        <w:pStyle w:val="FootnoteText"/>
      </w:pPr>
      <w:r>
        <w:rPr>
          <w:rStyle w:val="FootnoteReference"/>
        </w:rPr>
        <w:footnoteRef/>
      </w:r>
      <w:r>
        <w:t xml:space="preserve"> </w:t>
      </w:r>
      <w:hyperlink r:id="rId6" w:history="1">
        <w:r>
          <w:rPr>
            <w:rStyle w:val="Hyperlink"/>
          </w:rPr>
          <w:t>https://www.clustercollaboration.eu/content/galician-automotive-industry-achieves-record-figures-and-strengthens-its-role</w:t>
        </w:r>
      </w:hyperlink>
      <w:r>
        <w:rPr>
          <w:rStyle w:val="Hyperlink"/>
        </w:rPr>
        <w:t>.</w:t>
      </w:r>
    </w:p>
  </w:footnote>
  <w:footnote w:id="10">
    <w:p w:rsidR="00365F38" w:rsidRPr="0054483D" w:rsidP="00365F38" w14:paraId="3FF1164C" w14:textId="77777777">
      <w:pPr>
        <w:pStyle w:val="FootnoteText"/>
        <w:rPr>
          <w:lang w:val="fi-FI"/>
        </w:rPr>
      </w:pPr>
      <w:r>
        <w:rPr>
          <w:rStyle w:val="FootnoteReference"/>
        </w:rPr>
        <w:footnoteRef/>
      </w:r>
      <w:r w:rsidRPr="0054483D">
        <w:rPr>
          <w:lang w:val="fi-FI"/>
        </w:rPr>
        <w:t xml:space="preserve"> JO L 153 du 3.5.2021, p. 48, ELI: http://data.europa.eu/eli/reg/2021/691/oj.</w:t>
      </w:r>
    </w:p>
  </w:footnote>
  <w:footnote w:id="11">
    <w:p w:rsidR="00365F38" w:rsidRPr="0054483D" w:rsidP="00365F38" w14:paraId="1EF136CE" w14:textId="77777777">
      <w:pPr>
        <w:pStyle w:val="FootnoteText"/>
        <w:rPr>
          <w:lang w:val="da-DK"/>
        </w:rPr>
      </w:pPr>
      <w:r>
        <w:rPr>
          <w:rStyle w:val="FootnoteReference"/>
        </w:rPr>
        <w:footnoteRef/>
      </w:r>
      <w:r w:rsidRPr="0054483D">
        <w:rPr>
          <w:lang w:val="da-DK"/>
        </w:rPr>
        <w:t xml:space="preserve"> JO L 433 I du 22.12.2020, p. 28, ELI: http://data.europa.eu/eli/agree_interinstit/2020/1222/oj.</w:t>
      </w:r>
    </w:p>
  </w:footnote>
  <w:footnote w:id="12">
    <w:p w:rsidR="00365F38" w:rsidRPr="00504767" w:rsidP="00365F38" w14:paraId="26D04478" w14:textId="727310F8">
      <w:pPr>
        <w:pStyle w:val="FootnoteText"/>
      </w:pPr>
      <w:r>
        <w:rPr>
          <w:rStyle w:val="FootnoteReference"/>
        </w:rPr>
        <w:footnoteRef/>
      </w:r>
      <w:r>
        <w:t xml:space="preserve"> Règlement (UE, Euratom) 2020/2093 du Conseil du 17 décembre 2020 fixant le cadre financier pluriannuel pour les années 2021 à 2027 (JO L 433 I du 22.12.2020, p. 11, ELI: </w:t>
      </w:r>
      <w:hyperlink r:id="rId3" w:tooltip="Permet d’accéder à ce document par l’intermédiaire de son URI ELI." w:history="1">
        <w:r>
          <w:rPr>
            <w:rStyle w:val="Hyperlink"/>
          </w:rPr>
          <w:t>http://data.europa.eu/eli/reg/2020/2093/oj</w:t>
        </w:r>
      </w:hyperlink>
      <w:r>
        <w:t>).</w:t>
      </w:r>
    </w:p>
  </w:footnote>
  <w:footnote w:id="13">
    <w:p w:rsidR="00365F38" w:rsidRPr="00504767" w:rsidP="00365F38" w14:paraId="1EDF7BF3" w14:textId="29FD9217">
      <w:pPr>
        <w:pStyle w:val="FootnoteText"/>
      </w:pPr>
      <w:r>
        <w:rPr>
          <w:rStyle w:val="FootnoteReference"/>
        </w:rPr>
        <w:footnoteRef/>
      </w:r>
      <w:r>
        <w:t xml:space="preserve"> Règlement (UE, Euratom) 2024/765 du Conseil du 29 février 2024 modifiant le règlement (UE, Euratom) 2020/2093 fixant le cadre financier pluriannuel pour les années 2021 à 2027 (JO L, 2024/765, 29.2.2024, ELI: </w:t>
      </w:r>
      <w:hyperlink r:id="rId4" w:history="1">
        <w:r>
          <w:rPr>
            <w:rStyle w:val="Hyperlink"/>
          </w:rPr>
          <w:t>http://data.europa.eu/eli/reg/2024/765/oj</w:t>
        </w:r>
      </w:hyperlink>
      <w:r>
        <w:t>).</w:t>
      </w:r>
    </w:p>
  </w:footnote>
  <w:footnote w:id="14">
    <w:p w:rsidR="00365F38" w:rsidRPr="00504767" w:rsidP="00365F38" w14:paraId="7EA2D045" w14:textId="77777777">
      <w:pPr>
        <w:pStyle w:val="FootnoteText"/>
      </w:pPr>
      <w:r>
        <w:rPr>
          <w:rStyle w:val="FootnoteReference"/>
        </w:rPr>
        <w:footnoteRef/>
      </w:r>
      <w:r>
        <w:t xml:space="preserve"> COM(2026) 170</w:t>
      </w:r>
    </w:p>
    <w:p w:rsidR="00365F38" w:rsidRPr="00504767" w:rsidP="00365F38" w14:paraId="471CF3B5" w14:textId="77777777">
      <w:pPr>
        <w:pStyle w:val="FootnoteText"/>
      </w:pPr>
      <w:r>
        <w:t xml:space="preserve">* Date à insérer par le Parlement européen avant la publication au JO.  </w:t>
      </w:r>
    </w:p>
  </w:footnote>
  <w:footnote w:id="15">
    <w:p w:rsidR="00365F38" w:rsidRPr="00504767" w:rsidP="00365F38" w14:paraId="7D90F9A8" w14:textId="77777777">
      <w:pPr>
        <w:pStyle w:val="FootnoteText"/>
      </w:pPr>
      <w:r>
        <w:rPr>
          <w:rStyle w:val="FootnoteReference"/>
        </w:rPr>
        <w:footnoteRef/>
      </w:r>
      <w:r>
        <w:t xml:space="preserve"> Accord interinstitutionnel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 (JO L 433 I du 22.12.2020, p. 28).</w:t>
      </w:r>
    </w:p>
  </w:footnote>
  <w:footnote w:id="16">
    <w:p w:rsidR="00365F38" w:rsidRPr="00504767" w:rsidP="00365F38" w14:paraId="3DC6A528" w14:textId="77777777">
      <w:pPr>
        <w:pStyle w:val="FootnoteText"/>
      </w:pPr>
      <w:r>
        <w:rPr>
          <w:rStyle w:val="FootnoteReference"/>
        </w:rPr>
        <w:footnoteRef/>
      </w:r>
      <w:r>
        <w:t xml:space="preserve"> Au sens de l’article 3 du règlement FEM.</w:t>
      </w:r>
    </w:p>
  </w:footnote>
  <w:footnote w:id="17">
    <w:p w:rsidR="00365F38" w:rsidRPr="00504767" w:rsidP="00365F38" w14:paraId="56C78C57" w14:textId="738BCBF7">
      <w:pPr>
        <w:pStyle w:val="FootnoteText"/>
      </w:pPr>
      <w:r>
        <w:rPr>
          <w:rStyle w:val="FootnoteReference"/>
        </w:rPr>
        <w:footnoteRef/>
      </w:r>
      <w:r>
        <w:t xml:space="preserve"> Accord interinstitutionnel du 20 mai 2021 entre le Parlement européen, le Conseil de l’Union européenne et la Commission européenne sur un registre de transparence obligatoire (JO L 207 du 11.6.2021, p. 1, ELI: </w:t>
      </w:r>
      <w:hyperlink r:id="rId7" w:tooltip="http://data.europa.eu/eli/agree_interinstit/2021/611/oj"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5F38" w14:paraId="2C68072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5F38" w14:paraId="09E88D8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5F38" w14:paraId="0751060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5F38" w14:paraId="3CBE3E5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5F38" w14:paraId="3A0D1380"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5F38" w14:paraId="24C476C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5F38" w14:paraId="08BAC49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5F38" w14:paraId="1E6E5277"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5F38" w14:paraId="6677A80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42713452"/>
    <w:multiLevelType w:val="singleLevel"/>
    <w:tmpl w:val="3B8CC7EA"/>
    <w:name w:val="Tiret 1"/>
    <w:lvl w:ilvl="0">
      <w:start w:val="1"/>
      <w:numFmt w:val="bullet"/>
      <w:pStyle w:val="Tiret1"/>
      <w:lvlText w:val="–"/>
      <w:lvlJc w:val="left"/>
      <w:pPr>
        <w:tabs>
          <w:tab w:val="num" w:pos="1417"/>
        </w:tabs>
        <w:ind w:left="1417"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359"/>
    <w:rsid w:val="000555E6"/>
    <w:rsid w:val="0013490E"/>
    <w:rsid w:val="00155B2F"/>
    <w:rsid w:val="00165D69"/>
    <w:rsid w:val="00167F25"/>
    <w:rsid w:val="0018325B"/>
    <w:rsid w:val="001C5CB4"/>
    <w:rsid w:val="00215C42"/>
    <w:rsid w:val="0022041B"/>
    <w:rsid w:val="002511F5"/>
    <w:rsid w:val="00257359"/>
    <w:rsid w:val="002917A0"/>
    <w:rsid w:val="002C2DB2"/>
    <w:rsid w:val="00300158"/>
    <w:rsid w:val="00365F38"/>
    <w:rsid w:val="00396BD0"/>
    <w:rsid w:val="003B4F3D"/>
    <w:rsid w:val="003B5885"/>
    <w:rsid w:val="003C2E77"/>
    <w:rsid w:val="003D5173"/>
    <w:rsid w:val="003F207F"/>
    <w:rsid w:val="00462487"/>
    <w:rsid w:val="00470DFE"/>
    <w:rsid w:val="00487DFE"/>
    <w:rsid w:val="004D2440"/>
    <w:rsid w:val="00503055"/>
    <w:rsid w:val="0050453C"/>
    <w:rsid w:val="00504767"/>
    <w:rsid w:val="0052720D"/>
    <w:rsid w:val="00533501"/>
    <w:rsid w:val="0054483D"/>
    <w:rsid w:val="0058028A"/>
    <w:rsid w:val="00581E60"/>
    <w:rsid w:val="005B0658"/>
    <w:rsid w:val="005F1A81"/>
    <w:rsid w:val="005F27D5"/>
    <w:rsid w:val="00601E96"/>
    <w:rsid w:val="00611B44"/>
    <w:rsid w:val="00616E75"/>
    <w:rsid w:val="00680A05"/>
    <w:rsid w:val="006E4E08"/>
    <w:rsid w:val="00703318"/>
    <w:rsid w:val="007260CD"/>
    <w:rsid w:val="00731ECF"/>
    <w:rsid w:val="00761A6D"/>
    <w:rsid w:val="00796285"/>
    <w:rsid w:val="007D7E54"/>
    <w:rsid w:val="007E1877"/>
    <w:rsid w:val="007F16BC"/>
    <w:rsid w:val="007F63FC"/>
    <w:rsid w:val="00843D7C"/>
    <w:rsid w:val="00861675"/>
    <w:rsid w:val="008A3711"/>
    <w:rsid w:val="008F1614"/>
    <w:rsid w:val="008F25B2"/>
    <w:rsid w:val="00917358"/>
    <w:rsid w:val="00921B78"/>
    <w:rsid w:val="00945699"/>
    <w:rsid w:val="0097776D"/>
    <w:rsid w:val="0099178F"/>
    <w:rsid w:val="009C01D2"/>
    <w:rsid w:val="009F21D3"/>
    <w:rsid w:val="00A205D2"/>
    <w:rsid w:val="00A27E62"/>
    <w:rsid w:val="00A9405A"/>
    <w:rsid w:val="00AE2ABE"/>
    <w:rsid w:val="00AF4089"/>
    <w:rsid w:val="00AF6B2F"/>
    <w:rsid w:val="00B12873"/>
    <w:rsid w:val="00B44310"/>
    <w:rsid w:val="00B5725D"/>
    <w:rsid w:val="00B67944"/>
    <w:rsid w:val="00BB725E"/>
    <w:rsid w:val="00BE4B68"/>
    <w:rsid w:val="00C327B5"/>
    <w:rsid w:val="00C54775"/>
    <w:rsid w:val="00C753BD"/>
    <w:rsid w:val="00C85D0F"/>
    <w:rsid w:val="00CA4836"/>
    <w:rsid w:val="00D17520"/>
    <w:rsid w:val="00D461B7"/>
    <w:rsid w:val="00D63FD3"/>
    <w:rsid w:val="00D82527"/>
    <w:rsid w:val="00DE1BE3"/>
    <w:rsid w:val="00DF46ED"/>
    <w:rsid w:val="00E20F2E"/>
    <w:rsid w:val="00E70719"/>
    <w:rsid w:val="00E71B80"/>
    <w:rsid w:val="00E8520B"/>
    <w:rsid w:val="00E96B4F"/>
    <w:rsid w:val="00E9757B"/>
    <w:rsid w:val="00EA7BAF"/>
    <w:rsid w:val="00EF5487"/>
    <w:rsid w:val="00F130D9"/>
    <w:rsid w:val="00F17C55"/>
    <w:rsid w:val="00F31E6A"/>
    <w:rsid w:val="00F77515"/>
    <w:rsid w:val="00FB0016"/>
    <w:rsid w:val="00FB2E5E"/>
    <w:rsid w:val="00FC056F"/>
    <w:rsid w:val="00FC56AB"/>
    <w:rsid w:val="00FC7626"/>
    <w:rsid w:val="00FE4BD3"/>
    <w:rsid w:val="00FF4EA9"/>
  </w:rsids>
  <w:docVars>
    <w:docVar w:name="AUTHORMFMNU" w:val=" 2"/>
    <w:docVar w:name="AUTHORMFPMNU" w:val=" 2"/>
    <w:docVar w:name="DOCDT" w:val="04/09/2026"/>
    <w:docVar w:name="INSERTOPINKEY" w:val="EMPL"/>
    <w:docVar w:name="LastEditedSection" w:val=" 5"/>
    <w:docVar w:name="NVAR1" w:val="0"/>
    <w:docVar w:name="strDocTypeID" w:val="PR_BUD_Funds"/>
    <w:docVar w:name="strSubDir" w:val="1351"/>
    <w:docVar w:name="TXTAUTHOR" w:val="Sandra Gómez López"/>
    <w:docVar w:name="TXTLANGUE" w:val="FR"/>
    <w:docVar w:name="TXTLANGUEMIN" w:val="fr"/>
    <w:docVar w:name="TXTNRBUD" w:val="2026/0195"/>
    <w:docVar w:name="TXTNRPE" w:val="791.964"/>
    <w:docVar w:name="TXTPEorAP" w:val="PE"/>
    <w:docVar w:name="TXTROUTE" w:val="RR\1351603FR.docx"/>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4EF30F2E-985E-4738-9827-F6A722FB9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4E0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AE2ABE"/>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link w:val="PageHeadingChar"/>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300158"/>
    <w:pPr>
      <w:spacing w:before="80" w:after="80"/>
    </w:pPr>
    <w:rPr>
      <w:rFonts w:ascii="Arial Narrow" w:hAnsi="Arial Narrow" w:cs="Arial"/>
      <w:b/>
      <w:sz w:val="32"/>
      <w:szCs w:val="22"/>
    </w:rPr>
  </w:style>
  <w:style w:type="paragraph" w:customStyle="1" w:styleId="CoverNormal24a">
    <w:name w:val="CoverNormal24a"/>
    <w:basedOn w:val="Normal"/>
    <w:rsid w:val="00611B4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96BD0"/>
    <w:pPr>
      <w:spacing w:before="1080"/>
      <w:jc w:val="right"/>
    </w:pPr>
    <w:rPr>
      <w:rFonts w:ascii="Arial" w:hAnsi="Arial" w:cs="Arial"/>
      <w:b/>
    </w:rPr>
  </w:style>
  <w:style w:type="paragraph" w:customStyle="1" w:styleId="CoverDocType24a">
    <w:name w:val="CoverDocType24a"/>
    <w:basedOn w:val="Normal"/>
    <w:rsid w:val="00B5725D"/>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8F25B2"/>
    <w:pPr>
      <w:tabs>
        <w:tab w:val="center" w:pos="4513"/>
        <w:tab w:val="right" w:pos="9026"/>
      </w:tabs>
    </w:pPr>
  </w:style>
  <w:style w:type="paragraph" w:customStyle="1" w:styleId="NormalBold24a">
    <w:name w:val="NormalBold24a"/>
    <w:basedOn w:val="Normal"/>
    <w:rsid w:val="00DF46ED"/>
    <w:pPr>
      <w:spacing w:after="480"/>
    </w:pPr>
    <w:rPr>
      <w:b/>
      <w:bCs/>
    </w:rPr>
  </w:style>
  <w:style w:type="table" w:styleId="TableGrid">
    <w:name w:val="Table Grid"/>
    <w:basedOn w:val="TableNormal"/>
    <w:rsid w:val="005335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533501"/>
    <w:pPr>
      <w:jc w:val="center"/>
    </w:pPr>
    <w:rPr>
      <w:rFonts w:ascii="Arial" w:hAnsi="Arial" w:cs="Arial"/>
      <w:i/>
      <w:sz w:val="22"/>
      <w:szCs w:val="22"/>
    </w:rPr>
  </w:style>
  <w:style w:type="paragraph" w:customStyle="1" w:styleId="LineTop">
    <w:name w:val="LineTop"/>
    <w:basedOn w:val="Normal"/>
    <w:next w:val="Normal"/>
    <w:rsid w:val="005335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5335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300158"/>
    <w:pPr>
      <w:spacing w:after="80"/>
    </w:pPr>
    <w:rPr>
      <w:rFonts w:ascii="Arial" w:hAnsi="Arial" w:cs="Arial"/>
      <w:sz w:val="20"/>
      <w:szCs w:val="22"/>
    </w:rPr>
  </w:style>
  <w:style w:type="paragraph" w:customStyle="1" w:styleId="EPLogo">
    <w:name w:val="EPLogo"/>
    <w:basedOn w:val="Normal"/>
    <w:qFormat/>
    <w:rsid w:val="00300158"/>
    <w:pPr>
      <w:jc w:val="right"/>
    </w:pPr>
  </w:style>
  <w:style w:type="paragraph" w:customStyle="1" w:styleId="EPFooter">
    <w:name w:val="EPFooter"/>
    <w:basedOn w:val="Normal"/>
    <w:rsid w:val="00611B44"/>
    <w:pPr>
      <w:tabs>
        <w:tab w:val="center" w:pos="4535"/>
        <w:tab w:val="right" w:pos="9071"/>
      </w:tabs>
      <w:spacing w:before="240" w:after="240"/>
    </w:pPr>
    <w:rPr>
      <w:color w:val="010000"/>
      <w:sz w:val="22"/>
    </w:rPr>
  </w:style>
  <w:style w:type="character" w:styleId="PageNumber">
    <w:name w:val="page number"/>
    <w:basedOn w:val="DefaultParagraphFont"/>
    <w:semiHidden/>
    <w:rsid w:val="00FC56AB"/>
  </w:style>
  <w:style w:type="character" w:customStyle="1" w:styleId="HeaderChar">
    <w:name w:val="Header Char"/>
    <w:basedOn w:val="DefaultParagraphFont"/>
    <w:link w:val="Header"/>
    <w:semiHidden/>
    <w:rsid w:val="008F25B2"/>
    <w:rPr>
      <w:sz w:val="24"/>
    </w:rPr>
  </w:style>
  <w:style w:type="paragraph" w:customStyle="1" w:styleId="EPComma">
    <w:name w:val="EPComma"/>
    <w:basedOn w:val="Normal"/>
    <w:rsid w:val="006E4E08"/>
    <w:pPr>
      <w:spacing w:before="480" w:after="240"/>
    </w:pPr>
  </w:style>
  <w:style w:type="paragraph" w:styleId="FootnoteText">
    <w:name w:val="footnote text"/>
    <w:basedOn w:val="Normal"/>
    <w:link w:val="FootnoteTextChar"/>
    <w:uiPriority w:val="99"/>
    <w:rsid w:val="00A9405A"/>
    <w:rPr>
      <w:sz w:val="20"/>
    </w:rPr>
  </w:style>
  <w:style w:type="character" w:customStyle="1" w:styleId="FootnoteTextChar">
    <w:name w:val="Footnote Text Char"/>
    <w:basedOn w:val="DefaultParagraphFont"/>
    <w:link w:val="FootnoteText"/>
    <w:uiPriority w:val="99"/>
    <w:rsid w:val="00A9405A"/>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basedOn w:val="DefaultParagraphFont"/>
    <w:uiPriority w:val="99"/>
    <w:rsid w:val="00A9405A"/>
    <w:rPr>
      <w:vertAlign w:val="superscript"/>
    </w:rPr>
  </w:style>
  <w:style w:type="character" w:styleId="Hyperlink">
    <w:name w:val="Hyperlink"/>
    <w:basedOn w:val="DefaultParagraphFont"/>
    <w:rsid w:val="00A9405A"/>
    <w:rPr>
      <w:color w:val="0563C1" w:themeColor="hyperlink"/>
      <w:u w:val="single"/>
    </w:rPr>
  </w:style>
  <w:style w:type="paragraph" w:customStyle="1" w:styleId="Tiret1">
    <w:name w:val="Tiret 1"/>
    <w:basedOn w:val="Normal"/>
    <w:rsid w:val="00A9405A"/>
    <w:pPr>
      <w:widowControl/>
      <w:numPr>
        <w:numId w:val="41"/>
      </w:numPr>
      <w:spacing w:before="120" w:after="120"/>
      <w:jc w:val="both"/>
    </w:pPr>
    <w:rPr>
      <w:rFonts w:eastAsiaTheme="minorHAnsi"/>
      <w:szCs w:val="22"/>
      <w:lang w:eastAsia="en-US"/>
    </w:rPr>
  </w:style>
  <w:style w:type="paragraph" w:styleId="Footer">
    <w:name w:val="footer"/>
    <w:basedOn w:val="Normal"/>
    <w:link w:val="FooterChar"/>
    <w:semiHidden/>
    <w:rsid w:val="00A9405A"/>
    <w:pPr>
      <w:tabs>
        <w:tab w:val="center" w:pos="4513"/>
        <w:tab w:val="right" w:pos="9026"/>
      </w:tabs>
    </w:pPr>
  </w:style>
  <w:style w:type="character" w:customStyle="1" w:styleId="FooterChar">
    <w:name w:val="Footer Char"/>
    <w:basedOn w:val="DefaultParagraphFont"/>
    <w:link w:val="Footer"/>
    <w:semiHidden/>
    <w:rsid w:val="00A9405A"/>
    <w:rPr>
      <w:sz w:val="24"/>
      <w:lang w:val="fr-FR"/>
    </w:rPr>
  </w:style>
  <w:style w:type="character" w:customStyle="1" w:styleId="NormalHanging12aChar">
    <w:name w:val="NormalHanging12a Char"/>
    <w:basedOn w:val="DefaultParagraphFont"/>
    <w:link w:val="NormalHanging12a"/>
    <w:locked/>
    <w:rsid w:val="00FB0016"/>
    <w:rPr>
      <w:sz w:val="24"/>
    </w:rPr>
  </w:style>
  <w:style w:type="paragraph" w:customStyle="1" w:styleId="Normal24a">
    <w:name w:val="Normal24a"/>
    <w:basedOn w:val="Normal"/>
    <w:rsid w:val="002917A0"/>
    <w:pPr>
      <w:spacing w:after="480"/>
    </w:pPr>
  </w:style>
  <w:style w:type="character" w:customStyle="1" w:styleId="PageHeadingChar">
    <w:name w:val="PageHeading Char"/>
    <w:basedOn w:val="DefaultParagraphFont"/>
    <w:link w:val="PageHeading"/>
    <w:rsid w:val="002917A0"/>
    <w:rPr>
      <w:rFonts w:ascii="Arial" w:hAnsi="Arial" w:cs="Arial"/>
      <w:b/>
      <w:sz w:val="24"/>
    </w:rPr>
  </w:style>
  <w:style w:type="paragraph" w:customStyle="1" w:styleId="Normal12a">
    <w:name w:val="Normal12a"/>
    <w:basedOn w:val="Normal"/>
    <w:rsid w:val="007E1877"/>
    <w:pPr>
      <w:spacing w:after="240"/>
    </w:pPr>
  </w:style>
  <w:style w:type="paragraph" w:customStyle="1" w:styleId="LetterDate">
    <w:name w:val="LetterDate"/>
    <w:basedOn w:val="Normal"/>
    <w:rsid w:val="007E1877"/>
    <w:pPr>
      <w:spacing w:before="720" w:after="240"/>
    </w:pPr>
  </w:style>
  <w:style w:type="paragraph" w:customStyle="1" w:styleId="LetterSalutation">
    <w:name w:val="LetterSalutation"/>
    <w:basedOn w:val="Normal"/>
    <w:rsid w:val="007E1877"/>
    <w:pPr>
      <w:spacing w:before="600" w:after="360"/>
    </w:pPr>
  </w:style>
  <w:style w:type="paragraph" w:customStyle="1" w:styleId="LetterSubject">
    <w:name w:val="LetterSubject"/>
    <w:basedOn w:val="Normal"/>
    <w:rsid w:val="007E1877"/>
    <w:pPr>
      <w:spacing w:before="480"/>
      <w:ind w:left="1134" w:hanging="1134"/>
    </w:pPr>
  </w:style>
  <w:style w:type="paragraph" w:customStyle="1" w:styleId="LetterSignature66b">
    <w:name w:val="LetterSignature66b"/>
    <w:basedOn w:val="Normal"/>
    <w:next w:val="Normal"/>
    <w:rsid w:val="007E1877"/>
    <w:pPr>
      <w:spacing w:before="1320"/>
    </w:pPr>
  </w:style>
  <w:style w:type="paragraph" w:customStyle="1" w:styleId="PageHeadingNotTOC">
    <w:name w:val="PageHeadingNotTOC"/>
    <w:basedOn w:val="Normal"/>
    <w:rsid w:val="007E1877"/>
    <w:pPr>
      <w:keepNext/>
      <w:spacing w:after="480"/>
      <w:jc w:val="center"/>
    </w:pPr>
    <w:rPr>
      <w:rFonts w:ascii="Arial" w:hAnsi="Arial" w:cs="Arial"/>
      <w:b/>
    </w:rPr>
  </w:style>
  <w:style w:type="paragraph" w:customStyle="1" w:styleId="Normal12">
    <w:name w:val="Normal12"/>
    <w:basedOn w:val="Normal"/>
    <w:link w:val="Normal12Char"/>
    <w:rsid w:val="007E1877"/>
    <w:pPr>
      <w:spacing w:after="240"/>
    </w:pPr>
    <w:rPr>
      <w:rFonts w:ascii="Arial" w:hAnsi="Arial" w:cs="Arial"/>
    </w:rPr>
  </w:style>
  <w:style w:type="character" w:customStyle="1" w:styleId="Normal12Char">
    <w:name w:val="Normal12 Char"/>
    <w:basedOn w:val="PageHeadingChar"/>
    <w:link w:val="Normal12"/>
    <w:rsid w:val="007E1877"/>
    <w:rPr>
      <w:rFonts w:ascii="Arial" w:hAnsi="Arial" w:cs="Arial"/>
      <w:b w:val="0"/>
      <w:sz w:val="24"/>
    </w:rPr>
  </w:style>
  <w:style w:type="paragraph" w:customStyle="1" w:styleId="RollCallVotes">
    <w:name w:val="RollCallVotes"/>
    <w:basedOn w:val="Normal"/>
    <w:rsid w:val="0018325B"/>
    <w:pPr>
      <w:spacing w:before="120" w:after="120"/>
      <w:jc w:val="center"/>
    </w:pPr>
    <w:rPr>
      <w:b/>
      <w:bCs/>
      <w:snapToGrid w:val="0"/>
      <w:sz w:val="16"/>
      <w:lang w:eastAsia="en-US"/>
    </w:rPr>
  </w:style>
  <w:style w:type="paragraph" w:customStyle="1" w:styleId="RollCallTabs">
    <w:name w:val="RollCallTabs"/>
    <w:basedOn w:val="Normal"/>
    <w:qFormat/>
    <w:rsid w:val="0018325B"/>
    <w:pPr>
      <w:tabs>
        <w:tab w:val="center" w:pos="284"/>
        <w:tab w:val="left" w:pos="426"/>
      </w:tabs>
    </w:pPr>
    <w:rPr>
      <w:snapToGrid w:val="0"/>
      <w:lang w:eastAsia="en-US"/>
    </w:rPr>
  </w:style>
  <w:style w:type="paragraph" w:customStyle="1" w:styleId="RollCallSymbols14pt">
    <w:name w:val="RollCallSymbols14pt"/>
    <w:basedOn w:val="Normal"/>
    <w:rsid w:val="0018325B"/>
    <w:pPr>
      <w:spacing w:before="120" w:after="120"/>
      <w:jc w:val="center"/>
    </w:pPr>
    <w:rPr>
      <w:rFonts w:ascii="Arial" w:hAnsi="Arial"/>
      <w:b/>
      <w:bCs/>
      <w:snapToGrid w:val="0"/>
      <w:sz w:val="28"/>
      <w:lang w:eastAsia="en-US"/>
    </w:rPr>
  </w:style>
  <w:style w:type="paragraph" w:customStyle="1" w:styleId="RollCallTable">
    <w:name w:val="RollCallTable"/>
    <w:basedOn w:val="Normal"/>
    <w:rsid w:val="0018325B"/>
    <w:pPr>
      <w:spacing w:before="120" w:after="120"/>
    </w:pPr>
    <w:rPr>
      <w:snapToGrid w:val="0"/>
      <w:sz w:val="16"/>
      <w:lang w:eastAsia="en-US"/>
    </w:rPr>
  </w:style>
  <w:style w:type="paragraph" w:customStyle="1" w:styleId="NormalBoldCenter">
    <w:name w:val="NormalBoldCenter"/>
    <w:basedOn w:val="Normal"/>
    <w:rsid w:val="00365F38"/>
    <w:pPr>
      <w:jc w:val="center"/>
    </w:pPr>
    <w:rPr>
      <w:b/>
    </w:rPr>
  </w:style>
  <w:style w:type="paragraph" w:customStyle="1" w:styleId="Footprint12b">
    <w:name w:val="Footprint12b"/>
    <w:basedOn w:val="Normal"/>
    <w:rsid w:val="00365F38"/>
    <w:pPr>
      <w:spacing w:before="240"/>
    </w:pPr>
    <w:rPr>
      <w:szCs w:val="24"/>
    </w:rPr>
  </w:style>
  <w:style w:type="paragraph" w:customStyle="1" w:styleId="NormalSingle">
    <w:name w:val="NormalSingle"/>
    <w:basedOn w:val="Normal"/>
    <w:qFormat/>
    <w:rsid w:val="00365F38"/>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4.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header" Target="header9.xml" /><Relationship Id="rId19" Type="http://schemas.openxmlformats.org/officeDocument/2006/relationships/footer" Target="footer5.xml" /><Relationship Id="rId2" Type="http://schemas.openxmlformats.org/officeDocument/2006/relationships/settings" Target="settings.xml" /><Relationship Id="rId20" Type="http://schemas.openxmlformats.org/officeDocument/2006/relationships/footer" Target="footer6.xml" /><Relationship Id="rId21" Type="http://schemas.openxmlformats.org/officeDocument/2006/relationships/footer" Target="footer7.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21/691/oj" TargetMode="External" /><Relationship Id="rId2" Type="http://schemas.openxmlformats.org/officeDocument/2006/relationships/hyperlink" Target="http://data.europa.eu/eli/reg/2026/1139/oj" TargetMode="External" /><Relationship Id="rId3" Type="http://schemas.openxmlformats.org/officeDocument/2006/relationships/hyperlink" Target="http://data.europa.eu/eli/reg/2020/2093/oj" TargetMode="External" /><Relationship Id="rId4" Type="http://schemas.openxmlformats.org/officeDocument/2006/relationships/hyperlink" Target="http://data.europa.eu/eli/reg/2024/765/oj" TargetMode="External" /><Relationship Id="rId5" Type="http://schemas.openxmlformats.org/officeDocument/2006/relationships/hyperlink" Target="http://data.europa.eu/eli/agree_interinstit/2020/1222/oj" TargetMode="External" /><Relationship Id="rId6" Type="http://schemas.openxmlformats.org/officeDocument/2006/relationships/hyperlink" Target="https://www.clustercollaboration.eu/content/galician-automotive-industry-achieves-record-figures-and-strengthens-its-role" TargetMode="External" /><Relationship Id="rId7"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6253</Words>
  <Characters>35457</Characters>
  <Application>Microsoft Office Word</Application>
  <DocSecurity>0</DocSecurity>
  <Lines>633</Lines>
  <Paragraphs>209</Paragraphs>
  <ScaleCrop>false</ScaleCrop>
  <HeadingPairs>
    <vt:vector size="2" baseType="variant">
      <vt:variant>
        <vt:lpstr>Title</vt:lpstr>
      </vt:variant>
      <vt:variant>
        <vt:i4>1</vt:i4>
      </vt:variant>
    </vt:vector>
  </HeadingPairs>
  <TitlesOfParts>
    <vt:vector size="1" baseType="lpstr">
      <vt:lpstr>PR_BUD_Funds</vt:lpstr>
    </vt:vector>
  </TitlesOfParts>
  <Company/>
  <LinksUpToDate>false</LinksUpToDate>
  <CharactersWithSpaces>41501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PR_BUD_Funds</dc:title>
  <dc:creator>European Parliament</dc:creator>
  <cp:lastModifiedBy>European Parliament</cp:lastModifiedBy>
  <cp:revision>2</cp:revision>
  <cp:lastPrinted>2004-12-08T15:27:00Z</cp:lastPrinted>
  <dcterms:created xsi:type="dcterms:W3CDTF">2026-10-01T09:38:00Z</dcterms:created>
  <dcterms:modified xsi:type="dcterms:W3CDTF">2026-10-01T09:38:00Z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1351603</vt:lpwstr>
  </property>
  <property fmtid="{D5CDD505-2E9C-101B-9397-08002B2CF9AE}" pid="4" name="&lt;Model&gt;">
    <vt:lpwstr>PR_BUD_Funds</vt:lpwstr>
  </property>
  <property fmtid="{D5CDD505-2E9C-101B-9397-08002B2CF9AE}" pid="5" name="&lt;ModelCod&gt;">
    <vt:lpwstr>\\eiciLUXpr1\pdocep$\DocEP\DOCS\General\PR\PR_BUD\BUDGET\BUD\PR_BUD_Funds.dotx(05/07/2024 10:40:03)</vt:lpwstr>
  </property>
  <property fmtid="{D5CDD505-2E9C-101B-9397-08002B2CF9AE}" pid="6" name="&lt;ModelTra&gt;">
    <vt:lpwstr>\\eiciLUXpr1\pdocep$\DocEP\TRANSFIL\FR\PR_BUD_Funds.FR(03/03/2026 15:20:28)</vt:lpwstr>
  </property>
  <property fmtid="{D5CDD505-2E9C-101B-9397-08002B2CF9AE}" pid="7" name="&lt;Type&gt;">
    <vt:lpwstr>RR</vt:lpwstr>
  </property>
  <property fmtid="{D5CDD505-2E9C-101B-9397-08002B2CF9AE}" pid="8" name="Bookout">
    <vt:lpwstr>OK - 2026/10/01 11:38</vt:lpwstr>
  </property>
  <property fmtid="{D5CDD505-2E9C-101B-9397-08002B2CF9AE}" pid="9" name="Created with">
    <vt:lpwstr>10.3.1 Build [20260701]</vt:lpwstr>
  </property>
  <property fmtid="{D5CDD505-2E9C-101B-9397-08002B2CF9AE}" pid="10" name="FooterPath">
    <vt:lpwstr>RR\1351603FR.docx</vt:lpwstr>
  </property>
  <property fmtid="{D5CDD505-2E9C-101B-9397-08002B2CF9AE}" pid="11" name="LastEdited with">
    <vt:lpwstr>10.3.1 Build [20260902]</vt:lpwstr>
  </property>
  <property fmtid="{D5CDD505-2E9C-101B-9397-08002B2CF9AE}" pid="12" name="PE number">
    <vt:lpwstr>791.964</vt:lpwstr>
  </property>
  <property fmtid="{D5CDD505-2E9C-101B-9397-08002B2CF9AE}" pid="13" name="RegistreCheck">
    <vt:lpwstr>OK</vt:lpwstr>
  </property>
  <property fmtid="{D5CDD505-2E9C-101B-9397-08002B2CF9AE}" pid="14" name="SDLStudio">
    <vt:lpwstr/>
  </property>
</Properties>
</file>