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018C9F1" w14:textId="77777777" w:rsidTr="00C85D0F">
        <w:tblPrEx>
          <w:tblW w:w="9072" w:type="dxa"/>
          <w:tblCellMar>
            <w:left w:w="0" w:type="dxa"/>
            <w:right w:w="0" w:type="dxa"/>
          </w:tblCellMar>
          <w:tblLook w:val="01E0"/>
        </w:tblPrEx>
        <w:trPr>
          <w:trHeight w:hRule="exact" w:val="1418"/>
        </w:trPr>
        <w:tc>
          <w:tcPr>
            <w:tcW w:w="6804" w:type="dxa"/>
            <w:vAlign w:val="center"/>
          </w:tcPr>
          <w:p w:rsidR="00E96B4F" w:rsidRPr="00B943D2" w:rsidP="00141FDD" w14:paraId="40330748" w14:textId="77777777">
            <w:pPr>
              <w:pStyle w:val="EPName"/>
              <w:widowControl/>
            </w:pPr>
            <w:r>
              <w:t>Parlement européen</w:t>
            </w:r>
          </w:p>
          <w:p w:rsidR="00E96B4F" w:rsidRPr="00B943D2" w:rsidP="00141FDD" w14:paraId="00AB1A8B" w14:textId="422DE206">
            <w:pPr>
              <w:pStyle w:val="EPTerm"/>
              <w:widowControl/>
            </w:pPr>
            <w:r>
              <w:t>2024-2029</w:t>
            </w:r>
          </w:p>
        </w:tc>
        <w:tc>
          <w:tcPr>
            <w:tcW w:w="2268" w:type="dxa"/>
          </w:tcPr>
          <w:p w:rsidR="00E96B4F" w:rsidRPr="00B943D2" w:rsidP="00141FDD" w14:paraId="3F26019D" w14:textId="77777777">
            <w:pPr>
              <w:pStyle w:val="EPLogo"/>
              <w:widowControl/>
            </w:pPr>
            <w:r w:rsidRPr="00B943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36229"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B943D2" w:rsidP="00141FDD" w14:paraId="4207E2B1" w14:textId="77777777">
      <w:pPr>
        <w:pStyle w:val="LineTop"/>
        <w:widowControl/>
      </w:pPr>
    </w:p>
    <w:p w:rsidR="00D461B7" w:rsidRPr="00B943D2" w:rsidP="00141FDD" w14:paraId="4390665C" w14:textId="530FF84A">
      <w:pPr>
        <w:pStyle w:val="EPBody"/>
        <w:widowControl/>
      </w:pPr>
      <w:r>
        <w:t>Document de séance</w:t>
      </w:r>
    </w:p>
    <w:p w:rsidR="00D461B7" w:rsidRPr="00B943D2" w:rsidP="00141FDD" w14:paraId="15B3AAE5" w14:textId="77777777">
      <w:pPr>
        <w:pStyle w:val="LineBottom"/>
        <w:widowControl/>
      </w:pPr>
    </w:p>
    <w:p w:rsidR="004D2440" w:rsidRPr="00B943D2" w:rsidP="00141FDD" w14:paraId="28AFD402" w14:textId="4280BB2D">
      <w:pPr>
        <w:pStyle w:val="CoverReference"/>
        <w:widowControl/>
        <w:rPr>
          <w:noProof/>
        </w:rPr>
      </w:pPr>
      <w:r>
        <w:rPr>
          <w:rStyle w:val="HideTWBExt"/>
        </w:rPr>
        <w:t>&lt;NoDocSe&gt;</w:t>
      </w:r>
      <w:r>
        <w:t>A10</w:t>
      </w:r>
      <w:r>
        <w:noBreakHyphen/>
        <w:t>0243/2026</w:t>
      </w:r>
      <w:r>
        <w:rPr>
          <w:rStyle w:val="HideTWBExt"/>
        </w:rPr>
        <w:t>&lt;/NoDocSe&gt;</w:t>
      </w:r>
    </w:p>
    <w:p w:rsidR="004D2440" w:rsidRPr="00B943D2" w:rsidP="00141FDD" w14:paraId="7C6508C5" w14:textId="099B18B4">
      <w:pPr>
        <w:pStyle w:val="CoverDate"/>
        <w:widowControl/>
        <w:rPr>
          <w:noProof/>
        </w:rPr>
      </w:pPr>
      <w:r>
        <w:rPr>
          <w:rStyle w:val="HideTWBExt"/>
        </w:rPr>
        <w:t>&lt;Date&gt;</w:t>
      </w:r>
      <w:r>
        <w:rPr>
          <w:rStyle w:val="HideTWBInt"/>
        </w:rPr>
        <w:t>{29/09/2026}</w:t>
      </w:r>
      <w:r>
        <w:t>29.9.2026</w:t>
      </w:r>
      <w:r>
        <w:rPr>
          <w:rStyle w:val="HideTWBExt"/>
        </w:rPr>
        <w:t>&lt;/Date&gt;</w:t>
      </w:r>
    </w:p>
    <w:p w:rsidR="004D2440" w:rsidRPr="00B943D2" w:rsidP="00141FDD" w14:paraId="4B0E68AC" w14:textId="20E6C279">
      <w:pPr>
        <w:pStyle w:val="CoverDocType24a"/>
        <w:widowControl/>
        <w:rPr>
          <w:noProof/>
        </w:rPr>
      </w:pPr>
      <w:r>
        <w:rPr>
          <w:rStyle w:val="HideTWBExt"/>
          <w:b w:val="0"/>
        </w:rPr>
        <w:t>&lt;TitreType&gt;</w:t>
      </w:r>
      <w:r>
        <w:t>RAPPORT</w:t>
      </w:r>
      <w:r>
        <w:rPr>
          <w:rStyle w:val="HideTWBExt"/>
          <w:b w:val="0"/>
        </w:rPr>
        <w:t>&lt;/TitreType&gt;</w:t>
      </w:r>
    </w:p>
    <w:p w:rsidR="004D2440" w:rsidRPr="00B943D2" w:rsidP="00141FDD" w14:paraId="02D2791D" w14:textId="32053136">
      <w:pPr>
        <w:pStyle w:val="CoverNormal"/>
        <w:widowControl/>
        <w:rPr>
          <w:noProof/>
        </w:rPr>
      </w:pPr>
      <w:r>
        <w:rPr>
          <w:rStyle w:val="HideTWBExt"/>
        </w:rPr>
        <w:t>&lt;Titre&gt;</w:t>
      </w:r>
      <w:r>
        <w:t>sur la proposition de décision du Parlement européen et du Conseil relative à la mobilisation du Fonds européen d’ajustement à la mondialisation en faveur des travailleurs licenciés à la suite d’une demande de la Finlande (EGF/2026/003 FI/Valmet Automotive)</w:t>
      </w:r>
      <w:r>
        <w:rPr>
          <w:rStyle w:val="HideTWBExt"/>
        </w:rPr>
        <w:t>&lt;/Titre&gt;</w:t>
      </w:r>
    </w:p>
    <w:p w:rsidR="004D2440" w:rsidRPr="00B943D2" w:rsidP="00141FDD" w14:paraId="5F7CECDB" w14:textId="6479DC63">
      <w:pPr>
        <w:pStyle w:val="CoverNormal24a"/>
        <w:widowControl/>
        <w:rPr>
          <w:noProof/>
        </w:rPr>
      </w:pPr>
      <w:r>
        <w:rPr>
          <w:rStyle w:val="HideTWBExt"/>
        </w:rPr>
        <w:t>&lt;DocRef&gt;</w:t>
      </w:r>
      <w:r>
        <w:t>(COM(2026)0400 – C10</w:t>
      </w:r>
      <w:r>
        <w:noBreakHyphen/>
        <w:t>0199/2026 – 2026/0220(BUD))</w:t>
      </w:r>
      <w:r>
        <w:rPr>
          <w:rStyle w:val="HideTWBExt"/>
        </w:rPr>
        <w:t>&lt;/DocRef&gt;</w:t>
      </w:r>
    </w:p>
    <w:p w:rsidR="004D2440" w:rsidRPr="00B943D2" w:rsidP="00141FDD" w14:paraId="5697648D" w14:textId="77777777">
      <w:pPr>
        <w:pStyle w:val="CoverNormal24a"/>
        <w:widowControl/>
        <w:rPr>
          <w:noProof/>
        </w:rPr>
      </w:pPr>
      <w:r>
        <w:rPr>
          <w:rStyle w:val="HideTWBExt"/>
        </w:rPr>
        <w:t>&lt;Commission&gt;</w:t>
      </w:r>
      <w:r>
        <w:rPr>
          <w:rStyle w:val="HideTWBInt"/>
        </w:rPr>
        <w:t>{BUDG}</w:t>
      </w:r>
      <w:r>
        <w:t>Commission des budgets</w:t>
      </w:r>
      <w:r>
        <w:rPr>
          <w:rStyle w:val="HideTWBExt"/>
        </w:rPr>
        <w:t>&lt;/Commission&gt;</w:t>
      </w:r>
    </w:p>
    <w:p w:rsidR="004D2440" w:rsidRPr="00B943D2" w:rsidP="00141FDD" w14:paraId="08F961A6" w14:textId="4A52E6FC">
      <w:pPr>
        <w:pStyle w:val="CoverNormal24a"/>
        <w:widowControl/>
        <w:rPr>
          <w:noProof/>
        </w:rPr>
      </w:pPr>
      <w:r>
        <w:t xml:space="preserve">Rapporteur: </w:t>
      </w:r>
      <w:r>
        <w:rPr>
          <w:rStyle w:val="HideTWBExt"/>
        </w:rPr>
        <w:t>&lt;Depute&gt;</w:t>
      </w:r>
      <w:r>
        <w:t>Nicolae Ștefănuță</w:t>
      </w:r>
      <w:r>
        <w:rPr>
          <w:rStyle w:val="HideTWBExt"/>
        </w:rPr>
        <w:t>&lt;/Depute&gt;</w:t>
      </w:r>
    </w:p>
    <w:p w:rsidR="0058028A" w:rsidRPr="00B943D2" w:rsidP="00141FDD" w14:paraId="6223CA69" w14:textId="77777777">
      <w:pPr>
        <w:pStyle w:val="CoverNormal"/>
        <w:widowControl/>
        <w:rPr>
          <w:noProof/>
        </w:rPr>
      </w:pPr>
    </w:p>
    <w:p w:rsidR="004D2440" w:rsidRPr="00B943D2" w:rsidP="00141FDD" w14:paraId="12190553" w14:textId="77777777">
      <w:pPr>
        <w:widowControl/>
        <w:tabs>
          <w:tab w:val="center" w:pos="4677"/>
        </w:tabs>
        <w:rPr>
          <w:noProof/>
        </w:rPr>
      </w:pPr>
      <w:r>
        <w:br w:type="page"/>
      </w:r>
      <w:r>
        <w:t>PR_BUD_Funds</w:t>
      </w:r>
    </w:p>
    <w:p w:rsidR="004D2440" w:rsidRPr="00B943D2" w:rsidP="00141FDD" w14:paraId="64EDF932" w14:textId="77777777">
      <w:pPr>
        <w:pStyle w:val="TOCHeading"/>
        <w:widowControl/>
        <w:rPr>
          <w:noProof/>
        </w:rPr>
      </w:pPr>
      <w:r>
        <w:t>SOMMAIRE</w:t>
      </w:r>
    </w:p>
    <w:p w:rsidR="004D2440" w:rsidRPr="00B943D2" w:rsidP="00141FDD" w14:paraId="187DEE46" w14:textId="77777777">
      <w:pPr>
        <w:pStyle w:val="TOCPage"/>
        <w:widowControl/>
        <w:rPr>
          <w:noProof/>
        </w:rPr>
      </w:pPr>
      <w:r>
        <w:t>Page</w:t>
      </w:r>
    </w:p>
    <w:p w:rsidR="00512C08" w14:paraId="679F7FA6" w14:textId="284B5CC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943D2">
        <w:fldChar w:fldCharType="begin"/>
      </w:r>
      <w:r w:rsidRPr="00B943D2">
        <w:instrText xml:space="preserve"> TOC \t "PageHeading</w:instrText>
      </w:r>
      <w:r w:rsidRPr="00B943D2" w:rsidR="00B84384">
        <w:instrText>;</w:instrText>
      </w:r>
      <w:r w:rsidRPr="00B943D2">
        <w:instrText xml:space="preserve">1" </w:instrText>
      </w:r>
      <w:r w:rsidRPr="00B943D2">
        <w:fldChar w:fldCharType="separate"/>
      </w:r>
      <w:r>
        <w:rPr>
          <w:noProof/>
        </w:rPr>
        <w:t>PROPOSITION DE RÉSOLUTION DU PARLEMENT EUROPÉEN</w:t>
      </w:r>
      <w:r>
        <w:rPr>
          <w:noProof/>
        </w:rPr>
        <w:tab/>
      </w:r>
      <w:r>
        <w:rPr>
          <w:noProof/>
        </w:rPr>
        <w:fldChar w:fldCharType="begin"/>
      </w:r>
      <w:r>
        <w:rPr>
          <w:noProof/>
        </w:rPr>
        <w:instrText xml:space="preserve"> PAGEREF _Toc241672281 \h </w:instrText>
      </w:r>
      <w:r>
        <w:rPr>
          <w:noProof/>
        </w:rPr>
        <w:fldChar w:fldCharType="separate"/>
      </w:r>
      <w:r>
        <w:rPr>
          <w:noProof/>
        </w:rPr>
        <w:t>3</w:t>
      </w:r>
      <w:r>
        <w:rPr>
          <w:noProof/>
        </w:rPr>
        <w:fldChar w:fldCharType="end"/>
      </w:r>
    </w:p>
    <w:p w:rsidR="00512C08" w14:paraId="6CF0F305" w14:textId="67634DF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DÉCISION DU PARLEMENT EUROPÉEN ET DU CONSEIL</w:t>
      </w:r>
      <w:r>
        <w:rPr>
          <w:noProof/>
        </w:rPr>
        <w:tab/>
      </w:r>
      <w:r>
        <w:rPr>
          <w:noProof/>
        </w:rPr>
        <w:fldChar w:fldCharType="begin"/>
      </w:r>
      <w:r>
        <w:rPr>
          <w:noProof/>
        </w:rPr>
        <w:instrText xml:space="preserve"> PAGEREF _Toc241672282 \h </w:instrText>
      </w:r>
      <w:r>
        <w:rPr>
          <w:noProof/>
        </w:rPr>
        <w:fldChar w:fldCharType="separate"/>
      </w:r>
      <w:r>
        <w:rPr>
          <w:noProof/>
        </w:rPr>
        <w:t>8</w:t>
      </w:r>
      <w:r>
        <w:rPr>
          <w:noProof/>
        </w:rPr>
        <w:fldChar w:fldCharType="end"/>
      </w:r>
    </w:p>
    <w:p w:rsidR="00512C08" w14:paraId="72A80059" w14:textId="646E267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_Toc241672283 \h </w:instrText>
      </w:r>
      <w:r>
        <w:rPr>
          <w:noProof/>
        </w:rPr>
        <w:fldChar w:fldCharType="separate"/>
      </w:r>
      <w:r>
        <w:rPr>
          <w:noProof/>
        </w:rPr>
        <w:t>10</w:t>
      </w:r>
      <w:r>
        <w:rPr>
          <w:noProof/>
        </w:rPr>
        <w:fldChar w:fldCharType="end"/>
      </w:r>
    </w:p>
    <w:p w:rsidR="00512C08" w14:paraId="32224826" w14:textId="6CDD799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_Toc241672284 \h </w:instrText>
      </w:r>
      <w:r>
        <w:rPr>
          <w:noProof/>
        </w:rPr>
        <w:fldChar w:fldCharType="separate"/>
      </w:r>
      <w:r>
        <w:rPr>
          <w:noProof/>
        </w:rPr>
        <w:t>13</w:t>
      </w:r>
      <w:r>
        <w:rPr>
          <w:noProof/>
        </w:rPr>
        <w:fldChar w:fldCharType="end"/>
      </w:r>
    </w:p>
    <w:p w:rsidR="00512C08" w14:paraId="6836B058" w14:textId="6D7C93E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LETTRE DE LA COMMISSION DE L’EMPLOI ET DES AFFAIRES SOCIALES</w:t>
      </w:r>
      <w:r>
        <w:rPr>
          <w:noProof/>
        </w:rPr>
        <w:tab/>
      </w:r>
      <w:r>
        <w:rPr>
          <w:noProof/>
        </w:rPr>
        <w:fldChar w:fldCharType="begin"/>
      </w:r>
      <w:r>
        <w:rPr>
          <w:noProof/>
        </w:rPr>
        <w:instrText xml:space="preserve"> PAGEREF _Toc241672285 \h </w:instrText>
      </w:r>
      <w:r>
        <w:rPr>
          <w:noProof/>
        </w:rPr>
        <w:fldChar w:fldCharType="separate"/>
      </w:r>
      <w:r>
        <w:rPr>
          <w:noProof/>
        </w:rPr>
        <w:t>14</w:t>
      </w:r>
      <w:r>
        <w:rPr>
          <w:noProof/>
        </w:rPr>
        <w:fldChar w:fldCharType="end"/>
      </w:r>
    </w:p>
    <w:p w:rsidR="00512C08" w14:paraId="1518184E" w14:textId="38DDB32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_Toc241672286 \h </w:instrText>
      </w:r>
      <w:r>
        <w:rPr>
          <w:noProof/>
        </w:rPr>
        <w:fldChar w:fldCharType="separate"/>
      </w:r>
      <w:r>
        <w:rPr>
          <w:noProof/>
        </w:rPr>
        <w:t>18</w:t>
      </w:r>
      <w:r>
        <w:rPr>
          <w:noProof/>
        </w:rPr>
        <w:fldChar w:fldCharType="end"/>
      </w:r>
    </w:p>
    <w:p w:rsidR="00512C08" w14:paraId="5869373C" w14:textId="1DA0ACA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_Toc241672287 \h </w:instrText>
      </w:r>
      <w:r>
        <w:rPr>
          <w:noProof/>
        </w:rPr>
        <w:fldChar w:fldCharType="separate"/>
      </w:r>
      <w:r>
        <w:rPr>
          <w:noProof/>
        </w:rPr>
        <w:t>19</w:t>
      </w:r>
      <w:r>
        <w:rPr>
          <w:noProof/>
        </w:rPr>
        <w:fldChar w:fldCharType="end"/>
      </w:r>
    </w:p>
    <w:p w:rsidR="00A311AE" w:rsidRPr="00B943D2" w:rsidP="00141FDD" w14:paraId="3505BAF1" w14:textId="5778DCE6">
      <w:pPr>
        <w:widowControl/>
        <w:sectPr w:rsidSect="00B943D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r w:rsidRPr="00B943D2">
        <w:fldChar w:fldCharType="end"/>
      </w:r>
    </w:p>
    <w:p w:rsidR="00A311AE" w:rsidRPr="00B943D2" w:rsidP="00141FDD" w14:paraId="635D879E" w14:textId="0386BDD0">
      <w:pPr>
        <w:pStyle w:val="PageHeading"/>
        <w:widowControl/>
      </w:pPr>
      <w:bookmarkStart w:id="0" w:name="_Toc241672281"/>
      <w:r>
        <w:t>PROPOSITION DE RÉSOLUTION DU PARLEMENT EUROPÉEN</w:t>
      </w:r>
      <w:bookmarkEnd w:id="0"/>
    </w:p>
    <w:p w:rsidR="004D2440" w:rsidRPr="00B943D2" w:rsidP="00141FDD" w14:paraId="15698565" w14:textId="7D428500">
      <w:pPr>
        <w:pStyle w:val="NormalBold"/>
        <w:widowControl/>
        <w:rPr>
          <w:noProof/>
        </w:rPr>
      </w:pPr>
      <w:r>
        <w:t>sur la proposition de décision du Parlement européen et du Conseil relative à la mobilisation du Fonds européen d’ajustement à la mondialisation en faveur des travailleurs licenciés à la suite d’une demande de la Finlande (EGF/2026/003 FI/Valmet Automotive)</w:t>
      </w:r>
    </w:p>
    <w:p w:rsidR="004D2440" w:rsidRPr="00B943D2" w:rsidP="00141FDD" w14:paraId="0C2F2213" w14:textId="19EE1F65">
      <w:pPr>
        <w:pStyle w:val="NormalBold"/>
        <w:widowControl/>
        <w:rPr>
          <w:noProof/>
        </w:rPr>
      </w:pPr>
      <w:r>
        <w:t>(COM(2026)0400 – C10</w:t>
      </w:r>
      <w:r>
        <w:noBreakHyphen/>
        <w:t>0199/2026 – 2026/0220(BUD))</w:t>
      </w:r>
    </w:p>
    <w:p w:rsidR="004D2440" w:rsidRPr="00B943D2" w:rsidP="00141FDD" w14:paraId="073AF717" w14:textId="77777777">
      <w:pPr>
        <w:pStyle w:val="EPComma"/>
        <w:widowControl/>
        <w:rPr>
          <w:noProof/>
        </w:rPr>
      </w:pPr>
      <w:r>
        <w:rPr>
          <w:i/>
        </w:rPr>
        <w:t>Le Parlement européen</w:t>
      </w:r>
      <w:r>
        <w:t>,</w:t>
      </w:r>
    </w:p>
    <w:p w:rsidR="00B943D2" w:rsidRPr="00B943D2" w:rsidP="00B943D2" w14:paraId="53BC592C" w14:textId="77777777">
      <w:pPr>
        <w:pStyle w:val="NormalHanging12a"/>
        <w:rPr>
          <w:noProof/>
        </w:rPr>
      </w:pPr>
      <w:r>
        <w:t>–</w:t>
      </w:r>
      <w:r>
        <w:tab/>
        <w:t>vu la proposition de la Commission au Parlement européen et au Conseil (COM(2026)0400 – C10</w:t>
      </w:r>
      <w:r>
        <w:noBreakHyphen/>
        <w:t>0199/2026),</w:t>
      </w:r>
    </w:p>
    <w:p w:rsidR="00B943D2" w:rsidRPr="00B943D2" w:rsidP="00B943D2" w14:paraId="7BB5CE63" w14:textId="77777777">
      <w:pPr>
        <w:pStyle w:val="NormalHanging12a"/>
        <w:rPr>
          <w:noProof/>
        </w:rPr>
      </w:pPr>
      <w:r>
        <w:t>–</w:t>
      </w:r>
      <w:r>
        <w:tab/>
        <w:t>vu le règlement (UE) 2021/691 du Parlement européen et du Conseil du 28 avril 2021 relatif au Fonds européen d’ajustement à la mondialisation en faveur des travailleurs licenciés (FEM) et abrogeant le règlement (UE) nº 1309/2013</w:t>
      </w:r>
      <w:r>
        <w:rPr>
          <w:noProof/>
          <w:vertAlign w:val="superscript"/>
        </w:rPr>
        <w:footnoteReference w:id="2"/>
      </w:r>
      <w:r>
        <w:t xml:space="preserve"> (ci-après le «règlement FEM»), tel que modifié par le règlement (UE) 2026/1139</w:t>
      </w:r>
      <w:r>
        <w:rPr>
          <w:noProof/>
          <w:vertAlign w:val="superscript"/>
        </w:rPr>
        <w:footnoteReference w:id="3"/>
      </w:r>
      <w:r>
        <w:t xml:space="preserve">, </w:t>
      </w:r>
    </w:p>
    <w:p w:rsidR="00B943D2" w:rsidRPr="00B943D2" w:rsidP="00B943D2" w14:paraId="08BBB144" w14:textId="77777777">
      <w:pPr>
        <w:pStyle w:val="NormalHanging12a"/>
        <w:rPr>
          <w:noProof/>
        </w:rPr>
      </w:pPr>
      <w:r>
        <w:t>–</w:t>
      </w:r>
      <w:r>
        <w:tab/>
        <w:t>vu le règlement (UE, Euratom) 2020/2093 du Conseil du 17 décembre 2020 fixant le cadre financier pluriannuel pour les années 2021 à 2027</w:t>
      </w:r>
      <w:r>
        <w:rPr>
          <w:noProof/>
          <w:vertAlign w:val="superscript"/>
        </w:rPr>
        <w:footnoteReference w:id="4"/>
      </w:r>
      <w:r>
        <w:t>, tel que modifié par le règlement (UE, Euratom) 2024/765</w:t>
      </w:r>
      <w:r>
        <w:rPr>
          <w:noProof/>
          <w:vertAlign w:val="superscript"/>
        </w:rPr>
        <w:footnoteReference w:id="5"/>
      </w:r>
      <w:r>
        <w:t xml:space="preserve">, et notamment son article 8, </w:t>
      </w:r>
    </w:p>
    <w:p w:rsidR="00B943D2" w:rsidRPr="00B943D2" w:rsidP="00B943D2" w14:paraId="238C3693" w14:textId="77777777">
      <w:pPr>
        <w:pStyle w:val="NormalHanging12a"/>
        <w:rPr>
          <w:noProof/>
        </w:rPr>
      </w:pPr>
      <w:r>
        <w:t>–</w:t>
      </w:r>
      <w: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noProof/>
          <w:vertAlign w:val="superscript"/>
        </w:rPr>
        <w:footnoteReference w:id="6"/>
      </w:r>
      <w:r>
        <w:t>, et notamment son point 9,</w:t>
      </w:r>
    </w:p>
    <w:p w:rsidR="00B943D2" w:rsidRPr="00B943D2" w:rsidP="00B943D2" w14:paraId="55167A12" w14:textId="77777777">
      <w:pPr>
        <w:pStyle w:val="NormalHanging12a"/>
        <w:rPr>
          <w:noProof/>
        </w:rPr>
      </w:pPr>
      <w:r>
        <w:t>–</w:t>
      </w:r>
      <w:r>
        <w:tab/>
        <w:t>vu le socle européen des droits sociaux,</w:t>
      </w:r>
    </w:p>
    <w:p w:rsidR="00B943D2" w:rsidRPr="00B943D2" w:rsidP="00B943D2" w14:paraId="5A55E81E" w14:textId="77777777">
      <w:pPr>
        <w:pStyle w:val="NormalHanging12a"/>
        <w:rPr>
          <w:noProof/>
        </w:rPr>
      </w:pPr>
      <w:r>
        <w:t>–</w:t>
      </w:r>
      <w:r>
        <w:tab/>
        <w:t>vu la lettre de la commission de l’emploi et des affaires sociales,</w:t>
      </w:r>
    </w:p>
    <w:p w:rsidR="00B943D2" w:rsidRPr="00B943D2" w:rsidP="00B943D2" w14:paraId="2CB6B019" w14:textId="77777777">
      <w:pPr>
        <w:pStyle w:val="NormalHanging12a"/>
        <w:rPr>
          <w:noProof/>
        </w:rPr>
      </w:pPr>
      <w:r>
        <w:t>–</w:t>
      </w:r>
      <w:r>
        <w:tab/>
        <w:t>vu le rapport de la commission des budgets (A10-0243/2026),</w:t>
      </w:r>
    </w:p>
    <w:p w:rsidR="00B943D2" w:rsidRPr="00B943D2" w:rsidP="00B943D2" w14:paraId="778E89D1" w14:textId="77777777">
      <w:pPr>
        <w:pStyle w:val="NormalHanging12a"/>
        <w:rPr>
          <w:noProof/>
        </w:rPr>
      </w:pPr>
      <w:r>
        <w:t>A.</w:t>
      </w:r>
      <w:r>
        <w:tab/>
        <w:t xml:space="preserve">considérant que l’Union a mis en place des instruments législatifs et budgétaires pour apporter une aide complémentaire aux travailleurs qui subissent les conséquences d’événements et de changements majeurs touchant la structure du commerce international ou qui sont concernés par un licenciement imminent dans des entreprises en cours de restructuration, afin de faciliter leur réinsertion rapide sur le marché du travail dans des emplois décents et durables ou leur transition professionnelle, notamment en leur assurant une formation permettant de mieux les armer en les dotant de compétences répondant aux besoins du marché du travail; que cette aide est fournie </w:t>
      </w:r>
      <w:r>
        <w:t>sous la forme d’un soutien financier accordé aux travailleurs;</w:t>
      </w:r>
    </w:p>
    <w:p w:rsidR="00B943D2" w:rsidRPr="00B943D2" w:rsidP="00B943D2" w14:paraId="324A15DB" w14:textId="77777777">
      <w:pPr>
        <w:pStyle w:val="NormalHanging12a"/>
        <w:rPr>
          <w:noProof/>
        </w:rPr>
      </w:pPr>
      <w:r>
        <w:t>B.</w:t>
      </w:r>
      <w:r>
        <w:tab/>
        <w:t>considérant que le FEM est un instrument de solidarité et de transition juste et que, s’il apporte un soutien à la suite de pertes d’emplois, il ne saurait se substituer à des politiques économiques et sociales structurelles soutenant la croissance économique, favorisant un environnement économique stable, prévisible et propice à l’innovation et protégeant les entreprises et opérateurs économiques de l’Union ainsi que leurs travailleurs;</w:t>
      </w:r>
    </w:p>
    <w:p w:rsidR="00B943D2" w:rsidRPr="00B943D2" w:rsidP="00B943D2" w14:paraId="5F354102" w14:textId="77777777">
      <w:pPr>
        <w:pStyle w:val="NormalHanging12a"/>
        <w:rPr>
          <w:noProof/>
        </w:rPr>
      </w:pPr>
      <w:r>
        <w:t>C.</w:t>
      </w:r>
      <w:r>
        <w:tab/>
        <w:t>considérant que la Finlande a présenté la demande EGF/2026/003 FI/Valmet Automotive en vue d’obtenir une contribution financière du FEM à la suite de 260 licenciements</w:t>
      </w:r>
      <w:r>
        <w:rPr>
          <w:noProof/>
          <w:vertAlign w:val="superscript"/>
        </w:rPr>
        <w:footnoteReference w:id="7"/>
      </w:r>
      <w:r>
        <w:t xml:space="preserve"> survenus dans le secteur économique relevant de la division 29 (Industrie automobile) de la NACE rév. 2, dans la région de Länsi-Suomi (FI19), dont 239 licenciements intervenus au cours de la période de référence comprise entre le 2 décembre 2025 et le 2 avril 2026, à savoir 230 travailleurs licenciés chez Valmet Automotive Oyj (Industrie automobile) et neuf autres chez Compass Group Finland Oy (Restauration), et 21 licenciements en dehors de la période de référence;</w:t>
      </w:r>
    </w:p>
    <w:p w:rsidR="00B943D2" w:rsidRPr="00B943D2" w:rsidP="00B943D2" w14:paraId="190BCA63" w14:textId="77777777">
      <w:pPr>
        <w:pStyle w:val="NormalHanging12a"/>
        <w:rPr>
          <w:noProof/>
        </w:rPr>
      </w:pPr>
      <w:r>
        <w:t>D.</w:t>
      </w:r>
      <w:r>
        <w:tab/>
        <w:t>considérant que la demande se fonde sur les critères d’intervention énoncés à l’article 4, paragraphe 2, point a), du règlement FEM; que, pour les 21 travailleurs licenciés dont l’activité a cessé avant ou après la période de référence de quatre mois, un lien de causalité clair peut être établi avec l’événement qui a déclenché la cessation d’activité des travailleurs licenciés au cours de la période de référence, conformément à l’article 6 du règlement FEM;</w:t>
      </w:r>
    </w:p>
    <w:p w:rsidR="00B943D2" w:rsidRPr="00B943D2" w:rsidP="00B943D2" w14:paraId="745FF793" w14:textId="77777777">
      <w:pPr>
        <w:pStyle w:val="NormalHanging12a"/>
        <w:rPr>
          <w:noProof/>
        </w:rPr>
      </w:pPr>
      <w:r>
        <w:t>E.</w:t>
      </w:r>
      <w:r>
        <w:tab/>
        <w:t>considérant que Valmet Automotive, fabricant sous contrat de l’industrie automobile, a toujours été tributaire de la conclusion de contrats à durée déterminée avec de grands constructeurs automobiles, et donc soumis à des fluctuations de conjoncture; que des coûts de l’énergie et des coûts de fabrication élevés par rapport à la concurrence mondiale contraignent encore un peu plus la compétitivité européenne dans divers secteurs industriels, tels que la défense, la construction automobile et autres, qui ont besoin de solutions technologiques de pointe pour produire en Europe; que Valmet Automotive a dû réduire progressivement ses effectifs, qui sont passés d’un peu moins de 3 200 personnes au début des années 2020 à environ 1 300 avant les derniers licenciements;</w:t>
      </w:r>
    </w:p>
    <w:p w:rsidR="00B943D2" w:rsidRPr="00B943D2" w:rsidP="00B943D2" w14:paraId="20A9CAC6" w14:textId="77777777">
      <w:pPr>
        <w:pStyle w:val="NormalHanging12a"/>
        <w:rPr>
          <w:noProof/>
        </w:rPr>
      </w:pPr>
      <w:r>
        <w:t>F.</w:t>
      </w:r>
      <w:r>
        <w:tab/>
        <w:t>considérant que la région d’emploi de Turku assure le préfinancement et le cofinancement nationaux des mesures;</w:t>
      </w:r>
    </w:p>
    <w:p w:rsidR="00B943D2" w:rsidRPr="00B943D2" w:rsidP="00B943D2" w14:paraId="2CD4D7E3" w14:textId="77777777">
      <w:pPr>
        <w:pStyle w:val="NormalHanging12a"/>
        <w:rPr>
          <w:noProof/>
        </w:rPr>
      </w:pPr>
      <w:r>
        <w:t>G.</w:t>
      </w:r>
      <w:r>
        <w:tab/>
        <w:t>considérant que les exigences fixées dans la législation nationale et dans celle de l’Union concernant les licenciements collectifs ont été respectées;</w:t>
      </w:r>
    </w:p>
    <w:p w:rsidR="00B943D2" w:rsidRPr="00B943D2" w:rsidP="00B943D2" w14:paraId="7C6ADDA7" w14:textId="77777777">
      <w:pPr>
        <w:pStyle w:val="NormalHanging12a"/>
        <w:rPr>
          <w:noProof/>
        </w:rPr>
      </w:pPr>
      <w:r>
        <w:t xml:space="preserve">H. </w:t>
      </w:r>
      <w:r>
        <w:tab/>
        <w:t>considérant que des entreprises fortes et compétitives sont essentielles pour maintenir des emplois de qualité, stimuler la croissance économique, promouvoir la cohésion territoriale, économique et sociale et renforcer la résilience stratégique de l’Europe;</w:t>
      </w:r>
    </w:p>
    <w:p w:rsidR="00B943D2" w:rsidRPr="00B943D2" w:rsidP="00B943D2" w14:paraId="2AC646BB" w14:textId="77777777">
      <w:pPr>
        <w:pStyle w:val="NormalHanging12a"/>
        <w:rPr>
          <w:noProof/>
        </w:rPr>
      </w:pPr>
      <w:r>
        <w:t>I.</w:t>
      </w:r>
      <w:r>
        <w:tab/>
        <w:t xml:space="preserve">considérant que les contributions financières du FEM devraient être principalement axées sur des mesures actives ciblant le marché du travail et sur des services </w:t>
      </w:r>
      <w:r>
        <w:t>personnalisés visant à réinsérer rapidement leurs bénéficiaires dans des emplois décents et durables ou à les aider à mener à bien leur transition professionnelle, tout en leur offrant des formations pour faciliter leur réinsertion et pour leur permettre d’acquérir des compétences numériques et de les renforcer;</w:t>
      </w:r>
    </w:p>
    <w:p w:rsidR="00B943D2" w:rsidRPr="00B943D2" w:rsidP="00B943D2" w14:paraId="13943F8A" w14:textId="77777777">
      <w:pPr>
        <w:pStyle w:val="NormalHanging12a"/>
        <w:rPr>
          <w:noProof/>
        </w:rPr>
      </w:pPr>
      <w:r>
        <w:t>J.</w:t>
      </w:r>
      <w:r>
        <w:tab/>
        <w:t>considérant que le recours au FEM reste limité et géographiquement inégal dans l’ensemble de l’Union; que plusieurs États membres n’ont pas encore eu recours au FEM, bien qu’ils connaissent des restructurations et des suppressions d’emplois; qu’une sensibilisation accrue, un cadre législatif adapté, une concertation plus en amont avec les partenaires sociaux et une assistance technique renforcée à l’intention des autorités nationales et régionales sont nécessaires pour assurer la visibilité du FEM ainsi qu’un accès rapide et effectif à celui-ci pour les travailleurs admissibles et les régions touchées par des restructurations de grande ampleur;</w:t>
      </w:r>
    </w:p>
    <w:p w:rsidR="00B943D2" w:rsidRPr="00B943D2" w:rsidP="00B943D2" w14:paraId="39564F2D" w14:textId="77777777">
      <w:pPr>
        <w:pStyle w:val="NormalHanging12a"/>
        <w:rPr>
          <w:noProof/>
        </w:rPr>
      </w:pPr>
      <w:r>
        <w:t>K.</w:t>
      </w:r>
      <w:r>
        <w:tab/>
        <w:t>considérant que la dotation annuelle du FEM n’excède pas 30 millions d’EUR (aux prix de 2018)</w:t>
      </w:r>
      <w:r>
        <w:rPr>
          <w:noProof/>
          <w:vertAlign w:val="superscript"/>
        </w:rPr>
        <w:footnoteReference w:id="8"/>
      </w:r>
      <w:r>
        <w:t xml:space="preserve">; </w:t>
      </w:r>
    </w:p>
    <w:p w:rsidR="00B943D2" w:rsidRPr="00B943D2" w:rsidP="00B943D2" w14:paraId="3F28341C" w14:textId="77777777">
      <w:pPr>
        <w:pStyle w:val="NormalHanging12a"/>
        <w:rPr>
          <w:noProof/>
        </w:rPr>
      </w:pPr>
      <w:r>
        <w:t>1.</w:t>
      </w:r>
      <w:r>
        <w:tab/>
        <w:t>convient avec la Commission que les conditions fixées dans le règlement FEM, notamment à l’article 4, paragraphe 2, point a), sont remplies et que la Finlande a droit, au titre de ce règlement, à une contribution financière d’un montant de 410 310 EUR, soit 60 % du coût total de 683 850 EUR, qui correspond aux dépenses afférentes aux services personnalisés à hauteur de 663 850 EUR et aux dépenses afférentes aux activités de préparation, de gestion, d’information et de publicité, ainsi qu’aux activités de contrôle et d’établissement de rapports, à hauteur de 20 000 EUR;</w:t>
      </w:r>
    </w:p>
    <w:p w:rsidR="00B943D2" w:rsidRPr="00B943D2" w:rsidP="00B943D2" w14:paraId="0463E9F2" w14:textId="77777777">
      <w:pPr>
        <w:pStyle w:val="NormalHanging12a"/>
        <w:rPr>
          <w:noProof/>
        </w:rPr>
      </w:pPr>
      <w:r>
        <w:t>2.</w:t>
      </w:r>
      <w:r>
        <w:tab/>
        <w:t xml:space="preserve">constate que les autorités finlandaises ont présenté leur demande le 5 mai 2026 et que, après avoir reçu des informations complémentaires de leur part, la Commission a achevé son évaluation le 24 juillet 2026 et l’a communiquée au Parlement le 24 août 2026; </w:t>
      </w:r>
    </w:p>
    <w:p w:rsidR="00B943D2" w:rsidRPr="00B943D2" w:rsidP="00B943D2" w14:paraId="08129F3E" w14:textId="77777777">
      <w:pPr>
        <w:pStyle w:val="NormalHanging12a"/>
        <w:rPr>
          <w:noProof/>
        </w:rPr>
      </w:pPr>
      <w:r>
        <w:t>3.</w:t>
      </w:r>
      <w:r>
        <w:tab/>
        <w:t>note que la demande concerne 260 bénéficiaires visés qui ont été licenciés par Valmet Automotive et cinq de ses sous-traitants et fournisseurs; relève également que 233 travailleurs licenciés résidant dans la région de Länsi-Suomi seront les bénéficiaires visés;</w:t>
      </w:r>
    </w:p>
    <w:p w:rsidR="00B943D2" w:rsidRPr="00B943D2" w:rsidP="00B943D2" w14:paraId="4D73B516" w14:textId="77777777">
      <w:pPr>
        <w:pStyle w:val="NormalHanging12a"/>
        <w:rPr>
          <w:noProof/>
        </w:rPr>
      </w:pPr>
      <w:r>
        <w:t>4.</w:t>
      </w:r>
      <w:r>
        <w:tab/>
        <w:t xml:space="preserve">note que Valmet Automotive a éprouvé de grandes difficultés à s’adapter aux mutations du marché et a dû réduire progressivement ses effectifs à partir du début des années 2020; prend acte qu’à l’expiration de son dernier contrat, l’usine n’avait plus de commandes, ce qui l’a contrainte à de nouvelles réductions de personnel qui se sont traduites par le licenciement de 235 travailleurs et la mise au chômage technique de 860 travailleurs; regrette que les récents licenciements et mesures de chômage technique chez Valmet aient entraîné une hausse de 15 % du taux de chômage dans la région de Länsi-Suomi entre 2024 et 2025, taux qui atteignait 12,3 % en décembre 2025 tandis que le nombre de chômeurs de longue durée, en augmentation de 39 % par rapport à 2024, était le plus haut jamais enregistré; souligne qu’il est indispensable de prévenir le déclin régional structurel et de créer des emplois de qualité et d’avenir pour renforcer la résilience économique et sociale à long terme; souligne qu’il faut des politiques qui favorisent la transition industrielle durable et garantissent la compétitivité, la cohésion </w:t>
      </w:r>
      <w:r>
        <w:t>territoriale, économique et sociale et le développement régional;</w:t>
      </w:r>
    </w:p>
    <w:p w:rsidR="00B943D2" w:rsidRPr="00B943D2" w:rsidP="00B943D2" w14:paraId="6AF6E33B" w14:textId="77777777">
      <w:pPr>
        <w:pStyle w:val="NormalHanging12a"/>
        <w:rPr>
          <w:noProof/>
        </w:rPr>
      </w:pPr>
      <w:r>
        <w:t>5.</w:t>
      </w:r>
      <w:r>
        <w:tab/>
        <w:t>prend acte que 95 % des travailleurs licenciés ont un niveau d’éducation post-secondaire ou inférieur, et que 27,5 % ont de plus de 54 ans; souligne que le risque de chômage est étroitement lié à l’âge et au niveau d’éducation et qu’en conséquence, la plupart des bénéficiaires devront faire face à davantage d’obstacles pour se réinsérer sur le marché du travail; invite les autorités finlandaises à prendre des mesures pour s’attaquer aux disparités sociales et aux obstacles structurels conduisant à l’exclusion du marché du travail, telles que celles tenant au faible niveau d’éducation et à l’âge; se félicite que Valmet Automotive ait signé un accord pluriannuel pour la fabrication de véhicules blindés qui pourrait lui permettre de réembaucher une part très importante de ses travailleurs licenciés, tandis que d’autres, espère-t-on, pourraient à terme trouver un emploi dans l’industrie maritime dans la ville de Turku; souligne qu’il est nécessaire d’apporter un soutien spécifique, adapté aux besoins et aux profils des travailleurs ayant un niveau d’instruction inférieur;</w:t>
      </w:r>
    </w:p>
    <w:p w:rsidR="00B943D2" w:rsidRPr="00B943D2" w:rsidP="00B943D2" w14:paraId="1C785143" w14:textId="77777777">
      <w:pPr>
        <w:pStyle w:val="NormalHanging12a"/>
        <w:rPr>
          <w:noProof/>
        </w:rPr>
      </w:pPr>
      <w:r>
        <w:t>6.</w:t>
      </w:r>
      <w:r>
        <w:tab/>
        <w:t>rappelle que, élaborés avec le concours des experts et en concertation avec les partenaires sociaux, les services personnalisés devant être fournis aux travailleurs licenciés comprennent les mesures suivantes:  formation à la recherche d’emploi; accompagnement à la recherche d’emploi et à la gestion de carrière; formation professionnelle; cartes de sécurité au travail et de compétences professionnelles; formation linguistique; subvention de démarrage; mesures d’incitation et allocations; souligne que les représentants syndicaux devraient être associés à l’ensemble du processus de mise en œuvre des mesures du FEM, y compris à la phase de suivi et d’évaluation, afin de garantir la qualité et la pertinence du soutien apporté aux bénéficiaires; souligne qu’il importe de veiller à ce que les mesures de formation et de requalification répondent aux besoins concrets du marché de l’emploi, facilitent la réinsertion rapide des travailleurs licenciés et préviennent le chômage de longue durée, notamment pour les travailleurs âgés;</w:t>
      </w:r>
    </w:p>
    <w:p w:rsidR="00B943D2" w:rsidRPr="00B943D2" w:rsidP="00B943D2" w14:paraId="4ED23082" w14:textId="77777777">
      <w:pPr>
        <w:pStyle w:val="NormalHanging12a"/>
        <w:rPr>
          <w:bCs/>
          <w:iCs/>
          <w:noProof/>
        </w:rPr>
      </w:pPr>
      <w:r>
        <w:t>7.</w:t>
      </w:r>
      <w:r>
        <w:tab/>
        <w:t>souligne que les autorités finlandaises doivent garantir la visibilité du financement de l’Union et mettre en évidence sa valeur ajoutée en fournissant en temps utile des informations efficaces, claires et ciblées aux bénéficiaires, aux collectivités régionales et locales, aux partenaires sociaux et au grand public; souligne que le FEM est la manifestation concrète de la solidarité européenne et d’une transition juste, qui témoigne du souci de l’Union européenne de venir en aide aux travailleurs et aux collectivités qui subissent les conséquences de transformations économiques et structurelles majeures; souligne qu’il est essentiel de faire connaître les effets bénéfiques concrets du soutien du FEM afin de renforcer la confiance des citoyens dans le projet européen et dans la capacité de l’Union à protéger les travailleurs pendant les périodes de transition économique;</w:t>
      </w:r>
    </w:p>
    <w:p w:rsidR="00B943D2" w:rsidRPr="00B943D2" w:rsidP="00B943D2" w14:paraId="709BDBC4" w14:textId="77777777">
      <w:pPr>
        <w:pStyle w:val="NormalHanging12a"/>
        <w:rPr>
          <w:noProof/>
        </w:rPr>
      </w:pPr>
      <w:r>
        <w:t>8.</w:t>
      </w:r>
      <w:r>
        <w:tab/>
        <w:t xml:space="preserve">demande que les mesures mises en œuvre fassent l’objet d’évaluations finales approfondies, intégrant des informations précises sur la manière dont les fonds ont été utilisés, sur le succès de la réinsertion des travailleurs sur le marché du travail et sur le fait que les mesures ont atteint ou non les objectifs pour lesquels le FEM a été créé; souligne qu’il faut se doter des outils permettant d’évaluer l’efficacité des mesures financées et notamment d’apprécier si, grâce à ces mesures, le financement du FEM concourt bel et bien à la réinsertion rapide et durable des bénéficiaires dans des emplois </w:t>
      </w:r>
      <w:r>
        <w:t>de qualité;</w:t>
      </w:r>
    </w:p>
    <w:p w:rsidR="00B943D2" w:rsidRPr="00B943D2" w:rsidP="00B943D2" w14:paraId="264AE7AA" w14:textId="77777777">
      <w:pPr>
        <w:pStyle w:val="NormalHanging12a"/>
        <w:rPr>
          <w:noProof/>
        </w:rPr>
      </w:pPr>
      <w:r>
        <w:t>9.</w:t>
      </w:r>
      <w:r>
        <w:tab/>
        <w:t>relève que la Finlande a commencé à fournir des services personnalisés aux bénéficiaires visés et à engager des dépenses administratives afin de mettre en œuvre le FEM le 23 mars 2026 et que la période d’éligibilité au bénéfice d’une contribution financière du FEM débutera donc à partir de cette date, pour une durée, respectivement, de 24 mois et de 31 mois après la date d’entrée en vigueur de la décision de financement;</w:t>
      </w:r>
    </w:p>
    <w:p w:rsidR="00B943D2" w:rsidRPr="00B943D2" w:rsidP="00B943D2" w14:paraId="22A6292B" w14:textId="77777777">
      <w:pPr>
        <w:pStyle w:val="NormalHanging12a"/>
        <w:rPr>
          <w:noProof/>
        </w:rPr>
      </w:pPr>
      <w:r>
        <w:t>10.</w:t>
      </w:r>
      <w:r>
        <w:tab/>
        <w:t>constate que les autorités finlandaises ont apporté l’assurance que les principes d’égalité de traitement et de non-discrimination seront respectés pour l’accès aux mesures proposées et leur réalisation et que les doubles financements seront évités;</w:t>
      </w:r>
    </w:p>
    <w:p w:rsidR="00B943D2" w:rsidRPr="00B943D2" w:rsidP="00B943D2" w14:paraId="5B862A3D" w14:textId="77777777">
      <w:pPr>
        <w:pStyle w:val="NormalHanging12a"/>
        <w:rPr>
          <w:noProof/>
        </w:rPr>
      </w:pPr>
      <w:r>
        <w:t>11.</w:t>
      </w:r>
      <w:r>
        <w:tab/>
        <w:t>rappelle que l’aide du FEM ne doit pas se substituer aux actions relevant de la responsabilité des autorités publiques ou des entreprises en vertu du droit national ou de conventions collectives; rappelle que le FEM est un mécanisme limité, ciblé et complémentaire; souligne qu’il importe de favoriser la création d’emplois de qualité et d’avenir afin d’assurer la résilience économique et sociale à long terme; estime dès lors que la mobilisation du FEM doit venir s’inscrire dans le cadre plus vaste d’une action d’ensemble des pouvoirs publics à tous les niveaux politiques pour permettre aux travailleurs concernés de trouver des débouchés appropriés correspondant à leurs qualifications et compétences;</w:t>
      </w:r>
    </w:p>
    <w:p w:rsidR="00B943D2" w:rsidRPr="00B943D2" w:rsidP="00B943D2" w14:paraId="450F5B46" w14:textId="77777777">
      <w:pPr>
        <w:pStyle w:val="NormalHanging12a"/>
        <w:rPr>
          <w:noProof/>
        </w:rPr>
      </w:pPr>
      <w:r>
        <w:t xml:space="preserve">12. </w:t>
      </w:r>
      <w:r>
        <w:tab/>
        <w:t>souligne que l’industrie automobile européenne revêt une importance stratégique pour l’appareil industriel de l’Union et fournit des emplois à des millions de travailleurs dans les États membres; souligne que l’action européenne face à la transformation du secteur doit allier la compétitivité et les investissements industriels à une forte protection sociale et à une transition juste; invite la Commission à veiller à ce que les instruments de l’Union actuels et à venir interviennent de façon ciblée et complémentaire pour aider les travailleurs touchés par des restructurations, en reconversion et en transition professionnelle d’un bout à l’autre de la chaîne de valeur automobile;</w:t>
      </w:r>
    </w:p>
    <w:p w:rsidR="00B943D2" w:rsidRPr="00B943D2" w:rsidP="00B943D2" w14:paraId="792D6298" w14:textId="77777777">
      <w:pPr>
        <w:pStyle w:val="NormalHanging12a"/>
        <w:rPr>
          <w:noProof/>
        </w:rPr>
      </w:pPr>
      <w:r>
        <w:t>13.</w:t>
      </w:r>
      <w:r>
        <w:tab/>
        <w:t>approuve la décision annexée à la présente résolution;</w:t>
      </w:r>
    </w:p>
    <w:p w:rsidR="00B943D2" w:rsidRPr="00B943D2" w:rsidP="00B943D2" w14:paraId="5D2C5D13" w14:textId="77777777">
      <w:pPr>
        <w:pStyle w:val="NormalHanging12a"/>
        <w:rPr>
          <w:noProof/>
        </w:rPr>
      </w:pPr>
      <w:r>
        <w:t>14.</w:t>
      </w:r>
      <w:r>
        <w:tab/>
        <w:t xml:space="preserve">charge sa Présidente de signer cette décision avec le Président du Conseil et d’en assurer la publication au </w:t>
      </w:r>
      <w:r>
        <w:rPr>
          <w:i/>
          <w:iCs/>
        </w:rPr>
        <w:t>Journal officiel de l’Union européenne</w:t>
      </w:r>
      <w:r>
        <w:t>;</w:t>
      </w:r>
    </w:p>
    <w:p w:rsidR="00B943D2" w:rsidRPr="00B943D2" w:rsidP="00B943D2" w14:paraId="09FB857C" w14:textId="77777777">
      <w:pPr>
        <w:pStyle w:val="NormalHanging12a"/>
        <w:rPr>
          <w:noProof/>
        </w:rPr>
      </w:pPr>
      <w:r>
        <w:t>15.</w:t>
      </w:r>
      <w:r>
        <w:tab/>
        <w:t>charge sa Présidente de transmettre la présente résolution, y compris son annexe, au Conseil et à la Commission.</w:t>
      </w:r>
    </w:p>
    <w:p w:rsidR="00670089" w:rsidRPr="00B943D2" w:rsidP="00B943D2" w14:paraId="1487C99C" w14:textId="113CA8E3">
      <w:pPr>
        <w:pStyle w:val="NormalHanging12a"/>
        <w:widowControl/>
        <w:rPr>
          <w:noProof/>
        </w:rPr>
      </w:pPr>
    </w:p>
    <w:p w:rsidR="00616E75" w:rsidRPr="00B943D2" w:rsidP="00141FDD" w14:paraId="11B4F952" w14:textId="77777777">
      <w:pPr>
        <w:pStyle w:val="PageHeading"/>
        <w:widowControl/>
        <w:jc w:val="left"/>
        <w:rPr>
          <w:noProof/>
        </w:rPr>
        <w:sectPr w:rsidSect="00B943D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2440" w:rsidRPr="00B943D2" w:rsidP="00141FDD" w14:paraId="66CD8512" w14:textId="77777777">
      <w:pPr>
        <w:pStyle w:val="PageHeading"/>
        <w:widowControl/>
        <w:rPr>
          <w:noProof/>
        </w:rPr>
      </w:pPr>
      <w:bookmarkStart w:id="1" w:name="_Toc241672282"/>
      <w:r>
        <w:t>ANNEXE: DÉCISION DU PARLEMENT EUROPÉEN ET DU CONSEIL</w:t>
      </w:r>
      <w:bookmarkEnd w:id="1"/>
    </w:p>
    <w:p w:rsidR="004D2440" w:rsidRPr="00B943D2" w:rsidP="00141FDD" w14:paraId="7576EBE9" w14:textId="5434CEE9">
      <w:pPr>
        <w:pStyle w:val="NormalBold24a"/>
        <w:widowControl/>
      </w:pPr>
      <w:r>
        <w:t>relative à la mobilisation du Fonds européen d’ajustement à la mondialisation en faveur des travailleurs licenciés à la suite d’une demande de la Finlande (EGF/2026/003 FI/Valmet Automotive)</w:t>
      </w:r>
    </w:p>
    <w:p w:rsidR="00AB71EB" w:rsidRPr="00B943D2" w:rsidP="00141FDD" w14:paraId="752983E8" w14:textId="77777777">
      <w:pPr>
        <w:pStyle w:val="NormalHanging12a"/>
        <w:widowControl/>
        <w:jc w:val="both"/>
      </w:pPr>
      <w:r>
        <w:t>LE PARLEMENT EUROPÉEN ET LE CONSEIL DE L’UNION EUROPÉENNE,</w:t>
      </w:r>
    </w:p>
    <w:p w:rsidR="00B943D2" w:rsidRPr="00B943D2" w:rsidP="00B943D2" w14:paraId="475F5AA1" w14:textId="77777777">
      <w:pPr>
        <w:pStyle w:val="NormalHanging12a"/>
        <w:jc w:val="both"/>
      </w:pPr>
      <w:r>
        <w:t>vu le traité sur le fonctionnement de l’Union européenne,</w:t>
      </w:r>
    </w:p>
    <w:p w:rsidR="00B943D2" w:rsidRPr="00B943D2" w:rsidP="00B943D2" w14:paraId="3024BA44" w14:textId="77777777">
      <w:pPr>
        <w:pStyle w:val="NormalHanging12a"/>
        <w:ind w:left="0" w:firstLine="0"/>
        <w:jc w:val="both"/>
      </w:pPr>
      <w:r>
        <w:t>vu le règlement (UE) 2021/691 du Parlement européen et du Conseil du 28 avril 2021 relatif au Fonds européen d’ajustement à la mondialisation en faveur des travailleurs licenciés (FEM) et abrogeant le règlement (UE) nº 1309/2013</w:t>
      </w:r>
      <w:r>
        <w:rPr>
          <w:vertAlign w:val="superscript"/>
        </w:rPr>
        <w:footnoteReference w:id="9"/>
      </w:r>
      <w:r>
        <w:t>, et notamment son article 15, paragraphe 1, premier alinéa,</w:t>
      </w:r>
    </w:p>
    <w:p w:rsidR="00B943D2" w:rsidRPr="00B943D2" w:rsidP="00B943D2" w14:paraId="0C0A8C23" w14:textId="77777777">
      <w:pPr>
        <w:pStyle w:val="NormalHanging12a"/>
        <w:ind w:left="0" w:firstLine="0"/>
        <w:jc w:val="both"/>
      </w:pPr>
      <w: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vertAlign w:val="superscript"/>
        </w:rPr>
        <w:footnoteReference w:id="10"/>
      </w:r>
      <w:r>
        <w:t>, et notamment son point 9,</w:t>
      </w:r>
    </w:p>
    <w:p w:rsidR="00B943D2" w:rsidRPr="00B943D2" w:rsidP="00B943D2" w14:paraId="0BAECE7E" w14:textId="77777777">
      <w:pPr>
        <w:pStyle w:val="NormalHanging12a"/>
        <w:jc w:val="both"/>
      </w:pPr>
      <w:r>
        <w:t>vu la proposition de la Commission européenne,</w:t>
      </w:r>
    </w:p>
    <w:p w:rsidR="00B943D2" w:rsidRPr="00B943D2" w:rsidP="00B943D2" w14:paraId="4C347EF4" w14:textId="77777777">
      <w:pPr>
        <w:pStyle w:val="NormalHanging12a"/>
        <w:jc w:val="both"/>
      </w:pPr>
      <w:r>
        <w:t>considérant ce qui suit:</w:t>
      </w:r>
    </w:p>
    <w:p w:rsidR="00B943D2" w:rsidRPr="00B943D2" w:rsidP="00B943D2" w14:paraId="14F745E9" w14:textId="77777777">
      <w:pPr>
        <w:pStyle w:val="NormalHanging12a"/>
        <w:jc w:val="both"/>
      </w:pPr>
      <w:r>
        <w:t xml:space="preserve">(1) </w:t>
      </w:r>
      <w:r>
        <w:tab/>
        <w:t>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w:t>
      </w:r>
    </w:p>
    <w:p w:rsidR="00B943D2" w:rsidRPr="00B943D2" w:rsidP="00B943D2" w14:paraId="6D41CB5E" w14:textId="77777777">
      <w:pPr>
        <w:pStyle w:val="NormalHanging12a"/>
        <w:jc w:val="both"/>
      </w:pPr>
      <w:r>
        <w:t>(2)</w:t>
      </w:r>
      <w:r>
        <w:tab/>
        <w:t>La dotation annuelle du FEM n’excède pas un montant maximal de 30 000 000 EUR (aux prix de 2018), comme le prévoient l’article 8 du règlement (UE, Euratom) 2020/2093 du Conseil</w:t>
      </w:r>
      <w:r>
        <w:rPr>
          <w:i/>
          <w:vertAlign w:val="superscript"/>
        </w:rPr>
        <w:footnoteReference w:id="11"/>
      </w:r>
      <w:r>
        <w:t>, modifié par le règlement (UE, Euratom) 2024/765 du Conseil</w:t>
      </w:r>
      <w:r>
        <w:rPr>
          <w:i/>
          <w:vertAlign w:val="superscript"/>
        </w:rPr>
        <w:footnoteReference w:id="12"/>
      </w:r>
      <w:r>
        <w:t>, et l’article 16 du règlement (UE) 2021/691.</w:t>
      </w:r>
    </w:p>
    <w:p w:rsidR="00B943D2" w:rsidRPr="00B943D2" w:rsidP="00B943D2" w14:paraId="1023B92E" w14:textId="77777777">
      <w:pPr>
        <w:pStyle w:val="NormalHanging12a"/>
        <w:jc w:val="both"/>
      </w:pPr>
      <w:r>
        <w:t>(3)</w:t>
      </w:r>
      <w:r>
        <w:tab/>
        <w:t xml:space="preserve">Le 5 mai 2026, la Finlande a présenté, conformément à l’article 8, paragraphe 1, du règlement (UE) 2021/691, une demande d’intervention du FEM en ce qui concerne les licenciements de travailleurs survenus chez Valmet Automotive et cinq de ses sous-traitants et fournisseurs en Finlande. Des informations complémentaires ont été fournies conformément à l’article 8, paragraphe 5, du règlement (UE) 2021/691. Cette demande est considérée comme remplissant les conditions d’octroi d’une contribution financière </w:t>
      </w:r>
      <w:r>
        <w:t>du FEM conformément à l’article 13 du règlement (UE) 2021/691, sur la base de l’évaluation effectuée par la Commission dans la proposition de décision du Parlement européen et du Conseil relative à la mobilisation du FEM</w:t>
      </w:r>
      <w:r>
        <w:rPr>
          <w:vertAlign w:val="superscript"/>
        </w:rPr>
        <w:footnoteReference w:id="13"/>
      </w:r>
      <w:r>
        <w:t>.</w:t>
      </w:r>
    </w:p>
    <w:p w:rsidR="00B943D2" w:rsidRPr="00B943D2" w:rsidP="00B943D2" w14:paraId="4583E012" w14:textId="77777777">
      <w:pPr>
        <w:pStyle w:val="NormalHanging12a"/>
        <w:jc w:val="both"/>
      </w:pPr>
      <w:r>
        <w:t>(4)</w:t>
      </w:r>
      <w:r>
        <w:tab/>
        <w:t>Il convient par conséquent de mobiliser le FEM en vue d’octroyer une contribution financière d’un montant de 410 310 EUR en réponse à la demande présentée par la Finlande.</w:t>
      </w:r>
    </w:p>
    <w:p w:rsidR="00B943D2" w:rsidRPr="00B943D2" w:rsidP="00B943D2" w14:paraId="6F37DB84" w14:textId="77777777">
      <w:pPr>
        <w:pStyle w:val="NormalHanging12a"/>
        <w:jc w:val="both"/>
      </w:pPr>
      <w:r>
        <w:t>(5)</w:t>
      </w:r>
      <w:r>
        <w:tab/>
        <w:t>Afin de limiter au maximum le délai nécessaire pour déclencher l’intervention du Fonds, la présente décision devrait s’appliquer à partir de la date de son adoption,</w:t>
      </w:r>
    </w:p>
    <w:p w:rsidR="00B943D2" w:rsidRPr="00B943D2" w:rsidP="00B943D2" w14:paraId="4CED5402" w14:textId="77777777">
      <w:pPr>
        <w:pStyle w:val="NormalHanging12a"/>
      </w:pPr>
    </w:p>
    <w:p w:rsidR="00B943D2" w:rsidRPr="00B943D2" w:rsidP="00B943D2" w14:paraId="47BCB0B6" w14:textId="77777777">
      <w:pPr>
        <w:pStyle w:val="NormalHanging12a"/>
      </w:pPr>
      <w:r>
        <w:t>ONT ADOPTÉ LA PRÉSENTE DÉCISION:</w:t>
      </w:r>
    </w:p>
    <w:p w:rsidR="00B943D2" w:rsidRPr="00B943D2" w:rsidP="00B943D2" w14:paraId="2CD403BF" w14:textId="77777777">
      <w:pPr>
        <w:pStyle w:val="NormalHanging12a"/>
        <w:jc w:val="center"/>
        <w:rPr>
          <w:i/>
          <w:iCs/>
        </w:rPr>
      </w:pPr>
      <w:r>
        <w:rPr>
          <w:i/>
        </w:rPr>
        <w:t>Article premier</w:t>
      </w:r>
    </w:p>
    <w:p w:rsidR="00B943D2" w:rsidRPr="00B943D2" w:rsidP="00B943D2" w14:paraId="5CA070C1" w14:textId="77777777">
      <w:pPr>
        <w:pStyle w:val="NormalHanging12a"/>
        <w:ind w:left="0" w:firstLine="0"/>
      </w:pPr>
      <w:r>
        <w:t>Dans le cadre du budget général de l’Union établi pour l’exercice 2026, un montant de 410 310 EUR en crédits d’engagement et de paiement est mobilisé au titre du Fonds européen d’ajustement à la mondialisation en faveur des travailleurs licenciés.</w:t>
      </w:r>
    </w:p>
    <w:p w:rsidR="00B943D2" w:rsidRPr="00B943D2" w:rsidP="00B943D2" w14:paraId="12128910" w14:textId="77777777">
      <w:pPr>
        <w:pStyle w:val="NormalHanging12a"/>
        <w:jc w:val="center"/>
        <w:rPr>
          <w:i/>
          <w:iCs/>
        </w:rPr>
      </w:pPr>
      <w:r>
        <w:rPr>
          <w:i/>
        </w:rPr>
        <w:t>Article 2</w:t>
      </w:r>
    </w:p>
    <w:p w:rsidR="00B943D2" w:rsidRPr="00B943D2" w:rsidP="00B943D2" w14:paraId="6C20E255" w14:textId="77777777">
      <w:pPr>
        <w:pStyle w:val="NormalHanging12a"/>
        <w:ind w:left="0" w:firstLine="0"/>
      </w:pPr>
      <w:r>
        <w:t xml:space="preserve">La présente décision entre en vigueur le jour de sa publication au </w:t>
      </w:r>
      <w:r>
        <w:rPr>
          <w:i/>
          <w:iCs/>
        </w:rPr>
        <w:t>Journal officiel de l’Union européenne</w:t>
      </w:r>
      <w:r>
        <w:t xml:space="preserve">. Elle est applicable à partir du </w:t>
      </w:r>
      <w:r>
        <w:rPr>
          <w:i/>
        </w:rPr>
        <w:t>[date de son adoption]</w:t>
      </w:r>
      <w:r>
        <w:t>.</w:t>
      </w:r>
    </w:p>
    <w:p w:rsidR="00B943D2" w:rsidRPr="00B943D2" w:rsidP="00B943D2" w14:paraId="4497C792" w14:textId="77777777">
      <w:pPr>
        <w:pStyle w:val="NormalHanging12a"/>
      </w:pPr>
      <w:r>
        <w:t>Fait à Bruxelles, le</w:t>
      </w:r>
    </w:p>
    <w:p w:rsidR="00B943D2" w:rsidRPr="00B943D2" w:rsidP="00B943D2" w14:paraId="0DD00D13" w14:textId="77777777">
      <w:pPr>
        <w:pStyle w:val="NormalHanging12a"/>
      </w:pPr>
    </w:p>
    <w:p w:rsidR="00B943D2" w:rsidRPr="00B943D2" w:rsidP="00B943D2" w14:paraId="01924E00" w14:textId="77777777">
      <w:pPr>
        <w:pStyle w:val="NormalHanging12a"/>
        <w:rPr>
          <w:i/>
        </w:rPr>
      </w:pPr>
      <w:r>
        <w:rPr>
          <w:i/>
        </w:rPr>
        <w:t>Par le Parlement européen</w:t>
      </w:r>
      <w:r>
        <w:rPr>
          <w:i/>
        </w:rPr>
        <w:tab/>
      </w:r>
      <w:r>
        <w:rPr>
          <w:i/>
        </w:rPr>
        <w:tab/>
      </w:r>
      <w:r>
        <w:rPr>
          <w:i/>
        </w:rPr>
        <w:tab/>
        <w:t>Par le Conseil</w:t>
      </w:r>
    </w:p>
    <w:p w:rsidR="00B943D2" w:rsidRPr="00B943D2" w:rsidP="00B943D2" w14:paraId="64C6FD09" w14:textId="77777777">
      <w:pPr>
        <w:pStyle w:val="NormalHanging12a"/>
        <w:rPr>
          <w:i/>
        </w:rPr>
      </w:pPr>
      <w:r>
        <w:rPr>
          <w:i/>
        </w:rPr>
        <w:t>La présidente</w:t>
      </w:r>
      <w:r>
        <w:rPr>
          <w:i/>
        </w:rPr>
        <w:tab/>
      </w:r>
      <w:r>
        <w:rPr>
          <w:i/>
        </w:rPr>
        <w:tab/>
      </w:r>
      <w:r>
        <w:rPr>
          <w:i/>
        </w:rPr>
        <w:tab/>
      </w:r>
      <w:r>
        <w:rPr>
          <w:i/>
        </w:rPr>
        <w:tab/>
      </w:r>
      <w:r>
        <w:rPr>
          <w:i/>
        </w:rPr>
        <w:tab/>
        <w:t>Le président/la présidente</w:t>
      </w:r>
      <w:r>
        <w:rPr>
          <w:i/>
        </w:rPr>
        <w:br/>
      </w:r>
    </w:p>
    <w:p w:rsidR="00B943D2" w:rsidRPr="00B943D2" w:rsidP="00B943D2" w14:paraId="40E63476" w14:textId="77777777">
      <w:pPr>
        <w:pStyle w:val="NormalHanging12a"/>
        <w:sectPr w:rsidSect="00B943D2">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43D2" w:rsidRPr="00B943D2" w:rsidP="00B943D2" w14:paraId="5A777147" w14:textId="4283D0FD">
      <w:pPr>
        <w:pStyle w:val="PageHeading"/>
      </w:pPr>
      <w:bookmarkStart w:id="2" w:name="_Toc241592528"/>
      <w:bookmarkStart w:id="3" w:name="_Toc241672283"/>
      <w:r>
        <w:t>EXPOSÉ DES MOTIFS</w:t>
      </w:r>
      <w:bookmarkEnd w:id="2"/>
      <w:bookmarkEnd w:id="3"/>
    </w:p>
    <w:p w:rsidR="00B943D2" w:rsidRPr="00B943D2" w:rsidP="00B943D2" w14:paraId="3341858A" w14:textId="77777777">
      <w:pPr>
        <w:widowControl/>
        <w:tabs>
          <w:tab w:val="left" w:pos="426"/>
        </w:tabs>
        <w:jc w:val="both"/>
        <w:rPr>
          <w:rFonts w:eastAsia="Calibri"/>
          <w:b/>
          <w:szCs w:val="24"/>
        </w:rPr>
      </w:pPr>
      <w:bookmarkStart w:id="4" w:name="_Hlk239405934"/>
      <w:bookmarkStart w:id="5" w:name="_Hlk239406410"/>
      <w:r>
        <w:rPr>
          <w:b/>
        </w:rPr>
        <w:t>I. Contexte</w:t>
      </w:r>
    </w:p>
    <w:p w:rsidR="00B943D2" w:rsidRPr="00B943D2" w:rsidP="00B943D2" w14:paraId="73ACC351" w14:textId="77777777">
      <w:pPr>
        <w:widowControl/>
        <w:tabs>
          <w:tab w:val="left" w:pos="426"/>
        </w:tabs>
        <w:jc w:val="both"/>
        <w:rPr>
          <w:rFonts w:eastAsia="Calibri"/>
          <w:b/>
          <w:szCs w:val="24"/>
          <w:lang w:eastAsia="en-US"/>
        </w:rPr>
      </w:pPr>
    </w:p>
    <w:p w:rsidR="00B943D2" w:rsidRPr="00B943D2" w:rsidP="00B943D2" w14:paraId="45CDDF81" w14:textId="77777777">
      <w:pPr>
        <w:widowControl/>
        <w:spacing w:before="120"/>
        <w:rPr>
          <w:rFonts w:eastAsia="Calibri"/>
          <w:szCs w:val="24"/>
        </w:rPr>
      </w:pPr>
      <w:r>
        <w:t xml:space="preserve">Le Fonds européen d’ajustement à la mondialisation (FEM) a vocation à fournir une aide complémentaire aux travailleurs subissant les conséquences de modifications majeures de la structure du commerce mondial. </w:t>
      </w:r>
    </w:p>
    <w:p w:rsidR="00B943D2" w:rsidRPr="00B943D2" w:rsidP="00B943D2" w14:paraId="0604330E" w14:textId="77777777">
      <w:pPr>
        <w:widowControl/>
        <w:spacing w:before="120"/>
        <w:rPr>
          <w:rFonts w:eastAsia="Calibri"/>
          <w:szCs w:val="24"/>
        </w:rPr>
      </w:pPr>
      <w:r>
        <w:t>Conformément au point 9 de l’accord interinstitutionnel du 16 décembre 2020</w:t>
      </w:r>
      <w:r>
        <w:rPr>
          <w:vertAlign w:val="superscript"/>
        </w:rPr>
        <w:footnoteReference w:id="14"/>
      </w:r>
      <w:r>
        <w:t>, la Commission est tenue, à la suite de l’évaluation positive d’une demande, de soumettre à l’autorité budgétaire une proposition de mobilisation du Fonds et de la compléter par une demande correspondante de virement sur les lignes budgétaires concernées.</w:t>
      </w:r>
    </w:p>
    <w:bookmarkEnd w:id="4"/>
    <w:p w:rsidR="00B943D2" w:rsidRPr="00B943D2" w:rsidP="00B943D2" w14:paraId="6A2755BB" w14:textId="77777777">
      <w:pPr>
        <w:widowControl/>
        <w:tabs>
          <w:tab w:val="left" w:pos="426"/>
        </w:tabs>
        <w:spacing w:before="120"/>
        <w:rPr>
          <w:rFonts w:eastAsia="Calibri"/>
          <w:szCs w:val="24"/>
          <w:lang w:eastAsia="en-US"/>
        </w:rPr>
      </w:pPr>
    </w:p>
    <w:p w:rsidR="00B943D2" w:rsidRPr="00B943D2" w:rsidP="00B943D2" w14:paraId="0210E93D" w14:textId="77777777">
      <w:pPr>
        <w:widowControl/>
        <w:tabs>
          <w:tab w:val="left" w:pos="426"/>
        </w:tabs>
        <w:spacing w:before="120"/>
        <w:rPr>
          <w:rFonts w:eastAsia="Calibri"/>
          <w:b/>
          <w:szCs w:val="24"/>
        </w:rPr>
      </w:pPr>
      <w:r>
        <w:rPr>
          <w:b/>
        </w:rPr>
        <w:t xml:space="preserve">II. Demande de la Finlande et proposition de la Commission </w:t>
      </w:r>
    </w:p>
    <w:p w:rsidR="00B943D2" w:rsidRPr="00B943D2" w:rsidP="00B943D2" w14:paraId="5DD077C4" w14:textId="77777777">
      <w:pPr>
        <w:widowControl/>
        <w:tabs>
          <w:tab w:val="left" w:pos="426"/>
        </w:tabs>
        <w:spacing w:before="120"/>
        <w:rPr>
          <w:rFonts w:eastAsia="Calibri"/>
          <w:b/>
          <w:szCs w:val="24"/>
          <w:lang w:eastAsia="en-US"/>
        </w:rPr>
      </w:pPr>
    </w:p>
    <w:p w:rsidR="00B943D2" w:rsidRPr="00B943D2" w:rsidP="00B943D2" w14:paraId="218F734C" w14:textId="77777777">
      <w:pPr>
        <w:widowControl/>
        <w:spacing w:before="120"/>
        <w:rPr>
          <w:rFonts w:eastAsia="Calibri"/>
          <w:szCs w:val="24"/>
        </w:rPr>
      </w:pPr>
      <w:r>
        <w:t>Le 5 mai 2026, à la suite de 260 licenciements</w:t>
      </w:r>
      <w:r>
        <w:rPr>
          <w:vertAlign w:val="superscript"/>
        </w:rPr>
        <w:footnoteReference w:id="15"/>
      </w:r>
      <w:r>
        <w:t xml:space="preserve"> survenus chez Valmet Automotive Oyj et chez cinq de ses fournisseurs, la Finlande a présenté la demande EGF/2026/003 FI/Valmet Automotive en vue d’obtenir une contribution financière du FEM. </w:t>
      </w:r>
      <w:bookmarkStart w:id="6" w:name="_Hlk236304525"/>
      <w:r>
        <w:t>Il s’agit de la troisième demande pour 2026 et de la neuvième à être examinée dans le cadre du budget 2026.</w:t>
      </w:r>
      <w:bookmarkEnd w:id="6"/>
    </w:p>
    <w:p w:rsidR="00B943D2" w:rsidRPr="00B943D2" w:rsidP="00B943D2" w14:paraId="1746F3F8" w14:textId="77777777">
      <w:pPr>
        <w:widowControl/>
        <w:spacing w:before="120"/>
        <w:rPr>
          <w:rFonts w:eastAsia="Calibri"/>
          <w:szCs w:val="24"/>
        </w:rPr>
      </w:pPr>
      <w:r>
        <w:t xml:space="preserve">Au terme de l’évaluation de cette demande, la Commission a conclu, conformément à l’ensemble des dispositions applicables du règlement FEM, que les conditions d’octroi d’une contribution financière du FEM étaient remplies. </w:t>
      </w:r>
    </w:p>
    <w:p w:rsidR="00B943D2" w:rsidRPr="00B943D2" w:rsidP="00B943D2" w14:paraId="180A1DE7" w14:textId="77777777">
      <w:pPr>
        <w:widowControl/>
        <w:spacing w:before="120"/>
        <w:rPr>
          <w:rFonts w:eastAsia="Calibri"/>
          <w:szCs w:val="24"/>
        </w:rPr>
      </w:pPr>
      <w:r>
        <w:t>Le 24 juillet 2026, la Commission a adopté une proposition de décision sur la mobilisation du FEM en faveur de la Finlande pour l’élaboration de mesures adaptées afin de soutenir la réinsertion sur le marché du travail des 233 bénéficiaires visés, c’est-à-dire les travailleurs licenciés de Valmet et de cinq de ses sous-traitants et fournisseurs. Un montant total de 410 310 EUR sera mobilisé au titre du FEM, soit un montant égal à 60 % du coût total des mesures proposées.</w:t>
      </w:r>
    </w:p>
    <w:p w:rsidR="00B943D2" w:rsidRPr="00B943D2" w:rsidP="00B943D2" w14:paraId="5729F238" w14:textId="77777777">
      <w:pPr>
        <w:widowControl/>
        <w:spacing w:before="120"/>
        <w:rPr>
          <w:rFonts w:eastAsia="Calibri"/>
          <w:szCs w:val="24"/>
        </w:rPr>
      </w:pPr>
      <w:r>
        <w:t>La Commission a jugé la demande de la Finlande admissible au titre du critère d’intervention énoncé à l’article 4, paragraphe 2, point a), du règlement FEM, qui exige la cessation d’activité d’au moins 200 travailleurs licenciés ou travailleurs indépendants, sur une période de référence de quatre mois, dans une entreprise d’un État membre, y compris lorsque cette cessation d’activité concerne des travailleurs licenciés chez ses fournisseurs ou ses producteurs en aval.</w:t>
      </w:r>
    </w:p>
    <w:p w:rsidR="00B943D2" w:rsidRPr="00B943D2" w:rsidP="00B943D2" w14:paraId="7F3E3D3C" w14:textId="77777777">
      <w:pPr>
        <w:widowControl/>
        <w:spacing w:before="120"/>
        <w:rPr>
          <w:rFonts w:eastAsia="Calibri"/>
          <w:szCs w:val="24"/>
        </w:rPr>
      </w:pPr>
      <w:r>
        <w:t xml:space="preserve">Un cofinancement du FEM a été demandé pour les sept types d’actions suivantes, à fournir aux travailleurs licenciés: </w:t>
      </w:r>
    </w:p>
    <w:p w:rsidR="00B943D2" w:rsidRPr="00B943D2" w:rsidP="00B943D2" w14:paraId="11C02069" w14:textId="77777777">
      <w:pPr>
        <w:pStyle w:val="Tiret1"/>
        <w:numPr>
          <w:ilvl w:val="0"/>
          <w:numId w:val="0"/>
        </w:numPr>
        <w:tabs>
          <w:tab w:val="left" w:pos="709"/>
        </w:tabs>
        <w:ind w:left="709" w:hanging="359"/>
        <w:rPr>
          <w:noProof/>
        </w:rPr>
      </w:pPr>
      <w:r>
        <w:t>a)</w:t>
      </w:r>
      <w:r>
        <w:tab/>
      </w:r>
      <w:r>
        <w:rPr>
          <w:u w:val="single"/>
        </w:rPr>
        <w:t>Formation à la recherche d’emploi:</w:t>
      </w:r>
      <w:r>
        <w:t xml:space="preserve"> Les participants reçoivent des informations sur les services de soutien disponibles pour les demandeurs d’emploi et bénéficient de formations pour planifier leur réinsertion sur le marché du travail. Ils s’exerceront à postuler à des emplois en établissant ou en mettant à jour leur CV et en rédigeant de </w:t>
      </w:r>
      <w:r>
        <w:t>vraies candidatures. Des experts spécifiquement dédiés au projet mèneront des entretiens individuels et réaliseront une évaluation de la situation. Une attention particulière sera accordée aux participants qui doivent améliorer leurs compétences numériques afin d’améliorer leurs compétences en matière de recherche d’emploi et/ou leur situation sur le marché du travail.</w:t>
      </w:r>
    </w:p>
    <w:p w:rsidR="00B943D2" w:rsidRPr="00B943D2" w:rsidP="00B943D2" w14:paraId="12A80821" w14:textId="77777777">
      <w:pPr>
        <w:pStyle w:val="Tiret1"/>
        <w:numPr>
          <w:ilvl w:val="0"/>
          <w:numId w:val="0"/>
        </w:numPr>
        <w:tabs>
          <w:tab w:val="left" w:pos="709"/>
        </w:tabs>
        <w:ind w:left="709" w:hanging="359"/>
        <w:rPr>
          <w:noProof/>
        </w:rPr>
      </w:pPr>
      <w:r>
        <w:t>b)</w:t>
      </w:r>
      <w:r>
        <w:tab/>
      </w:r>
      <w:r>
        <w:rPr>
          <w:u w:val="single"/>
        </w:rPr>
        <w:t>Accompagnement à la recherche d’emploi et à la gestion de carrière:</w:t>
      </w:r>
      <w:r>
        <w:t xml:space="preserve"> L’accompagnement à la recherche d’emploi consiste à fournir des conseils généraux pour la recherche d’un emploi, mais peut également comprendre la mise à disposition d’un coach personnel offrant une assistance personnalisée. Dans le cadre de l’accompagnement à la gestion de carrière, les participants bénéficient d’un soutien personnalisé destiné à les aider à planifier leur carrière professionnelle, y compris à négocier d’éventuels changements de carrière ou de secteur, et à faire le point sur les compétences/aptitudes requises. Si nécessaire, des programmes de soutien à plus long terme, avec des exercices de groupe, peuvent être planifiés. Il peut également s’agir de périodes d’introduction sur un ou plusieurs lieux de travail.</w:t>
      </w:r>
    </w:p>
    <w:p w:rsidR="00B943D2" w:rsidRPr="00B943D2" w:rsidP="00B943D2" w14:paraId="534CA55E" w14:textId="77777777">
      <w:pPr>
        <w:pStyle w:val="Tiret1"/>
        <w:numPr>
          <w:ilvl w:val="0"/>
          <w:numId w:val="0"/>
        </w:numPr>
        <w:tabs>
          <w:tab w:val="left" w:pos="709"/>
        </w:tabs>
        <w:ind w:left="709" w:hanging="359"/>
        <w:rPr>
          <w:noProof/>
        </w:rPr>
      </w:pPr>
      <w:bookmarkStart w:id="7" w:name="_Hlk215479487"/>
      <w:r>
        <w:t>c)</w:t>
      </w:r>
      <w:r>
        <w:tab/>
      </w:r>
      <w:bookmarkEnd w:id="7"/>
      <w:r>
        <w:rPr>
          <w:u w:val="single"/>
        </w:rPr>
        <w:t>Formation professionnelle:</w:t>
      </w:r>
      <w:r>
        <w:t xml:space="preserve"> La formation professionnelle a pour objectif l’acquisition de compétences destinées à soutenir la transition des travailleurs licenciés vers un nouveau secteur présentant un taux d’emploi élevé.</w:t>
      </w:r>
    </w:p>
    <w:p w:rsidR="00B943D2" w:rsidRPr="00B943D2" w:rsidP="00B943D2" w14:paraId="3E70D6A6" w14:textId="77777777">
      <w:pPr>
        <w:pStyle w:val="Tiret1"/>
        <w:numPr>
          <w:ilvl w:val="0"/>
          <w:numId w:val="0"/>
        </w:numPr>
        <w:tabs>
          <w:tab w:val="left" w:pos="720"/>
        </w:tabs>
        <w:ind w:left="709" w:hanging="359"/>
        <w:rPr>
          <w:noProof/>
          <w:u w:val="single"/>
        </w:rPr>
      </w:pPr>
      <w:r>
        <w:t>d)</w:t>
      </w:r>
      <w:r>
        <w:tab/>
      </w:r>
      <w:r>
        <w:rPr>
          <w:u w:val="single"/>
        </w:rPr>
        <w:t>Cartes de sécurité au travail et de compétences professionnelles:</w:t>
      </w:r>
      <w:r>
        <w:t xml:space="preserve"> Les cartes de sécurité au travail et de compétences professionnelles sont des certificats d’aptitude reconnus dans tout le pays pour diverses compétences liées à la sécurité. Ces cartes peuvent être obtenues après avoir suivi une formation spécifique et réussi un test normalisé.</w:t>
      </w:r>
    </w:p>
    <w:p w:rsidR="00B943D2" w:rsidRPr="00B943D2" w:rsidP="00B943D2" w14:paraId="09E76D6F" w14:textId="77777777">
      <w:pPr>
        <w:pStyle w:val="Tiret1"/>
        <w:numPr>
          <w:ilvl w:val="0"/>
          <w:numId w:val="0"/>
        </w:numPr>
        <w:tabs>
          <w:tab w:val="left" w:pos="709"/>
        </w:tabs>
        <w:ind w:left="709" w:hanging="359"/>
        <w:rPr>
          <w:noProof/>
          <w:u w:val="single"/>
        </w:rPr>
      </w:pPr>
      <w:r>
        <w:t>e)</w:t>
      </w:r>
      <w:r>
        <w:tab/>
      </w:r>
      <w:r>
        <w:rPr>
          <w:u w:val="single"/>
        </w:rPr>
        <w:t>Formation linguistique:</w:t>
      </w:r>
      <w:r>
        <w:t xml:space="preserve"> Une formation en finnois axée sur le marché du travail sera dispensée aux bénéficiaires dont la maîtrise du finnois est insuffisante pour un retour rapide à l’emploi.</w:t>
      </w:r>
    </w:p>
    <w:p w:rsidR="00B943D2" w:rsidRPr="00B943D2" w:rsidP="00B943D2" w14:paraId="0E5DE79C" w14:textId="77777777">
      <w:pPr>
        <w:pStyle w:val="Tiret1"/>
        <w:numPr>
          <w:ilvl w:val="0"/>
          <w:numId w:val="0"/>
        </w:numPr>
        <w:tabs>
          <w:tab w:val="left" w:pos="720"/>
        </w:tabs>
        <w:ind w:left="709" w:hanging="359"/>
        <w:rPr>
          <w:noProof/>
        </w:rPr>
      </w:pPr>
      <w:r>
        <w:t>f)</w:t>
      </w:r>
      <w:r>
        <w:tab/>
      </w:r>
      <w:r>
        <w:rPr>
          <w:u w:val="single"/>
        </w:rPr>
        <w:t>Subvention de démarrage:</w:t>
      </w:r>
      <w:r>
        <w:t xml:space="preserve"> Une subvention de démarrage garantit un revenu aux personnes désireuses de créer leur entreprise pendant la période qui est estimée nécessaire pour lancer et mettre en place une activité à plein temps, pour une durée maximale de 12 mois.</w:t>
      </w:r>
    </w:p>
    <w:p w:rsidR="00B943D2" w:rsidRPr="00B943D2" w:rsidP="00B943D2" w14:paraId="438B0C8F" w14:textId="77777777">
      <w:pPr>
        <w:pStyle w:val="Tiret1"/>
        <w:numPr>
          <w:ilvl w:val="0"/>
          <w:numId w:val="0"/>
        </w:numPr>
        <w:tabs>
          <w:tab w:val="left" w:pos="709"/>
        </w:tabs>
        <w:ind w:left="709" w:hanging="359"/>
        <w:rPr>
          <w:noProof/>
        </w:rPr>
      </w:pPr>
      <w:r>
        <w:t>g)</w:t>
      </w:r>
      <w:r>
        <w:tab/>
      </w:r>
      <w:r>
        <w:rPr>
          <w:u w:val="single"/>
        </w:rPr>
        <w:t>Mesures d’incitation et allocations:</w:t>
      </w:r>
      <w:r>
        <w:t xml:space="preserve"> Les subventions salariales abaissent le seuil de recrutement en réduisant les coûts salariaux du nouvel employeur. L’objectif est d’aider les demandeurs d’emploi à améliorer leurs compétences professionnelles sur le marché du travail ouvert. Le montant de la subvention salariale est généralement de 50 % des coûts salariaux; la durée de la période subventionnée dépend de la durée de la période de chômage ayant précédé le retour à l’emploi.</w:t>
      </w:r>
    </w:p>
    <w:p w:rsidR="00B943D2" w:rsidRPr="00B943D2" w:rsidP="00B943D2" w14:paraId="486DAF54" w14:textId="77777777">
      <w:pPr>
        <w:pStyle w:val="Tiret1"/>
        <w:numPr>
          <w:ilvl w:val="0"/>
          <w:numId w:val="0"/>
        </w:numPr>
        <w:tabs>
          <w:tab w:val="left" w:pos="720"/>
        </w:tabs>
        <w:ind w:left="851" w:hanging="501"/>
        <w:rPr>
          <w:rFonts w:eastAsia="Calibri"/>
          <w:szCs w:val="24"/>
        </w:rPr>
      </w:pPr>
    </w:p>
    <w:p w:rsidR="00B943D2" w:rsidRPr="00B943D2" w:rsidP="00B943D2" w14:paraId="32EBFA24" w14:textId="77777777">
      <w:pPr>
        <w:rPr>
          <w:b/>
        </w:rPr>
      </w:pPr>
      <w:r>
        <w:rPr>
          <w:b/>
        </w:rPr>
        <w:t>III. Procédure</w:t>
      </w:r>
    </w:p>
    <w:p w:rsidR="00B943D2" w:rsidRPr="00B943D2" w:rsidP="00B943D2" w14:paraId="21E7FBA4" w14:textId="77777777">
      <w:pPr>
        <w:rPr>
          <w:b/>
        </w:rPr>
      </w:pPr>
    </w:p>
    <w:p w:rsidR="00B943D2" w:rsidRPr="00B943D2" w:rsidP="00B943D2" w14:paraId="5BAD7DC5" w14:textId="77777777">
      <w:pPr>
        <w:spacing w:after="120"/>
      </w:pPr>
      <w:r>
        <w:t>Pour mobiliser le Fonds, la Commission a soumis à l’autorité budgétaire une demande de virement d’un montant total de 410 310 EUR de la réserve du FEM (ligne budgétaire 30 04 02, crédits d’engagement) vers le FEM (ligne budgétaire 16 02 02, crédits d’engagement).</w:t>
      </w:r>
    </w:p>
    <w:p w:rsidR="00B943D2" w:rsidRPr="00B943D2" w:rsidP="00B943D2" w14:paraId="29BEDB70" w14:textId="77777777">
      <w:pPr>
        <w:widowControl/>
        <w:rPr>
          <w:szCs w:val="24"/>
        </w:rPr>
      </w:pPr>
      <w:r>
        <w:t>En vertu d’un accord interne au Parlement, la commission de l’emploi et des affaires sociales et la commission du développement régional doivent être associées à la procédure, de manière à pouvoir contribuer et concourir de façon constructive à l’évaluation des demandes de mobilisation du Fonds.</w:t>
      </w:r>
      <w:bookmarkEnd w:id="5"/>
      <w:r>
        <w:t xml:space="preserve"> </w:t>
      </w:r>
    </w:p>
    <w:p w:rsidR="00B943D2" w:rsidRPr="00B943D2" w:rsidP="00B943D2" w14:paraId="19F52E9B" w14:textId="77777777"/>
    <w:p w:rsidR="00B943D2" w:rsidRPr="00B943D2" w:rsidP="00B943D2" w14:paraId="6E09BEC2" w14:textId="77777777">
      <w:pPr>
        <w:widowControl/>
        <w:sectPr w:rsidSect="00B943D2">
          <w:footnotePr>
            <w:numRestart w:val="eachSect"/>
          </w:footnotePr>
          <w:endnotePr>
            <w:numFmt w:val="decimal"/>
          </w:endnotePr>
          <w:pgSz w:w="11906" w:h="16838" w:code="9"/>
          <w:pgMar w:top="1134" w:right="1418" w:bottom="1418" w:left="1418" w:header="567" w:footer="567" w:gutter="0"/>
          <w:cols w:space="720"/>
          <w:noEndnote/>
          <w:docGrid w:linePitch="326"/>
        </w:sectPr>
      </w:pPr>
    </w:p>
    <w:p w:rsidR="00B943D2" w:rsidRPr="00B943D2" w:rsidP="00B943D2" w14:paraId="06E7F923" w14:textId="77777777">
      <w:pPr>
        <w:widowControl/>
      </w:pPr>
    </w:p>
    <w:p w:rsidR="00B943D2" w:rsidRPr="00B943D2" w:rsidP="00B943D2" w14:paraId="0C4D737B" w14:textId="77777777"/>
    <w:p w:rsidR="00B943D2" w:rsidRPr="00B943D2" w:rsidP="00B943D2" w14:paraId="1253FF44" w14:textId="77777777">
      <w:pPr>
        <w:pStyle w:val="PageHeading"/>
        <w:rPr>
          <w:noProof/>
        </w:rPr>
      </w:pPr>
      <w:bookmarkStart w:id="8" w:name="_Toc241592529"/>
      <w:bookmarkStart w:id="9" w:name="_Toc241672284"/>
      <w:r>
        <w:t>ANNEXE: DÉCLARATION DES CONTRIBUTIONS</w:t>
      </w:r>
      <w:bookmarkEnd w:id="8"/>
      <w:bookmarkEnd w:id="9"/>
    </w:p>
    <w:p w:rsidR="00B943D2" w:rsidRPr="00B943D2" w:rsidP="00B943D2" w14:paraId="3B74956A" w14:textId="77777777">
      <w:pPr>
        <w:pStyle w:val="Normal24a"/>
        <w:spacing w:after="240"/>
      </w:pPr>
      <w:r>
        <w:rPr>
          <w:rStyle w:val="HideTWBExt"/>
        </w:rPr>
        <w:t>&lt;FootprintIntro&gt;</w:t>
      </w:r>
      <w:r>
        <w:t>Le rapporteur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id="16"/>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rsidR="00A311AE" w:rsidRPr="00B943D2" w:rsidP="00B84384" w14:paraId="52871FF1" w14:textId="590246B4">
      <w:r>
        <w:t xml:space="preserve"> </w:t>
      </w:r>
    </w:p>
    <w:p w:rsidR="00B943D2" w:rsidRPr="00B943D2" w14:paraId="7F2C73DB" w14:textId="77777777">
      <w:pPr>
        <w:widowControl/>
        <w:sectPr w:rsidSect="00B943D2">
          <w:pgSz w:w="11894" w:h="15840"/>
          <w:pgMar w:top="1700" w:right="1417" w:bottom="1417" w:left="1417" w:header="720" w:footer="720" w:gutter="0"/>
          <w:cols w:space="720"/>
          <w:noEndnote/>
          <w:docGrid w:linePitch="326"/>
        </w:sectPr>
      </w:pPr>
    </w:p>
    <w:p w:rsidR="00B943D2" w:rsidRPr="00B943D2" w:rsidP="00B943D2" w14:paraId="5F4E4EF4" w14:textId="77777777">
      <w:pPr>
        <w:pStyle w:val="Normal24a"/>
      </w:pPr>
      <w:r>
        <w:rPr>
          <w:rStyle w:val="HideTWBExt"/>
        </w:rPr>
        <w:t>&lt;Date&gt;&lt;/Date&gt;</w:t>
      </w:r>
    </w:p>
    <w:p w:rsidR="00B943D2" w:rsidRPr="00B943D2" w:rsidP="00B943D2" w14:paraId="0173BFC2" w14:textId="7C0BBA32">
      <w:pPr>
        <w:pStyle w:val="PageHeading"/>
      </w:pPr>
      <w:bookmarkStart w:id="10" w:name="OpinionToc_1"/>
      <w:bookmarkStart w:id="11" w:name="_Toc241672285"/>
      <w:r>
        <w:t>LETTRE DE LA COMMISSION DE L’EMPLOI ET DES AFFAIRES SOCIALES</w:t>
      </w:r>
      <w:bookmarkEnd w:id="10"/>
      <w:bookmarkEnd w:id="11"/>
    </w:p>
    <w:p w:rsidR="00B943D2" w:rsidRPr="00B943D2" w:rsidP="002E15DC" w14:paraId="50902E0C" w14:textId="77777777">
      <w:pPr>
        <w:widowControl/>
      </w:pPr>
      <w:r>
        <w:t>M. Johan Van Overtveldt</w:t>
      </w:r>
    </w:p>
    <w:p w:rsidR="00B943D2" w:rsidRPr="00B943D2" w:rsidP="002E15DC" w14:paraId="46436185" w14:textId="77777777">
      <w:pPr>
        <w:widowControl/>
      </w:pPr>
      <w:r>
        <w:t>Président</w:t>
      </w:r>
    </w:p>
    <w:p w:rsidR="00B943D2" w:rsidRPr="00B943D2" w:rsidP="002E15DC" w14:paraId="2201047C" w14:textId="77777777">
      <w:pPr>
        <w:widowControl/>
      </w:pPr>
      <w:r>
        <w:t>Commission des budgets</w:t>
      </w:r>
    </w:p>
    <w:p w:rsidR="00B943D2" w:rsidRPr="00B943D2" w:rsidP="002E15DC" w14:paraId="1C15C25F" w14:textId="77777777">
      <w:pPr>
        <w:widowControl/>
      </w:pPr>
      <w:r>
        <w:t>BRUXELLES</w:t>
      </w:r>
    </w:p>
    <w:p w:rsidR="00B943D2" w:rsidRPr="00B943D2" w:rsidP="002E15DC" w14:paraId="09CE6845" w14:textId="77777777">
      <w:pPr>
        <w:pStyle w:val="LetterSubject"/>
        <w:widowControl/>
      </w:pPr>
      <w:r>
        <w:t>Objet:</w:t>
      </w:r>
      <w:r>
        <w:tab/>
      </w:r>
      <w:r>
        <w:rPr>
          <w:rStyle w:val="HideTWBExt"/>
        </w:rPr>
        <w:t>&lt;Titre&gt;</w:t>
      </w:r>
      <w:r>
        <w:t>Avis relatif à la mobilisation du Fonds européen d’ajustement à la mondialisation en faveur des travailleurs licenciés à la suite d’une demande de la Finlande</w:t>
      </w:r>
      <w:r>
        <w:rPr>
          <w:rStyle w:val="HideTWBExt"/>
        </w:rPr>
        <w:t>&lt;/Titre&gt;</w:t>
      </w:r>
      <w:r>
        <w:t xml:space="preserve"> </w:t>
      </w:r>
      <w:r>
        <w:rPr>
          <w:rStyle w:val="HideTWBExt"/>
        </w:rPr>
        <w:t>&lt;DocRef&gt;</w:t>
      </w:r>
      <w:r>
        <w:t>(EGF/2026/003 FI/Valmet Automotive) (2026/0220(BUD))</w:t>
      </w:r>
      <w:r>
        <w:rPr>
          <w:rStyle w:val="HideTWBExt"/>
        </w:rPr>
        <w:t>&lt;/DocRef&gt;</w:t>
      </w:r>
    </w:p>
    <w:p w:rsidR="00B943D2" w:rsidRPr="00B943D2" w:rsidP="002E15DC" w14:paraId="4E82C38E" w14:textId="77777777">
      <w:pPr>
        <w:pStyle w:val="LetterSalutation"/>
        <w:widowControl/>
      </w:pPr>
      <w:r>
        <w:t>Monsieur le Président,</w:t>
      </w:r>
    </w:p>
    <w:p w:rsidR="00B943D2" w:rsidRPr="00B943D2" w:rsidP="002E15DC" w14:paraId="09950A09" w14:textId="77777777">
      <w:pPr>
        <w:pStyle w:val="Normal12a"/>
        <w:widowControl/>
      </w:pPr>
      <w:r>
        <w:t>Dans le cadre de la procédure en objet, la commission de l’emploi et des affaires sociales a été chargée de soumettre un avis à votre commission, qu’elle a décidé de transmettre sous forme de lettre.</w:t>
      </w:r>
    </w:p>
    <w:p w:rsidR="00B943D2" w:rsidRPr="00B943D2" w:rsidP="002E15DC" w14:paraId="35AEC0E1" w14:textId="77777777">
      <w:pPr>
        <w:pStyle w:val="Normal12a"/>
        <w:widowControl/>
      </w:pPr>
      <w:r>
        <w:t>La commission de l’emploi et des affaires sociales a examiné la question et, lors de sa réunion du 10 septembre 2026, a décidé de soumettre l’avis présenté ci-dessous à la commission des budgets, compétente au fond.</w:t>
      </w:r>
    </w:p>
    <w:p w:rsidR="00B943D2" w:rsidRPr="00B943D2" w:rsidP="002E15DC" w14:paraId="0C2A47C4" w14:textId="77777777">
      <w:pPr>
        <w:pStyle w:val="Normal12a"/>
        <w:widowControl/>
      </w:pPr>
    </w:p>
    <w:p w:rsidR="00B943D2" w:rsidRPr="00B943D2" w:rsidP="002E15DC" w14:paraId="4D0FDD61" w14:textId="77777777">
      <w:pPr>
        <w:pStyle w:val="Normal12a"/>
        <w:widowControl/>
      </w:pPr>
      <w:r>
        <w:t>Veuillez agréer, Monsieur le Président, l’assurance de ma haute considération.</w:t>
      </w:r>
    </w:p>
    <w:p w:rsidR="00B943D2" w:rsidRPr="00B943D2" w:rsidP="002E15DC" w14:paraId="74ACAE66" w14:textId="77777777">
      <w:pPr>
        <w:pStyle w:val="LetterSignature66b"/>
        <w:widowControl/>
      </w:pPr>
      <w:r>
        <w:t>Li Andersson</w:t>
      </w:r>
    </w:p>
    <w:p w:rsidR="00B943D2" w:rsidRPr="00B943D2" w:rsidP="002E15DC" w14:paraId="1FAB68EE" w14:textId="77777777">
      <w:pPr>
        <w:widowControl/>
      </w:pPr>
      <w:r>
        <w:br w:type="page"/>
      </w:r>
    </w:p>
    <w:p w:rsidR="00B943D2" w:rsidRPr="00B943D2" w:rsidP="002E15DC" w14:paraId="0DE53F44" w14:textId="77777777">
      <w:pPr>
        <w:pStyle w:val="PageHeadingNotTOC"/>
        <w:widowControl/>
      </w:pPr>
      <w:r>
        <w:t>AVIS</w:t>
      </w:r>
    </w:p>
    <w:p w:rsidR="00B943D2" w:rsidRPr="00B943D2" w:rsidP="002E15DC" w14:paraId="2EB8CE26" w14:textId="77777777">
      <w:pPr>
        <w:pStyle w:val="NormalHanging12a"/>
        <w:widowControl/>
      </w:pPr>
      <w:r>
        <w:t>A.</w:t>
      </w:r>
      <w:r>
        <w:tab/>
        <w:t>considérant que, le 5 mai 2026, à la suite de licenciements intervenus chez Valmet Automotive et chez cinq de ses sous-traitants et fournisseurs en Finlande, les autorités finlandaises ont présenté la demande EGF/2026/003 FI/Valmet Automotive en vue d’obtenir une contribution financière du Fonds européen d’ajustement à la mondialisation en faveur des travailleurs licenciés (FEM); que l’entreprise principale concernée exerce ses activités dans le secteur économique relevant de la division 29 («Industrie automobile») de la NACE Rév. 2 et que les licenciements ont eu lieu dans la région de niveau NUTS 2 de Länsi-Suomi (FI19);</w:t>
      </w:r>
    </w:p>
    <w:p w:rsidR="00B943D2" w:rsidRPr="00B943D2" w:rsidP="002E15DC" w14:paraId="02C9555C" w14:textId="77777777">
      <w:pPr>
        <w:pStyle w:val="NormalHanging12a"/>
        <w:widowControl/>
      </w:pPr>
      <w:r>
        <w:t>B.</w:t>
      </w:r>
      <w:r>
        <w:tab/>
        <w:t>considérant que la Finlande a présenté la demande au titre du critère d’intervention énoncé à l’article 4, paragraphe 2, point a), du règlement (UE) 2021/691, qui exige la cessation d’activité d’au moins 200 travailleurs licenciés sur une période de référence de quatre mois (en l’occurrence, du 2 décembre 2025 au 2 avril 2026), dans une entreprise d’un État membre, y compris lorsque cette cessation d’activité concerne des travailleurs licenciés chez des fournisseurs ou producteurs en aval; qu’à la suite de l’évaluation de cette demande, la Commission a conclu, conformément à l’ensemble des dispositions applicables du règlement FEM, que les conditions d’octroi d’une contribution financière du FEM étaient remplies;</w:t>
      </w:r>
    </w:p>
    <w:p w:rsidR="00B943D2" w:rsidRPr="00B943D2" w:rsidP="002E15DC" w14:paraId="00DC5DD4" w14:textId="77777777">
      <w:pPr>
        <w:pStyle w:val="NormalHanging12a"/>
        <w:widowControl/>
      </w:pPr>
      <w:r>
        <w:t>C.</w:t>
      </w:r>
      <w:r>
        <w:tab/>
        <w:t>considérant que le nombre total de bénéficiaires admissibles, dont l’activité a cessé dans les secteurs économiques susmentionnés, s’élève à 260; que la demande concerne 239 travailleurs licenciés dont l’activité a cessé, qui étaient salariés chez Valmet Automotive et l’un de ses fournisseurs;</w:t>
      </w:r>
    </w:p>
    <w:p w:rsidR="00B943D2" w:rsidRPr="00B943D2" w:rsidP="002E15DC" w14:paraId="2108325C" w14:textId="77777777">
      <w:pPr>
        <w:pStyle w:val="NormalHanging12a"/>
        <w:widowControl/>
      </w:pPr>
      <w:r>
        <w:t>D.</w:t>
      </w:r>
      <w:r>
        <w:tab/>
        <w:t>considérant que, le 24 juillet 2026, la Commission a adopté une proposition de décision sur la mobilisation du FEM en faveur de la Finlande afin de soutenir la réinsertion sur le marché du travail de 239 bénéficiaires visés;</w:t>
      </w:r>
    </w:p>
    <w:p w:rsidR="00B943D2" w:rsidRPr="00B943D2" w:rsidP="002E15DC" w14:paraId="5280C191" w14:textId="77777777">
      <w:pPr>
        <w:pStyle w:val="NormalHanging12a"/>
        <w:widowControl/>
      </w:pPr>
      <w:r>
        <w:t>E.</w:t>
      </w:r>
      <w:r>
        <w:tab/>
        <w:t>considérant que la situation financière et de l’emploi de Valmet Automotive, un fabricant sous contrat de l’industrie automobile, a toujours été tributaire de la conclusion de contrats à durée déterminée avec de grands constructeurs automobiles, et donc soumise à des fluctuations; qu’en raison du ralentissement mondial que connaît l’industrie automobile depuis plusieurs années, la société a rencontré des difficultés et a dû réduire progressivement ses effectifs, qui sont passés d’un peu moins de 3 200 personnes au début des années 2020 à environ 1 300 avant les derniers licenciements; qu’à l’expiration, en 2025, du contrat conclu avec Mercedes-Benz pour la production de deux modèles, l’usine n’avait plus de commandes, ce qui l’a contrainte à de nouvelles réductions de personnel; que, lors des négociations de coopération de novembre 2025, l’entreprise a annoncé qu’elle licencierait 235 personnes au maximum et mettrait au chômage technique 860 personnes; que, bien entendu, la situation difficile de la société a aussi eu des répercussions sur l’ensemble de la chaîne de sous-traitance;</w:t>
      </w:r>
    </w:p>
    <w:p w:rsidR="00B943D2" w:rsidRPr="00B943D2" w:rsidP="002E15DC" w14:paraId="308EAFAE" w14:textId="77777777">
      <w:pPr>
        <w:pStyle w:val="NormalHanging12a"/>
        <w:widowControl/>
      </w:pPr>
      <w:r>
        <w:t>F.</w:t>
      </w:r>
      <w:r>
        <w:tab/>
        <w:t>considérant que les nouvelles mesures de chômage technique et la nouvelle vague de licenciements à grande échelle dans l’usine automobile Valmet Automotive d’Uusikaupunki, qui est de loin le plus grand employeur de la région, ont durement touché la région dans son ensemble; que la forte dépendance de la sous-région de Vakka-Suomi vis-à-vis de l’usine automobile pose de gros problèmes, qui viennent s’ajouter à la situation déjà difficile dans la région; que le taux de chômage dans la sous-région de Vakka-Suomi s’est hissé à 12,2 % en décembre 2025, ce qui représente 1,7 point de pourcentage de plus par rapport à l’année précédente; que, parmi les jeunes demandeurs d’emploi (de moins de 25 ans), le taux de chômage a atteint 17,3 %, soit une augmentation de 4,2 points de pourcentage en glissement annuel;</w:t>
      </w:r>
    </w:p>
    <w:p w:rsidR="00B943D2" w:rsidRPr="00B943D2" w:rsidP="002E15DC" w14:paraId="6CF679D4" w14:textId="77777777">
      <w:pPr>
        <w:pStyle w:val="NormalHanging12a"/>
        <w:widowControl/>
      </w:pPr>
      <w:r>
        <w:t>G.</w:t>
      </w:r>
      <w:r>
        <w:tab/>
        <w:t>considérant que Valmet Automotive a cherché à étendre ses activités à de nouveaux domaines, que la société a signé une lettre d’intention avec Patria, la principale entreprise finlandaise dans le domaine des technologies de la défense, et a reçu une petite commande pour l’assemblage de véhicules blindés; que, si Valmet Automotive réussit sa transition vers les technologies de défense et de sécurité, elle pourrait être en mesure de réembaucher une part très importante de ses salariés licenciés; qu’il est donc essentiel, tant pour l’entreprise que pour la région autour d’Uusikaupunki, de maintenir la capacité de travail de ces personnes et de faire en sorte qu’elles restent, avec leurs familles, dans la région; que cela est particulièrement important pour les travailleurs immigrés titulaires d’un permis de séjour lié au travail;</w:t>
      </w:r>
    </w:p>
    <w:p w:rsidR="00B943D2" w:rsidRPr="00B943D2" w:rsidP="002E15DC" w14:paraId="46ACAF21" w14:textId="77777777">
      <w:pPr>
        <w:pStyle w:val="NormalHanging12a"/>
        <w:widowControl/>
      </w:pPr>
      <w:r>
        <w:t>H.</w:t>
      </w:r>
      <w:r>
        <w:tab/>
        <w:t xml:space="preserve">considérant que la Finlande a indiqué que l’ensemble coordonné de services personnalisés a été établi en concertation avec les partenaires sociaux, conformément à l’article 7, paragraphe 4, du règlement FEM; </w:t>
      </w:r>
    </w:p>
    <w:p w:rsidR="00B943D2" w:rsidRPr="00B943D2" w:rsidP="002E15DC" w14:paraId="69C75B3B" w14:textId="77777777">
      <w:pPr>
        <w:pStyle w:val="NormalHanging12a"/>
        <w:widowControl/>
      </w:pPr>
      <w:r>
        <w:t>I.</w:t>
      </w:r>
      <w:r>
        <w:tab/>
        <w:t>considérant que la dotation annuelle du FEM n’excède pas un montant maximal de 30 millions d’EUR (aux prix de 2018), comme le prévoit l’article 8 du règlement (UE, Euratom) 2020/2093 du Conseil du 17 décembre 2020 fixant le cadre financier pluriannuel pour les années 2021 à 2027;</w:t>
      </w:r>
    </w:p>
    <w:p w:rsidR="00B943D2" w:rsidRPr="00B943D2" w:rsidP="002E15DC" w14:paraId="2003C2E6" w14:textId="77777777">
      <w:pPr>
        <w:pStyle w:val="NormalHanging12a"/>
        <w:widowControl/>
        <w:ind w:left="0" w:firstLine="0"/>
      </w:pPr>
      <w:r>
        <w:t>par conséquent, la commission de l’emploi et des affaires sociales invite la commission des budgets, compétente au fond, à incorporer dans la proposition de résolution qu’elle adoptera les suggestions suivantes:</w:t>
      </w:r>
    </w:p>
    <w:p w:rsidR="00B943D2" w:rsidRPr="00B943D2" w:rsidP="002E15DC" w14:paraId="4B58AA93" w14:textId="77777777">
      <w:pPr>
        <w:pStyle w:val="NormalHanging12a"/>
        <w:widowControl/>
      </w:pPr>
      <w:r>
        <w:t>1.</w:t>
      </w:r>
      <w:r>
        <w:tab/>
        <w:t xml:space="preserve">rappelle que l’objectif du FEM est de faire preuve de solidarité avec les bénéficiaires et de leur apporter un soutien; estime que les contributions financières du FEM devraient être affectées en priorité à des mesures actives de la politique du marché du travail et à des services personnalisés visant à assurer la réinsertion rapide des bénéficiaires dans des emplois décents et pérennes, dans leur secteur d’activité initial ou en dehors de celui-ci; souligne qu’il importe de préparer et d’accompagner les travailleurs face à l’impératif des transitions écologique et numérique de l’économie et de la société européennes; réaffirme, à cet égard, le rôle important que joue l’Union, y compris par </w:t>
      </w:r>
      <w:r>
        <w:t xml:space="preserve">l’intermédiaire du FEM, en contribuant au financement des qualifications nécessaires à une transition juste, conformément au pacte vert pour l’Europe; </w:t>
      </w:r>
    </w:p>
    <w:p w:rsidR="00B943D2" w:rsidRPr="00B943D2" w:rsidP="002E15DC" w14:paraId="2394AC03" w14:textId="77777777">
      <w:pPr>
        <w:pStyle w:val="NormalHanging12a"/>
        <w:widowControl/>
      </w:pPr>
      <w:r>
        <w:t>2.</w:t>
      </w:r>
      <w:r>
        <w:tab/>
        <w:t>convient avec la Commission que les conditions fixées à l’article 4, paragraphe 2, point a), du règlement FEM sont remplies et que la Finlande a droit, au titre de ce règlement, à une contribution financière d’un montant de 410 310 EUR, ce qui représente 60 % du coût total de 683 850 EUR, somme correspondant aux dépenses afférentes aux services personnalisés à hauteur de 663 850 EUR et à celles servant à financer les activités de préparation, de gestion, d’information et de publicité et les activités de contrôle et d’établissements de rapports, à hauteur de 20 000 EUR;</w:t>
      </w:r>
    </w:p>
    <w:p w:rsidR="00B943D2" w:rsidRPr="00B943D2" w:rsidP="002E15DC" w14:paraId="1997A411" w14:textId="77777777">
      <w:pPr>
        <w:pStyle w:val="NormalHanging12a"/>
        <w:widowControl/>
      </w:pPr>
      <w:r>
        <w:t>3.</w:t>
      </w:r>
      <w:r>
        <w:tab/>
        <w:t>constate que la Finlande a apporté toutes les assurances nécessaires que les exigences fixées dans la législation nationale et dans celle de l’Union concernant les licenciements collectifs ont été respectées et que les principes d’égalité de traitement et de non-discrimination seront respectés pour l’accès aux mesures proposées et leur mise en œuvre;</w:t>
      </w:r>
    </w:p>
    <w:p w:rsidR="00B943D2" w:rsidRPr="00B943D2" w:rsidP="002E15DC" w14:paraId="697DE3C2" w14:textId="77777777">
      <w:pPr>
        <w:pStyle w:val="NormalHanging12a"/>
        <w:widowControl/>
      </w:pPr>
      <w:r>
        <w:t>4.</w:t>
      </w:r>
      <w:r>
        <w:tab/>
        <w:t>souligne que la Finlande a confirmé que les mesures soutenues par le FEM ne bénéficieront d’aucune contribution financière au titre d’autres instruments financiers de l’Union;</w:t>
      </w:r>
    </w:p>
    <w:p w:rsidR="00B943D2" w:rsidRPr="00B943D2" w:rsidP="002E15DC" w14:paraId="1D97838A" w14:textId="77777777">
      <w:pPr>
        <w:pStyle w:val="NormalHanging12a"/>
        <w:widowControl/>
      </w:pPr>
      <w:r>
        <w:t>5.</w:t>
      </w:r>
      <w:r>
        <w:tab/>
        <w:t>fait observer que les services personnalisés devant être fournis aux travailleurs comprennent les mesures suivantes: a) formation à la recherche d’emploi, b) accompagnement à la recherche d’emploi et à la gestion de carrière, c) formation professionnelle, d) cartes de sécurité au travail et de compétences professionnelles, e) formation linguistique, f) subvention de démarrage et g) mesures d’incitation et allocations;</w:t>
      </w:r>
    </w:p>
    <w:p w:rsidR="00B943D2" w:rsidRPr="00B943D2" w:rsidP="002E15DC" w14:paraId="589DF47C" w14:textId="77777777">
      <w:pPr>
        <w:pStyle w:val="NormalHanging12a"/>
        <w:widowControl/>
      </w:pPr>
      <w:r>
        <w:t>6.</w:t>
      </w:r>
      <w:r>
        <w:tab/>
        <w:t>souligne en particulier l’importance de l’article 7, paragraphe 2, du règlement FEM, qui exige que l’ensemble coordonné de mesures anticipe les perspectives futures du marché du travail et les compétences qui y sont requises, lesquelles doivent être compatibles avec la transition vers une économie durable et efficace dans l’utilisation des ressources et mettre particulièrement l’accent sur la diffusion des compétences requises à l’ère industrielle numérique; se félicite qu’une formation en TIC et un soutien complémentaire soient prévus dans le cadre des services d’orientation professionnelle et que certaines des formations proposées ainsi que les allocations liées permettent de diffuser les compétences requises à l’ère industrielle numérique et dans une économie efficace dans l’utilisation des ressources;</w:t>
      </w:r>
    </w:p>
    <w:p w:rsidR="00B943D2" w:rsidRPr="00B943D2" w:rsidP="002E15DC" w14:paraId="3EB93175" w14:textId="77777777">
      <w:pPr>
        <w:pStyle w:val="NormalHanging12a"/>
        <w:widowControl/>
      </w:pPr>
      <w:r>
        <w:t>7.</w:t>
      </w:r>
      <w:r>
        <w:tab/>
        <w:t>rappelle qu’il est possible d’inclure dans l’ensemble coordonné des mesures spéciales d’une durée limitée pouvant servir, entre autres, au versement d’allocations de garde d’enfant, comme le prévoit l’article 7, paragraphe 2, point b), du règlement FEM afin de faciliter la participation des personnes en recherche d’emploi aux activités proposées.</w:t>
      </w:r>
    </w:p>
    <w:p w:rsidR="00B943D2" w:rsidRPr="00B943D2" w:rsidP="00B943D2" w14:paraId="2BCCB71B" w14:textId="367D9E8B">
      <w:pPr>
        <w:sectPr w:rsidSect="00B943D2">
          <w:pgSz w:w="11894" w:h="15840"/>
          <w:pgMar w:top="1700" w:right="1417" w:bottom="1417" w:left="1417" w:header="720" w:footer="720" w:gutter="0"/>
          <w:cols w:space="720"/>
          <w:noEndnote/>
          <w:docGrid w:linePitch="326"/>
        </w:sectPr>
      </w:pPr>
    </w:p>
    <w:p w:rsidR="00B943D2" w:rsidRPr="00B943D2" w14:paraId="1FD35F2D" w14:textId="2A557741">
      <w:pPr>
        <w:widowControl/>
      </w:pPr>
    </w:p>
    <w:p w:rsidR="00B84384" w:rsidRPr="00B943D2" w:rsidP="00B84384" w14:paraId="4B889C40" w14:textId="5FD89D02">
      <w:pPr>
        <w:pStyle w:val="PageHeading"/>
      </w:pPr>
      <w:bookmarkStart w:id="12" w:name="ProcPageRR"/>
      <w:bookmarkStart w:id="13" w:name="_Toc241672286"/>
      <w:r>
        <w:t>INFORMATIONS SUR L’ADOPTION</w:t>
      </w:r>
      <w:r>
        <w:br/>
        <w:t>PAR LA COMMISSION COMPÉTENTE AU FOND</w:t>
      </w:r>
      <w:bookmarkEnd w:id="13"/>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8C1C78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84384" w:rsidRPr="00B943D2" w14:paraId="52DF167F" w14:textId="77777777">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84384" w:rsidRPr="00B943D2" w14:paraId="536ED868"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84384" w:rsidRPr="00B943D2" w14:paraId="5E70F88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84384" w:rsidRPr="00B943D2" w14:paraId="2EFC333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84384" w:rsidRPr="00B943D2" w14:paraId="1C454702" w14:textId="77777777">
            <w:pPr>
              <w:autoSpaceDE w:val="0"/>
              <w:autoSpaceDN w:val="0"/>
              <w:adjustRightInd w:val="0"/>
              <w:rPr>
                <w:rFonts w:ascii="sans-serif" w:hAnsi="sans-serif" w:cs="sans-serif"/>
                <w:color w:val="000000"/>
              </w:rPr>
            </w:pPr>
          </w:p>
        </w:tc>
      </w:tr>
      <w:tr w14:paraId="3DD91F5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84384" w:rsidRPr="00B943D2" w14:paraId="2D1081E7" w14:textId="7777777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84384" w:rsidRPr="00B943D2" w14:paraId="6D54380F" w14:textId="77777777">
            <w:pPr>
              <w:autoSpaceDE w:val="0"/>
              <w:autoSpaceDN w:val="0"/>
              <w:adjustRightInd w:val="0"/>
              <w:rPr>
                <w:color w:val="000000"/>
                <w:sz w:val="20"/>
              </w:rPr>
            </w:pPr>
            <w:r>
              <w:rPr>
                <w:color w:val="000000"/>
                <w:sz w:val="20"/>
              </w:rPr>
              <w:t>+:</w:t>
            </w:r>
          </w:p>
          <w:p w:rsidR="00B84384" w:rsidRPr="00B943D2" w14:paraId="52F779AE" w14:textId="77777777">
            <w:pPr>
              <w:autoSpaceDE w:val="0"/>
              <w:autoSpaceDN w:val="0"/>
              <w:adjustRightInd w:val="0"/>
              <w:rPr>
                <w:color w:val="000000"/>
                <w:sz w:val="20"/>
              </w:rPr>
            </w:pPr>
            <w:r>
              <w:rPr>
                <w:color w:val="000000"/>
                <w:sz w:val="20"/>
              </w:rPr>
              <w:t>–:</w:t>
            </w:r>
          </w:p>
          <w:p w:rsidR="00B84384" w:rsidRPr="00B943D2" w14:paraId="7B03E724"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84384" w:rsidRPr="00B943D2" w14:paraId="5FC75599" w14:textId="77777777">
            <w:pPr>
              <w:autoSpaceDE w:val="0"/>
              <w:autoSpaceDN w:val="0"/>
              <w:adjustRightInd w:val="0"/>
              <w:rPr>
                <w:color w:val="000000"/>
                <w:sz w:val="20"/>
              </w:rPr>
            </w:pPr>
            <w:r>
              <w:rPr>
                <w:color w:val="000000"/>
                <w:sz w:val="20"/>
              </w:rPr>
              <w:t>23</w:t>
            </w:r>
          </w:p>
          <w:p w:rsidR="00B84384" w:rsidRPr="00B943D2" w14:paraId="7D2BC2CB" w14:textId="77777777">
            <w:pPr>
              <w:autoSpaceDE w:val="0"/>
              <w:autoSpaceDN w:val="0"/>
              <w:adjustRightInd w:val="0"/>
              <w:rPr>
                <w:color w:val="000000"/>
                <w:sz w:val="20"/>
              </w:rPr>
            </w:pPr>
            <w:r>
              <w:rPr>
                <w:color w:val="000000"/>
                <w:sz w:val="20"/>
              </w:rPr>
              <w:t>2</w:t>
            </w:r>
          </w:p>
          <w:p w:rsidR="00B84384" w:rsidRPr="00B943D2" w14:paraId="12DCDB63" w14:textId="77777777">
            <w:pPr>
              <w:autoSpaceDE w:val="0"/>
              <w:autoSpaceDN w:val="0"/>
              <w:adjustRightInd w:val="0"/>
              <w:rPr>
                <w:color w:val="000000"/>
                <w:sz w:val="20"/>
              </w:rPr>
            </w:pPr>
            <w:r>
              <w:rPr>
                <w:color w:val="000000"/>
                <w:sz w:val="20"/>
              </w:rPr>
              <w:t>0</w:t>
            </w:r>
          </w:p>
        </w:tc>
      </w:tr>
    </w:tbl>
    <w:p w:rsidR="00B84384" w:rsidRPr="00B943D2" w14:paraId="4D93ECD3" w14:textId="77777777"/>
    <w:bookmarkEnd w:id="12"/>
    <w:p w:rsidR="00B943D2" w:rsidRPr="00B943D2" w14:paraId="7E778B80" w14:textId="37757042">
      <w:pPr>
        <w:widowControl/>
      </w:pPr>
      <w:r>
        <w:br w:type="page"/>
      </w:r>
    </w:p>
    <w:p w:rsidR="00B943D2" w:rsidRPr="00B943D2" w:rsidP="00B943D2" w14:paraId="0D51D521" w14:textId="446DC860">
      <w:pPr>
        <w:pStyle w:val="PageHeading"/>
      </w:pPr>
      <w:bookmarkStart w:id="14" w:name="_Toc256000009"/>
      <w:bookmarkStart w:id="15" w:name="RollCallPageRR"/>
      <w:bookmarkStart w:id="16" w:name="_Toc241672287"/>
      <w:r>
        <w:t>VOTE FINAL PAR APPEL NOMINAL</w:t>
      </w:r>
      <w:r>
        <w:br/>
        <w:t>PAR LA COMMISSION COMPÉTENTE AU FOND</w:t>
      </w:r>
      <w:bookmarkEnd w:id="14"/>
      <w:bookmarkEnd w:id="16"/>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159E1A2" w14:textId="77777777" w:rsidTr="005F289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943D2" w:rsidRPr="00B943D2" w:rsidP="005F289C" w14:paraId="176A1D8B" w14:textId="77777777">
            <w:pPr>
              <w:pStyle w:val="RollCallVotes"/>
            </w:pPr>
            <w:r>
              <w:t>23</w:t>
            </w:r>
          </w:p>
        </w:tc>
        <w:tc>
          <w:tcPr>
            <w:tcW w:w="7371" w:type="dxa"/>
            <w:shd w:val="pct10" w:color="000000" w:fill="FFFFFF"/>
          </w:tcPr>
          <w:p w:rsidR="00B943D2" w:rsidRPr="00B943D2" w:rsidP="005F289C" w14:paraId="5CFC2D12" w14:textId="77777777">
            <w:pPr>
              <w:pStyle w:val="RollCallSymbols14pt"/>
            </w:pPr>
            <w:r>
              <w:t>+</w:t>
            </w:r>
          </w:p>
        </w:tc>
      </w:tr>
      <w:tr w14:paraId="1E2DD45C"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0031D261" w14:textId="77777777">
            <w:pPr>
              <w:pStyle w:val="RollCallTable"/>
            </w:pPr>
            <w:r>
              <w:t>ECR</w:t>
            </w:r>
          </w:p>
        </w:tc>
        <w:tc>
          <w:tcPr>
            <w:tcW w:w="7371" w:type="dxa"/>
            <w:shd w:val="clear" w:color="auto" w:fill="FFFFFF"/>
          </w:tcPr>
          <w:p w:rsidR="00B943D2" w:rsidRPr="00B943D2" w:rsidP="005F289C" w14:paraId="12609481" w14:textId="77777777">
            <w:pPr>
              <w:pStyle w:val="RollCallTable"/>
            </w:pPr>
            <w:r>
              <w:t>Tobiasz Bocheński</w:t>
            </w:r>
          </w:p>
        </w:tc>
      </w:tr>
      <w:tr w14:paraId="2E8F3F80"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5F3897CE" w14:textId="77777777">
            <w:pPr>
              <w:pStyle w:val="RollCallTable"/>
            </w:pPr>
            <w:r>
              <w:t>NI</w:t>
            </w:r>
          </w:p>
        </w:tc>
        <w:tc>
          <w:tcPr>
            <w:tcW w:w="7371" w:type="dxa"/>
            <w:shd w:val="clear" w:color="auto" w:fill="FFFFFF"/>
          </w:tcPr>
          <w:p w:rsidR="00B943D2" w:rsidRPr="00B943D2" w:rsidP="005F289C" w14:paraId="1924A9B5" w14:textId="77777777">
            <w:pPr>
              <w:pStyle w:val="RollCallTable"/>
            </w:pPr>
            <w:r>
              <w:t>Thomas Geisel</w:t>
            </w:r>
          </w:p>
        </w:tc>
      </w:tr>
      <w:tr w14:paraId="7F72D06B"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4883D490" w14:textId="77777777">
            <w:pPr>
              <w:pStyle w:val="RollCallTable"/>
            </w:pPr>
            <w:r>
              <w:t>PPE</w:t>
            </w:r>
          </w:p>
        </w:tc>
        <w:tc>
          <w:tcPr>
            <w:tcW w:w="7371" w:type="dxa"/>
            <w:shd w:val="clear" w:color="auto" w:fill="FFFFFF"/>
          </w:tcPr>
          <w:p w:rsidR="00B943D2" w:rsidRPr="00B943D2" w:rsidP="005F289C" w14:paraId="047E6199" w14:textId="77777777">
            <w:pPr>
              <w:pStyle w:val="RollCallTable"/>
            </w:pPr>
            <w:r>
              <w:t>Georgios Aftias, Isabel Benjumea Benjumea, Niclas Herbst, Monika Hohlmeier, Kinga Kollár, Jüri Ratas, Hélder Sousa Silva</w:t>
            </w:r>
          </w:p>
        </w:tc>
      </w:tr>
      <w:tr w14:paraId="73034510"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72B28EA8" w14:textId="77777777">
            <w:pPr>
              <w:pStyle w:val="RollCallTable"/>
            </w:pPr>
            <w:r>
              <w:t>PfE</w:t>
            </w:r>
          </w:p>
        </w:tc>
        <w:tc>
          <w:tcPr>
            <w:tcW w:w="7371" w:type="dxa"/>
            <w:shd w:val="clear" w:color="auto" w:fill="FFFFFF"/>
          </w:tcPr>
          <w:p w:rsidR="00B943D2" w:rsidRPr="00B943D2" w:rsidP="005F289C" w14:paraId="4717B18D" w14:textId="77777777">
            <w:pPr>
              <w:pStyle w:val="RollCallTable"/>
            </w:pPr>
            <w:r>
              <w:t>Angéline Furet, András Gyürk, Virginie Joron, Balázs Orbán</w:t>
            </w:r>
          </w:p>
        </w:tc>
      </w:tr>
      <w:tr w14:paraId="46D35B8B"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5F7D64A8" w14:textId="77777777">
            <w:pPr>
              <w:pStyle w:val="RollCallTable"/>
            </w:pPr>
            <w:r>
              <w:t>Renew</w:t>
            </w:r>
          </w:p>
        </w:tc>
        <w:tc>
          <w:tcPr>
            <w:tcW w:w="7371" w:type="dxa"/>
            <w:shd w:val="clear" w:color="auto" w:fill="FFFFFF"/>
          </w:tcPr>
          <w:p w:rsidR="00B943D2" w:rsidRPr="00B943D2" w:rsidP="005F289C" w14:paraId="688B65F5" w14:textId="77777777">
            <w:pPr>
              <w:pStyle w:val="RollCallTable"/>
            </w:pPr>
            <w:r>
              <w:t>Olivier Chastel, Lucia Yar</w:t>
            </w:r>
          </w:p>
        </w:tc>
      </w:tr>
      <w:tr w14:paraId="1405BA5F"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356BC0C8" w14:textId="77777777">
            <w:pPr>
              <w:pStyle w:val="RollCallTable"/>
            </w:pPr>
            <w:r>
              <w:t>S&amp;D</w:t>
            </w:r>
          </w:p>
        </w:tc>
        <w:tc>
          <w:tcPr>
            <w:tcW w:w="7371" w:type="dxa"/>
            <w:shd w:val="clear" w:color="auto" w:fill="FFFFFF"/>
          </w:tcPr>
          <w:p w:rsidR="00B943D2" w:rsidRPr="00B943D2" w:rsidP="005F289C" w14:paraId="01CF97F8" w14:textId="77777777">
            <w:pPr>
              <w:pStyle w:val="RollCallTable"/>
            </w:pPr>
            <w:r>
              <w:t>Matthias Ecke, Jean-Marc Germain, Sandra Gómez López, Giuseppe Lupo, Victor Negrescu, Nils Ušakovs</w:t>
            </w:r>
          </w:p>
        </w:tc>
      </w:tr>
      <w:tr w14:paraId="7D6BE39D"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3ACB879C" w14:textId="77777777">
            <w:pPr>
              <w:pStyle w:val="RollCallTable"/>
            </w:pPr>
            <w:r>
              <w:t>The Left</w:t>
            </w:r>
          </w:p>
        </w:tc>
        <w:tc>
          <w:tcPr>
            <w:tcW w:w="7371" w:type="dxa"/>
            <w:shd w:val="clear" w:color="auto" w:fill="FFFFFF"/>
          </w:tcPr>
          <w:p w:rsidR="00B943D2" w:rsidRPr="00B943D2" w:rsidP="005F289C" w14:paraId="2D1E45E3" w14:textId="77777777">
            <w:pPr>
              <w:pStyle w:val="RollCallTable"/>
            </w:pPr>
            <w:r>
              <w:t>Younous Omarjee</w:t>
            </w:r>
          </w:p>
        </w:tc>
      </w:tr>
      <w:tr w14:paraId="7F0CB83B"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2F07E92F" w14:textId="77777777">
            <w:pPr>
              <w:pStyle w:val="RollCallTable"/>
            </w:pPr>
            <w:r>
              <w:t>Verts/ALE</w:t>
            </w:r>
          </w:p>
        </w:tc>
        <w:tc>
          <w:tcPr>
            <w:tcW w:w="7371" w:type="dxa"/>
            <w:shd w:val="clear" w:color="auto" w:fill="FFFFFF"/>
          </w:tcPr>
          <w:p w:rsidR="00B943D2" w:rsidRPr="00B943D2" w:rsidP="005F289C" w14:paraId="5D898052" w14:textId="77777777">
            <w:pPr>
              <w:pStyle w:val="RollCallTable"/>
            </w:pPr>
            <w:r>
              <w:t>Rasmus Andresen</w:t>
            </w:r>
          </w:p>
        </w:tc>
      </w:tr>
    </w:tbl>
    <w:p w:rsidR="00B943D2" w:rsidRPr="00B943D2" w:rsidP="00B943D2" w14:paraId="2604A59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9297081" w14:textId="77777777" w:rsidTr="005F289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943D2" w:rsidRPr="00B943D2" w:rsidP="005F289C" w14:paraId="1B51A34B" w14:textId="77777777">
            <w:pPr>
              <w:pStyle w:val="RollCallVotes"/>
            </w:pPr>
            <w:r>
              <w:t>2</w:t>
            </w:r>
          </w:p>
        </w:tc>
        <w:tc>
          <w:tcPr>
            <w:tcW w:w="7371" w:type="dxa"/>
            <w:shd w:val="pct10" w:color="000000" w:fill="FFFFFF"/>
          </w:tcPr>
          <w:p w:rsidR="00B943D2" w:rsidRPr="00B943D2" w:rsidP="005F289C" w14:paraId="25F23D61" w14:textId="77777777">
            <w:pPr>
              <w:pStyle w:val="RollCallSymbols14pt"/>
            </w:pPr>
            <w:r>
              <w:t>-</w:t>
            </w:r>
          </w:p>
        </w:tc>
      </w:tr>
      <w:tr w14:paraId="30354D60"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25CDDC88" w14:textId="77777777">
            <w:pPr>
              <w:pStyle w:val="RollCallTable"/>
            </w:pPr>
            <w:r>
              <w:t>ESN</w:t>
            </w:r>
          </w:p>
        </w:tc>
        <w:tc>
          <w:tcPr>
            <w:tcW w:w="7371" w:type="dxa"/>
            <w:shd w:val="clear" w:color="auto" w:fill="FFFFFF"/>
          </w:tcPr>
          <w:p w:rsidR="00B943D2" w:rsidRPr="00B943D2" w:rsidP="005F289C" w14:paraId="659214D0" w14:textId="77777777">
            <w:pPr>
              <w:pStyle w:val="RollCallTable"/>
            </w:pPr>
            <w:r>
              <w:t>Alexander Jungbluth</w:t>
            </w:r>
          </w:p>
        </w:tc>
      </w:tr>
      <w:tr w14:paraId="6B41BD5B" w14:textId="77777777" w:rsidTr="005F289C">
        <w:tblPrEx>
          <w:tblW w:w="0" w:type="auto"/>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07E61F3D" w14:textId="77777777">
            <w:pPr>
              <w:pStyle w:val="RollCallTable"/>
            </w:pPr>
            <w:r>
              <w:t>PfE</w:t>
            </w:r>
          </w:p>
        </w:tc>
        <w:tc>
          <w:tcPr>
            <w:tcW w:w="7371" w:type="dxa"/>
            <w:shd w:val="clear" w:color="auto" w:fill="FFFFFF"/>
          </w:tcPr>
          <w:p w:rsidR="00B943D2" w:rsidRPr="00B943D2" w:rsidP="005F289C" w14:paraId="224925F4" w14:textId="77777777">
            <w:pPr>
              <w:pStyle w:val="RollCallTable"/>
            </w:pPr>
            <w:r>
              <w:t>Tomasz Buczek</w:t>
            </w:r>
          </w:p>
        </w:tc>
      </w:tr>
    </w:tbl>
    <w:p w:rsidR="00B943D2" w:rsidRPr="00B943D2" w:rsidP="00B943D2" w14:paraId="540A4358"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CB4C8C7" w14:textId="77777777" w:rsidTr="005F289C">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943D2" w:rsidRPr="00B943D2" w:rsidP="005F289C" w14:paraId="28C66767" w14:textId="77777777">
            <w:pPr>
              <w:pStyle w:val="RollCallVotes"/>
            </w:pPr>
            <w:r>
              <w:t>0</w:t>
            </w:r>
          </w:p>
        </w:tc>
        <w:tc>
          <w:tcPr>
            <w:tcW w:w="7371" w:type="dxa"/>
            <w:shd w:val="pct10" w:color="000000" w:fill="FFFFFF"/>
          </w:tcPr>
          <w:p w:rsidR="00B943D2" w:rsidRPr="00B943D2" w:rsidP="005F289C" w14:paraId="5E79AB7D" w14:textId="77777777">
            <w:pPr>
              <w:pStyle w:val="RollCallSymbols14pt"/>
            </w:pPr>
            <w:r>
              <w:t>0</w:t>
            </w:r>
          </w:p>
        </w:tc>
      </w:tr>
      <w:tr w14:paraId="0AF49869" w14:textId="77777777" w:rsidTr="005F289C">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B943D2" w:rsidRPr="00B943D2" w:rsidP="005F289C" w14:paraId="3E87697D" w14:textId="77777777">
            <w:pPr>
              <w:pStyle w:val="RollCallTable"/>
            </w:pPr>
          </w:p>
        </w:tc>
        <w:tc>
          <w:tcPr>
            <w:tcW w:w="7371" w:type="dxa"/>
            <w:shd w:val="clear" w:color="auto" w:fill="FFFFFF"/>
          </w:tcPr>
          <w:p w:rsidR="00B943D2" w:rsidRPr="00B943D2" w:rsidP="005F289C" w14:paraId="6BE6A92A" w14:textId="77777777">
            <w:pPr>
              <w:pStyle w:val="RollCallTable"/>
            </w:pPr>
          </w:p>
        </w:tc>
      </w:tr>
    </w:tbl>
    <w:p w:rsidR="00B943D2" w:rsidRPr="00B943D2" w:rsidP="00B943D2" w14:paraId="6487BA33" w14:textId="77777777">
      <w:pPr>
        <w:pStyle w:val="Normal12a"/>
      </w:pPr>
    </w:p>
    <w:p w:rsidR="00B943D2" w:rsidRPr="00B943D2" w:rsidP="00B943D2" w14:paraId="45FF305C" w14:textId="3553989E">
      <w:r>
        <w:t>Légende des signes utilisés:</w:t>
      </w:r>
    </w:p>
    <w:p w:rsidR="00B943D2" w:rsidRPr="00B943D2" w:rsidP="00B943D2" w14:paraId="69EF2099" w14:textId="45AA4FFC">
      <w:pPr>
        <w:pStyle w:val="RollCallTabs"/>
      </w:pPr>
      <w:r>
        <w:t>+</w:t>
      </w:r>
      <w:r>
        <w:tab/>
        <w:t>:</w:t>
      </w:r>
      <w:r>
        <w:tab/>
        <w:t>pour</w:t>
      </w:r>
    </w:p>
    <w:p w:rsidR="00B943D2" w:rsidRPr="00B943D2" w:rsidP="00B943D2" w14:paraId="15C26BFF" w14:textId="24564046">
      <w:pPr>
        <w:pStyle w:val="RollCallTabs"/>
      </w:pPr>
      <w:r>
        <w:t>-</w:t>
      </w:r>
      <w:r>
        <w:tab/>
        <w:t>:</w:t>
      </w:r>
      <w:r>
        <w:tab/>
        <w:t>contre</w:t>
      </w:r>
    </w:p>
    <w:p w:rsidR="00B943D2" w:rsidRPr="00B943D2" w:rsidP="00B943D2" w14:paraId="5EB5C404" w14:textId="77777777">
      <w:pPr>
        <w:pStyle w:val="RollCallTabs"/>
      </w:pPr>
      <w:r>
        <w:t>0</w:t>
      </w:r>
      <w:r>
        <w:tab/>
        <w:t>:</w:t>
      </w:r>
      <w:r>
        <w:tab/>
        <w:t>abstention</w:t>
      </w:r>
    </w:p>
    <w:bookmarkEnd w:id="15"/>
    <w:p w:rsidR="00B943D2" w:rsidRPr="00B943D2" w:rsidP="00B943D2" w14:paraId="7E2DB7FF" w14:textId="77777777"/>
    <w:p w:rsidR="00B84384" w:rsidRPr="00B943D2" w:rsidP="00B84384" w14:paraId="2F6054F1" w14:textId="77777777"/>
    <w:sectPr w:rsidSect="00B943D2">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D2" w:rsidRPr="00B943D2" w:rsidP="00B943D2" w14:paraId="1D1E3313" w14:textId="77777777">
    <w:pPr>
      <w:pStyle w:val="EPFooter"/>
    </w:pPr>
    <w:r w:rsidRPr="00B943D2">
      <w:t>PE</w:t>
    </w:r>
    <w:r w:rsidRPr="00B943D2">
      <w:rPr>
        <w:rStyle w:val="HideTWBExt"/>
      </w:rPr>
      <w:t>&lt;NoPE&gt;</w:t>
    </w:r>
    <w:r w:rsidRPr="00B943D2">
      <w:t>792.011</w:t>
    </w:r>
    <w:r w:rsidRPr="00B943D2">
      <w:rPr>
        <w:rStyle w:val="HideTWBExt"/>
      </w:rPr>
      <w:t>&lt;/NoPE&gt;&lt;Version&gt;</w:t>
    </w:r>
    <w:r w:rsidRPr="00B943D2">
      <w:t>v02-00</w:t>
    </w:r>
    <w:r w:rsidRPr="00B943D2">
      <w:rPr>
        <w:rStyle w:val="HideTWBExt"/>
      </w:rPr>
      <w:t>&lt;/Version&gt;</w:t>
    </w:r>
    <w:r w:rsidRPr="00B943D2">
      <w:tab/>
    </w:r>
    <w:r w:rsidRPr="00B943D2">
      <w:fldChar w:fldCharType="begin"/>
    </w:r>
    <w:r w:rsidRPr="00B943D2">
      <w:instrText xml:space="preserve"> PAGE  \* MERGEFORMAT </w:instrText>
    </w:r>
    <w:r w:rsidRPr="00B943D2">
      <w:fldChar w:fldCharType="separate"/>
    </w:r>
    <w:r w:rsidRPr="00B943D2">
      <w:rPr>
        <w:noProof/>
      </w:rPr>
      <w:t>18</w:t>
    </w:r>
    <w:r w:rsidRPr="00B943D2">
      <w:fldChar w:fldCharType="end"/>
    </w:r>
    <w:r w:rsidRPr="00B943D2">
      <w:t>/</w:t>
    </w:r>
    <w:r>
      <w:fldChar w:fldCharType="begin"/>
    </w:r>
    <w:r>
      <w:instrText xml:space="preserve"> NUMPAGES  \* MERGEFORMAT </w:instrText>
    </w:r>
    <w:r>
      <w:fldChar w:fldCharType="separate"/>
    </w:r>
    <w:r w:rsidRPr="00B943D2">
      <w:rPr>
        <w:noProof/>
      </w:rPr>
      <w:t>19</w:t>
    </w:r>
    <w:r w:rsidRPr="00B943D2">
      <w:rPr>
        <w:noProof/>
      </w:rPr>
      <w:fldChar w:fldCharType="end"/>
    </w:r>
    <w:r w:rsidRPr="00B943D2">
      <w:tab/>
    </w:r>
    <w:r w:rsidRPr="00B943D2">
      <w:rPr>
        <w:rStyle w:val="HideTWBExt"/>
      </w:rPr>
      <w:t>&lt;PathFdR&gt;</w:t>
    </w:r>
    <w:r w:rsidRPr="00B943D2">
      <w:t>RR\1351627FR.docx</w:t>
    </w:r>
    <w:r w:rsidRPr="00B943D2">
      <w:rPr>
        <w:rStyle w:val="HideTWBExt"/>
      </w:rPr>
      <w:t>&lt;/PathFdR&gt;</w:t>
    </w:r>
  </w:p>
  <w:p w:rsidR="00BB725E" w:rsidRPr="00B943D2" w:rsidP="00B943D2" w14:paraId="236BA7F7" w14:textId="59BAB280">
    <w:pPr>
      <w:pStyle w:val="EPFooter2"/>
    </w:pPr>
    <w:r w:rsidRPr="00B943D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D2" w:rsidRPr="00B943D2" w:rsidP="00B943D2" w14:paraId="084037CF" w14:textId="77777777">
    <w:pPr>
      <w:pStyle w:val="EPFooter"/>
    </w:pPr>
    <w:r w:rsidRPr="00B943D2">
      <w:rPr>
        <w:rStyle w:val="HideTWBExt"/>
      </w:rPr>
      <w:t>&lt;PathFdR&gt;</w:t>
    </w:r>
    <w:r w:rsidRPr="00B943D2">
      <w:t>RR\1351627FR.docx</w:t>
    </w:r>
    <w:r w:rsidRPr="00B943D2">
      <w:rPr>
        <w:rStyle w:val="HideTWBExt"/>
      </w:rPr>
      <w:t>&lt;/PathFdR&gt;</w:t>
    </w:r>
    <w:r w:rsidRPr="00B943D2">
      <w:tab/>
    </w:r>
    <w:r w:rsidRPr="00B943D2">
      <w:fldChar w:fldCharType="begin"/>
    </w:r>
    <w:r w:rsidRPr="00B943D2">
      <w:instrText xml:space="preserve"> PAGE  \* MERGEFORMAT </w:instrText>
    </w:r>
    <w:r w:rsidRPr="00B943D2">
      <w:fldChar w:fldCharType="separate"/>
    </w:r>
    <w:r w:rsidRPr="00B943D2">
      <w:rPr>
        <w:noProof/>
      </w:rPr>
      <w:t>19</w:t>
    </w:r>
    <w:r w:rsidRPr="00B943D2">
      <w:fldChar w:fldCharType="end"/>
    </w:r>
    <w:r w:rsidRPr="00B943D2">
      <w:t>/</w:t>
    </w:r>
    <w:r>
      <w:fldChar w:fldCharType="begin"/>
    </w:r>
    <w:r>
      <w:instrText xml:space="preserve"> NUMPAGES  \* MERGEFORMAT </w:instrText>
    </w:r>
    <w:r>
      <w:fldChar w:fldCharType="separate"/>
    </w:r>
    <w:r w:rsidRPr="00B943D2">
      <w:rPr>
        <w:noProof/>
      </w:rPr>
      <w:t>19</w:t>
    </w:r>
    <w:r w:rsidRPr="00B943D2">
      <w:rPr>
        <w:noProof/>
      </w:rPr>
      <w:fldChar w:fldCharType="end"/>
    </w:r>
    <w:r w:rsidRPr="00B943D2">
      <w:tab/>
      <w:t>PE</w:t>
    </w:r>
    <w:r w:rsidRPr="00B943D2">
      <w:rPr>
        <w:rStyle w:val="HideTWBExt"/>
      </w:rPr>
      <w:t>&lt;NoPE&gt;</w:t>
    </w:r>
    <w:r w:rsidRPr="00B943D2">
      <w:t>792.011</w:t>
    </w:r>
    <w:r w:rsidRPr="00B943D2">
      <w:rPr>
        <w:rStyle w:val="HideTWBExt"/>
      </w:rPr>
      <w:t>&lt;/NoPE&gt;&lt;Version&gt;</w:t>
    </w:r>
    <w:r w:rsidRPr="00B943D2">
      <w:t>v02-00</w:t>
    </w:r>
    <w:r w:rsidRPr="00B943D2">
      <w:rPr>
        <w:rStyle w:val="HideTWBExt"/>
      </w:rPr>
      <w:t>&lt;/Version&gt;</w:t>
    </w:r>
  </w:p>
  <w:p w:rsidR="00BB725E" w:rsidRPr="00B943D2" w:rsidP="00B943D2" w14:paraId="50D8E585" w14:textId="39893493">
    <w:pPr>
      <w:pStyle w:val="EPFooter2"/>
    </w:pPr>
    <w:r w:rsidRPr="00B943D2">
      <w:tab/>
    </w:r>
    <w:r w:rsidRPr="00B943D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3D2" w:rsidRPr="00B943D2" w:rsidP="00B943D2" w14:paraId="66922475" w14:textId="77777777">
    <w:pPr>
      <w:pStyle w:val="EPFooter"/>
    </w:pPr>
    <w:r w:rsidRPr="00B943D2">
      <w:rPr>
        <w:rStyle w:val="HideTWBExt"/>
      </w:rPr>
      <w:t>&lt;PathFdR&gt;</w:t>
    </w:r>
    <w:r w:rsidRPr="00B943D2">
      <w:t>RR\1351627FR.docx</w:t>
    </w:r>
    <w:r w:rsidRPr="00B943D2">
      <w:rPr>
        <w:rStyle w:val="HideTWBExt"/>
      </w:rPr>
      <w:t>&lt;/PathFdR&gt;</w:t>
    </w:r>
    <w:r w:rsidRPr="00B943D2">
      <w:tab/>
    </w:r>
    <w:r w:rsidRPr="00B943D2">
      <w:tab/>
      <w:t>PE</w:t>
    </w:r>
    <w:r w:rsidRPr="00B943D2">
      <w:rPr>
        <w:rStyle w:val="HideTWBExt"/>
      </w:rPr>
      <w:t>&lt;NoPE&gt;</w:t>
    </w:r>
    <w:r w:rsidRPr="00B943D2">
      <w:t>792.011</w:t>
    </w:r>
    <w:r w:rsidRPr="00B943D2">
      <w:rPr>
        <w:rStyle w:val="HideTWBExt"/>
      </w:rPr>
      <w:t>&lt;/NoPE&gt;&lt;Version&gt;</w:t>
    </w:r>
    <w:r w:rsidRPr="00B943D2">
      <w:t>v02-00</w:t>
    </w:r>
    <w:r w:rsidRPr="00B943D2">
      <w:rPr>
        <w:rStyle w:val="HideTWBExt"/>
      </w:rPr>
      <w:t>&lt;/Version&gt;</w:t>
    </w:r>
  </w:p>
  <w:p w:rsidR="00BB725E" w:rsidRPr="00B943D2" w:rsidP="00B943D2" w14:paraId="483F8343" w14:textId="5181A2D7">
    <w:pPr>
      <w:pStyle w:val="EPFooter2"/>
    </w:pPr>
    <w:r w:rsidRPr="00B943D2">
      <w:t>FR</w:t>
    </w:r>
    <w:r w:rsidRPr="00B943D2">
      <w:tab/>
    </w:r>
    <w:r w:rsidRPr="00B943D2">
      <w:rPr>
        <w:b w:val="0"/>
        <w:i/>
        <w:color w:val="C0C0C0"/>
        <w:sz w:val="22"/>
      </w:rPr>
      <w:t>Unie dans la diversité</w:t>
    </w:r>
    <w:r w:rsidRPr="00B943D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372C7" w:rsidRPr="00B943D2" w14:paraId="7D4DB555" w14:textId="77777777">
      <w:r w:rsidRPr="00B943D2">
        <w:separator/>
      </w:r>
    </w:p>
  </w:footnote>
  <w:footnote w:type="continuationSeparator" w:id="1">
    <w:p w:rsidR="00D372C7" w:rsidRPr="00B943D2" w14:paraId="1224317B" w14:textId="77777777">
      <w:r w:rsidRPr="00B943D2">
        <w:continuationSeparator/>
      </w:r>
    </w:p>
  </w:footnote>
  <w:footnote w:id="2">
    <w:p w:rsidR="00B943D2" w:rsidRPr="00B943D2" w:rsidP="00B943D2" w14:paraId="5F27C0D7" w14:textId="48A2503C">
      <w:pPr>
        <w:pStyle w:val="FootnoteText"/>
      </w:pPr>
      <w:r>
        <w:rPr>
          <w:rStyle w:val="FootnoteReference"/>
        </w:rPr>
        <w:footnoteRef/>
      </w:r>
      <w:r>
        <w:t xml:space="preserve"> JO L 153 du 3.5.2021, p. 48, ELI: </w:t>
      </w:r>
      <w:hyperlink r:id="rId1" w:history="1">
        <w:r>
          <w:rPr>
            <w:rStyle w:val="Hyperlink"/>
          </w:rPr>
          <w:t>http://data.europa.eu/eli/reg/2021/691/oj</w:t>
        </w:r>
      </w:hyperlink>
      <w:r>
        <w:t>.</w:t>
      </w:r>
    </w:p>
  </w:footnote>
  <w:footnote w:id="3">
    <w:p w:rsidR="00B943D2" w:rsidRPr="00B943D2" w:rsidP="00B943D2" w14:paraId="131DD0AC" w14:textId="3BBE928D">
      <w:pPr>
        <w:pStyle w:val="FootnoteText"/>
      </w:pPr>
      <w:r>
        <w:rPr>
          <w:rStyle w:val="FootnoteReference"/>
        </w:rPr>
        <w:footnoteRef/>
      </w:r>
      <w:r>
        <w:t xml:space="preserve"> JO L, 2026/1139, 20.5.2026, ELI: </w:t>
      </w:r>
      <w:hyperlink r:id="rId2" w:history="1">
        <w:r>
          <w:rPr>
            <w:rStyle w:val="Hyperlink"/>
          </w:rPr>
          <w:t>http://data.europa.eu/eli/reg/2026/1139/oj</w:t>
        </w:r>
      </w:hyperlink>
      <w:r>
        <w:t>.</w:t>
      </w:r>
    </w:p>
  </w:footnote>
  <w:footnote w:id="4">
    <w:p w:rsidR="00B943D2" w:rsidRPr="00B943D2" w:rsidP="00B943D2" w14:paraId="79DB24C8" w14:textId="0B251C34">
      <w:pPr>
        <w:pStyle w:val="FootnoteText"/>
      </w:pPr>
      <w:r>
        <w:rPr>
          <w:rStyle w:val="FootnoteReference"/>
        </w:rPr>
        <w:footnoteRef/>
      </w:r>
      <w:r>
        <w:t xml:space="preserve"> JO L 433 I du 22.12.2020, p. 11, ELI: </w:t>
      </w:r>
      <w:hyperlink r:id="rId3" w:history="1">
        <w:r>
          <w:rPr>
            <w:rStyle w:val="Hyperlink"/>
          </w:rPr>
          <w:t>http://data.europa.eu/eli/reg/2020/2093/oj</w:t>
        </w:r>
      </w:hyperlink>
      <w:r>
        <w:t>.</w:t>
      </w:r>
    </w:p>
  </w:footnote>
  <w:footnote w:id="5">
    <w:p w:rsidR="00B943D2" w:rsidRPr="00B943D2" w:rsidP="00B943D2" w14:paraId="671F05BD" w14:textId="04D0982E">
      <w:pPr>
        <w:pStyle w:val="FootnoteText"/>
      </w:pPr>
      <w:r>
        <w:rPr>
          <w:rStyle w:val="FootnoteReference"/>
        </w:rPr>
        <w:footnoteRef/>
      </w:r>
      <w:r>
        <w:t xml:space="preserve"> </w:t>
      </w:r>
      <w:r>
        <w:rPr>
          <w:shd w:val="clear" w:color="auto" w:fill="FFFFFF"/>
        </w:rPr>
        <w:t>JO L, 2024/765, 29.2.2024, ELI:</w:t>
      </w:r>
      <w:r>
        <w:rPr>
          <w:color w:val="333333"/>
          <w:shd w:val="clear" w:color="auto" w:fill="FFFFFF"/>
        </w:rPr>
        <w:t xml:space="preserve"> </w:t>
      </w:r>
      <w:hyperlink r:id="rId4" w:history="1">
        <w:r>
          <w:rPr>
            <w:rStyle w:val="Hyperlink"/>
            <w:shd w:val="clear" w:color="auto" w:fill="FFFFFF"/>
          </w:rPr>
          <w:t>http://data.europa.eu/eli/reg/2024/765/oj</w:t>
        </w:r>
      </w:hyperlink>
      <w:r>
        <w:rPr>
          <w:i/>
          <w:color w:val="333333"/>
          <w:shd w:val="clear" w:color="auto" w:fill="FFFFFF"/>
        </w:rPr>
        <w:t>.</w:t>
      </w:r>
    </w:p>
  </w:footnote>
  <w:footnote w:id="6">
    <w:p w:rsidR="00B943D2" w:rsidRPr="00B943D2" w:rsidP="00B943D2" w14:paraId="2C2C11E2" w14:textId="094038EF">
      <w:pPr>
        <w:pStyle w:val="FootnoteText"/>
      </w:pPr>
      <w:r>
        <w:rPr>
          <w:rStyle w:val="FootnoteReference"/>
        </w:rPr>
        <w:footnoteRef/>
      </w:r>
      <w:r>
        <w:t xml:space="preserve"> JO L 433 I du 22.12.2020, p. 28, ELI: </w:t>
      </w:r>
      <w:hyperlink r:id="rId5" w:history="1">
        <w:r>
          <w:rPr>
            <w:rStyle w:val="Hyperlink"/>
          </w:rPr>
          <w:t>http://data.europa.eu/eli/agree_interinstit/2020/1222/oj</w:t>
        </w:r>
      </w:hyperlink>
      <w:r>
        <w:t>.</w:t>
      </w:r>
    </w:p>
  </w:footnote>
  <w:footnote w:id="7">
    <w:p w:rsidR="00B943D2" w:rsidRPr="00B943D2" w:rsidP="00B943D2" w14:paraId="31B6C5FF" w14:textId="77777777">
      <w:pPr>
        <w:pStyle w:val="FootnoteText"/>
      </w:pPr>
      <w:r>
        <w:rPr>
          <w:rStyle w:val="FootnoteReference"/>
        </w:rPr>
        <w:footnoteRef/>
      </w:r>
      <w:r>
        <w:t xml:space="preserve"> Au sens de l’article 3 du règlement FEM.</w:t>
      </w:r>
    </w:p>
  </w:footnote>
  <w:footnote w:id="8">
    <w:p w:rsidR="00B943D2" w:rsidRPr="00B943D2" w:rsidP="00B943D2" w14:paraId="4BD698A2" w14:textId="77777777">
      <w:pPr>
        <w:pStyle w:val="FootnoteText"/>
      </w:pPr>
      <w:r>
        <w:rPr>
          <w:rStyle w:val="FootnoteReference"/>
        </w:rPr>
        <w:footnoteRef/>
      </w:r>
      <w:r>
        <w:t xml:space="preserve"> Article 8 du règlement fixant le cadre financier pluriannuel.</w:t>
      </w:r>
    </w:p>
  </w:footnote>
  <w:footnote w:id="9">
    <w:p w:rsidR="00B943D2" w:rsidRPr="00B943D2" w:rsidP="00B943D2" w14:paraId="0294E8D1" w14:textId="77777777">
      <w:pPr>
        <w:pStyle w:val="FootnoteText"/>
      </w:pPr>
      <w:r>
        <w:rPr>
          <w:rStyle w:val="FootnoteReference"/>
        </w:rPr>
        <w:footnoteRef/>
      </w:r>
      <w:r>
        <w:t xml:space="preserve"> JO L 153 du 3.5.2021, p. 48, ELI: http://data.europa.eu/eli/reg/2021/691/oj.</w:t>
      </w:r>
    </w:p>
  </w:footnote>
  <w:footnote w:id="10">
    <w:p w:rsidR="00B943D2" w:rsidRPr="00B943D2" w:rsidP="00B943D2" w14:paraId="25B43D38" w14:textId="77777777">
      <w:pPr>
        <w:pStyle w:val="FootnoteText"/>
      </w:pPr>
      <w:r>
        <w:rPr>
          <w:rStyle w:val="FootnoteReference"/>
        </w:rPr>
        <w:footnoteRef/>
      </w:r>
      <w:r>
        <w:t xml:space="preserve"> JO L 433 I du 22.12.2020, p. 28, ELI: http://data.europa.eu/eli/agree_interinstit/2020/1222/oj.</w:t>
      </w:r>
    </w:p>
  </w:footnote>
  <w:footnote w:id="11">
    <w:p w:rsidR="00B943D2" w:rsidRPr="00B943D2" w:rsidP="00B943D2" w14:paraId="0E9D5608" w14:textId="230EB36A">
      <w:pPr>
        <w:pStyle w:val="FootnoteText"/>
      </w:pPr>
      <w:r>
        <w:rPr>
          <w:rStyle w:val="FootnoteReference"/>
        </w:rPr>
        <w:footnoteRef/>
      </w:r>
      <w:r>
        <w:t xml:space="preserve"> Règlement (UE, Euratom) 2020/2093 du Conseil du 17 décembre 2020 fixant le cadre financier pluriannuel pour les années 2021 à 2027 (JO L 433 I du 22.12.2020, p. 11, ELI: </w:t>
      </w:r>
      <w:hyperlink r:id="rId3" w:tooltip="Permet d’accéder à ce document par l’intermédiaire de son URI ELI." w:history="1">
        <w:r>
          <w:rPr>
            <w:rStyle w:val="Hyperlink"/>
          </w:rPr>
          <w:t>http://data.europa.eu/eli/reg/2020/2093/oj</w:t>
        </w:r>
      </w:hyperlink>
      <w:r>
        <w:t>).</w:t>
      </w:r>
    </w:p>
  </w:footnote>
  <w:footnote w:id="12">
    <w:p w:rsidR="00B943D2" w:rsidRPr="00B943D2" w:rsidP="00B943D2" w14:paraId="44FA1C5D" w14:textId="24CB0E86">
      <w:pPr>
        <w:pStyle w:val="FootnoteText"/>
      </w:pPr>
      <w:r>
        <w:rPr>
          <w:rStyle w:val="FootnoteReference"/>
        </w:rPr>
        <w:footnoteRef/>
      </w:r>
      <w:r>
        <w:t xml:space="preserve"> Règlement (UE, Euratom) 2024/765 du Conseil du 29 février 2024 modifiant le règlement (UE, Euratom) 2020/2093 fixant le cadre financier pluriannuel pour les années 2021 à 2027 (JO L, 2024/765, 29.2.2024, ELI: </w:t>
      </w:r>
      <w:hyperlink r:id="rId4" w:history="1">
        <w:r>
          <w:rPr>
            <w:rStyle w:val="Hyperlink"/>
          </w:rPr>
          <w:t>http://data.europa.eu/eli/reg/2024/765/oj</w:t>
        </w:r>
      </w:hyperlink>
      <w:r>
        <w:t>).</w:t>
      </w:r>
    </w:p>
  </w:footnote>
  <w:footnote w:id="13">
    <w:p w:rsidR="00B943D2" w:rsidRPr="00B943D2" w:rsidP="00B943D2" w14:paraId="4A1F031C" w14:textId="77777777">
      <w:pPr>
        <w:pStyle w:val="FootnoteText"/>
      </w:pPr>
      <w:r>
        <w:rPr>
          <w:rStyle w:val="FootnoteReference"/>
        </w:rPr>
        <w:footnoteRef/>
      </w:r>
      <w:r>
        <w:t xml:space="preserve"> COM(2026) 400.</w:t>
      </w:r>
    </w:p>
    <w:p w:rsidR="00B943D2" w:rsidRPr="00B943D2" w:rsidP="00B943D2" w14:paraId="22C73585" w14:textId="77777777">
      <w:pPr>
        <w:pStyle w:val="FootnoteText"/>
      </w:pPr>
    </w:p>
  </w:footnote>
  <w:footnote w:id="14">
    <w:p w:rsidR="00B943D2" w:rsidRPr="00B943D2" w:rsidP="00B943D2" w14:paraId="4F5CFBD1" w14:textId="77777777">
      <w:pPr>
        <w:pStyle w:val="FootnoteText"/>
      </w:pPr>
      <w:r>
        <w:rPr>
          <w:rStyle w:val="FootnoteReference"/>
        </w:rPr>
        <w:footnoteRef/>
      </w:r>
      <w:r>
        <w:t xml:space="preserve"> Accord interinstitutionnel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5">
    <w:p w:rsidR="00B943D2" w:rsidRPr="00B943D2" w:rsidP="00B943D2" w14:paraId="3D356C39" w14:textId="77777777">
      <w:pPr>
        <w:pStyle w:val="FootnoteText"/>
      </w:pPr>
      <w:r>
        <w:rPr>
          <w:rStyle w:val="FootnoteReference"/>
        </w:rPr>
        <w:footnoteRef/>
      </w:r>
      <w:r>
        <w:t xml:space="preserve"> Au sens de l’article 3 du règlement FEM.</w:t>
      </w:r>
    </w:p>
  </w:footnote>
  <w:footnote w:id="16">
    <w:p w:rsidR="00B943D2" w:rsidRPr="00B943D2" w:rsidP="00B943D2" w14:paraId="4585A4BE" w14:textId="177CFC02">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6"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6CCD" w14:paraId="30AC34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6CCD" w14:paraId="61E959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6CCD" w14:paraId="0C9F32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F0A"/>
    <w:rsid w:val="00011164"/>
    <w:rsid w:val="0001237C"/>
    <w:rsid w:val="00044775"/>
    <w:rsid w:val="000555E6"/>
    <w:rsid w:val="000571A3"/>
    <w:rsid w:val="00107382"/>
    <w:rsid w:val="00141FDD"/>
    <w:rsid w:val="00155B2F"/>
    <w:rsid w:val="00167F25"/>
    <w:rsid w:val="00183EC8"/>
    <w:rsid w:val="001950FF"/>
    <w:rsid w:val="00206CCD"/>
    <w:rsid w:val="00215C42"/>
    <w:rsid w:val="0022041B"/>
    <w:rsid w:val="00256797"/>
    <w:rsid w:val="002C2DB2"/>
    <w:rsid w:val="002E15DC"/>
    <w:rsid w:val="002E7363"/>
    <w:rsid w:val="00300158"/>
    <w:rsid w:val="00366F46"/>
    <w:rsid w:val="00396BD0"/>
    <w:rsid w:val="003B4F3D"/>
    <w:rsid w:val="003B5885"/>
    <w:rsid w:val="003D5173"/>
    <w:rsid w:val="003F207F"/>
    <w:rsid w:val="00400D41"/>
    <w:rsid w:val="0046088C"/>
    <w:rsid w:val="00470DFE"/>
    <w:rsid w:val="00481BA1"/>
    <w:rsid w:val="00494A4D"/>
    <w:rsid w:val="00496ADE"/>
    <w:rsid w:val="004D0501"/>
    <w:rsid w:val="004D2393"/>
    <w:rsid w:val="004D2440"/>
    <w:rsid w:val="004E276C"/>
    <w:rsid w:val="0050453C"/>
    <w:rsid w:val="00512C08"/>
    <w:rsid w:val="0052720D"/>
    <w:rsid w:val="00533501"/>
    <w:rsid w:val="00577CE4"/>
    <w:rsid w:val="0058028A"/>
    <w:rsid w:val="00581E60"/>
    <w:rsid w:val="005B0658"/>
    <w:rsid w:val="005F27D5"/>
    <w:rsid w:val="005F289C"/>
    <w:rsid w:val="00601E96"/>
    <w:rsid w:val="00611B44"/>
    <w:rsid w:val="00616E75"/>
    <w:rsid w:val="006349C4"/>
    <w:rsid w:val="0066605D"/>
    <w:rsid w:val="00670089"/>
    <w:rsid w:val="006863AB"/>
    <w:rsid w:val="006D669B"/>
    <w:rsid w:val="006E4E08"/>
    <w:rsid w:val="00703318"/>
    <w:rsid w:val="007260CD"/>
    <w:rsid w:val="00731ECF"/>
    <w:rsid w:val="007410E0"/>
    <w:rsid w:val="00746DCF"/>
    <w:rsid w:val="00761A6D"/>
    <w:rsid w:val="007F3E5A"/>
    <w:rsid w:val="007F63FC"/>
    <w:rsid w:val="00843D7C"/>
    <w:rsid w:val="00853162"/>
    <w:rsid w:val="00861675"/>
    <w:rsid w:val="008A3711"/>
    <w:rsid w:val="008F1614"/>
    <w:rsid w:val="008F25B2"/>
    <w:rsid w:val="008F4274"/>
    <w:rsid w:val="00917358"/>
    <w:rsid w:val="00921B78"/>
    <w:rsid w:val="00945699"/>
    <w:rsid w:val="0097776D"/>
    <w:rsid w:val="00986F0A"/>
    <w:rsid w:val="009C01D2"/>
    <w:rsid w:val="00A205D2"/>
    <w:rsid w:val="00A27E62"/>
    <w:rsid w:val="00A311AE"/>
    <w:rsid w:val="00AB71EB"/>
    <w:rsid w:val="00AE2ABE"/>
    <w:rsid w:val="00AF4089"/>
    <w:rsid w:val="00AF6B2F"/>
    <w:rsid w:val="00B12873"/>
    <w:rsid w:val="00B43F99"/>
    <w:rsid w:val="00B44310"/>
    <w:rsid w:val="00B5725D"/>
    <w:rsid w:val="00B67944"/>
    <w:rsid w:val="00B84384"/>
    <w:rsid w:val="00B943D2"/>
    <w:rsid w:val="00BB725E"/>
    <w:rsid w:val="00C31E74"/>
    <w:rsid w:val="00C327B5"/>
    <w:rsid w:val="00C54775"/>
    <w:rsid w:val="00C753BD"/>
    <w:rsid w:val="00CA4836"/>
    <w:rsid w:val="00D17520"/>
    <w:rsid w:val="00D372C7"/>
    <w:rsid w:val="00D461B7"/>
    <w:rsid w:val="00D62CFB"/>
    <w:rsid w:val="00D63FD3"/>
    <w:rsid w:val="00D82527"/>
    <w:rsid w:val="00DE1BE3"/>
    <w:rsid w:val="00DF46ED"/>
    <w:rsid w:val="00E20F2E"/>
    <w:rsid w:val="00E42CA0"/>
    <w:rsid w:val="00E70719"/>
    <w:rsid w:val="00E71B80"/>
    <w:rsid w:val="00E96B4F"/>
    <w:rsid w:val="00E9757B"/>
    <w:rsid w:val="00EA7BAF"/>
    <w:rsid w:val="00EB532E"/>
    <w:rsid w:val="00EF16A9"/>
    <w:rsid w:val="00EF5487"/>
    <w:rsid w:val="00F130D9"/>
    <w:rsid w:val="00F17C55"/>
    <w:rsid w:val="00F7310D"/>
    <w:rsid w:val="00F77515"/>
    <w:rsid w:val="00F85F1D"/>
    <w:rsid w:val="00F94084"/>
    <w:rsid w:val="00FA6EE3"/>
    <w:rsid w:val="00FB2E5E"/>
    <w:rsid w:val="00FC056F"/>
    <w:rsid w:val="00FC376D"/>
    <w:rsid w:val="00FC56AB"/>
    <w:rsid w:val="00FC7626"/>
    <w:rsid w:val="00FF4EA9"/>
  </w:rsids>
  <w:docVars>
    <w:docVar w:name="CopyToNetwork" w:val="-1"/>
    <w:docVar w:name="COUNTRYKEY" w:val="FI"/>
    <w:docVar w:name="DOCDT" w:val="07/09/2026"/>
    <w:docVar w:name="INSERTOPINKEY" w:val="EMPL"/>
    <w:docVar w:name="LastEditedSection" w:val=" 1"/>
    <w:docVar w:name="PARAMNU" w:val=" 2"/>
    <w:docVar w:name="strDocTypeID" w:val="PR_BUD_Funds"/>
    <w:docVar w:name="strSubDir" w:val="1351"/>
    <w:docVar w:name="TITLEMNU" w:val=" 3"/>
    <w:docVar w:name="TXTAUTHOR" w:val="Nicolae Ștefănuță"/>
    <w:docVar w:name="TXTLANGUE" w:val="FR"/>
    <w:docVar w:name="TXTLANGUEMIN" w:val="fr"/>
    <w:docVar w:name="TXTNRAPPL" w:val="2026/003 FI/Valmet Automotive"/>
    <w:docVar w:name="TXTNRBUD" w:val="2026/0220"/>
    <w:docVar w:name="TXTNRC" w:val="0188/2025"/>
    <w:docVar w:name="TXTNRCOM" w:val="(2026)0400"/>
    <w:docVar w:name="TXTNRPE" w:val="792.011"/>
    <w:docVar w:name="TXTPEorAP" w:val="PE"/>
    <w:docVar w:name="TXTROUTE" w:val="RR\1351627FR.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C3FC4A-7AA2-419D-AEA6-AB126E7E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107382"/>
    <w:rPr>
      <w:sz w:val="20"/>
    </w:rPr>
  </w:style>
  <w:style w:type="character" w:customStyle="1" w:styleId="FootnoteTextChar">
    <w:name w:val="Footnote Text Char"/>
    <w:basedOn w:val="DefaultParagraphFont"/>
    <w:link w:val="FootnoteText"/>
    <w:uiPriority w:val="99"/>
    <w:rsid w:val="00107382"/>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107382"/>
    <w:rPr>
      <w:vertAlign w:val="superscript"/>
    </w:rPr>
  </w:style>
  <w:style w:type="character" w:styleId="Hyperlink">
    <w:name w:val="Hyperlink"/>
    <w:basedOn w:val="DefaultParagraphFont"/>
    <w:rsid w:val="00107382"/>
    <w:rPr>
      <w:color w:val="0563C1" w:themeColor="hyperlink"/>
      <w:u w:val="single"/>
    </w:rPr>
  </w:style>
  <w:style w:type="character" w:customStyle="1" w:styleId="UnresolvedMention">
    <w:name w:val="Unresolved Mention"/>
    <w:basedOn w:val="DefaultParagraphFont"/>
    <w:uiPriority w:val="99"/>
    <w:semiHidden/>
    <w:unhideWhenUsed/>
    <w:rsid w:val="00107382"/>
    <w:rPr>
      <w:color w:val="605E5C"/>
      <w:shd w:val="clear" w:color="auto" w:fill="E1DFDD"/>
    </w:rPr>
  </w:style>
  <w:style w:type="paragraph" w:customStyle="1" w:styleId="RollCallVotes">
    <w:name w:val="RollCallVotes"/>
    <w:basedOn w:val="Normal"/>
    <w:rsid w:val="00B943D2"/>
    <w:pPr>
      <w:spacing w:before="120" w:after="120"/>
      <w:jc w:val="center"/>
    </w:pPr>
    <w:rPr>
      <w:b/>
      <w:bCs/>
      <w:snapToGrid w:val="0"/>
      <w:sz w:val="16"/>
      <w:lang w:eastAsia="en-US"/>
    </w:rPr>
  </w:style>
  <w:style w:type="paragraph" w:customStyle="1" w:styleId="RollCallTabs">
    <w:name w:val="RollCallTabs"/>
    <w:basedOn w:val="Normal"/>
    <w:qFormat/>
    <w:rsid w:val="00B943D2"/>
    <w:pPr>
      <w:tabs>
        <w:tab w:val="center" w:pos="284"/>
        <w:tab w:val="left" w:pos="426"/>
      </w:tabs>
    </w:pPr>
    <w:rPr>
      <w:snapToGrid w:val="0"/>
      <w:lang w:eastAsia="en-US"/>
    </w:rPr>
  </w:style>
  <w:style w:type="paragraph" w:customStyle="1" w:styleId="Tiret1">
    <w:name w:val="Tiret 1"/>
    <w:basedOn w:val="Normal"/>
    <w:rsid w:val="00670089"/>
    <w:pPr>
      <w:widowControl/>
      <w:numPr>
        <w:numId w:val="41"/>
      </w:numPr>
      <w:spacing w:before="120" w:after="120"/>
      <w:jc w:val="both"/>
    </w:pPr>
    <w:rPr>
      <w:rFonts w:eastAsiaTheme="minorHAnsi"/>
      <w:szCs w:val="22"/>
      <w:lang w:eastAsia="en-US"/>
    </w:rPr>
  </w:style>
  <w:style w:type="character" w:styleId="FollowedHyperlink">
    <w:name w:val="FollowedHyperlink"/>
    <w:basedOn w:val="DefaultParagraphFont"/>
    <w:rsid w:val="00011164"/>
    <w:rPr>
      <w:color w:val="954F72" w:themeColor="followedHyperlink"/>
      <w:u w:val="single"/>
    </w:rPr>
  </w:style>
  <w:style w:type="paragraph" w:styleId="Revision">
    <w:name w:val="Revision"/>
    <w:hidden/>
    <w:uiPriority w:val="99"/>
    <w:semiHidden/>
    <w:rsid w:val="00256797"/>
    <w:rPr>
      <w:sz w:val="24"/>
    </w:rPr>
  </w:style>
  <w:style w:type="character" w:styleId="CommentReference">
    <w:name w:val="annotation reference"/>
    <w:basedOn w:val="DefaultParagraphFont"/>
    <w:rsid w:val="00256797"/>
    <w:rPr>
      <w:sz w:val="16"/>
      <w:szCs w:val="16"/>
    </w:rPr>
  </w:style>
  <w:style w:type="paragraph" w:styleId="CommentText">
    <w:name w:val="annotation text"/>
    <w:basedOn w:val="Normal"/>
    <w:link w:val="CommentTextChar"/>
    <w:rsid w:val="00256797"/>
    <w:rPr>
      <w:sz w:val="20"/>
    </w:rPr>
  </w:style>
  <w:style w:type="character" w:customStyle="1" w:styleId="CommentTextChar">
    <w:name w:val="Comment Text Char"/>
    <w:basedOn w:val="DefaultParagraphFont"/>
    <w:link w:val="CommentText"/>
    <w:rsid w:val="00256797"/>
  </w:style>
  <w:style w:type="paragraph" w:styleId="CommentSubject">
    <w:name w:val="annotation subject"/>
    <w:basedOn w:val="CommentText"/>
    <w:next w:val="CommentText"/>
    <w:link w:val="CommentSubjectChar"/>
    <w:semiHidden/>
    <w:unhideWhenUsed/>
    <w:rsid w:val="00256797"/>
    <w:rPr>
      <w:b/>
      <w:bCs/>
    </w:rPr>
  </w:style>
  <w:style w:type="character" w:customStyle="1" w:styleId="CommentSubjectChar">
    <w:name w:val="Comment Subject Char"/>
    <w:basedOn w:val="CommentTextChar"/>
    <w:link w:val="CommentSubject"/>
    <w:semiHidden/>
    <w:rsid w:val="00256797"/>
    <w:rPr>
      <w:b/>
      <w:bCs/>
    </w:rPr>
  </w:style>
  <w:style w:type="character" w:customStyle="1" w:styleId="NormalHanging12aChar">
    <w:name w:val="NormalHanging12a Char"/>
    <w:basedOn w:val="DefaultParagraphFont"/>
    <w:link w:val="NormalHanging12a"/>
    <w:locked/>
    <w:rsid w:val="00B943D2"/>
    <w:rPr>
      <w:sz w:val="24"/>
    </w:rPr>
  </w:style>
  <w:style w:type="paragraph" w:customStyle="1" w:styleId="Normal24a">
    <w:name w:val="Normal24a"/>
    <w:basedOn w:val="Normal"/>
    <w:rsid w:val="00B943D2"/>
    <w:pPr>
      <w:spacing w:after="480"/>
    </w:pPr>
  </w:style>
  <w:style w:type="character" w:customStyle="1" w:styleId="PageHeadingChar">
    <w:name w:val="PageHeading Char"/>
    <w:basedOn w:val="DefaultParagraphFont"/>
    <w:link w:val="PageHeading"/>
    <w:rsid w:val="00B943D2"/>
    <w:rPr>
      <w:rFonts w:ascii="Arial" w:hAnsi="Arial" w:cs="Arial"/>
      <w:b/>
      <w:sz w:val="24"/>
    </w:rPr>
  </w:style>
  <w:style w:type="paragraph" w:customStyle="1" w:styleId="Normal12a">
    <w:name w:val="Normal12a"/>
    <w:basedOn w:val="Normal"/>
    <w:rsid w:val="00B943D2"/>
    <w:pPr>
      <w:spacing w:after="240"/>
    </w:pPr>
  </w:style>
  <w:style w:type="paragraph" w:customStyle="1" w:styleId="RollCallSymbols14pt">
    <w:name w:val="RollCallSymbols14pt"/>
    <w:basedOn w:val="Normal"/>
    <w:rsid w:val="00B943D2"/>
    <w:pPr>
      <w:spacing w:before="120" w:after="120"/>
      <w:jc w:val="center"/>
    </w:pPr>
    <w:rPr>
      <w:rFonts w:ascii="Arial" w:hAnsi="Arial"/>
      <w:b/>
      <w:bCs/>
      <w:snapToGrid w:val="0"/>
      <w:sz w:val="28"/>
      <w:lang w:eastAsia="en-US"/>
    </w:rPr>
  </w:style>
  <w:style w:type="paragraph" w:customStyle="1" w:styleId="LetterSalutation">
    <w:name w:val="LetterSalutation"/>
    <w:basedOn w:val="Normal"/>
    <w:rsid w:val="00B943D2"/>
    <w:pPr>
      <w:spacing w:before="600" w:after="360"/>
    </w:pPr>
  </w:style>
  <w:style w:type="paragraph" w:customStyle="1" w:styleId="LetterSubject">
    <w:name w:val="LetterSubject"/>
    <w:basedOn w:val="Normal"/>
    <w:rsid w:val="00B943D2"/>
    <w:pPr>
      <w:spacing w:before="480"/>
      <w:ind w:left="1134" w:hanging="1134"/>
    </w:pPr>
  </w:style>
  <w:style w:type="paragraph" w:customStyle="1" w:styleId="LetterSignature66b">
    <w:name w:val="LetterSignature66b"/>
    <w:basedOn w:val="Normal"/>
    <w:next w:val="Normal"/>
    <w:rsid w:val="00B943D2"/>
    <w:pPr>
      <w:spacing w:before="1320"/>
    </w:pPr>
  </w:style>
  <w:style w:type="paragraph" w:customStyle="1" w:styleId="PageHeadingNotTOC">
    <w:name w:val="PageHeadingNotTOC"/>
    <w:basedOn w:val="Normal"/>
    <w:rsid w:val="00B943D2"/>
    <w:pPr>
      <w:keepNext/>
      <w:spacing w:after="480"/>
      <w:jc w:val="center"/>
    </w:pPr>
    <w:rPr>
      <w:rFonts w:ascii="Arial" w:hAnsi="Arial" w:cs="Arial"/>
      <w:b/>
    </w:rPr>
  </w:style>
  <w:style w:type="paragraph" w:customStyle="1" w:styleId="Normal12">
    <w:name w:val="Normal12"/>
    <w:basedOn w:val="Normal"/>
    <w:link w:val="Normal12Char"/>
    <w:rsid w:val="00B943D2"/>
    <w:pPr>
      <w:spacing w:after="240"/>
    </w:pPr>
    <w:rPr>
      <w:rFonts w:ascii="Arial" w:hAnsi="Arial" w:cs="Arial"/>
    </w:rPr>
  </w:style>
  <w:style w:type="character" w:customStyle="1" w:styleId="Normal12Char">
    <w:name w:val="Normal12 Char"/>
    <w:basedOn w:val="PageHeadingChar"/>
    <w:link w:val="Normal12"/>
    <w:rsid w:val="00B943D2"/>
    <w:rPr>
      <w:rFonts w:ascii="Arial" w:hAnsi="Arial" w:cs="Arial"/>
      <w:b w:val="0"/>
      <w:sz w:val="24"/>
    </w:rPr>
  </w:style>
  <w:style w:type="paragraph" w:customStyle="1" w:styleId="RollCallTable">
    <w:name w:val="RollCallTable"/>
    <w:basedOn w:val="Normal"/>
    <w:rsid w:val="00B943D2"/>
    <w:pPr>
      <w:spacing w:before="120" w:after="120"/>
    </w:pPr>
    <w:rPr>
      <w:snapToGrid w:val="0"/>
      <w:sz w:val="16"/>
      <w:lang w:eastAsia="en-US"/>
    </w:rPr>
  </w:style>
  <w:style w:type="paragraph" w:styleId="Footer">
    <w:name w:val="footer"/>
    <w:basedOn w:val="Normal"/>
    <w:link w:val="FooterChar"/>
    <w:semiHidden/>
    <w:rsid w:val="00B943D2"/>
    <w:pPr>
      <w:tabs>
        <w:tab w:val="center" w:pos="4513"/>
        <w:tab w:val="right" w:pos="9026"/>
      </w:tabs>
    </w:pPr>
  </w:style>
  <w:style w:type="character" w:customStyle="1" w:styleId="FooterChar">
    <w:name w:val="Footer Char"/>
    <w:basedOn w:val="DefaultParagraphFont"/>
    <w:link w:val="Footer"/>
    <w:semiHidden/>
    <w:rsid w:val="00B943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5575</Words>
  <Characters>31002</Characters>
  <Application>Microsoft Office Word</Application>
  <DocSecurity>0</DocSecurity>
  <Lines>584</Lines>
  <Paragraphs>203</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2</cp:revision>
  <cp:lastPrinted>2004-12-08T15:27:00Z</cp:lastPrinted>
  <dcterms:created xsi:type="dcterms:W3CDTF">2026-09-30T12:51:00Z</dcterms:created>
  <dcterms:modified xsi:type="dcterms:W3CDTF">2026-09-30T12:51:00Z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1351627</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Bookout">
    <vt:lpwstr>OK - 2026/09/30 14:50</vt:lpwstr>
  </property>
  <property fmtid="{D5CDD505-2E9C-101B-9397-08002B2CF9AE}" pid="9" name="Created with">
    <vt:lpwstr>10.3.1 Build [20260701]</vt:lpwstr>
  </property>
  <property fmtid="{D5CDD505-2E9C-101B-9397-08002B2CF9AE}" pid="10" name="FooterPath">
    <vt:lpwstr>RR\1351627FR.docx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792.011</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- 2026/09/04 10:12</vt:lpwstr>
  </property>
</Properties>
</file>