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B9B3B23" w14:textId="77777777" w:rsidTr="00C85D0F">
        <w:tblPrEx>
          <w:tblW w:w="9072" w:type="dxa"/>
          <w:tblCellMar>
            <w:left w:w="0" w:type="dxa"/>
            <w:right w:w="0" w:type="dxa"/>
          </w:tblCellMar>
          <w:tblLook w:val="01E0"/>
        </w:tblPrEx>
        <w:trPr>
          <w:trHeight w:hRule="exact" w:val="1418"/>
        </w:trPr>
        <w:tc>
          <w:tcPr>
            <w:tcW w:w="6804" w:type="dxa"/>
            <w:vAlign w:val="center"/>
          </w:tcPr>
          <w:p w:rsidR="005B15A7" w:rsidRPr="00EC1ED7" w:rsidP="00BD2DF0" w14:paraId="497D5313" w14:textId="77777777">
            <w:pPr>
              <w:pStyle w:val="EPName"/>
              <w:widowControl/>
            </w:pPr>
            <w:r>
              <w:t>Parlement européen</w:t>
            </w:r>
          </w:p>
          <w:p w:rsidR="005B15A7" w:rsidRPr="00EC1ED7" w:rsidP="00BD2DF0" w14:paraId="67E8CA9B" w14:textId="77777777">
            <w:pPr>
              <w:pStyle w:val="EPTerm"/>
              <w:widowControl/>
            </w:pPr>
            <w:r>
              <w:t>2024-2029</w:t>
            </w:r>
          </w:p>
        </w:tc>
        <w:tc>
          <w:tcPr>
            <w:tcW w:w="2268" w:type="dxa"/>
          </w:tcPr>
          <w:p w:rsidR="005B15A7" w:rsidRPr="00EC1ED7" w:rsidP="00BD2DF0" w14:paraId="68B179D1" w14:textId="77777777">
            <w:pPr>
              <w:pStyle w:val="EPLogo"/>
              <w:widowControl/>
            </w:pPr>
            <w:r w:rsidRPr="00EC1ED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93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EC1ED7" w:rsidP="00BD2DF0" w14:paraId="0D38A35B" w14:textId="77777777">
      <w:pPr>
        <w:pStyle w:val="LineTop"/>
        <w:widowControl/>
      </w:pPr>
    </w:p>
    <w:p w:rsidR="00187D09" w:rsidRPr="00AA56F9" w:rsidP="00BD2DF0" w14:paraId="50DF946D" w14:textId="77777777">
      <w:pPr>
        <w:pStyle w:val="EPBody"/>
        <w:widowControl/>
      </w:pPr>
      <w:r>
        <w:t>Document de séance</w:t>
      </w:r>
    </w:p>
    <w:p w:rsidR="00187D09" w:rsidRPr="00825264" w:rsidP="00BD2DF0" w14:paraId="2C4E068B" w14:textId="77777777">
      <w:pPr>
        <w:pStyle w:val="LineBottom"/>
        <w:widowControl/>
      </w:pPr>
    </w:p>
    <w:p w:rsidR="00B85286" w:rsidRPr="00AA56F9" w:rsidP="00BD2DF0" w14:paraId="485DE062" w14:textId="77777777">
      <w:pPr>
        <w:pStyle w:val="CoverReference"/>
        <w:widowControl/>
      </w:pPr>
      <w:r w:rsidRPr="00825264">
        <w:rPr>
          <w:rStyle w:val="HideTWBExt"/>
        </w:rPr>
        <w:t>&lt;NoDocSe&gt;</w:t>
      </w:r>
      <w:r>
        <w:t>A10-0254/2026</w:t>
      </w:r>
      <w:r w:rsidRPr="00825264">
        <w:rPr>
          <w:rStyle w:val="HideTWBExt"/>
        </w:rPr>
        <w:t>&lt;/NoDocSe&gt;</w:t>
      </w:r>
    </w:p>
    <w:p w:rsidR="00B85286" w:rsidRPr="00BD2DF0" w:rsidP="00BD2DF0" w14:paraId="5475D9EE" w14:textId="77777777">
      <w:pPr>
        <w:pStyle w:val="CoverDate"/>
        <w:widowControl/>
      </w:pPr>
      <w:r>
        <w:rPr>
          <w:rStyle w:val="HideTWBExt"/>
          <w:lang w:val="fr-BE"/>
        </w:rPr>
        <w:t>&lt;Date&gt;</w:t>
      </w:r>
      <w:r>
        <w:rPr>
          <w:rStyle w:val="HideTWBInt"/>
          <w:color w:val="auto"/>
          <w:lang w:val="fr-BE"/>
        </w:rPr>
        <w:t>{29/09/2026}</w:t>
      </w:r>
      <w:r>
        <w:t>29.9.2026</w:t>
      </w:r>
      <w:r>
        <w:rPr>
          <w:rStyle w:val="HideTWBExt"/>
          <w:lang w:val="fr-BE"/>
        </w:rPr>
        <w:t>&lt;/Date&gt;</w:t>
      </w:r>
    </w:p>
    <w:p w:rsidR="00B85286" w:rsidRPr="00BD2DF0" w:rsidP="00BD2DF0" w14:paraId="4836607E" w14:textId="77777777">
      <w:pPr>
        <w:pStyle w:val="CoverDocType"/>
        <w:widowControl/>
      </w:pPr>
      <w:r>
        <w:rPr>
          <w:rStyle w:val="HideTWBExt"/>
          <w:b w:val="0"/>
          <w:lang w:val="fr-BE"/>
        </w:rPr>
        <w:t>&lt;RefProcLect&gt;</w:t>
      </w:r>
      <w:r>
        <w:t>*</w:t>
      </w:r>
      <w:r>
        <w:rPr>
          <w:rStyle w:val="HideTWBExt"/>
          <w:b w:val="0"/>
          <w:lang w:val="fr-BE"/>
        </w:rPr>
        <w:t>&lt;/RefProcLect&gt;</w:t>
      </w:r>
    </w:p>
    <w:p w:rsidR="00B85286" w:rsidRPr="00BD2DF0" w:rsidP="00BD2DF0" w14:paraId="6920A43A" w14:textId="77777777">
      <w:pPr>
        <w:pStyle w:val="CoverDocType24a"/>
        <w:widowControl/>
      </w:pPr>
      <w:r>
        <w:rPr>
          <w:rStyle w:val="HideTWBExt"/>
          <w:b w:val="0"/>
          <w:lang w:val="fr-BE"/>
        </w:rPr>
        <w:t>&lt;TitreType&gt;</w:t>
      </w:r>
      <w:r>
        <w:t>RAPPORT</w:t>
      </w:r>
      <w:r>
        <w:rPr>
          <w:rStyle w:val="HideTWBExt"/>
          <w:b w:val="0"/>
          <w:lang w:val="fr-BE"/>
        </w:rPr>
        <w:t>&lt;/TitreType&gt;</w:t>
      </w:r>
    </w:p>
    <w:p w:rsidR="00B85286" w:rsidRPr="00AA56F9" w:rsidP="00BD2DF0" w14:paraId="244938D6" w14:textId="77777777">
      <w:pPr>
        <w:pStyle w:val="CoverNormal"/>
        <w:widowControl/>
      </w:pPr>
      <w:r w:rsidRPr="00825264">
        <w:rPr>
          <w:rStyle w:val="HideTWBExt"/>
        </w:rPr>
        <w:t>&lt;Titre&gt;</w:t>
      </w:r>
      <w:r>
        <w:t xml:space="preserve">sur le projet de directive du Conseil modifiant la </w:t>
      </w:r>
      <w:r>
        <w:t>directive (UE) 2015/637 établissant les mesures de coordination et de coopération nécessaires pour faciliter la protection consulaire des citoyens de l’Union non représentés dans des pays tiers et la directive (UE) 2019/997 établissant un titre de voyage provisoire de l’Union européenne</w:t>
      </w:r>
      <w:r w:rsidRPr="00825264">
        <w:rPr>
          <w:rStyle w:val="HideTWBExt"/>
        </w:rPr>
        <w:t>&lt;/Titre&gt;</w:t>
      </w:r>
    </w:p>
    <w:p w:rsidR="00B85286" w:rsidRPr="00AA56F9" w:rsidP="00BD2DF0" w14:paraId="28163592" w14:textId="77777777">
      <w:pPr>
        <w:pStyle w:val="CoverNormal24a"/>
        <w:widowControl/>
      </w:pPr>
      <w:r w:rsidRPr="00825264">
        <w:rPr>
          <w:rStyle w:val="HideTWBExt"/>
        </w:rPr>
        <w:t>&lt;DocRef&gt;</w:t>
      </w:r>
      <w:r>
        <w:t>(05760/2026– C10</w:t>
      </w:r>
      <w:r>
        <w:noBreakHyphen/>
        <w:t>0027/2026 – 2023/0441(CNS))</w:t>
      </w:r>
      <w:r w:rsidRPr="00825264">
        <w:rPr>
          <w:rStyle w:val="HideTWBExt"/>
        </w:rPr>
        <w:t>&lt;/DocRef&gt;</w:t>
      </w:r>
    </w:p>
    <w:p w:rsidR="00B85286" w:rsidRPr="00AA56F9" w:rsidP="00BD2DF0" w14:paraId="7711F4FB" w14:textId="77777777">
      <w:pPr>
        <w:pStyle w:val="CoverNormal24a"/>
        <w:widowControl/>
      </w:pPr>
      <w:r w:rsidRPr="00825264">
        <w:rPr>
          <w:rStyle w:val="HideTWBExt"/>
        </w:rPr>
        <w:t>&lt;Commission&gt;</w:t>
      </w:r>
      <w:r w:rsidRPr="00825264">
        <w:rPr>
          <w:rStyle w:val="HideTWBInt"/>
          <w:color w:val="auto"/>
        </w:rPr>
        <w:t>{LIBE}</w:t>
      </w:r>
      <w:r>
        <w:t>Commission des libertés civiles, de la justice et des affaires intérieures</w:t>
      </w:r>
      <w:r w:rsidRPr="00825264">
        <w:rPr>
          <w:rStyle w:val="HideTWBExt"/>
        </w:rPr>
        <w:t>&lt;/Commission&gt;</w:t>
      </w:r>
    </w:p>
    <w:p w:rsidR="00B85286" w:rsidRPr="00BD2DF0" w:rsidP="00BD2DF0" w14:paraId="06F04450" w14:textId="77777777">
      <w:pPr>
        <w:pStyle w:val="CoverNormal24a"/>
        <w:widowControl/>
      </w:pPr>
      <w:r>
        <w:t xml:space="preserve">Rapporteure: </w:t>
      </w:r>
      <w:r>
        <w:rPr>
          <w:rStyle w:val="HideTWBExt"/>
          <w:lang w:val="fr-BE"/>
        </w:rPr>
        <w:t>&lt;Depute&gt;</w:t>
      </w:r>
      <w:r>
        <w:t>Lena Düpont</w:t>
      </w:r>
      <w:r>
        <w:rPr>
          <w:rStyle w:val="HideTWBExt"/>
          <w:lang w:val="fr-BE"/>
        </w:rPr>
        <w:t>&lt;/Depute&gt;</w:t>
      </w:r>
    </w:p>
    <w:p w:rsidR="005A17F6" w:rsidRPr="00BD2DF0" w:rsidP="00BD2DF0" w14:paraId="4A795FBE" w14:textId="77777777">
      <w:pPr>
        <w:pStyle w:val="CoverNormal"/>
        <w:widowControl/>
        <w:rPr>
          <w:lang w:val="fr-BE"/>
        </w:rPr>
      </w:pPr>
    </w:p>
    <w:p w:rsidR="00FE09B9" w:rsidRPr="00AA56F9" w:rsidP="00BD2DF0" w14:paraId="2D5ADC15" w14:textId="77777777">
      <w:pPr>
        <w:pStyle w:val="CoverNormal"/>
        <w:widowControl/>
      </w:pPr>
      <w:r>
        <w:t>(Consultation répétée – article 86 du règlement intérieur)</w:t>
      </w:r>
    </w:p>
    <w:p w:rsidR="00925C33" w:rsidRPr="00825264" w:rsidP="00BD2DF0" w14:paraId="11B9E63A" w14:textId="77777777">
      <w:pPr>
        <w:pStyle w:val="CoverNormal"/>
        <w:widowControl/>
      </w:pPr>
    </w:p>
    <w:p w:rsidR="004D7DA0" w:rsidRPr="00EC1ED7" w:rsidP="00BD2DF0" w14:paraId="23C1F552" w14:textId="4A1E5B8A">
      <w:pPr>
        <w:widowControl/>
      </w:pPr>
      <w:r>
        <w:br w:type="page"/>
      </w:r>
      <w:r w:rsidR="00BD2DF0">
        <w:fldChar w:fldCharType="begin"/>
      </w:r>
      <w:r>
        <w:instrText xml:space="preserve"> TITLE  \* MERGEFORMAT </w:instrText>
      </w:r>
      <w:r w:rsidR="00BD2DF0">
        <w:fldChar w:fldCharType="separate"/>
      </w:r>
      <w:r>
        <w:t>PR_CNS_LegAct_am</w:t>
      </w:r>
      <w:r w:rsidR="00BD2DF0">
        <w:fldChar w:fldCharType="end"/>
      </w:r>
    </w:p>
    <w:p w:rsidR="004D7DA0" w:rsidRPr="00EC1ED7" w:rsidP="00BD2DF0" w14:paraId="62ED11BF" w14:textId="77777777">
      <w:pPr>
        <w:widowControl/>
      </w:pPr>
    </w:p>
    <w:p w:rsidR="004D7DA0" w:rsidRPr="00EC1ED7" w:rsidP="00BD2DF0" w14:paraId="3BCEA6C0" w14:textId="77777777">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0700C7A7"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AA56F9" w:rsidRPr="00EC1ED7" w:rsidP="00BD2DF0" w14:paraId="01DFEFD7" w14:textId="77777777">
            <w:pPr>
              <w:pStyle w:val="Lgendetitre"/>
              <w:widowControl/>
            </w:pPr>
            <w:r>
              <w:t>Légende des signes utilisés</w:t>
            </w:r>
          </w:p>
        </w:tc>
      </w:tr>
      <w:tr w14:paraId="166253DB"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AA56F9" w:rsidP="00BD2DF0" w14:paraId="43F7FC28" w14:textId="77777777">
            <w:pPr>
              <w:pStyle w:val="Lgendesigne"/>
              <w:widowControl/>
            </w:pPr>
            <w:r>
              <w:tab/>
              <w:t>*</w:t>
            </w:r>
            <w:r>
              <w:tab/>
              <w:t>Procédure de consultation</w:t>
            </w:r>
          </w:p>
          <w:p w:rsidR="00AA56F9" w:rsidP="00BD2DF0" w14:paraId="1B9154A1" w14:textId="77777777">
            <w:pPr>
              <w:pStyle w:val="Lgendesigne"/>
              <w:widowControl/>
            </w:pPr>
            <w:r>
              <w:tab/>
              <w:t>***</w:t>
            </w:r>
            <w:r>
              <w:tab/>
              <w:t>Procédure d’approbation</w:t>
            </w:r>
          </w:p>
          <w:p w:rsidR="00AA56F9" w:rsidP="00BD2DF0" w14:paraId="31686155" w14:textId="77777777">
            <w:pPr>
              <w:pStyle w:val="Lgendesigne"/>
              <w:widowControl/>
            </w:pPr>
            <w:r>
              <w:tab/>
              <w:t>***I</w:t>
            </w:r>
            <w:r>
              <w:tab/>
              <w:t xml:space="preserve">Procédure législative ordinaire </w:t>
            </w:r>
            <w:r>
              <w:t>(première lecture)</w:t>
            </w:r>
          </w:p>
          <w:p w:rsidR="00AA56F9" w:rsidP="00BD2DF0" w14:paraId="0C6AC03D" w14:textId="77777777">
            <w:pPr>
              <w:pStyle w:val="Lgendesigne"/>
              <w:widowControl/>
            </w:pPr>
            <w:r>
              <w:tab/>
              <w:t>***II</w:t>
            </w:r>
            <w:r>
              <w:tab/>
              <w:t>Procédure législative ordinaire (deuxième lecture)</w:t>
            </w:r>
          </w:p>
          <w:p w:rsidR="00AA56F9" w:rsidRPr="000B4F66" w:rsidP="00BD2DF0" w14:paraId="765DAD23" w14:textId="77777777">
            <w:pPr>
              <w:pStyle w:val="Lgendesigne"/>
              <w:widowControl/>
            </w:pPr>
            <w:r>
              <w:tab/>
              <w:t>***III</w:t>
            </w:r>
            <w:r>
              <w:tab/>
              <w:t>Procédure législative ordinaire (troisième lecture)</w:t>
            </w:r>
            <w:r>
              <w:br/>
            </w:r>
          </w:p>
          <w:p w:rsidR="00AA56F9" w:rsidRPr="000B4F66" w:rsidP="00BD2DF0" w14:paraId="02C814C6" w14:textId="77777777">
            <w:pPr>
              <w:pStyle w:val="Lgendestandard"/>
              <w:widowControl/>
            </w:pPr>
            <w:r>
              <w:t>(La procédure indiquée est fondée sur la base juridique proposée par le projet d’acte.)</w:t>
            </w:r>
          </w:p>
          <w:p w:rsidR="00AA56F9" w:rsidRPr="00AA56F9" w:rsidP="00BD2DF0" w14:paraId="50D1A98D" w14:textId="77777777">
            <w:pPr>
              <w:pStyle w:val="Lgendestandard"/>
              <w:widowControl/>
              <w:rPr>
                <w:lang w:val="fr-BE"/>
              </w:rPr>
            </w:pPr>
          </w:p>
        </w:tc>
      </w:tr>
    </w:tbl>
    <w:p w:rsidR="004D7DA0" w:rsidRPr="00AA56F9" w:rsidP="00BD2DF0" w14:paraId="5537A391" w14:textId="77777777">
      <w:pPr>
        <w:widowControl/>
        <w:rPr>
          <w:lang w:val="fr-BE"/>
        </w:rPr>
      </w:pPr>
    </w:p>
    <w:p w:rsidR="004D7DA0" w:rsidRPr="00AA56F9" w:rsidP="00BD2DF0" w14:paraId="528AD58E" w14:textId="77777777">
      <w:pPr>
        <w:widowControl/>
        <w:rPr>
          <w:lang w:val="fr-BE"/>
        </w:rPr>
      </w:pPr>
    </w:p>
    <w:p w:rsidR="004D7DA0" w:rsidRPr="00AA56F9" w:rsidP="00BD2DF0" w14:paraId="332F874C" w14:textId="77777777">
      <w:pPr>
        <w:widowControl/>
        <w:rPr>
          <w:lang w:val="fr-BE"/>
        </w:rPr>
      </w:pPr>
    </w:p>
    <w:p w:rsidR="004D7DA0" w:rsidRPr="00AA56F9" w:rsidP="00BD2DF0" w14:paraId="416638DD" w14:textId="77777777">
      <w:pPr>
        <w:widowControl/>
        <w:rPr>
          <w:lang w:val="fr-BE"/>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66374CE8"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AA56F9" w:rsidRPr="00AA56F9" w:rsidP="00BD2DF0" w14:paraId="09A0505A" w14:textId="77777777">
            <w:pPr>
              <w:pStyle w:val="Lgendetitre"/>
              <w:widowControl/>
            </w:pPr>
            <w:r>
              <w:t xml:space="preserve">Amendements à un </w:t>
            </w:r>
            <w:r>
              <w:t>projet d’acte</w:t>
            </w:r>
          </w:p>
        </w:tc>
      </w:tr>
      <w:tr w14:paraId="3C1728DC" w14:textId="77777777" w:rsidTr="00554250">
        <w:tblPrEx>
          <w:tblW w:w="0" w:type="auto"/>
          <w:tblInd w:w="1668" w:type="dxa"/>
          <w:tblLayout w:type="fixed"/>
          <w:tblLook w:val="0000"/>
        </w:tblPrEx>
        <w:trPr>
          <w:trHeight w:val="4496"/>
        </w:trPr>
        <w:tc>
          <w:tcPr>
            <w:tcW w:w="5811" w:type="dxa"/>
          </w:tcPr>
          <w:p w:rsidR="00AA56F9" w:rsidP="00BD2DF0" w14:paraId="728E53AB" w14:textId="77777777">
            <w:pPr>
              <w:pStyle w:val="Lgendestandard"/>
              <w:widowControl/>
            </w:pPr>
          </w:p>
          <w:p w:rsidR="00AA56F9" w:rsidP="00BD2DF0" w14:paraId="592CBCD5" w14:textId="77777777">
            <w:pPr>
              <w:pStyle w:val="Lgendestandard"/>
              <w:widowControl/>
              <w:rPr>
                <w:szCs w:val="18"/>
              </w:rPr>
            </w:pPr>
            <w:r>
              <w:rPr>
                <w:b/>
              </w:rPr>
              <w:t>Amendements du Parlement présentés en deux colonnes</w:t>
            </w:r>
          </w:p>
          <w:p w:rsidR="00AA56F9" w:rsidP="00BD2DF0" w14:paraId="24551F02" w14:textId="77777777">
            <w:pPr>
              <w:pStyle w:val="Lgendestandard"/>
              <w:widowControl/>
              <w:rPr>
                <w:szCs w:val="18"/>
              </w:rPr>
            </w:pPr>
          </w:p>
          <w:p w:rsidR="00AA56F9" w:rsidP="00BD2DF0" w14:paraId="70934B38" w14:textId="77777777">
            <w:pPr>
              <w:pStyle w:val="Lgendestandard"/>
              <w:widowControl/>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 xml:space="preserve">dans les deux colonnes. Le texte nouveau est </w:t>
            </w:r>
            <w:r>
              <w:t>signalé par des</w:t>
            </w:r>
            <w:r>
              <w:rPr>
                <w:b/>
                <w:i/>
              </w:rPr>
              <w:t xml:space="preserve"> italiques gras</w:t>
            </w:r>
            <w:r>
              <w:t xml:space="preserve"> dans la colonne de droite.</w:t>
            </w:r>
          </w:p>
          <w:p w:rsidR="00AA56F9" w:rsidRPr="0078703C" w:rsidP="00BD2DF0" w14:paraId="5DB985B9" w14:textId="77777777">
            <w:pPr>
              <w:pStyle w:val="Lgendestandard"/>
              <w:widowControl/>
            </w:pPr>
          </w:p>
          <w:p w:rsidR="00AA56F9" w:rsidP="00BD2DF0" w14:paraId="314BF714" w14:textId="77777777">
            <w:pPr>
              <w:pStyle w:val="Lgendestandard"/>
              <w:widowControl/>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AA56F9" w:rsidP="00BD2DF0" w14:paraId="4A52912F" w14:textId="77777777">
            <w:pPr>
              <w:pStyle w:val="Lgendestandard"/>
              <w:widowControl/>
            </w:pPr>
          </w:p>
          <w:p w:rsidR="00AA56F9" w:rsidRPr="00DF243B" w:rsidP="00BD2DF0" w14:paraId="5C988686" w14:textId="77777777">
            <w:pPr>
              <w:pStyle w:val="Lgendestandard"/>
              <w:widowControl/>
              <w:rPr>
                <w:b/>
                <w:szCs w:val="18"/>
              </w:rPr>
            </w:pPr>
            <w:r>
              <w:rPr>
                <w:b/>
              </w:rPr>
              <w:t>Amendements du Parlement prenant la forme d’un texte consolidé</w:t>
            </w:r>
          </w:p>
          <w:p w:rsidR="00AA56F9" w:rsidP="00BD2DF0" w14:paraId="626DA356" w14:textId="77777777">
            <w:pPr>
              <w:pStyle w:val="Lgendestandard"/>
              <w:widowControl/>
              <w:rPr>
                <w:szCs w:val="18"/>
              </w:rPr>
            </w:pPr>
          </w:p>
          <w:p w:rsidR="00AA56F9" w:rsidP="00BD2DF0" w14:paraId="23200039" w14:textId="77777777">
            <w:pPr>
              <w:pStyle w:val="Lgendestandard"/>
              <w:widowControl/>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rsidR="00AA56F9" w:rsidRPr="0078703C" w:rsidP="00BD2DF0" w14:paraId="1DB5465A" w14:textId="77777777">
            <w:pPr>
              <w:pStyle w:val="Lgendestandard"/>
              <w:widowControl/>
            </w:pPr>
            <w:r>
              <w:t>Par exception, les modifications de nature strictement technique apportées par les services en vue de l’élaboration du texte final ne sont pas marquées.</w:t>
            </w:r>
          </w:p>
          <w:p w:rsidR="00AA56F9" w:rsidRPr="00AA56F9" w:rsidP="00BD2DF0" w14:paraId="4E58B4A6" w14:textId="77777777">
            <w:pPr>
              <w:pStyle w:val="Lgendestandard"/>
              <w:widowControl/>
              <w:rPr>
                <w:lang w:val="fr-BE"/>
              </w:rPr>
            </w:pPr>
          </w:p>
        </w:tc>
      </w:tr>
    </w:tbl>
    <w:p w:rsidR="004D7DA0" w:rsidRPr="00AA56F9" w:rsidP="00BD2DF0" w14:paraId="5F87509E" w14:textId="77777777">
      <w:pPr>
        <w:widowControl/>
        <w:rPr>
          <w:lang w:val="fr-BE"/>
        </w:rPr>
      </w:pPr>
    </w:p>
    <w:p w:rsidR="00B85286" w:rsidRPr="00AA56F9" w:rsidP="00BD2DF0" w14:paraId="652CAF4A" w14:textId="77777777">
      <w:pPr>
        <w:widowControl/>
        <w:tabs>
          <w:tab w:val="center" w:pos="4677"/>
        </w:tabs>
        <w:rPr>
          <w:lang w:val="fr-BE"/>
        </w:rPr>
      </w:pPr>
    </w:p>
    <w:p w:rsidR="00B85286" w:rsidRPr="00EC1ED7" w:rsidP="00BD2DF0" w14:paraId="7E4D8751" w14:textId="77777777">
      <w:pPr>
        <w:pStyle w:val="TOCHeading"/>
        <w:widowControl/>
      </w:pPr>
      <w:r>
        <w:br w:type="page"/>
      </w:r>
      <w:r>
        <w:t>SOMMAIRE</w:t>
      </w:r>
    </w:p>
    <w:p w:rsidR="00B85286" w:rsidRPr="00EC1ED7" w:rsidP="00BD2DF0" w14:paraId="7F4D1BAB" w14:textId="77777777">
      <w:pPr>
        <w:pStyle w:val="TOCPage"/>
        <w:widowControl/>
      </w:pPr>
      <w:r>
        <w:t>Page</w:t>
      </w:r>
    </w:p>
    <w:p w:rsidR="00825264" w14:paraId="38AD50AF" w14:textId="6F2CAE9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C1ED7">
        <w:rPr>
          <w:b/>
        </w:rPr>
        <w:fldChar w:fldCharType="begin"/>
      </w:r>
      <w:r w:rsidRPr="00BD2DF0">
        <w:rPr>
          <w:b/>
        </w:rPr>
        <w:instrText xml:space="preserve"> TOC \t "PageHeading</w:instrText>
      </w:r>
      <w:r w:rsidRPr="00BD2DF0" w:rsidR="005D2A31">
        <w:rPr>
          <w:b/>
        </w:rPr>
        <w:instrText>;</w:instrText>
      </w:r>
      <w:r w:rsidRPr="00BD2DF0">
        <w:rPr>
          <w:b/>
        </w:rPr>
        <w:instrText xml:space="preserve">1" </w:instrText>
      </w:r>
      <w:r w:rsidRPr="00EC1ED7">
        <w:rPr>
          <w:b/>
        </w:rPr>
        <w:fldChar w:fldCharType="separate"/>
      </w:r>
      <w:r>
        <w:rPr>
          <w:noProof/>
        </w:rPr>
        <w:t>PROJET DE RÉSOLUTION LÉGISLATIVE DU PARLEMENT EUROPÉEN</w:t>
      </w:r>
      <w:r>
        <w:rPr>
          <w:noProof/>
        </w:rPr>
        <w:tab/>
      </w:r>
      <w:r>
        <w:rPr>
          <w:noProof/>
        </w:rPr>
        <w:fldChar w:fldCharType="begin"/>
      </w:r>
      <w:r>
        <w:rPr>
          <w:noProof/>
        </w:rPr>
        <w:instrText xml:space="preserve"> PAGEREF _Toc242088249 \h </w:instrText>
      </w:r>
      <w:r>
        <w:rPr>
          <w:noProof/>
        </w:rPr>
        <w:fldChar w:fldCharType="separate"/>
      </w:r>
      <w:r>
        <w:rPr>
          <w:noProof/>
        </w:rPr>
        <w:t>5</w:t>
      </w:r>
      <w:r>
        <w:rPr>
          <w:noProof/>
        </w:rPr>
        <w:fldChar w:fldCharType="end"/>
      </w:r>
    </w:p>
    <w:p w:rsidR="00825264" w14:paraId="6BFD1D91" w14:textId="764C9FD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_Toc242088250 \h </w:instrText>
      </w:r>
      <w:r>
        <w:rPr>
          <w:noProof/>
        </w:rPr>
        <w:fldChar w:fldCharType="separate"/>
      </w:r>
      <w:r>
        <w:rPr>
          <w:noProof/>
        </w:rPr>
        <w:t>28</w:t>
      </w:r>
      <w:r>
        <w:rPr>
          <w:noProof/>
        </w:rPr>
        <w:fldChar w:fldCharType="end"/>
      </w:r>
    </w:p>
    <w:p w:rsidR="00825264" w14:paraId="68643544" w14:textId="2EEFB9E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_Toc242088251 \h </w:instrText>
      </w:r>
      <w:r>
        <w:rPr>
          <w:noProof/>
        </w:rPr>
        <w:fldChar w:fldCharType="separate"/>
      </w:r>
      <w:r>
        <w:rPr>
          <w:noProof/>
        </w:rPr>
        <w:t>29</w:t>
      </w:r>
      <w:r>
        <w:rPr>
          <w:noProof/>
        </w:rPr>
        <w:fldChar w:fldCharType="end"/>
      </w:r>
    </w:p>
    <w:p w:rsidR="00825264" w14:paraId="675C59A0" w14:textId="56CD76A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AVIS DE LA COMMISSION DES AFFAIRES ÉTRANGÈRES</w:t>
      </w:r>
      <w:r>
        <w:rPr>
          <w:noProof/>
        </w:rPr>
        <w:tab/>
      </w:r>
      <w:r>
        <w:rPr>
          <w:noProof/>
        </w:rPr>
        <w:fldChar w:fldCharType="begin"/>
      </w:r>
      <w:r>
        <w:rPr>
          <w:noProof/>
        </w:rPr>
        <w:instrText xml:space="preserve"> PAGEREF _Toc242088252 \h </w:instrText>
      </w:r>
      <w:r>
        <w:rPr>
          <w:noProof/>
        </w:rPr>
        <w:fldChar w:fldCharType="separate"/>
      </w:r>
      <w:r>
        <w:rPr>
          <w:noProof/>
        </w:rPr>
        <w:t>30</w:t>
      </w:r>
      <w:r>
        <w:rPr>
          <w:noProof/>
        </w:rPr>
        <w:fldChar w:fldCharType="end"/>
      </w:r>
    </w:p>
    <w:p w:rsidR="00825264" w14:paraId="5CE74CDA" w14:textId="26B87F5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_Toc242088253 \h </w:instrText>
      </w:r>
      <w:r>
        <w:rPr>
          <w:noProof/>
        </w:rPr>
        <w:fldChar w:fldCharType="separate"/>
      </w:r>
      <w:r>
        <w:rPr>
          <w:noProof/>
        </w:rPr>
        <w:t>50</w:t>
      </w:r>
      <w:r>
        <w:rPr>
          <w:noProof/>
        </w:rPr>
        <w:fldChar w:fldCharType="end"/>
      </w:r>
    </w:p>
    <w:p w:rsidR="00825264" w14:paraId="307C3F75" w14:textId="53DD258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_Toc242088254 \h </w:instrText>
      </w:r>
      <w:r>
        <w:rPr>
          <w:noProof/>
        </w:rPr>
        <w:fldChar w:fldCharType="separate"/>
      </w:r>
      <w:r>
        <w:rPr>
          <w:noProof/>
        </w:rPr>
        <w:t>51</w:t>
      </w:r>
      <w:r>
        <w:rPr>
          <w:noProof/>
        </w:rPr>
        <w:fldChar w:fldCharType="end"/>
      </w:r>
    </w:p>
    <w:p w:rsidR="00BD0A00" w:rsidRPr="004F4F9E" w:rsidP="00BD2DF0" w14:paraId="463A8D5C" w14:textId="299B3370">
      <w:pPr>
        <w:widowControl/>
      </w:pPr>
      <w:r w:rsidRPr="00EC1ED7">
        <w:rPr>
          <w:b/>
        </w:rPr>
        <w:fldChar w:fldCharType="end"/>
      </w:r>
    </w:p>
    <w:p w:rsidR="00B85286" w:rsidRPr="00AA56F9" w:rsidP="00BD2DF0" w14:paraId="4F4DCEB3" w14:textId="77777777">
      <w:pPr>
        <w:pStyle w:val="PageHeading"/>
        <w:widowControl/>
      </w:pPr>
      <w:r>
        <w:br w:type="page"/>
      </w:r>
      <w:r>
        <w:br w:type="page"/>
      </w:r>
      <w:bookmarkStart w:id="0" w:name="_Toc242088249"/>
      <w:r>
        <w:t>PROJET DE RÉSOLUTION LÉGISLATIVE DU PARLEMENT EUROPÉEN</w:t>
      </w:r>
      <w:bookmarkEnd w:id="0"/>
    </w:p>
    <w:p w:rsidR="00B85286" w:rsidRPr="00AA56F9" w:rsidP="00BD2DF0" w14:paraId="76FF7F6B" w14:textId="77777777">
      <w:pPr>
        <w:pStyle w:val="NormalBold"/>
        <w:widowControl/>
      </w:pPr>
      <w:r>
        <w:t xml:space="preserve">sur le projet de directive du Conseil modifiant la directive (UE) 2015/637 établissant les mesures de coordination et de coopération nécessaires pour faciliter la </w:t>
      </w:r>
      <w:r>
        <w:t>protection consulaire des citoyens de l’Union non représentés dans des pays tiers et la directive (UE) 2019/997 établissant un titre de voyage provisoire de l’Union européenne</w:t>
      </w:r>
    </w:p>
    <w:p w:rsidR="00B85286" w:rsidRPr="00AA56F9" w:rsidP="00BD2DF0" w14:paraId="42C81645" w14:textId="77777777">
      <w:pPr>
        <w:pStyle w:val="NormalBold12a"/>
        <w:widowControl/>
      </w:pPr>
      <w:r>
        <w:t>(05760/2026– C10</w:t>
      </w:r>
      <w:r>
        <w:noBreakHyphen/>
        <w:t>0027/2026 – 2023/0441(CNS))</w:t>
      </w:r>
    </w:p>
    <w:p w:rsidR="00B85286" w:rsidRPr="00AA56F9" w:rsidP="00BD2DF0" w14:paraId="110B2C36" w14:textId="77777777">
      <w:pPr>
        <w:pStyle w:val="NormalBold"/>
        <w:widowControl/>
      </w:pPr>
      <w:r>
        <w:t>(Procédure législative spéciale – consultation répétée)</w:t>
      </w:r>
    </w:p>
    <w:p w:rsidR="00B85286" w:rsidRPr="00AA56F9" w:rsidP="00BD2DF0" w14:paraId="74ABD09B" w14:textId="77777777">
      <w:pPr>
        <w:pStyle w:val="EPComma"/>
        <w:widowControl/>
      </w:pPr>
      <w:r>
        <w:rPr>
          <w:i/>
        </w:rPr>
        <w:t>Le Parlement européen</w:t>
      </w:r>
      <w:r>
        <w:t>,</w:t>
      </w:r>
    </w:p>
    <w:p w:rsidR="00B85286" w:rsidRPr="00AA56F9" w:rsidP="00BD2DF0" w14:paraId="7E6EC4F6" w14:textId="77777777">
      <w:pPr>
        <w:pStyle w:val="NormalHanging12a"/>
        <w:widowControl/>
      </w:pPr>
      <w:r>
        <w:t>–</w:t>
      </w:r>
      <w:r>
        <w:tab/>
        <w:t>vu le projet du Conseil (05760/2026),</w:t>
      </w:r>
    </w:p>
    <w:p w:rsidR="00FE09B9" w:rsidRPr="00AA56F9" w:rsidP="00BD2DF0" w14:paraId="7A871EE7" w14:textId="77777777">
      <w:pPr>
        <w:pStyle w:val="NormalHanging12a"/>
        <w:widowControl/>
      </w:pPr>
      <w:r>
        <w:t>–</w:t>
      </w:r>
      <w:r>
        <w:tab/>
        <w:t>vu la proposition de la Commission au Conseil (COM(2023)0930),</w:t>
      </w:r>
    </w:p>
    <w:p w:rsidR="00FE09B9" w:rsidRPr="00AA56F9" w:rsidP="00BD2DF0" w14:paraId="2CB988C4" w14:textId="77777777">
      <w:pPr>
        <w:pStyle w:val="NormalHanging12a"/>
        <w:widowControl/>
      </w:pPr>
      <w:r>
        <w:t>–</w:t>
      </w:r>
      <w:r>
        <w:tab/>
        <w:t>vu sa position du 24 avril 2024</w:t>
      </w:r>
      <w:r>
        <w:rPr>
          <w:rStyle w:val="FootnoteReference"/>
        </w:rPr>
        <w:footnoteReference w:id="2"/>
      </w:r>
      <w:r>
        <w:t>,</w:t>
      </w:r>
    </w:p>
    <w:p w:rsidR="00B85286" w:rsidRPr="00AA56F9" w:rsidP="00BD2DF0" w14:paraId="64C0A2FD" w14:textId="77777777">
      <w:pPr>
        <w:pStyle w:val="NormalHanging12a"/>
        <w:widowControl/>
      </w:pPr>
      <w:r>
        <w:t>–</w:t>
      </w:r>
      <w:r>
        <w:tab/>
        <w:t>vu l’article 23, paragraphe 2, du traité sur le fonctionnement de l’Union européenne, conformément auquel il a été consulté par le Conseil (C10</w:t>
      </w:r>
      <w:r>
        <w:noBreakHyphen/>
        <w:t>0027/2026),</w:t>
      </w:r>
    </w:p>
    <w:p w:rsidR="00B85286" w:rsidRPr="00AA56F9" w:rsidP="00BD2DF0" w14:paraId="4D39B14E" w14:textId="77777777">
      <w:pPr>
        <w:pStyle w:val="NormalHanging12a"/>
        <w:widowControl/>
      </w:pPr>
      <w:r>
        <w:t>–</w:t>
      </w:r>
      <w:r>
        <w:tab/>
        <w:t>vu les articles 84 et 86 de son règlement intérieur,</w:t>
      </w:r>
    </w:p>
    <w:p w:rsidR="008B06AE" w:rsidRPr="00AA56F9" w:rsidP="00BD2DF0" w14:paraId="3953DEAB" w14:textId="77777777">
      <w:pPr>
        <w:pStyle w:val="NormalHanging12a"/>
        <w:widowControl/>
      </w:pPr>
      <w:r>
        <w:t>–</w:t>
      </w:r>
      <w:r>
        <w:tab/>
        <w:t>vu l’avis de la commission des affaires étrangères,</w:t>
      </w:r>
    </w:p>
    <w:p w:rsidR="008B06AE" w:rsidRPr="00AA56F9" w:rsidP="00BD2DF0" w14:paraId="61921E16" w14:textId="77777777">
      <w:pPr>
        <w:pStyle w:val="NormalHanging12a"/>
        <w:widowControl/>
      </w:pPr>
      <w:r>
        <w:t>–</w:t>
      </w:r>
      <w:r>
        <w:tab/>
        <w:t>vu le rapport de la commission des libertés civiles, de la justice et des affaires intérieures (A10-0254/2026),</w:t>
      </w:r>
    </w:p>
    <w:p w:rsidR="00B85286" w:rsidRPr="00AA56F9" w:rsidP="00BD2DF0" w14:paraId="3D991546" w14:textId="77777777">
      <w:pPr>
        <w:pStyle w:val="NormalHanging12a"/>
        <w:widowControl/>
      </w:pPr>
      <w:r>
        <w:t>1.</w:t>
      </w:r>
      <w:r>
        <w:tab/>
        <w:t>approuve la proposition de la Commission telle qu’amendée;</w:t>
      </w:r>
    </w:p>
    <w:p w:rsidR="00B85286" w:rsidRPr="00AA56F9" w:rsidP="00BD2DF0" w14:paraId="34D1EBC2" w14:textId="77777777">
      <w:pPr>
        <w:pStyle w:val="NormalHanging12a"/>
        <w:widowControl/>
      </w:pPr>
      <w:r>
        <w:t>2.</w:t>
      </w:r>
      <w:r>
        <w:tab/>
        <w:t>invite la Commission à modifier en conséquence sa proposition, conformément à l’article 293, paragraphe 2, du traité sur le fonctionnement de l’Union européenne;</w:t>
      </w:r>
    </w:p>
    <w:p w:rsidR="00B85286" w:rsidRPr="00AA56F9" w:rsidP="00BD2DF0" w14:paraId="744E3655" w14:textId="77777777">
      <w:pPr>
        <w:pStyle w:val="NormalHanging12a"/>
        <w:widowControl/>
      </w:pPr>
      <w:r>
        <w:t>3.</w:t>
      </w:r>
      <w:r>
        <w:tab/>
        <w:t>invite le Conseil, s’il entend s’écarter du texte approuvé par le Parlement, à en informer celui-ci;</w:t>
      </w:r>
    </w:p>
    <w:p w:rsidR="00B85286" w:rsidRPr="00AA56F9" w:rsidP="00BD2DF0" w14:paraId="7787584E" w14:textId="77777777">
      <w:pPr>
        <w:pStyle w:val="NormalHanging12a"/>
        <w:widowControl/>
      </w:pPr>
      <w:r>
        <w:t>4.</w:t>
      </w:r>
      <w:r>
        <w:tab/>
        <w:t>demande au Conseil de le consulter à nouveau, s’il entend modifier de manière substantielle la proposition de la Commission;</w:t>
      </w:r>
    </w:p>
    <w:p w:rsidR="00B85286" w:rsidRPr="00AA56F9" w:rsidP="00BD2DF0" w14:paraId="1E53AB3D" w14:textId="77777777">
      <w:pPr>
        <w:pStyle w:val="NormalHanging12a"/>
        <w:widowControl/>
      </w:pPr>
      <w:r>
        <w:t>5.</w:t>
      </w:r>
      <w:r>
        <w:tab/>
        <w:t>charge sa Présidente de transmettre la position du Parlement au Conseil et à la Commission ainsi qu’aux parlements nationaux.</w:t>
      </w:r>
    </w:p>
    <w:p w:rsidR="00972165" w:rsidRPr="00825264" w:rsidP="00BD2DF0" w14:paraId="0ADD033A" w14:textId="77777777">
      <w:pPr>
        <w:widowControl/>
      </w:pPr>
    </w:p>
    <w:p w:rsidR="001667A3" w:rsidRPr="00AA56F9" w:rsidP="00BD2DF0" w14:paraId="5BD18729" w14:textId="77777777">
      <w:pPr>
        <w:widowControl/>
      </w:pPr>
      <w:r w:rsidRPr="00825264">
        <w:rPr>
          <w:rStyle w:val="HideTWBExt"/>
        </w:rPr>
        <w:t>&lt;RepeatBlock-Amend&gt;</w:t>
      </w:r>
    </w:p>
    <w:p w:rsidR="001667A3" w:rsidRPr="00AA56F9" w:rsidP="00BD2DF0" w14:paraId="103B077D" w14:textId="77777777">
      <w:pPr>
        <w:pStyle w:val="AmNumberTabs"/>
        <w:widowControl/>
      </w:pPr>
      <w:r w:rsidRPr="00825264">
        <w:rPr>
          <w:rStyle w:val="HideTWBExt"/>
          <w:b w:val="0"/>
        </w:rPr>
        <w:t>&lt;Amend&gt;</w:t>
      </w:r>
      <w:r>
        <w:t>Amendement</w:t>
      </w:r>
      <w:r>
        <w:tab/>
      </w:r>
      <w:r>
        <w:tab/>
      </w:r>
      <w:r w:rsidRPr="00825264">
        <w:rPr>
          <w:rStyle w:val="HideTWBExt"/>
          <w:b w:val="0"/>
        </w:rPr>
        <w:t>&lt;NumAm&gt;</w:t>
      </w:r>
      <w:r>
        <w:t>1</w:t>
      </w:r>
      <w:r w:rsidRPr="00825264">
        <w:rPr>
          <w:rStyle w:val="HideTWBExt"/>
          <w:b w:val="0"/>
        </w:rPr>
        <w:t>&lt;/NumAm&gt;</w:t>
      </w:r>
    </w:p>
    <w:p w:rsidR="001667A3" w:rsidRPr="00825264" w:rsidP="00BD2DF0" w14:paraId="439B06D9" w14:textId="77777777">
      <w:pPr>
        <w:widowControl/>
      </w:pPr>
    </w:p>
    <w:p w:rsidR="001667A3" w:rsidRPr="00AA56F9" w:rsidP="00BD2DF0" w14:paraId="2D6294C4"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39F1E631" w14:textId="77777777">
      <w:pPr>
        <w:pStyle w:val="NormalBold"/>
        <w:widowControl/>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F630D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1018A81E" w14:textId="77777777">
            <w:pPr>
              <w:keepNext/>
              <w:widowControl/>
            </w:pPr>
          </w:p>
        </w:tc>
      </w:tr>
      <w:tr w14:paraId="3EDB95B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BBD36F9" w14:textId="77777777">
            <w:pPr>
              <w:pStyle w:val="ColumnHeading"/>
              <w:keepNext/>
              <w:widowControl/>
            </w:pPr>
            <w:r>
              <w:t>Texte proposé par le Conseil</w:t>
            </w:r>
          </w:p>
        </w:tc>
        <w:tc>
          <w:tcPr>
            <w:tcW w:w="4876" w:type="dxa"/>
            <w:hideMark/>
          </w:tcPr>
          <w:p w:rsidR="001667A3" w:rsidRPr="00EC1ED7" w:rsidP="00BD2DF0" w14:paraId="14F2BA23" w14:textId="77777777">
            <w:pPr>
              <w:pStyle w:val="ColumnHeading"/>
              <w:keepNext/>
              <w:widowControl/>
            </w:pPr>
            <w:r>
              <w:t>Amendement</w:t>
            </w:r>
          </w:p>
        </w:tc>
      </w:tr>
      <w:tr w14:paraId="53E16801"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90BBF37" w14:textId="77777777">
            <w:pPr>
              <w:pStyle w:val="Normal6"/>
              <w:widowControl/>
            </w:pPr>
            <w:r>
              <w:t>(2)</w:t>
            </w:r>
            <w:r>
              <w:tab/>
              <w:t>Les crises entraînant des demandes de protection consulaire par des citoyens non représentés sont de plus en plus fréquentes et importantes</w:t>
            </w:r>
            <w:r>
              <w:rPr>
                <w:b/>
                <w:i/>
              </w:rPr>
              <w:t xml:space="preserve">. Tirant les enseignements de ces </w:t>
            </w:r>
            <w:r>
              <w:rPr>
                <w:b/>
                <w:i/>
              </w:rPr>
              <w:t>expériences et afin de simplifier les procédures pour les citoyens non représentés et les autorités consulaires</w:t>
            </w:r>
            <w:r>
              <w:t xml:space="preserve">, </w:t>
            </w:r>
            <w:r>
              <w:rPr>
                <w:b/>
                <w:i/>
              </w:rPr>
              <w:t>il convient de mettre à jour et de rationaliser</w:t>
            </w:r>
            <w:r>
              <w:t xml:space="preserve"> les </w:t>
            </w:r>
            <w:r>
              <w:rPr>
                <w:b/>
                <w:i/>
              </w:rPr>
              <w:t>règles et procédures prévues dans la directive (UE) 2015/637 afin d’améliorer l’efficacité de la protection consulaire octroyée aux</w:t>
            </w:r>
            <w:r>
              <w:t xml:space="preserve"> citoyens de l’Union </w:t>
            </w:r>
            <w:r>
              <w:rPr>
                <w:b/>
                <w:i/>
              </w:rPr>
              <w:t>non représentés, en particulier dans les situations</w:t>
            </w:r>
            <w:r>
              <w:t xml:space="preserve"> de </w:t>
            </w:r>
            <w:r>
              <w:rPr>
                <w:b/>
                <w:i/>
              </w:rPr>
              <w:t>crise. Il convient d’utiliser au mieux les ressources disponibles au niveau des États membres et de l’Union, tant au niveau local dans les p</w:t>
            </w:r>
            <w:r>
              <w:rPr>
                <w:b/>
                <w:i/>
              </w:rPr>
              <w:t>ays tiers qu’au niveau des capitales</w:t>
            </w:r>
            <w:r>
              <w:t>.</w:t>
            </w:r>
          </w:p>
        </w:tc>
        <w:tc>
          <w:tcPr>
            <w:tcW w:w="4876" w:type="dxa"/>
            <w:hideMark/>
          </w:tcPr>
          <w:p w:rsidR="001667A3" w:rsidRPr="00AA56F9" w:rsidP="00BD2DF0" w14:paraId="22B34EC4" w14:textId="77777777">
            <w:pPr>
              <w:pStyle w:val="Normal6"/>
              <w:widowControl/>
              <w:rPr>
                <w:szCs w:val="24"/>
              </w:rPr>
            </w:pPr>
            <w:r>
              <w:t>(2)</w:t>
            </w:r>
            <w:r>
              <w:tab/>
              <w:t xml:space="preserve">Les crises </w:t>
            </w:r>
            <w:r>
              <w:rPr>
                <w:b/>
                <w:i/>
              </w:rPr>
              <w:t>de toutes sortes</w:t>
            </w:r>
            <w:r>
              <w:t xml:space="preserve"> entraînant des demandes de protection consulaire par des citoyens non représentés sont de plus en plus fréquentes et importantes, </w:t>
            </w:r>
            <w:r>
              <w:rPr>
                <w:b/>
                <w:i/>
              </w:rPr>
              <w:t>ce qui aura des répercussions directes sur</w:t>
            </w:r>
            <w:r>
              <w:t xml:space="preserve"> les citoyens de l’Union </w:t>
            </w:r>
            <w:r>
              <w:rPr>
                <w:b/>
                <w:i/>
              </w:rPr>
              <w:t>qui résident</w:t>
            </w:r>
            <w:r>
              <w:t xml:space="preserve"> de </w:t>
            </w:r>
            <w:r>
              <w:rPr>
                <w:b/>
                <w:i/>
              </w:rPr>
              <w:t>manière temporaire ou permanente à l’étranger</w:t>
            </w:r>
            <w:r>
              <w:t>.</w:t>
            </w:r>
          </w:p>
        </w:tc>
      </w:tr>
    </w:tbl>
    <w:p w:rsidR="001667A3" w:rsidRPr="00AA56F9" w:rsidP="00BD2DF0" w14:paraId="095FCE0D" w14:textId="77777777">
      <w:pPr>
        <w:widowControl/>
      </w:pPr>
      <w:r w:rsidRPr="00825264">
        <w:rPr>
          <w:rStyle w:val="HideTWBExt"/>
        </w:rPr>
        <w:t>&lt;/Amend&gt;</w:t>
      </w:r>
    </w:p>
    <w:p w:rsidR="001667A3" w:rsidRPr="00AA56F9" w:rsidP="00BD2DF0" w14:paraId="3B707A7A" w14:textId="77777777">
      <w:pPr>
        <w:pStyle w:val="AmNumberTabs"/>
        <w:widowControl/>
      </w:pPr>
      <w:r w:rsidRPr="00825264">
        <w:rPr>
          <w:rStyle w:val="HideTWBExt"/>
          <w:b w:val="0"/>
        </w:rPr>
        <w:t>&lt;Amend&gt;</w:t>
      </w:r>
      <w:r>
        <w:t>Amendement</w:t>
      </w:r>
      <w:r>
        <w:tab/>
      </w:r>
      <w:r>
        <w:tab/>
      </w:r>
      <w:r w:rsidRPr="00825264">
        <w:rPr>
          <w:rStyle w:val="HideTWBExt"/>
          <w:b w:val="0"/>
        </w:rPr>
        <w:t>&lt;NumAm&gt;</w:t>
      </w:r>
      <w:r>
        <w:t>2</w:t>
      </w:r>
      <w:r w:rsidRPr="00825264">
        <w:rPr>
          <w:rStyle w:val="HideTWBExt"/>
          <w:b w:val="0"/>
        </w:rPr>
        <w:t>&lt;/NumAm&gt;</w:t>
      </w:r>
    </w:p>
    <w:p w:rsidR="001667A3" w:rsidRPr="00825264" w:rsidP="00BD2DF0" w14:paraId="6517652C" w14:textId="77777777">
      <w:pPr>
        <w:widowControl/>
      </w:pPr>
    </w:p>
    <w:p w:rsidR="001667A3" w:rsidRPr="00AA56F9" w:rsidP="00BD2DF0" w14:paraId="4D91346E"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56954BEE" w14:textId="77777777">
      <w:pPr>
        <w:pStyle w:val="NormalBold"/>
        <w:widowControl/>
      </w:pPr>
      <w:r>
        <w:rPr>
          <w:rStyle w:val="HideTWBExt"/>
          <w:b w:val="0"/>
        </w:rPr>
        <w:t>&lt;Article&gt;</w:t>
      </w:r>
      <w:r>
        <w:t>Considérant 2 bis (nouveau)</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2E615F"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388EDFD9" w14:textId="77777777">
            <w:pPr>
              <w:keepNext/>
              <w:widowControl/>
            </w:pPr>
          </w:p>
        </w:tc>
      </w:tr>
      <w:tr w14:paraId="62F6433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A5A55AC" w14:textId="77777777">
            <w:pPr>
              <w:pStyle w:val="ColumnHeading"/>
              <w:keepNext/>
              <w:widowControl/>
            </w:pPr>
            <w:r>
              <w:t>Texte proposé par le Conseil</w:t>
            </w:r>
          </w:p>
        </w:tc>
        <w:tc>
          <w:tcPr>
            <w:tcW w:w="4876" w:type="dxa"/>
            <w:hideMark/>
          </w:tcPr>
          <w:p w:rsidR="001667A3" w:rsidRPr="00EC1ED7" w:rsidP="00BD2DF0" w14:paraId="7695915B" w14:textId="77777777">
            <w:pPr>
              <w:pStyle w:val="ColumnHeading"/>
              <w:keepNext/>
              <w:widowControl/>
            </w:pPr>
            <w:r>
              <w:t>Amendement</w:t>
            </w:r>
          </w:p>
        </w:tc>
      </w:tr>
      <w:tr w14:paraId="2F520B85"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1C7DC298" w14:textId="77777777">
            <w:pPr>
              <w:pStyle w:val="Normal6"/>
              <w:widowControl/>
            </w:pPr>
          </w:p>
        </w:tc>
        <w:tc>
          <w:tcPr>
            <w:tcW w:w="4876" w:type="dxa"/>
            <w:hideMark/>
          </w:tcPr>
          <w:p w:rsidR="001667A3" w:rsidRPr="00AA56F9" w:rsidP="00BD2DF0" w14:paraId="1F9EEF60" w14:textId="77777777">
            <w:pPr>
              <w:pStyle w:val="Normal6"/>
              <w:widowControl/>
              <w:rPr>
                <w:szCs w:val="24"/>
              </w:rPr>
            </w:pPr>
            <w:r>
              <w:rPr>
                <w:b/>
                <w:i/>
              </w:rPr>
              <w:t>(2 bis)</w:t>
            </w:r>
            <w:r>
              <w:rPr>
                <w:b/>
                <w:i/>
              </w:rPr>
              <w:tab/>
              <w:t>En s’appuyant sur des exemples récents de gestion réussie de crises et de situations d’urgence par les États membres, représentés ou non, avec le soutien des délégations, du mécanisme de protection civile et d’autres organes de l’Union, il convient de mettre à jour la directive (UE) 2015/637 afin de prendre en compte les outils de coordination qui ont été effectivement déployés depuis son entrée en vigueur et les besoins apparus depuis lors, et de mettre en place la base juridique nécessaire.</w:t>
            </w:r>
          </w:p>
        </w:tc>
      </w:tr>
    </w:tbl>
    <w:p w:rsidR="001667A3" w:rsidRPr="00AA56F9" w:rsidP="00BD2DF0" w14:paraId="7990B864" w14:textId="77777777">
      <w:pPr>
        <w:widowControl/>
      </w:pPr>
      <w:r w:rsidRPr="00825264">
        <w:rPr>
          <w:rStyle w:val="HideTWBExt"/>
        </w:rPr>
        <w:t>&lt;/Amend&gt;</w:t>
      </w:r>
    </w:p>
    <w:p w:rsidR="001667A3" w:rsidRPr="00AA56F9" w:rsidP="00BD2DF0" w14:paraId="3FFED4AE" w14:textId="77777777">
      <w:pPr>
        <w:pStyle w:val="AmNumberTabs"/>
        <w:widowControl/>
      </w:pPr>
      <w:r w:rsidRPr="00825264">
        <w:rPr>
          <w:rStyle w:val="HideTWBExt"/>
          <w:b w:val="0"/>
        </w:rPr>
        <w:t>&lt;Amend&gt;</w:t>
      </w:r>
      <w:r>
        <w:t>Amendement</w:t>
      </w:r>
      <w:r>
        <w:tab/>
      </w:r>
      <w:r>
        <w:tab/>
      </w:r>
      <w:r w:rsidRPr="00825264">
        <w:rPr>
          <w:rStyle w:val="HideTWBExt"/>
          <w:b w:val="0"/>
        </w:rPr>
        <w:t>&lt;NumAm&gt;</w:t>
      </w:r>
      <w:r>
        <w:t>3</w:t>
      </w:r>
      <w:r w:rsidRPr="00825264">
        <w:rPr>
          <w:rStyle w:val="HideTWBExt"/>
          <w:b w:val="0"/>
        </w:rPr>
        <w:t>&lt;/NumAm&gt;</w:t>
      </w:r>
    </w:p>
    <w:p w:rsidR="001667A3" w:rsidRPr="00AA56F9" w:rsidP="00BD2DF0" w14:paraId="2E31F6E5" w14:textId="77777777">
      <w:pPr>
        <w:pStyle w:val="NormalBold12b"/>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4DD9874E" w14:textId="77777777">
      <w:pPr>
        <w:pStyle w:val="NormalBold"/>
        <w:widowControl/>
      </w:pPr>
      <w:r>
        <w:rPr>
          <w:rStyle w:val="HideTWBExt"/>
          <w:b w:val="0"/>
        </w:rPr>
        <w:t>&lt;Article&gt;</w:t>
      </w:r>
      <w:r>
        <w:t>Considérant 2 ter (nouveau)</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7088A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2D28AC8E" w14:textId="77777777">
            <w:pPr>
              <w:keepNext/>
              <w:widowControl/>
            </w:pPr>
          </w:p>
        </w:tc>
      </w:tr>
      <w:tr w14:paraId="5AA1AE9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5437F418" w14:textId="77777777">
            <w:pPr>
              <w:pStyle w:val="ColumnHeading"/>
              <w:keepNext/>
              <w:widowControl/>
            </w:pPr>
            <w:r>
              <w:t>Texte proposé par le Conseil</w:t>
            </w:r>
          </w:p>
        </w:tc>
        <w:tc>
          <w:tcPr>
            <w:tcW w:w="4876" w:type="dxa"/>
            <w:hideMark/>
          </w:tcPr>
          <w:p w:rsidR="001667A3" w:rsidRPr="00EC1ED7" w:rsidP="00BD2DF0" w14:paraId="019C0CBF" w14:textId="77777777">
            <w:pPr>
              <w:pStyle w:val="ColumnHeading"/>
              <w:keepNext/>
              <w:widowControl/>
            </w:pPr>
            <w:r>
              <w:t>Amendement</w:t>
            </w:r>
          </w:p>
        </w:tc>
      </w:tr>
      <w:tr w14:paraId="5C9FD951"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07B2A67B" w14:textId="77777777">
            <w:pPr>
              <w:pStyle w:val="Normal6"/>
              <w:widowControl/>
            </w:pPr>
          </w:p>
        </w:tc>
        <w:tc>
          <w:tcPr>
            <w:tcW w:w="4876" w:type="dxa"/>
            <w:hideMark/>
          </w:tcPr>
          <w:p w:rsidR="001667A3" w:rsidRPr="00AA56F9" w:rsidP="00BD2DF0" w14:paraId="6BA9654B" w14:textId="77777777">
            <w:pPr>
              <w:pStyle w:val="Normal6"/>
              <w:widowControl/>
              <w:rPr>
                <w:szCs w:val="24"/>
              </w:rPr>
            </w:pPr>
            <w:r>
              <w:rPr>
                <w:b/>
                <w:i/>
              </w:rPr>
              <w:t>(2 ter)</w:t>
            </w:r>
            <w:r>
              <w:rPr>
                <w:b/>
                <w:i/>
              </w:rPr>
              <w:tab/>
              <w:t xml:space="preserve">Dans le but de simplifier les procédures pour les </w:t>
            </w:r>
            <w:r>
              <w:rPr>
                <w:b/>
                <w:i/>
              </w:rPr>
              <w:t>citoyens non représentés et les autorités consulaires, d’améliorer l’efficacité de la protection consulaire, en particulier dans les situations de crise, et de renforcer les capacités de réaction de l’Union européenne, les règles et procédures de la directive (UE) 2015/637 devraient également être mises à jour et rationalisées. Il convient d’utiliser au mieux les ressources disponibles au niveau des États membres et de l’Union, tant sur le terrain dans les pays tiers que dans leurs capitales.</w:t>
            </w:r>
          </w:p>
        </w:tc>
      </w:tr>
    </w:tbl>
    <w:p w:rsidR="001667A3" w:rsidRPr="00AA56F9" w:rsidP="00BD2DF0" w14:paraId="7B60E7FE" w14:textId="77777777">
      <w:pPr>
        <w:widowControl/>
      </w:pPr>
      <w:r w:rsidRPr="00825264">
        <w:rPr>
          <w:rStyle w:val="HideTWBExt"/>
        </w:rPr>
        <w:t>&lt;/Amend&gt;</w:t>
      </w:r>
    </w:p>
    <w:p w:rsidR="001667A3" w:rsidRPr="00AA56F9" w:rsidP="00BD2DF0" w14:paraId="4FB0E6DF" w14:textId="77777777">
      <w:pPr>
        <w:pStyle w:val="AmNumberTabs"/>
        <w:widowControl/>
      </w:pPr>
      <w:r w:rsidRPr="00825264">
        <w:rPr>
          <w:rStyle w:val="HideTWBExt"/>
          <w:b w:val="0"/>
        </w:rPr>
        <w:t>&lt;Amend&gt;</w:t>
      </w:r>
      <w:r>
        <w:t>Amendement</w:t>
      </w:r>
      <w:r>
        <w:tab/>
      </w:r>
      <w:r>
        <w:tab/>
      </w:r>
      <w:r w:rsidRPr="00825264">
        <w:rPr>
          <w:rStyle w:val="HideTWBExt"/>
          <w:b w:val="0"/>
        </w:rPr>
        <w:t>&lt;NumAm&gt;</w:t>
      </w:r>
      <w:r>
        <w:t>4</w:t>
      </w:r>
      <w:r w:rsidRPr="00825264">
        <w:rPr>
          <w:rStyle w:val="HideTWBExt"/>
          <w:b w:val="0"/>
        </w:rPr>
        <w:t>&lt;/NumAm&gt;</w:t>
      </w:r>
    </w:p>
    <w:p w:rsidR="001667A3" w:rsidRPr="00825264" w:rsidP="00BD2DF0" w14:paraId="5095CC8E" w14:textId="77777777">
      <w:pPr>
        <w:widowControl/>
      </w:pPr>
    </w:p>
    <w:p w:rsidR="001667A3" w:rsidRPr="00AA56F9" w:rsidP="00BD2DF0" w14:paraId="1DD551BC"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1BAD4D3A" w14:textId="77777777">
      <w:pPr>
        <w:pStyle w:val="NormalBold"/>
        <w:widowControl/>
      </w:pPr>
      <w:r>
        <w:rPr>
          <w:rStyle w:val="HideTWBExt"/>
          <w:b w:val="0"/>
        </w:rPr>
        <w:t>&lt;Article&gt;</w:t>
      </w:r>
      <w:r>
        <w:t>Considérant 3 bis (nouveau)</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F47DAE"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627858D3" w14:textId="77777777">
            <w:pPr>
              <w:keepNext/>
              <w:widowControl/>
            </w:pPr>
          </w:p>
        </w:tc>
      </w:tr>
      <w:tr w14:paraId="682701BF"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67864CAF" w14:textId="77777777">
            <w:pPr>
              <w:pStyle w:val="ColumnHeading"/>
              <w:keepNext/>
              <w:widowControl/>
            </w:pPr>
            <w:r>
              <w:t>Texte proposé par le Conseil</w:t>
            </w:r>
          </w:p>
        </w:tc>
        <w:tc>
          <w:tcPr>
            <w:tcW w:w="4876" w:type="dxa"/>
            <w:hideMark/>
          </w:tcPr>
          <w:p w:rsidR="001667A3" w:rsidRPr="00EC1ED7" w:rsidP="00BD2DF0" w14:paraId="2638B290" w14:textId="77777777">
            <w:pPr>
              <w:pStyle w:val="ColumnHeading"/>
              <w:keepNext/>
              <w:widowControl/>
            </w:pPr>
            <w:r>
              <w:t>Amendement</w:t>
            </w:r>
          </w:p>
        </w:tc>
      </w:tr>
      <w:tr w14:paraId="4BD27FBC"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3B7AE882" w14:textId="77777777">
            <w:pPr>
              <w:pStyle w:val="Normal6"/>
              <w:widowControl/>
            </w:pPr>
          </w:p>
        </w:tc>
        <w:tc>
          <w:tcPr>
            <w:tcW w:w="4876" w:type="dxa"/>
            <w:hideMark/>
          </w:tcPr>
          <w:p w:rsidR="001667A3" w:rsidRPr="00AA56F9" w:rsidP="00BD2DF0" w14:paraId="7536A12F" w14:textId="77777777">
            <w:pPr>
              <w:pStyle w:val="Normal6"/>
              <w:widowControl/>
              <w:rPr>
                <w:szCs w:val="24"/>
              </w:rPr>
            </w:pPr>
            <w:r>
              <w:rPr>
                <w:b/>
                <w:i/>
              </w:rPr>
              <w:t>(3 bis)</w:t>
            </w:r>
            <w:r>
              <w:rPr>
                <w:b/>
                <w:i/>
              </w:rPr>
              <w:tab/>
              <w:t xml:space="preserve">Que ce soit à la suite de l’exécution de ces arrangements et de cadres </w:t>
            </w:r>
            <w:r>
              <w:rPr>
                <w:b/>
                <w:i/>
              </w:rPr>
              <w:t>communs de préparation ou non, les États membres et les délégations de l’Union, agissant sur demande et au nom d’un État membre, devraient s’efforcer d’automatiser autant que possible l’identification des citoyens non représentés, en utilisant des critères garantissant que la durée du processus d’identification ne fasse jamais obstacle à l’octroi d’une protection. Un délai de 48 heures pour qu’un citoyen puisse se rendre en toute sécurité à l’ambassade ou au consulat de l’État membre dont il a la nationalit</w:t>
            </w:r>
            <w:r>
              <w:rPr>
                <w:b/>
                <w:i/>
              </w:rPr>
              <w:t xml:space="preserve">é ou être contacté par ceux-ci, ou moins si les circonstances locales rendent ce contact dangereux ou </w:t>
            </w:r>
            <w:r>
              <w:rPr>
                <w:b/>
                <w:i/>
              </w:rPr>
              <w:t>impossible pour le citoyen, devrait donc être appliqué afin d’identifier efficacement les citoyens de l’Union non représentés.</w:t>
            </w:r>
          </w:p>
        </w:tc>
      </w:tr>
    </w:tbl>
    <w:p w:rsidR="001667A3" w:rsidRPr="00AA56F9" w:rsidP="00BD2DF0" w14:paraId="657B2C48" w14:textId="77777777">
      <w:pPr>
        <w:widowControl/>
      </w:pPr>
      <w:r w:rsidRPr="00825264">
        <w:rPr>
          <w:rStyle w:val="HideTWBExt"/>
        </w:rPr>
        <w:t>&lt;/Amend&gt;</w:t>
      </w:r>
    </w:p>
    <w:p w:rsidR="001667A3" w:rsidRPr="00AA56F9" w:rsidP="00BD2DF0" w14:paraId="415EAFF5" w14:textId="77777777">
      <w:pPr>
        <w:pStyle w:val="AmNumberTabs"/>
        <w:widowControl/>
      </w:pPr>
      <w:r w:rsidRPr="00825264">
        <w:rPr>
          <w:rStyle w:val="HideTWBExt"/>
          <w:b w:val="0"/>
        </w:rPr>
        <w:t>&lt;Amend&gt;</w:t>
      </w:r>
      <w:r>
        <w:t>Amendement</w:t>
      </w:r>
      <w:r>
        <w:tab/>
      </w:r>
      <w:r>
        <w:tab/>
      </w:r>
      <w:r w:rsidRPr="00825264">
        <w:rPr>
          <w:rStyle w:val="HideTWBExt"/>
          <w:b w:val="0"/>
        </w:rPr>
        <w:t>&lt;NumAm&gt;</w:t>
      </w:r>
      <w:r>
        <w:t>5</w:t>
      </w:r>
      <w:r w:rsidRPr="00825264">
        <w:rPr>
          <w:rStyle w:val="HideTWBExt"/>
          <w:b w:val="0"/>
        </w:rPr>
        <w:t>&lt;/NumAm&gt;</w:t>
      </w:r>
    </w:p>
    <w:p w:rsidR="001667A3" w:rsidRPr="00825264" w:rsidP="00BD2DF0" w14:paraId="68910FC3" w14:textId="77777777">
      <w:pPr>
        <w:widowControl/>
      </w:pPr>
    </w:p>
    <w:p w:rsidR="001667A3" w:rsidRPr="00AA56F9" w:rsidP="00BD2DF0" w14:paraId="201689CD"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1BB14EC6" w14:textId="77777777">
      <w:pPr>
        <w:pStyle w:val="NormalBold"/>
        <w:widowControl/>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DD032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7C27B879" w14:textId="77777777">
            <w:pPr>
              <w:keepNext/>
              <w:widowControl/>
            </w:pPr>
          </w:p>
        </w:tc>
      </w:tr>
      <w:tr w14:paraId="15C528A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BCEB920" w14:textId="77777777">
            <w:pPr>
              <w:pStyle w:val="ColumnHeading"/>
              <w:keepNext/>
              <w:widowControl/>
            </w:pPr>
            <w:r>
              <w:t>Texte proposé par le Conseil</w:t>
            </w:r>
          </w:p>
        </w:tc>
        <w:tc>
          <w:tcPr>
            <w:tcW w:w="4876" w:type="dxa"/>
            <w:hideMark/>
          </w:tcPr>
          <w:p w:rsidR="001667A3" w:rsidRPr="00EC1ED7" w:rsidP="00BD2DF0" w14:paraId="34A0BED1" w14:textId="77777777">
            <w:pPr>
              <w:pStyle w:val="ColumnHeading"/>
              <w:keepNext/>
              <w:widowControl/>
            </w:pPr>
            <w:r>
              <w:t>Amendement</w:t>
            </w:r>
          </w:p>
        </w:tc>
      </w:tr>
      <w:tr w14:paraId="74161BB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47B44DA7" w14:textId="77777777">
            <w:pPr>
              <w:pStyle w:val="Normal6"/>
              <w:widowControl/>
            </w:pPr>
            <w:r>
              <w:t>(8)</w:t>
            </w:r>
            <w:r>
              <w:tab/>
            </w:r>
            <w:r>
              <w:t>Afin d’assurer l’efficacité du droit à la protection consulaire énoncé à l’article 20, paragraphe 2, point c), du TFUE, et notamment de garantir la préparation à d’éventuelles crises consulaires nécessitant la fourniture d’une assistance à des citoyens non représentés, la coopération consulaire locale entre les États membres dans les pays tiers, appuyée par les délégations de l’Union, devrait inclure des échanges sur des questions ayant trait à ces citoyens, telles que l’établissement de cadres d’urgence co</w:t>
            </w:r>
            <w:r>
              <w:t xml:space="preserve">nsulaires conjoints </w:t>
            </w:r>
            <w:r>
              <w:rPr>
                <w:b/>
                <w:i/>
              </w:rPr>
              <w:t>et l’organisation d’exercices</w:t>
            </w:r>
            <w:r>
              <w:t xml:space="preserve"> consulaires. Dans ce contexte, il peut être particulièrement pertinent que les autorités consulaires des États membres non représentés soient associées à cette coopération consulaire locale lors de la coordination de la préparation et de la réaction aux crises consulaires. Ces échanges pourraient se dérouler dans le cadre des structures de coopération consulaire locale existantes, parallèlement aux échanges entre les États membres, dans l’exercice de leur co</w:t>
            </w:r>
            <w:r>
              <w:t>mpétence, sur d’autres questions consulaires ou locales.</w:t>
            </w:r>
          </w:p>
        </w:tc>
        <w:tc>
          <w:tcPr>
            <w:tcW w:w="4876" w:type="dxa"/>
            <w:hideMark/>
          </w:tcPr>
          <w:p w:rsidR="001667A3" w:rsidRPr="00AA56F9" w:rsidP="00BD2DF0" w14:paraId="6B13DD1A" w14:textId="77777777">
            <w:pPr>
              <w:pStyle w:val="Normal6"/>
              <w:widowControl/>
              <w:rPr>
                <w:szCs w:val="24"/>
              </w:rPr>
            </w:pPr>
            <w:r>
              <w:t>(8)</w:t>
            </w:r>
            <w:r>
              <w:tab/>
              <w:t>Afin d’assurer l’efficacité du droit à la protection consulaire énoncé à l’article 20, paragraphe 2, point c), du TFUE, et notamment de garantir la préparation à d’éventuelles crises consulaires nécessitant la fourniture d’une assistance à des citoyens non représentés, la coopération consulaire locale entre les États membres dans les pays tiers, appuyée par les délégations de l’Union, devrait inclure des échanges sur des questions ayant trait à ces citoyens, telles que l’établissement de cadres d’urgence c</w:t>
            </w:r>
            <w:r>
              <w:t>onsulaires conjoints.</w:t>
            </w:r>
            <w:r>
              <w:rPr>
                <w:b/>
                <w:i/>
              </w:rPr>
              <w:t xml:space="preserve"> Ces cadres devraient toujours inclure des mécanismes ou des dispositifs opérationnels et être testés au moins une fois par an en organisant des exercices</w:t>
            </w:r>
            <w:r>
              <w:t xml:space="preserve"> consulaires. Dans ce contexte, il peut être particulièrement pertinent que les autorités consulaires des États membres non représentés soient associées à cette coopération consulaire locale lors de la coordination de la préparation et de la réaction aux crises consulaires. Ces échanges pourraient se dérouler dans le cadre des structur</w:t>
            </w:r>
            <w:r>
              <w:t>es de coopération consulaire locale existantes, parallèlement aux échanges entre les États membres, dans l’exercice de leur compétence, sur d’autres questions consulaires ou locales.</w:t>
            </w:r>
          </w:p>
        </w:tc>
      </w:tr>
    </w:tbl>
    <w:p w:rsidR="001667A3" w:rsidRPr="00AA56F9" w:rsidP="00BD2DF0" w14:paraId="0F3128D9" w14:textId="77777777">
      <w:pPr>
        <w:widowControl/>
      </w:pPr>
      <w:r w:rsidRPr="00825264">
        <w:rPr>
          <w:rStyle w:val="HideTWBExt"/>
        </w:rPr>
        <w:t>&lt;/Amend&gt;</w:t>
      </w:r>
    </w:p>
    <w:p w:rsidR="001667A3" w:rsidRPr="00AA56F9" w:rsidP="00BD2DF0" w14:paraId="6BF8D4B0" w14:textId="77777777">
      <w:pPr>
        <w:pStyle w:val="AmNumberTabs"/>
        <w:widowControl/>
      </w:pPr>
      <w:r w:rsidRPr="00825264">
        <w:rPr>
          <w:rStyle w:val="HideTWBExt"/>
          <w:b w:val="0"/>
        </w:rPr>
        <w:t>&lt;Amend&gt;</w:t>
      </w:r>
      <w:r>
        <w:t>Amendement</w:t>
      </w:r>
      <w:r>
        <w:tab/>
      </w:r>
      <w:r>
        <w:tab/>
      </w:r>
      <w:r w:rsidRPr="00825264">
        <w:rPr>
          <w:rStyle w:val="HideTWBExt"/>
          <w:b w:val="0"/>
        </w:rPr>
        <w:t>&lt;NumAm&gt;</w:t>
      </w:r>
      <w:r>
        <w:t>6</w:t>
      </w:r>
      <w:r w:rsidRPr="00825264">
        <w:rPr>
          <w:rStyle w:val="HideTWBExt"/>
          <w:b w:val="0"/>
        </w:rPr>
        <w:t>&lt;/NumAm&gt;</w:t>
      </w:r>
    </w:p>
    <w:p w:rsidR="001667A3" w:rsidRPr="00825264" w:rsidP="00BD2DF0" w14:paraId="44044532" w14:textId="77777777">
      <w:pPr>
        <w:widowControl/>
      </w:pPr>
    </w:p>
    <w:p w:rsidR="001667A3" w:rsidRPr="00AA56F9" w:rsidP="00BD2DF0" w14:paraId="72DF604F"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7E7EAC09" w14:textId="77777777">
      <w:pPr>
        <w:pStyle w:val="NormalBold"/>
        <w:widowControl/>
      </w:pPr>
      <w:r>
        <w:rPr>
          <w:rStyle w:val="HideTWBExt"/>
          <w:b w:val="0"/>
        </w:rPr>
        <w:t>&lt;Article&gt;</w:t>
      </w:r>
      <w:r>
        <w:t>Considérant 12</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D778EA"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5C9AC07E" w14:textId="77777777">
            <w:pPr>
              <w:keepNext/>
              <w:widowControl/>
            </w:pPr>
          </w:p>
        </w:tc>
      </w:tr>
      <w:tr w14:paraId="0DA1065F"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60468C5C" w14:textId="77777777">
            <w:pPr>
              <w:pStyle w:val="ColumnHeading"/>
              <w:keepNext/>
              <w:widowControl/>
            </w:pPr>
            <w:r>
              <w:t>Texte proposé par le Conseil</w:t>
            </w:r>
          </w:p>
        </w:tc>
        <w:tc>
          <w:tcPr>
            <w:tcW w:w="4876" w:type="dxa"/>
            <w:hideMark/>
          </w:tcPr>
          <w:p w:rsidR="001667A3" w:rsidRPr="00EC1ED7" w:rsidP="00BD2DF0" w14:paraId="0D83A015" w14:textId="77777777">
            <w:pPr>
              <w:pStyle w:val="ColumnHeading"/>
              <w:keepNext/>
              <w:widowControl/>
            </w:pPr>
            <w:r>
              <w:t>Amendement</w:t>
            </w:r>
          </w:p>
        </w:tc>
      </w:tr>
      <w:tr w14:paraId="39F3A52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57E1B96" w14:textId="77777777">
            <w:pPr>
              <w:pStyle w:val="Normal6"/>
              <w:widowControl/>
            </w:pPr>
            <w:r>
              <w:t>(12)</w:t>
            </w:r>
            <w:r>
              <w:tab/>
            </w:r>
            <w:r>
              <w:t xml:space="preserve">Dans le contexte de la coopération consulaire locale, les cadres d’urgence consulaires conjoints devraient être réexaminés </w:t>
            </w:r>
            <w:r>
              <w:rPr>
                <w:b/>
                <w:i/>
              </w:rPr>
              <w:t>régulièrement</w:t>
            </w:r>
            <w:r>
              <w:t xml:space="preserve"> et </w:t>
            </w:r>
            <w:r>
              <w:rPr>
                <w:b/>
                <w:i/>
              </w:rPr>
              <w:t>mis à jour si nécessaire</w:t>
            </w:r>
            <w:r>
              <w:t xml:space="preserve">, </w:t>
            </w:r>
            <w:r>
              <w:rPr>
                <w:b/>
                <w:i/>
              </w:rPr>
              <w:t>notamment</w:t>
            </w:r>
            <w:r>
              <w:t xml:space="preserve"> sur la base des conclusions des exercices consulaires. Les cadres d’urgence consulaires conjoints pourraient également contenir des dispositions spécifiques relatives au rôle des États membres, telles que la décision d’un groupe d’États membres de renforcer leur coopération à des fins de préparation ou de réaction aux crises de manièr</w:t>
            </w:r>
            <w:r>
              <w:t>e à assurer une coordination efficace de l’assistance consulaire. Dans le même temps, les cadres d’urgence consulaires conjoints ne devraient pas être interprétés comme remplaçant les plans de crise nationaux existants des États membres ou comme portant atteinte à leur responsabilité de fournir une assistance consulaire à leurs propres ressortissants.</w:t>
            </w:r>
          </w:p>
        </w:tc>
        <w:tc>
          <w:tcPr>
            <w:tcW w:w="4876" w:type="dxa"/>
            <w:hideMark/>
          </w:tcPr>
          <w:p w:rsidR="001667A3" w:rsidRPr="00AA56F9" w:rsidP="00BD2DF0" w14:paraId="01F548B9" w14:textId="77777777">
            <w:pPr>
              <w:pStyle w:val="Normal6"/>
              <w:widowControl/>
              <w:rPr>
                <w:szCs w:val="24"/>
              </w:rPr>
            </w:pPr>
            <w:r>
              <w:t>(12)</w:t>
            </w:r>
            <w:r>
              <w:tab/>
              <w:t xml:space="preserve">Dans le contexte de la coopération consulaire locale, les cadres d’urgence consulaires conjoints devraient être réexaminés </w:t>
            </w:r>
            <w:r>
              <w:rPr>
                <w:b/>
                <w:i/>
              </w:rPr>
              <w:t>aussi souvent que les circonstances locales l’exigent</w:t>
            </w:r>
            <w:r>
              <w:t xml:space="preserve"> et</w:t>
            </w:r>
            <w:r>
              <w:rPr>
                <w:b/>
                <w:i/>
              </w:rPr>
              <w:t>, en tout état de cause</w:t>
            </w:r>
            <w:r>
              <w:t xml:space="preserve">, </w:t>
            </w:r>
            <w:r>
              <w:rPr>
                <w:b/>
                <w:i/>
              </w:rPr>
              <w:t>au moins une fois par an,</w:t>
            </w:r>
            <w:r>
              <w:t xml:space="preserve"> sur la base des conclusions des exercices consulaires </w:t>
            </w:r>
            <w:r>
              <w:rPr>
                <w:b/>
                <w:i/>
              </w:rPr>
              <w:t>annuels</w:t>
            </w:r>
            <w:r>
              <w:t>. Les cadres d’urgence consulaires conjoints pourraient également contenir des dispositions spécifiques relatives au rôle des États membres, telles que la décision d’un groupe d’États membres de renforcer leur coopératio</w:t>
            </w:r>
            <w:r>
              <w:t>n à des fins de préparation ou de réaction aux crises de manière à assurer une coordination efficace de l’assistance consulaire. Dans le même temps, les cadres d’urgence consulaires conjoints ne devraient pas être interprétés comme remplaçant les plans de crise nationaux existants des États membres ou comme portant atteinte à leur responsabilité de fournir une assistance consulaire à leurs propres ressortissants.</w:t>
            </w:r>
          </w:p>
        </w:tc>
      </w:tr>
    </w:tbl>
    <w:p w:rsidR="001667A3" w:rsidRPr="00AA56F9" w:rsidP="00BD2DF0" w14:paraId="531432CC" w14:textId="77777777">
      <w:pPr>
        <w:widowControl/>
      </w:pPr>
      <w:r w:rsidRPr="00825264">
        <w:rPr>
          <w:rStyle w:val="HideTWBExt"/>
        </w:rPr>
        <w:t>&lt;/Amend&gt;</w:t>
      </w:r>
    </w:p>
    <w:p w:rsidR="001667A3" w:rsidRPr="00AA56F9" w:rsidP="00BD2DF0" w14:paraId="48ED943A" w14:textId="77777777">
      <w:pPr>
        <w:pStyle w:val="AmNumberTabs"/>
        <w:widowControl/>
      </w:pPr>
      <w:r w:rsidRPr="00825264">
        <w:rPr>
          <w:rStyle w:val="HideTWBExt"/>
          <w:b w:val="0"/>
        </w:rPr>
        <w:t>&lt;Amend&gt;</w:t>
      </w:r>
      <w:r>
        <w:t>Amendement</w:t>
      </w:r>
      <w:r>
        <w:tab/>
      </w:r>
      <w:r>
        <w:tab/>
      </w:r>
      <w:r w:rsidRPr="00825264">
        <w:rPr>
          <w:rStyle w:val="HideTWBExt"/>
          <w:b w:val="0"/>
        </w:rPr>
        <w:t>&lt;NumAm&gt;</w:t>
      </w:r>
      <w:r>
        <w:t>7</w:t>
      </w:r>
      <w:r w:rsidRPr="00825264">
        <w:rPr>
          <w:rStyle w:val="HideTWBExt"/>
          <w:b w:val="0"/>
        </w:rPr>
        <w:t>&lt;/NumAm&gt;</w:t>
      </w:r>
    </w:p>
    <w:p w:rsidR="001667A3" w:rsidRPr="00825264" w:rsidP="00BD2DF0" w14:paraId="5D5C3FEC" w14:textId="77777777">
      <w:pPr>
        <w:widowControl/>
      </w:pPr>
    </w:p>
    <w:p w:rsidR="001667A3" w:rsidRPr="00AA56F9" w:rsidP="00BD2DF0" w14:paraId="370D2C2F"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0F64CCB0" w14:textId="77777777">
      <w:pPr>
        <w:pStyle w:val="NormalBold"/>
        <w:widowControl/>
      </w:pPr>
      <w:r>
        <w:rPr>
          <w:rStyle w:val="HideTWBExt"/>
          <w:b w:val="0"/>
        </w:rPr>
        <w:t>&lt;Article&gt;</w:t>
      </w:r>
      <w:r>
        <w:t>Considérant 13</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68381E"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290D2599" w14:textId="77777777">
            <w:pPr>
              <w:keepNext/>
              <w:widowControl/>
            </w:pPr>
          </w:p>
        </w:tc>
      </w:tr>
      <w:tr w14:paraId="202334A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513DD96C" w14:textId="77777777">
            <w:pPr>
              <w:pStyle w:val="ColumnHeading"/>
              <w:keepNext/>
              <w:widowControl/>
            </w:pPr>
            <w:r>
              <w:t>Texte proposé par le Conseil</w:t>
            </w:r>
          </w:p>
        </w:tc>
        <w:tc>
          <w:tcPr>
            <w:tcW w:w="4876" w:type="dxa"/>
            <w:hideMark/>
          </w:tcPr>
          <w:p w:rsidR="001667A3" w:rsidRPr="00EC1ED7" w:rsidP="00BD2DF0" w14:paraId="4CCAEE42" w14:textId="77777777">
            <w:pPr>
              <w:pStyle w:val="ColumnHeading"/>
              <w:keepNext/>
              <w:widowControl/>
            </w:pPr>
            <w:r>
              <w:t>Amendement</w:t>
            </w:r>
          </w:p>
        </w:tc>
      </w:tr>
      <w:tr w14:paraId="1CE2F8E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1A7492E" w14:textId="77777777">
            <w:pPr>
              <w:pStyle w:val="Normal6"/>
              <w:widowControl/>
            </w:pPr>
            <w:r>
              <w:t>(13)</w:t>
            </w:r>
            <w:r>
              <w:tab/>
              <w:t xml:space="preserve">Les conseils aux voyageurs, c’est-à-dire les informations fournies par </w:t>
            </w:r>
            <w:r>
              <w:t xml:space="preserve">les États membres sur la sécurité relative des voyages vers certains pays tiers, permettent aux voyageurs de prendre une décision en connaissance de cause sur une destination donnée, y compris les pays tiers dans lesquels l’État membre dont ils ont la nationalité n’est pas représenté. </w:t>
            </w:r>
            <w:r>
              <w:rPr>
                <w:b/>
                <w:i/>
              </w:rPr>
              <w:t>Si</w:t>
            </w:r>
            <w:r>
              <w:t xml:space="preserve"> la délivrance de conseils aux voyageurs relève de la responsabilité des États </w:t>
            </w:r>
            <w:r>
              <w:t xml:space="preserve">membres, il est utile qu’ils échangent des informations </w:t>
            </w:r>
            <w:r>
              <w:rPr>
                <w:b/>
                <w:i/>
              </w:rPr>
              <w:t>sur ce sujet</w:t>
            </w:r>
            <w:r>
              <w:t xml:space="preserve">, notamment dans le contexte </w:t>
            </w:r>
            <w:r>
              <w:rPr>
                <w:b/>
                <w:i/>
              </w:rPr>
              <w:t>de</w:t>
            </w:r>
            <w:r>
              <w:t xml:space="preserve"> situations de crise</w:t>
            </w:r>
            <w:r>
              <w:rPr>
                <w:b/>
                <w:i/>
              </w:rPr>
              <w:t>, de manière</w:t>
            </w:r>
            <w:r>
              <w:t xml:space="preserve"> à </w:t>
            </w:r>
            <w:r>
              <w:rPr>
                <w:b/>
                <w:i/>
              </w:rPr>
              <w:t>améliorer l</w:t>
            </w:r>
            <w:r>
              <w:rPr>
                <w:b/>
                <w:i/>
              </w:rPr>
              <w:t>es informations fournies aux citoyens non représentés</w:t>
            </w:r>
            <w:r>
              <w:t xml:space="preserve">. À cette fin, le SEAE devrait encourager les échanges de ce type d’informations entre les États membres, notamment par l’intermédiaire de </w:t>
            </w:r>
            <w:r>
              <w:rPr>
                <w:b/>
                <w:i/>
              </w:rPr>
              <w:t>son site internet sécurisé (Consular On Line, ou "CoOL")</w:t>
            </w:r>
            <w:r>
              <w:t xml:space="preserve">. Ces </w:t>
            </w:r>
            <w:r>
              <w:t>échanges pourraient reposer sur une structure commune des niveaux de risque indiqués dans les conseils aux voyageurs.</w:t>
            </w:r>
          </w:p>
        </w:tc>
        <w:tc>
          <w:tcPr>
            <w:tcW w:w="4876" w:type="dxa"/>
            <w:hideMark/>
          </w:tcPr>
          <w:p w:rsidR="001667A3" w:rsidRPr="00AA56F9" w:rsidP="00BD2DF0" w14:paraId="09AF15C6" w14:textId="77777777">
            <w:pPr>
              <w:pStyle w:val="Normal6"/>
              <w:widowControl/>
              <w:rPr>
                <w:szCs w:val="24"/>
              </w:rPr>
            </w:pPr>
            <w:r>
              <w:t>(13)</w:t>
            </w:r>
            <w:r>
              <w:tab/>
              <w:t xml:space="preserve">Les conseils aux voyageurs, c’est-à-dire les informations fournies par les États membres sur la sécurité relative des voyages vers certains pays tiers, permettent aux voyageurs de prendre une décision en connaissance de cause sur une destination donnée, y compris les pays tiers dans lesquels l’État membre dont ils ont la nationalité n’est pas représenté. </w:t>
            </w:r>
            <w:r>
              <w:rPr>
                <w:b/>
                <w:i/>
              </w:rPr>
              <w:t>Afin d’améliorer les informations fournies aux citoyens non représentés et bien que</w:t>
            </w:r>
            <w:r>
              <w:t xml:space="preserve"> la </w:t>
            </w:r>
            <w:r>
              <w:t>délivrance de conseils aux voyageurs relève de la responsabilité de</w:t>
            </w:r>
            <w:r>
              <w:t xml:space="preserve">s États membres, il est utile qu’ils échangent des informations </w:t>
            </w:r>
            <w:r>
              <w:rPr>
                <w:b/>
                <w:i/>
              </w:rPr>
              <w:t>actualisées et s’efforcent collectivement de diffuser des informations cohérentes par l’intermédiaire des moyens de communication existants</w:t>
            </w:r>
            <w:r>
              <w:t xml:space="preserve">, notamment dans le contexte </w:t>
            </w:r>
            <w:r>
              <w:rPr>
                <w:b/>
                <w:i/>
              </w:rPr>
              <w:t>des</w:t>
            </w:r>
            <w:r>
              <w:t xml:space="preserve"> situations de crise</w:t>
            </w:r>
            <w:r>
              <w:rPr>
                <w:b/>
                <w:i/>
              </w:rPr>
              <w:t>.</w:t>
            </w:r>
            <w:r>
              <w:t xml:space="preserve"> </w:t>
            </w:r>
            <w:r>
              <w:rPr>
                <w:b/>
                <w:i/>
              </w:rPr>
              <w:t>Les États membres peuvent également offrir à leurs citoyens la possibilité de déclarer leurs voyages ou leur séjour dans des pays tiers.</w:t>
            </w:r>
            <w:r>
              <w:t xml:space="preserve"> À cette fin, le SEAE devrait encourager les échanges de ce type d’informations entre les États membres, notamment par </w:t>
            </w:r>
            <w:r>
              <w:t xml:space="preserve">l’intermédiaire de </w:t>
            </w:r>
            <w:r>
              <w:rPr>
                <w:b/>
                <w:i/>
              </w:rPr>
              <w:t>ses systèmes informatiques sécurisés</w:t>
            </w:r>
            <w:r>
              <w:t>. Ces échanges pourraient reposer sur une structure commune des niveaux de risque indiqués dans les conseils aux voyageurs.</w:t>
            </w:r>
          </w:p>
        </w:tc>
      </w:tr>
    </w:tbl>
    <w:p w:rsidR="001667A3" w:rsidRPr="00AA56F9" w:rsidP="00BD2DF0" w14:paraId="4A73FFE3" w14:textId="77777777">
      <w:pPr>
        <w:widowControl/>
      </w:pPr>
      <w:r w:rsidRPr="00825264">
        <w:rPr>
          <w:rStyle w:val="HideTWBExt"/>
        </w:rPr>
        <w:t>&lt;/Amend&gt;</w:t>
      </w:r>
    </w:p>
    <w:p w:rsidR="001667A3" w:rsidRPr="00AA56F9" w:rsidP="00BD2DF0" w14:paraId="5F2C859C" w14:textId="77777777">
      <w:pPr>
        <w:pStyle w:val="AmNumberTabs"/>
        <w:widowControl/>
      </w:pPr>
      <w:r w:rsidRPr="00825264">
        <w:rPr>
          <w:rStyle w:val="HideTWBExt"/>
          <w:b w:val="0"/>
        </w:rPr>
        <w:t>&lt;Amend&gt;</w:t>
      </w:r>
      <w:r>
        <w:t>Amendement</w:t>
      </w:r>
      <w:r>
        <w:tab/>
      </w:r>
      <w:r>
        <w:tab/>
      </w:r>
      <w:r w:rsidRPr="00825264">
        <w:rPr>
          <w:rStyle w:val="HideTWBExt"/>
          <w:b w:val="0"/>
        </w:rPr>
        <w:t>&lt;NumAm&gt;</w:t>
      </w:r>
      <w:r>
        <w:t>8</w:t>
      </w:r>
      <w:r w:rsidRPr="00825264">
        <w:rPr>
          <w:rStyle w:val="HideTWBExt"/>
          <w:b w:val="0"/>
        </w:rPr>
        <w:t>&lt;/NumAm&gt;</w:t>
      </w:r>
    </w:p>
    <w:p w:rsidR="001667A3" w:rsidRPr="00825264" w:rsidP="00BD2DF0" w14:paraId="4A0EA79C" w14:textId="77777777">
      <w:pPr>
        <w:widowControl/>
      </w:pPr>
    </w:p>
    <w:p w:rsidR="001667A3" w:rsidRPr="00AA56F9" w:rsidP="00BD2DF0" w14:paraId="2F40E1C4"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6721EABA" w14:textId="77777777">
      <w:pPr>
        <w:pStyle w:val="NormalBold"/>
        <w:widowControl/>
      </w:pPr>
      <w:r>
        <w:rPr>
          <w:rStyle w:val="HideTWBExt"/>
          <w:b w:val="0"/>
        </w:rPr>
        <w:t>&lt;Article&gt;</w:t>
      </w:r>
      <w:r>
        <w:t>Considérant 14 bis (nouveau)</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D1650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1B36C933" w14:textId="77777777">
            <w:pPr>
              <w:keepNext/>
              <w:widowControl/>
            </w:pPr>
          </w:p>
        </w:tc>
      </w:tr>
      <w:tr w14:paraId="1AA55A51"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F1D5333" w14:textId="77777777">
            <w:pPr>
              <w:pStyle w:val="ColumnHeading"/>
              <w:keepNext/>
              <w:widowControl/>
            </w:pPr>
            <w:r>
              <w:t>Texte proposé par le Conseil</w:t>
            </w:r>
          </w:p>
        </w:tc>
        <w:tc>
          <w:tcPr>
            <w:tcW w:w="4876" w:type="dxa"/>
            <w:hideMark/>
          </w:tcPr>
          <w:p w:rsidR="001667A3" w:rsidRPr="00EC1ED7" w:rsidP="00BD2DF0" w14:paraId="630D91F5" w14:textId="77777777">
            <w:pPr>
              <w:pStyle w:val="ColumnHeading"/>
              <w:keepNext/>
              <w:widowControl/>
            </w:pPr>
            <w:r>
              <w:t>Amendement</w:t>
            </w:r>
          </w:p>
        </w:tc>
      </w:tr>
      <w:tr w14:paraId="72073DDE"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5486A7FF" w14:textId="77777777">
            <w:pPr>
              <w:pStyle w:val="Normal6"/>
              <w:widowControl/>
            </w:pPr>
          </w:p>
        </w:tc>
        <w:tc>
          <w:tcPr>
            <w:tcW w:w="4876" w:type="dxa"/>
            <w:hideMark/>
          </w:tcPr>
          <w:p w:rsidR="001667A3" w:rsidRPr="00AA56F9" w:rsidP="00BD2DF0" w14:paraId="4CE7C1EB" w14:textId="77777777">
            <w:pPr>
              <w:pStyle w:val="Normal6"/>
              <w:widowControl/>
              <w:rPr>
                <w:szCs w:val="24"/>
              </w:rPr>
            </w:pPr>
            <w:r>
              <w:rPr>
                <w:b/>
                <w:i/>
              </w:rPr>
              <w:t>(14 bis)</w:t>
            </w:r>
            <w:r>
              <w:rPr>
                <w:b/>
                <w:i/>
              </w:rPr>
              <w:tab/>
            </w:r>
            <w:r>
              <w:rPr>
                <w:b/>
                <w:i/>
              </w:rPr>
              <w:t>L’expérience a montré que l’échange en temps utile d’informations actualisées entre les États membres et les délégations de l’Union est l’un des principaux défis rencontrés dans les situations de crise. C’est pourquoi il convient d’encourager l’adoption de mesures et de procédures supplémentaires pour améliorer cet échange, y compris l’amélioration par le SEAE de l’outil informatique pour les crises.</w:t>
            </w:r>
          </w:p>
        </w:tc>
      </w:tr>
    </w:tbl>
    <w:p w:rsidR="001667A3" w:rsidRPr="00AA56F9" w:rsidP="00BD2DF0" w14:paraId="1ADD6443" w14:textId="77777777">
      <w:pPr>
        <w:widowControl/>
      </w:pPr>
      <w:r w:rsidRPr="00825264">
        <w:rPr>
          <w:rStyle w:val="HideTWBExt"/>
        </w:rPr>
        <w:t>&lt;/Amend&gt;</w:t>
      </w:r>
    </w:p>
    <w:p w:rsidR="001667A3" w:rsidRPr="00AA56F9" w:rsidP="00BD2DF0" w14:paraId="3A5C267F" w14:textId="77777777">
      <w:pPr>
        <w:pStyle w:val="AmNumberTabs"/>
        <w:widowControl/>
      </w:pPr>
      <w:r w:rsidRPr="00825264">
        <w:rPr>
          <w:rStyle w:val="HideTWBExt"/>
          <w:b w:val="0"/>
        </w:rPr>
        <w:t>&lt;Amend&gt;</w:t>
      </w:r>
      <w:r>
        <w:t>Amendement</w:t>
      </w:r>
      <w:r>
        <w:tab/>
      </w:r>
      <w:r>
        <w:tab/>
      </w:r>
      <w:r w:rsidRPr="00825264">
        <w:rPr>
          <w:rStyle w:val="HideTWBExt"/>
          <w:b w:val="0"/>
        </w:rPr>
        <w:t>&lt;NumAm&gt;</w:t>
      </w:r>
      <w:r>
        <w:t>9</w:t>
      </w:r>
      <w:r w:rsidRPr="00825264">
        <w:rPr>
          <w:rStyle w:val="HideTWBExt"/>
          <w:b w:val="0"/>
        </w:rPr>
        <w:t>&lt;/NumAm&gt;</w:t>
      </w:r>
    </w:p>
    <w:p w:rsidR="001667A3" w:rsidRPr="00825264" w:rsidP="00BD2DF0" w14:paraId="7C3DACE6" w14:textId="77777777">
      <w:pPr>
        <w:widowControl/>
      </w:pPr>
    </w:p>
    <w:p w:rsidR="001667A3" w:rsidRPr="00AA56F9" w:rsidP="00BD2DF0" w14:paraId="651F00CB"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716E54B8" w14:textId="77777777">
      <w:pPr>
        <w:pStyle w:val="NormalBold"/>
        <w:widowControl/>
      </w:pPr>
      <w:r>
        <w:rPr>
          <w:rStyle w:val="HideTWBExt"/>
          <w:b w:val="0"/>
        </w:rPr>
        <w:t>&lt;Article&gt;</w:t>
      </w:r>
      <w:r>
        <w:t>Considérant 16</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427B90"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30B5030B" w14:textId="77777777">
            <w:pPr>
              <w:keepNext/>
              <w:widowControl/>
            </w:pPr>
          </w:p>
        </w:tc>
      </w:tr>
      <w:tr w14:paraId="5E3153F9"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08B107D" w14:textId="77777777">
            <w:pPr>
              <w:pStyle w:val="ColumnHeading"/>
              <w:keepNext/>
              <w:widowControl/>
            </w:pPr>
            <w:r>
              <w:t>Texte proposé par le Conseil</w:t>
            </w:r>
          </w:p>
        </w:tc>
        <w:tc>
          <w:tcPr>
            <w:tcW w:w="4876" w:type="dxa"/>
            <w:hideMark/>
          </w:tcPr>
          <w:p w:rsidR="001667A3" w:rsidRPr="00EC1ED7" w:rsidP="00BD2DF0" w14:paraId="620468B2" w14:textId="77777777">
            <w:pPr>
              <w:pStyle w:val="ColumnHeading"/>
              <w:keepNext/>
              <w:widowControl/>
            </w:pPr>
            <w:r>
              <w:t>Amendement</w:t>
            </w:r>
          </w:p>
        </w:tc>
      </w:tr>
      <w:tr w14:paraId="638E6AE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56F5319" w14:textId="77777777">
            <w:pPr>
              <w:pStyle w:val="Normal6"/>
              <w:widowControl/>
            </w:pPr>
            <w:r>
              <w:t>(16)</w:t>
            </w:r>
            <w:r>
              <w:tab/>
              <w:t xml:space="preserve">Les équipes consulaires conjointes devraient être fondées sur les principes de participation volontaire, de 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 de visibilité de la réaction coordonnée de l’Union et d’ouverture aux </w:t>
            </w:r>
            <w:r>
              <w:t>pays tiers concernés. Ces principes ainsi que des thèmes tels que la formation, les activités préparatoires au déploiement, le déploiement à proprement parler, les procédures de suivi, la logistique et les questions financières pourraient être développés davantage dans le cadre d’orientations non contraignantes. Les équipes consulaires conjointes ne devraient pas avoir d’incidence sur les opérations consulaires menées par les États membres ni sur leur compétence pour ce qui est de déployer des équipes consu</w:t>
            </w:r>
            <w:r>
              <w:t>laires nationales.</w:t>
            </w:r>
          </w:p>
        </w:tc>
        <w:tc>
          <w:tcPr>
            <w:tcW w:w="4876" w:type="dxa"/>
            <w:hideMark/>
          </w:tcPr>
          <w:p w:rsidR="001667A3" w:rsidRPr="00AA56F9" w:rsidP="00BD2DF0" w14:paraId="3AD39F2E" w14:textId="77777777">
            <w:pPr>
              <w:pStyle w:val="Normal6"/>
              <w:widowControl/>
              <w:rPr>
                <w:szCs w:val="24"/>
              </w:rPr>
            </w:pPr>
            <w:r>
              <w:t>(16)</w:t>
            </w:r>
            <w:r>
              <w:tab/>
            </w:r>
            <w:r>
              <w:t xml:space="preserve">Les équipes consulaires conjointes devraient être fondées sur les principes de participation volontaire, de 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 de </w:t>
            </w:r>
            <w:r>
              <w:rPr>
                <w:b/>
                <w:i/>
              </w:rPr>
              <w:t>rapidité, de</w:t>
            </w:r>
            <w:r>
              <w:t xml:space="preserve"> visibilité de la réaction coordonnée de l’Union et d’ouverture aux pays tiers concernés. Ces principes ainsi que des thèmes tels que la formation, les activités préparatoires au déploiement, le déploiement à proprement parler, les procédures de suivi, la logistique et les questions financières pourraient être développés davantage dans le cadre d’orientations non contraignantes. Les équipes consulaires conjointes ne devraient pas avoir d’incidence sur les opérations consulaires menées par les États membres </w:t>
            </w:r>
            <w:r>
              <w:t>ni sur leur compétence pour ce qui est de déployer des équipes consulaires nationales.</w:t>
            </w:r>
          </w:p>
        </w:tc>
      </w:tr>
    </w:tbl>
    <w:p w:rsidR="001667A3" w:rsidRPr="00AA56F9" w:rsidP="00BD2DF0" w14:paraId="69A8B6F3" w14:textId="77777777">
      <w:pPr>
        <w:widowControl/>
      </w:pPr>
      <w:r w:rsidRPr="00825264">
        <w:rPr>
          <w:rStyle w:val="HideTWBExt"/>
        </w:rPr>
        <w:t>&lt;/Amend&gt;</w:t>
      </w:r>
    </w:p>
    <w:p w:rsidR="001667A3" w:rsidRPr="00AA56F9" w:rsidP="00BD2DF0" w14:paraId="087F729B" w14:textId="77777777">
      <w:pPr>
        <w:pStyle w:val="AmNumberTabs"/>
        <w:widowControl/>
      </w:pPr>
      <w:r w:rsidRPr="00825264">
        <w:rPr>
          <w:rStyle w:val="HideTWBExt"/>
          <w:b w:val="0"/>
        </w:rPr>
        <w:t>&lt;Amend&gt;</w:t>
      </w:r>
      <w:r>
        <w:t>Amendement</w:t>
      </w:r>
      <w:r>
        <w:tab/>
      </w:r>
      <w:r>
        <w:tab/>
      </w:r>
      <w:r w:rsidRPr="00825264">
        <w:rPr>
          <w:rStyle w:val="HideTWBExt"/>
          <w:b w:val="0"/>
        </w:rPr>
        <w:t>&lt;NumAm&gt;</w:t>
      </w:r>
      <w:r>
        <w:t>10</w:t>
      </w:r>
      <w:r w:rsidRPr="00825264">
        <w:rPr>
          <w:rStyle w:val="HideTWBExt"/>
          <w:b w:val="0"/>
        </w:rPr>
        <w:t>&lt;/NumAm&gt;</w:t>
      </w:r>
    </w:p>
    <w:p w:rsidR="001667A3" w:rsidRPr="00825264" w:rsidP="00BD2DF0" w14:paraId="1C5C4E1F" w14:textId="77777777">
      <w:pPr>
        <w:widowControl/>
      </w:pPr>
    </w:p>
    <w:p w:rsidR="001667A3" w:rsidRPr="00AA56F9" w:rsidP="00BD2DF0" w14:paraId="1C2DBC60"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21A082CC" w14:textId="77777777">
      <w:pPr>
        <w:pStyle w:val="NormalBold"/>
        <w:widowControl/>
      </w:pPr>
      <w:r>
        <w:rPr>
          <w:rStyle w:val="HideTWBExt"/>
          <w:b w:val="0"/>
        </w:rPr>
        <w:t>&lt;Article&gt;</w:t>
      </w:r>
      <w:r>
        <w:t>Considérant 18 bis (nouveau)</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9D5232"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25C6905F" w14:textId="77777777">
            <w:pPr>
              <w:keepNext/>
              <w:widowControl/>
            </w:pPr>
          </w:p>
        </w:tc>
      </w:tr>
      <w:tr w14:paraId="6F3444D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7671F28" w14:textId="77777777">
            <w:pPr>
              <w:pStyle w:val="ColumnHeading"/>
              <w:keepNext/>
              <w:widowControl/>
            </w:pPr>
            <w:r>
              <w:t>Texte proposé par le Conseil</w:t>
            </w:r>
          </w:p>
        </w:tc>
        <w:tc>
          <w:tcPr>
            <w:tcW w:w="4876" w:type="dxa"/>
            <w:hideMark/>
          </w:tcPr>
          <w:p w:rsidR="001667A3" w:rsidRPr="00EC1ED7" w:rsidP="00BD2DF0" w14:paraId="3A2316F3" w14:textId="77777777">
            <w:pPr>
              <w:pStyle w:val="ColumnHeading"/>
              <w:keepNext/>
              <w:widowControl/>
            </w:pPr>
            <w:r>
              <w:t>Amendement</w:t>
            </w:r>
          </w:p>
        </w:tc>
      </w:tr>
      <w:tr w14:paraId="3354FD3A"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4340C5EA" w14:textId="77777777">
            <w:pPr>
              <w:pStyle w:val="Normal6"/>
              <w:widowControl/>
            </w:pPr>
          </w:p>
        </w:tc>
        <w:tc>
          <w:tcPr>
            <w:tcW w:w="4876" w:type="dxa"/>
            <w:hideMark/>
          </w:tcPr>
          <w:p w:rsidR="001667A3" w:rsidRPr="00AA56F9" w:rsidP="00BD2DF0" w14:paraId="26F580A5" w14:textId="77777777">
            <w:pPr>
              <w:pStyle w:val="Normal6"/>
              <w:widowControl/>
              <w:rPr>
                <w:szCs w:val="24"/>
              </w:rPr>
            </w:pPr>
            <w:r>
              <w:rPr>
                <w:b/>
                <w:i/>
              </w:rPr>
              <w:t>(18 bis)</w:t>
            </w:r>
            <w:r>
              <w:rPr>
                <w:b/>
                <w:i/>
              </w:rPr>
              <w:tab/>
              <w:t xml:space="preserve">Il convient que les États membres et les organes compétents de l’Union veillent à ce que les informations destinées aux citoyens relatives à la protection consulaire soient facilement accessibles et à jour. Sont </w:t>
            </w:r>
            <w:r>
              <w:rPr>
                <w:b/>
                <w:i/>
              </w:rPr>
              <w:t xml:space="preserve">encouragées les plateformes numériques, y compris les applications mobiles, par l’intermédiaire desquelles les citoyens de l’Union ont rapidement et facilement accès aux </w:t>
            </w:r>
            <w:r>
              <w:rPr>
                <w:b/>
                <w:i/>
              </w:rPr>
              <w:t>informations relatives à la protection consulaire et aux canaux de contact à tout moment. En outre, des systèmes de notification automatique, tels que des systèmes de messages courts via les réseaux téléphoniques, devraient être mis en place pour fournir à tous les citoyens de l’Union des informations contextualisées sur leurs droits et sur</w:t>
            </w:r>
            <w:r>
              <w:rPr>
                <w:b/>
                <w:i/>
              </w:rPr>
              <w:t xml:space="preserve"> la manière de les exercer à leur arrivée dans des pays tiers, ainsi que des messages d’alerte et des recommandations en temps réel en cas de crise.</w:t>
            </w:r>
          </w:p>
        </w:tc>
      </w:tr>
    </w:tbl>
    <w:p w:rsidR="001667A3" w:rsidRPr="00AA56F9" w:rsidP="00BD2DF0" w14:paraId="5E837841" w14:textId="77777777">
      <w:pPr>
        <w:widowControl/>
      </w:pPr>
      <w:r w:rsidRPr="00825264">
        <w:rPr>
          <w:rStyle w:val="HideTWBExt"/>
        </w:rPr>
        <w:t>&lt;/Amend&gt;</w:t>
      </w:r>
    </w:p>
    <w:p w:rsidR="001667A3" w:rsidRPr="00AA56F9" w:rsidP="00BD2DF0" w14:paraId="74A93BD0" w14:textId="77777777">
      <w:pPr>
        <w:pStyle w:val="AmNumberTabs"/>
        <w:widowControl/>
      </w:pPr>
      <w:r w:rsidRPr="00825264">
        <w:rPr>
          <w:rStyle w:val="HideTWBExt"/>
          <w:b w:val="0"/>
        </w:rPr>
        <w:t>&lt;Amend&gt;</w:t>
      </w:r>
      <w:r>
        <w:t>Amendement</w:t>
      </w:r>
      <w:r>
        <w:tab/>
      </w:r>
      <w:r>
        <w:tab/>
      </w:r>
      <w:r w:rsidRPr="00825264">
        <w:rPr>
          <w:rStyle w:val="HideTWBExt"/>
          <w:b w:val="0"/>
        </w:rPr>
        <w:t>&lt;NumAm&gt;</w:t>
      </w:r>
      <w:r>
        <w:t>11</w:t>
      </w:r>
      <w:r w:rsidRPr="00825264">
        <w:rPr>
          <w:rStyle w:val="HideTWBExt"/>
          <w:b w:val="0"/>
        </w:rPr>
        <w:t>&lt;/NumAm&gt;</w:t>
      </w:r>
    </w:p>
    <w:p w:rsidR="001667A3" w:rsidRPr="00825264" w:rsidP="00BD2DF0" w14:paraId="1B68917A" w14:textId="77777777">
      <w:pPr>
        <w:widowControl/>
      </w:pPr>
    </w:p>
    <w:p w:rsidR="001667A3" w:rsidRPr="00AA56F9" w:rsidP="00BD2DF0" w14:paraId="15A1B2FD"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775C5A31" w14:textId="77777777">
      <w:pPr>
        <w:pStyle w:val="NormalBold"/>
        <w:widowControl/>
      </w:pPr>
      <w:r>
        <w:rPr>
          <w:rStyle w:val="HideTWBExt"/>
          <w:b w:val="0"/>
        </w:rPr>
        <w:t>&lt;Article&gt;</w:t>
      </w:r>
      <w:r>
        <w:t>Considérant 19</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E3833B"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2CFCF22D" w14:textId="77777777">
            <w:pPr>
              <w:keepNext/>
              <w:widowControl/>
            </w:pPr>
          </w:p>
        </w:tc>
      </w:tr>
      <w:tr w14:paraId="4A10A97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92E7B4C" w14:textId="77777777">
            <w:pPr>
              <w:pStyle w:val="ColumnHeading"/>
              <w:keepNext/>
              <w:widowControl/>
            </w:pPr>
            <w:r>
              <w:t>Texte proposé par le Conseil</w:t>
            </w:r>
          </w:p>
        </w:tc>
        <w:tc>
          <w:tcPr>
            <w:tcW w:w="4876" w:type="dxa"/>
            <w:hideMark/>
          </w:tcPr>
          <w:p w:rsidR="001667A3" w:rsidRPr="00EC1ED7" w:rsidP="00BD2DF0" w14:paraId="073CFF09" w14:textId="77777777">
            <w:pPr>
              <w:pStyle w:val="ColumnHeading"/>
              <w:keepNext/>
              <w:widowControl/>
            </w:pPr>
            <w:r>
              <w:t>Amendement</w:t>
            </w:r>
          </w:p>
        </w:tc>
      </w:tr>
      <w:tr w14:paraId="0B30916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C418EEB" w14:textId="77777777">
            <w:pPr>
              <w:pStyle w:val="Normal6"/>
              <w:widowControl/>
            </w:pPr>
            <w:r>
              <w:t>(19)</w:t>
            </w:r>
            <w:r>
              <w:tab/>
              <w:t xml:space="preserve">Les États membres devraient prendre les mesures </w:t>
            </w:r>
            <w:r>
              <w:rPr>
                <w:b/>
                <w:i/>
              </w:rPr>
              <w:t>appropriées pour</w:t>
            </w:r>
            <w:r>
              <w:t xml:space="preserve"> contribuer davantage à sensibiliser les citoyens de l’Union à leur droit énoncé à l’article 20, paragraphe 2, point c), du TFUE, en tenant également compte des besoins spécifiques des personnes handicapées. Il pourrait par exemple s’agir de reproduire le texte de l’article 23 du TFUE dans les passeports délivrés par les États membres, comme le préconisait déjà la recommandation C(2007) 5841 de la Commission</w:t>
            </w:r>
            <w:r>
              <w:rPr>
                <w:vertAlign w:val="superscript"/>
              </w:rPr>
              <w:t>3</w:t>
            </w:r>
            <w:r>
              <w:t>, d’intégrer des informations pertinentes dans les conseils aux voyageurs et les campagnes relatives</w:t>
            </w:r>
            <w:r>
              <w:t xml:space="preserve"> à l’assistance consulaire ou d’encourager les prestataires de services de transport de voyageurs et les plateformes de transport proposant des voyages vers des pays tiers à ajouter des détails importants dans les documents d’information mis à la disposition des clients.</w:t>
            </w:r>
          </w:p>
        </w:tc>
        <w:tc>
          <w:tcPr>
            <w:tcW w:w="4876" w:type="dxa"/>
            <w:hideMark/>
          </w:tcPr>
          <w:p w:rsidR="001667A3" w:rsidRPr="00AA56F9" w:rsidP="00BD2DF0" w14:paraId="7A14CE05" w14:textId="77777777">
            <w:pPr>
              <w:pStyle w:val="Normal6"/>
              <w:widowControl/>
              <w:rPr>
                <w:szCs w:val="24"/>
              </w:rPr>
            </w:pPr>
            <w:r>
              <w:t>(19)</w:t>
            </w:r>
            <w:r>
              <w:tab/>
              <w:t xml:space="preserve">Les États membres devraient prendre les mesures </w:t>
            </w:r>
            <w:r>
              <w:rPr>
                <w:b/>
                <w:i/>
              </w:rPr>
              <w:t>qu’ils jugent de nature à</w:t>
            </w:r>
            <w:r>
              <w:t xml:space="preserve"> contribuer davantage à sensibiliser les citoyens de l’Union à leur droit énoncé à l’article 20, paragraphe 2, point c), du TFUE, en tenant également compte des besoins spécifiques des personnes handicapées. Il pourrait par exemple s’agir de reproduire le texte de l’article 23 du TFUE dans les passeports délivrés par les États membres, comme le préconisait déjà la recommandation C(2007) 5841 de la Commission</w:t>
            </w:r>
            <w:r>
              <w:rPr>
                <w:vertAlign w:val="superscript"/>
              </w:rPr>
              <w:t>3</w:t>
            </w:r>
            <w:r>
              <w:t>, d’intégrer des informati</w:t>
            </w:r>
            <w:r>
              <w:t>ons pertinentes dans les conseils aux voyageurs et les campagnes relatives à l’assistance consulaire ou d’encourager les prestataires de services de transport de voyageurs et les plateformes de transport proposant des voyages vers des pays tiers à ajouter des détails importants dans les documents d’information mis à la disposition des clients.</w:t>
            </w:r>
          </w:p>
        </w:tc>
      </w:tr>
      <w:tr w14:paraId="073E0F0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EC1ED7" w:rsidP="00BD2DF0" w14:paraId="6145D794" w14:textId="77777777">
            <w:pPr>
              <w:pStyle w:val="Normal6"/>
              <w:widowControl/>
            </w:pPr>
            <w:r>
              <w:t>__________________</w:t>
            </w:r>
          </w:p>
        </w:tc>
        <w:tc>
          <w:tcPr>
            <w:tcW w:w="4876" w:type="dxa"/>
            <w:hideMark/>
          </w:tcPr>
          <w:p w:rsidR="001667A3" w:rsidRPr="00EC1ED7" w:rsidP="00BD2DF0" w14:paraId="4F6C4273" w14:textId="77777777">
            <w:pPr>
              <w:pStyle w:val="Normal6"/>
              <w:widowControl/>
              <w:rPr>
                <w:szCs w:val="24"/>
              </w:rPr>
            </w:pPr>
            <w:r>
              <w:t>__________________</w:t>
            </w:r>
          </w:p>
        </w:tc>
      </w:tr>
      <w:tr w14:paraId="236E782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2D2F31A" w14:textId="77777777">
            <w:pPr>
              <w:pStyle w:val="Normal6"/>
              <w:widowControl/>
            </w:pPr>
            <w:r>
              <w:rPr>
                <w:vertAlign w:val="superscript"/>
              </w:rPr>
              <w:t>3</w:t>
            </w:r>
            <w:r>
              <w:t xml:space="preserve"> Recommandation C(2007) 5841 de la Commission du 5 décembre 2007 relative à </w:t>
            </w:r>
            <w:r>
              <w:t>la reproduction de l’article 20 du traité CE dans les passeports (JO L 118 du 6.5.2008, p. 30, ELI: http://data.europa.eu/eli/reco/2008/355/oj).</w:t>
            </w:r>
          </w:p>
        </w:tc>
        <w:tc>
          <w:tcPr>
            <w:tcW w:w="4876" w:type="dxa"/>
            <w:hideMark/>
          </w:tcPr>
          <w:p w:rsidR="001667A3" w:rsidRPr="00AA56F9" w:rsidP="00BD2DF0" w14:paraId="21C526CE" w14:textId="77777777">
            <w:pPr>
              <w:pStyle w:val="Normal6"/>
              <w:widowControl/>
              <w:rPr>
                <w:szCs w:val="24"/>
              </w:rPr>
            </w:pPr>
            <w:r>
              <w:rPr>
                <w:vertAlign w:val="superscript"/>
              </w:rPr>
              <w:t>3</w:t>
            </w:r>
            <w:r>
              <w:t xml:space="preserve"> Recommandation C(2007) 5841 de la Commission du 5 décembre 2007 relative à </w:t>
            </w:r>
            <w:r>
              <w:t>la reproduction de l’article 20 du traité CE dans les passeports (JO L 118 du 6.5.2008, p. 30, ELI: http://data.europa.eu/eli/reco/2008/355/oj).</w:t>
            </w:r>
          </w:p>
        </w:tc>
      </w:tr>
    </w:tbl>
    <w:p w:rsidR="001667A3" w:rsidRPr="00AA56F9" w:rsidP="00BD2DF0" w14:paraId="6003C59B" w14:textId="77777777">
      <w:pPr>
        <w:widowControl/>
      </w:pPr>
      <w:r w:rsidRPr="00825264">
        <w:rPr>
          <w:rStyle w:val="HideTWBExt"/>
        </w:rPr>
        <w:t>&lt;/Amend&gt;</w:t>
      </w:r>
    </w:p>
    <w:p w:rsidR="001667A3" w:rsidRPr="00AA56F9" w:rsidP="00BD2DF0" w14:paraId="0BC0C4EC" w14:textId="77777777">
      <w:pPr>
        <w:pStyle w:val="AmNumberTabs"/>
        <w:widowControl/>
      </w:pPr>
      <w:r w:rsidRPr="00825264">
        <w:rPr>
          <w:rStyle w:val="HideTWBExt"/>
          <w:b w:val="0"/>
        </w:rPr>
        <w:t>&lt;Amend&gt;</w:t>
      </w:r>
      <w:r>
        <w:t>Amendement</w:t>
      </w:r>
      <w:r>
        <w:tab/>
      </w:r>
      <w:r>
        <w:tab/>
      </w:r>
      <w:r w:rsidRPr="00825264">
        <w:rPr>
          <w:rStyle w:val="HideTWBExt"/>
          <w:b w:val="0"/>
        </w:rPr>
        <w:t>&lt;NumAm&gt;</w:t>
      </w:r>
      <w:r>
        <w:t>12</w:t>
      </w:r>
      <w:r w:rsidRPr="00825264">
        <w:rPr>
          <w:rStyle w:val="HideTWBExt"/>
          <w:b w:val="0"/>
        </w:rPr>
        <w:t>&lt;/NumAm&gt;</w:t>
      </w:r>
    </w:p>
    <w:p w:rsidR="001667A3" w:rsidRPr="00825264" w:rsidP="00BD2DF0" w14:paraId="7D4F3DA4" w14:textId="77777777">
      <w:pPr>
        <w:widowControl/>
      </w:pPr>
    </w:p>
    <w:p w:rsidR="001667A3" w:rsidRPr="00AA56F9" w:rsidP="00BD2DF0" w14:paraId="63FCA759"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6EACFB63" w14:textId="77777777">
      <w:pPr>
        <w:pStyle w:val="NormalBold"/>
        <w:widowControl/>
      </w:pPr>
      <w:r>
        <w:rPr>
          <w:rStyle w:val="HideTWBExt"/>
          <w:b w:val="0"/>
        </w:rPr>
        <w:t>&lt;Article&gt;</w:t>
      </w:r>
      <w:r>
        <w:t>Considérant 21 bis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75FB6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7D35010B" w14:textId="77777777">
            <w:pPr>
              <w:keepNext/>
              <w:widowControl/>
            </w:pPr>
          </w:p>
        </w:tc>
      </w:tr>
      <w:tr w14:paraId="724CD84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4A3A9AB9" w14:textId="77777777">
            <w:pPr>
              <w:pStyle w:val="ColumnHeading"/>
              <w:keepNext/>
              <w:widowControl/>
            </w:pPr>
            <w:r>
              <w:t>Texte proposé par le Conseil</w:t>
            </w:r>
          </w:p>
        </w:tc>
        <w:tc>
          <w:tcPr>
            <w:tcW w:w="4876" w:type="dxa"/>
            <w:hideMark/>
          </w:tcPr>
          <w:p w:rsidR="001667A3" w:rsidRPr="00EC1ED7" w:rsidP="00BD2DF0" w14:paraId="454E923C" w14:textId="77777777">
            <w:pPr>
              <w:pStyle w:val="ColumnHeading"/>
              <w:keepNext/>
              <w:widowControl/>
            </w:pPr>
            <w:r>
              <w:t>Amendement</w:t>
            </w:r>
          </w:p>
        </w:tc>
      </w:tr>
      <w:tr w14:paraId="230DB25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911AC0E" w14:textId="77777777">
            <w:pPr>
              <w:pStyle w:val="Normal6"/>
              <w:widowControl/>
            </w:pPr>
            <w:r>
              <w:t>(21 bis)</w:t>
            </w:r>
            <w:r>
              <w:tab/>
              <w:t xml:space="preserve">La protection consulaire accordée à un citoyen non représenté peut, dans certaines situations, telles qu’une arrestation, une incarcération, le fait d’être victime d’une infraction pénale grave, d’un accident grave ou d’une maladie grave, entraîner des coûts de transport, d’hébergement ou de traduction exceptionnellement élevés pour les autorités diplomatiques ou consulaires de l’État membre prêtant assistance. Selon les circonstances, ces coûts peuvent néanmoins être essentiels et justifiés pour répondre </w:t>
            </w:r>
            <w:r>
              <w:t>de manière adéquate au cas d’espèce. L’État membre dont le citoyen non représenté a la nationalité devrait, dans le cadre de la consultation prévue par la directive, être informé de ces coûts éventuels. L’État membre prêtant assistance devrait avoir la possibilité de demander le remboursement de ces coûts exceptionnellement élevés à l’État membre dont le citoyen non représenté a la nationalité, notamment lorsque la situation a empêché ce dernier de signer un engagement de remboursement. L’État membre dont l</w:t>
            </w:r>
            <w:r>
              <w:t xml:space="preserve">e citoyen a la nationalité devrait rembourser les coûts supportés à l’État membre prêtant assistance. L’État membre prêtant assistance ne saurait demander à l’État membre dont le citoyen non représenté a la nationalité de rembourser les coûts dont l’État membre prêtant assistance n’exigerait pas le remboursement de la part de ses ressortissants en pareil cas. Conformément </w:t>
            </w:r>
            <w:r>
              <w:t>au principe de non-discrimination, les États membres dont les citoyens non représentés ont la nationalité ne sauraient demander à leurs c</w:t>
            </w:r>
            <w:r>
              <w:t>itoyens de rembourser des frais que les ressortissants de l’État membre prêtant assistance ne seraient pas tenus de rembourser.</w:t>
            </w:r>
          </w:p>
        </w:tc>
        <w:tc>
          <w:tcPr>
            <w:tcW w:w="4876" w:type="dxa"/>
            <w:hideMark/>
          </w:tcPr>
          <w:p w:rsidR="001667A3" w:rsidRPr="00AA56F9" w:rsidP="00BD2DF0" w14:paraId="0602589A" w14:textId="77777777">
            <w:pPr>
              <w:pStyle w:val="Normal6"/>
              <w:widowControl/>
              <w:rPr>
                <w:szCs w:val="24"/>
              </w:rPr>
            </w:pPr>
            <w:r>
              <w:t>(21 bis)</w:t>
            </w:r>
            <w:r>
              <w:tab/>
              <w:t xml:space="preserve">La protection consulaire accordée à un citoyen non représenté peut, dans certaines situations, telles qu’une arrestation, une incarcération, le fait d’être victime d’une infraction pénale grave, d’un accident grave ou d’une maladie grave, </w:t>
            </w:r>
            <w:r>
              <w:rPr>
                <w:b/>
                <w:i/>
              </w:rPr>
              <w:t>ou d’avoir besoin de secours et d’un rapatriement en cas d’urgence,</w:t>
            </w:r>
            <w:r>
              <w:t xml:space="preserve"> entraîner des coûts de transport, d’hébergement ou de traduction exceptionnellement élevés pour les autorités diplomatiques ou consulaires de l’État membre prêtant assistance. Selon les circonstances, ces</w:t>
            </w:r>
            <w:r>
              <w:t xml:space="preserve"> coûts peuvent néanmoins être essentiels et justifiés pour répondre de manière adéquate au cas d’espèce. L’État membre dont le citoyen non représenté a la nationalité devrait, dans le cadre de la consultation prévue par la directive, être informé de ces coûts éventuels. L’État membre prêtant assistance devrait avoir la possibilité de demander le remboursement de ces coûts exceptionnellement élevés à l’État membre dont le citoyen non représenté a la nationalité, notamment lorsque la situation a empêché ce de</w:t>
            </w:r>
            <w:r>
              <w:t xml:space="preserve">rnier de signer un engagement de remboursement. L’État membre dont le citoyen a la nationalité devrait rembourser les coûts supportés à l’État membre prêtant assistance. L’État membre prêtant assistance ne saurait demander à l’État membre dont le citoyen non représenté a la nationalité de rembourser les coûts dont l’État membre prêtant assistance n’exigerait pas le remboursement de la part </w:t>
            </w:r>
            <w:r>
              <w:t>de ses ressortissants en pareil cas. Conformément au principe de non-discrimination, les États membres dont les citoyen</w:t>
            </w:r>
            <w:r>
              <w:t>s non représentés ont la nationalité ne sauraient demander à leurs citoyens de rembourser des frais que les ressortissants de l’État membre prêtant assistance ne seraient pas tenus de rembourser.</w:t>
            </w:r>
          </w:p>
        </w:tc>
      </w:tr>
    </w:tbl>
    <w:p w:rsidR="001667A3" w:rsidRPr="00AA56F9" w:rsidP="00BD2DF0" w14:paraId="5F7E5A89" w14:textId="77777777">
      <w:pPr>
        <w:widowControl/>
      </w:pPr>
      <w:r w:rsidRPr="00825264">
        <w:rPr>
          <w:rStyle w:val="HideTWBExt"/>
        </w:rPr>
        <w:t>&lt;/Amend&gt;</w:t>
      </w:r>
    </w:p>
    <w:p w:rsidR="001667A3" w:rsidRPr="00AA56F9" w:rsidP="00BD2DF0" w14:paraId="0D6431CF" w14:textId="77777777">
      <w:pPr>
        <w:pStyle w:val="AmNumberTabs"/>
        <w:widowControl/>
      </w:pPr>
      <w:r w:rsidRPr="00825264">
        <w:rPr>
          <w:rStyle w:val="HideTWBExt"/>
          <w:b w:val="0"/>
        </w:rPr>
        <w:t>&lt;Amend&gt;</w:t>
      </w:r>
      <w:r>
        <w:t>Amendement</w:t>
      </w:r>
      <w:r>
        <w:tab/>
      </w:r>
      <w:r>
        <w:tab/>
      </w:r>
      <w:r w:rsidRPr="00825264">
        <w:rPr>
          <w:rStyle w:val="HideTWBExt"/>
          <w:b w:val="0"/>
        </w:rPr>
        <w:t>&lt;NumAm&gt;</w:t>
      </w:r>
      <w:r>
        <w:t>13</w:t>
      </w:r>
      <w:r w:rsidRPr="00825264">
        <w:rPr>
          <w:rStyle w:val="HideTWBExt"/>
          <w:b w:val="0"/>
        </w:rPr>
        <w:t>&lt;/NumAm&gt;</w:t>
      </w:r>
    </w:p>
    <w:p w:rsidR="001667A3" w:rsidRPr="00825264" w:rsidP="00BD2DF0" w14:paraId="57D78539" w14:textId="77777777">
      <w:pPr>
        <w:widowControl/>
      </w:pPr>
    </w:p>
    <w:p w:rsidR="001667A3" w:rsidRPr="00AA56F9" w:rsidP="00BD2DF0" w14:paraId="021ED04D"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7329BF5C" w14:textId="77777777">
      <w:pPr>
        <w:pStyle w:val="NormalBold"/>
        <w:widowControl/>
      </w:pPr>
      <w:r>
        <w:rPr>
          <w:rStyle w:val="HideTWBExt"/>
          <w:b w:val="0"/>
        </w:rPr>
        <w:t>&lt;Article&gt;</w:t>
      </w:r>
      <w:r>
        <w:t>Considérant 22 bis (nouveau)</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6C16CD"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239F1EC4" w14:textId="77777777">
            <w:pPr>
              <w:keepNext/>
              <w:widowControl/>
            </w:pPr>
          </w:p>
        </w:tc>
      </w:tr>
      <w:tr w14:paraId="51D0F88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FB388E6" w14:textId="77777777">
            <w:pPr>
              <w:pStyle w:val="ColumnHeading"/>
              <w:keepNext/>
              <w:widowControl/>
            </w:pPr>
            <w:r>
              <w:t>Texte proposé par le Conseil</w:t>
            </w:r>
          </w:p>
        </w:tc>
        <w:tc>
          <w:tcPr>
            <w:tcW w:w="4876" w:type="dxa"/>
            <w:hideMark/>
          </w:tcPr>
          <w:p w:rsidR="001667A3" w:rsidRPr="00EC1ED7" w:rsidP="00BD2DF0" w14:paraId="75978B89" w14:textId="77777777">
            <w:pPr>
              <w:pStyle w:val="ColumnHeading"/>
              <w:keepNext/>
              <w:widowControl/>
            </w:pPr>
            <w:r>
              <w:t>Amendement</w:t>
            </w:r>
          </w:p>
        </w:tc>
      </w:tr>
      <w:tr w14:paraId="07F4431D"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58DA893D" w14:textId="77777777">
            <w:pPr>
              <w:pStyle w:val="Normal6"/>
              <w:widowControl/>
            </w:pPr>
          </w:p>
        </w:tc>
        <w:tc>
          <w:tcPr>
            <w:tcW w:w="4876" w:type="dxa"/>
            <w:hideMark/>
          </w:tcPr>
          <w:p w:rsidR="001667A3" w:rsidRPr="00AA56F9" w:rsidP="00BD2DF0" w14:paraId="52CFC638" w14:textId="77777777">
            <w:pPr>
              <w:pStyle w:val="Normal6"/>
              <w:widowControl/>
              <w:rPr>
                <w:szCs w:val="24"/>
              </w:rPr>
            </w:pPr>
            <w:r>
              <w:rPr>
                <w:b/>
                <w:i/>
              </w:rPr>
              <w:t>(22 bis)</w:t>
            </w:r>
            <w:r>
              <w:rPr>
                <w:b/>
                <w:i/>
              </w:rPr>
              <w:tab/>
              <w:t xml:space="preserve">En plus des recettes provenant des remboursements des États membres, une augmentation appropriée du </w:t>
            </w:r>
            <w:r>
              <w:rPr>
                <w:b/>
                <w:i/>
              </w:rPr>
              <w:t>budget et du personnel du SEAE devrait être accordée afin de garantir la bonne exécution des responsabilités qui lui incombent en vertu de la présente directive.</w:t>
            </w:r>
          </w:p>
        </w:tc>
      </w:tr>
    </w:tbl>
    <w:p w:rsidR="001667A3" w:rsidRPr="00AA56F9" w:rsidP="00BD2DF0" w14:paraId="40BF712C" w14:textId="77777777">
      <w:pPr>
        <w:widowControl/>
      </w:pPr>
      <w:r w:rsidRPr="00825264">
        <w:rPr>
          <w:rStyle w:val="HideTWBExt"/>
        </w:rPr>
        <w:t>&lt;/Amend&gt;</w:t>
      </w:r>
    </w:p>
    <w:p w:rsidR="001667A3" w:rsidRPr="00AA56F9" w:rsidP="00BD2DF0" w14:paraId="0B658353" w14:textId="77777777">
      <w:pPr>
        <w:pStyle w:val="AmNumberTabs"/>
        <w:widowControl/>
      </w:pPr>
      <w:r w:rsidRPr="00825264">
        <w:rPr>
          <w:rStyle w:val="HideTWBExt"/>
          <w:b w:val="0"/>
        </w:rPr>
        <w:t>&lt;Amend&gt;</w:t>
      </w:r>
      <w:r>
        <w:t>Amendement</w:t>
      </w:r>
      <w:r>
        <w:tab/>
      </w:r>
      <w:r>
        <w:tab/>
      </w:r>
      <w:r w:rsidRPr="00825264">
        <w:rPr>
          <w:rStyle w:val="HideTWBExt"/>
          <w:b w:val="0"/>
        </w:rPr>
        <w:t>&lt;NumAm&gt;</w:t>
      </w:r>
      <w:r>
        <w:t>14</w:t>
      </w:r>
      <w:r w:rsidRPr="00825264">
        <w:rPr>
          <w:rStyle w:val="HideTWBExt"/>
          <w:b w:val="0"/>
        </w:rPr>
        <w:t>&lt;/NumAm&gt;</w:t>
      </w:r>
    </w:p>
    <w:p w:rsidR="001667A3" w:rsidRPr="00825264" w:rsidP="00BD2DF0" w14:paraId="506BAE90" w14:textId="77777777">
      <w:pPr>
        <w:widowControl/>
      </w:pPr>
    </w:p>
    <w:p w:rsidR="001667A3" w:rsidRPr="00AA56F9" w:rsidP="00BD2DF0" w14:paraId="4E14B8FB"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0C0959E4" w14:textId="77777777">
      <w:pPr>
        <w:pStyle w:val="NormalBold"/>
        <w:widowControl/>
      </w:pPr>
      <w:r>
        <w:rPr>
          <w:rStyle w:val="HideTWBExt"/>
          <w:b w:val="0"/>
        </w:rPr>
        <w:t>&lt;Article&gt;</w:t>
      </w:r>
      <w:r>
        <w:t>Considérant 28</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D700BB"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5DCA3819" w14:textId="77777777">
            <w:pPr>
              <w:keepNext/>
              <w:widowControl/>
            </w:pPr>
          </w:p>
        </w:tc>
      </w:tr>
      <w:tr w14:paraId="16026AFF"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043E41F" w14:textId="77777777">
            <w:pPr>
              <w:pStyle w:val="ColumnHeading"/>
              <w:keepNext/>
              <w:widowControl/>
            </w:pPr>
            <w:r>
              <w:t>Texte proposé par le Conseil</w:t>
            </w:r>
          </w:p>
        </w:tc>
        <w:tc>
          <w:tcPr>
            <w:tcW w:w="4876" w:type="dxa"/>
            <w:hideMark/>
          </w:tcPr>
          <w:p w:rsidR="001667A3" w:rsidRPr="00EC1ED7" w:rsidP="00BD2DF0" w14:paraId="67933919" w14:textId="77777777">
            <w:pPr>
              <w:pStyle w:val="ColumnHeading"/>
              <w:keepNext/>
              <w:widowControl/>
            </w:pPr>
            <w:r>
              <w:t>Amendement</w:t>
            </w:r>
          </w:p>
        </w:tc>
      </w:tr>
      <w:tr w14:paraId="5A46AFF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5CF763A" w14:textId="77777777">
            <w:pPr>
              <w:pStyle w:val="Normal6"/>
              <w:widowControl/>
            </w:pPr>
            <w:r>
              <w:t>(28)</w:t>
            </w:r>
            <w:r>
              <w:tab/>
            </w:r>
            <w:r>
              <w:t xml:space="preserve">Étant donné que les tâches consulaires peuvent varier considérablement, couvrant des situations sensibles telles que l’arrestation, l’incarcération, les atteintes à l’intégrité physique ou le fait d’être victime d’une infraction pénale, il est nécessaire de veiller à ce que les autorités compétentes des États membres et les institutions et organes compétents de l’Union aient accès à </w:t>
            </w:r>
            <w:r>
              <w:rPr>
                <w:b/>
                <w:i/>
              </w:rPr>
              <w:t>toutes les informations nécessaires, y compris les</w:t>
            </w:r>
            <w:r>
              <w:t xml:space="preserve"> données à caractère personnel, </w:t>
            </w:r>
            <w:r>
              <w:rPr>
                <w:b/>
                <w:i/>
              </w:rPr>
              <w:t>et</w:t>
            </w:r>
            <w:r>
              <w:t xml:space="preserve"> puissent les </w:t>
            </w:r>
            <w:r>
              <w:rPr>
                <w:b/>
                <w:i/>
              </w:rPr>
              <w:t>échanger, pour fournir une p</w:t>
            </w:r>
            <w:r>
              <w:rPr>
                <w:b/>
                <w:i/>
              </w:rPr>
              <w:t xml:space="preserve">rotection consulaire aux citoyens de </w:t>
            </w:r>
            <w:r>
              <w:rPr>
                <w:b/>
                <w:i/>
              </w:rPr>
              <w:t>l’Union. Dans ce contexte</w:t>
            </w:r>
            <w:r>
              <w:t xml:space="preserve">, </w:t>
            </w:r>
            <w:r>
              <w:rPr>
                <w:b/>
                <w:i/>
              </w:rPr>
              <w:t>les autorités compétentes des États membres</w:t>
            </w:r>
            <w:r>
              <w:t xml:space="preserve"> et</w:t>
            </w:r>
            <w:r>
              <w:rPr>
                <w:b/>
                <w:i/>
              </w:rPr>
              <w:t>, lorsqu’ils apportent leur soutien,</w:t>
            </w:r>
            <w:r>
              <w:t xml:space="preserve"> les </w:t>
            </w:r>
            <w:r>
              <w:rPr>
                <w:b/>
                <w:i/>
              </w:rPr>
              <w:t>institutions et organes de l’Union devraient être autorisés à traiter des catégories particulières de données à caractère personnel</w:t>
            </w:r>
            <w:r>
              <w:t>, lorsque cela est strictement nécessaire pour fournir une protection consulaire à la personne concernée</w:t>
            </w:r>
            <w:r>
              <w:rPr>
                <w:b/>
                <w:i/>
              </w:rPr>
              <w:t>. Cela devrait couvrir les données relatives à la santé, qui peuvent devoir être traitées afin de fournir une protection consu</w:t>
            </w:r>
            <w:r>
              <w:rPr>
                <w:b/>
                <w:i/>
              </w:rPr>
              <w:t>laire</w:t>
            </w:r>
            <w:r>
              <w:t xml:space="preserve"> à </w:t>
            </w:r>
            <w:r>
              <w:rPr>
                <w:b/>
                <w:i/>
              </w:rPr>
              <w:t>un citoyen non représenté qui aurait été gravement blessé ou serait tombé gravement malade</w:t>
            </w:r>
            <w:r>
              <w:t>. Les images faciales des personnes doivent pouvoir être traitées, notamment dans les cas où un titre de voyage provisoire de l’UE doit être délivré</w:t>
            </w:r>
            <w:r>
              <w:rPr>
                <w:b/>
                <w:i/>
              </w:rPr>
              <w:t>.</w:t>
            </w:r>
            <w:r>
              <w:t xml:space="preserve"> </w:t>
            </w:r>
            <w:r>
              <w:rPr>
                <w:b/>
                <w:i/>
              </w:rPr>
              <w:t>La fourniture d’une assistance à un citoyen non représenté, y compris pour la défense de droits en justice, peut également nécessiter, à titre exceptionnel, le traitement de données à caractère personnel révélant l’origine raciale ou ethnique, les opinions politiq</w:t>
            </w:r>
            <w:r>
              <w:rPr>
                <w:b/>
                <w:i/>
              </w:rPr>
              <w:t>ues, les convictions religieuses ou philosophiques, l’appartenance syndicale, ou des données relatives à l’orientation sexuelle. Dans certains cas, la fourniture d’une assistance consulaire peut également exiger le traitement de données génétiques, par exemple lorsqu’il s’agit de fournir une assistance dans le cadre d’accidents graves nécessitant l’identification unique d’une personne frappée d’incapacité ou dans le cadre de l’établissement de la paternité.</w:t>
            </w:r>
            <w:r>
              <w:t xml:space="preserve"> Enfin, les cas consulaires liés à l’arrestation ou</w:t>
            </w:r>
            <w:r>
              <w:t xml:space="preserve"> à l’incarcération peuvent nécessiter que les autorités compétentes traitent des données à caractère personnel relatives aux condamnations pénales et aux infractions.</w:t>
            </w:r>
          </w:p>
        </w:tc>
        <w:tc>
          <w:tcPr>
            <w:tcW w:w="4876" w:type="dxa"/>
            <w:hideMark/>
          </w:tcPr>
          <w:p w:rsidR="001667A3" w:rsidRPr="00AA56F9" w:rsidP="00BD2DF0" w14:paraId="32F774C0" w14:textId="77777777">
            <w:pPr>
              <w:pStyle w:val="Normal6"/>
              <w:widowControl/>
              <w:rPr>
                <w:szCs w:val="24"/>
              </w:rPr>
            </w:pPr>
            <w:r>
              <w:t>(28)</w:t>
            </w:r>
            <w:r>
              <w:tab/>
              <w:t xml:space="preserve">Étant donné que les tâches consulaires peuvent varier considérablement </w:t>
            </w:r>
            <w:r>
              <w:rPr>
                <w:b/>
                <w:i/>
              </w:rPr>
              <w:t>en fonction du contexte local ou des besoins individuels des citoyens de l’Union</w:t>
            </w:r>
            <w:r>
              <w:t xml:space="preserve">, couvrant des situations sensibles telles que l’arrestation, l’incarcération, les atteintes à l’intégrité physique ou le fait d’être victime d’une infraction pénale, il est nécessaire de veiller à ce que les autorités compétentes des États membres et les institutions et organes compétents de l’Union aient accès à </w:t>
            </w:r>
            <w:r>
              <w:rPr>
                <w:b/>
                <w:i/>
              </w:rPr>
              <w:t>des catégories particulières de</w:t>
            </w:r>
            <w:r>
              <w:t xml:space="preserve"> données à ca</w:t>
            </w:r>
            <w:r>
              <w:t xml:space="preserve">ractère personnel, puissent les </w:t>
            </w:r>
            <w:r>
              <w:rPr>
                <w:b/>
                <w:i/>
              </w:rPr>
              <w:t xml:space="preserve">traiter et </w:t>
            </w:r>
            <w:r>
              <w:rPr>
                <w:b/>
                <w:i/>
              </w:rPr>
              <w:t>les échanger</w:t>
            </w:r>
            <w:r>
              <w:t xml:space="preserve">, et </w:t>
            </w:r>
            <w:r>
              <w:rPr>
                <w:b/>
                <w:i/>
              </w:rPr>
              <w:t>puissent également échanger toutes</w:t>
            </w:r>
            <w:r>
              <w:t xml:space="preserve"> les </w:t>
            </w:r>
            <w:r>
              <w:rPr>
                <w:b/>
                <w:i/>
              </w:rPr>
              <w:t>informations pertinentes</w:t>
            </w:r>
            <w:r>
              <w:t xml:space="preserve">, lorsque cela est strictement nécessaire pour fournir une protection consulaire à la personne concernée </w:t>
            </w:r>
            <w:r>
              <w:rPr>
                <w:b/>
                <w:i/>
              </w:rPr>
              <w:t>et que cela présente un intérêt public ou relève d’un intérêt vital pour ladite personne, comme précisé</w:t>
            </w:r>
            <w:r>
              <w:t xml:space="preserve"> à </w:t>
            </w:r>
            <w:r>
              <w:rPr>
                <w:b/>
                <w:i/>
              </w:rPr>
              <w:t>l’article 9 du règlement (UE) 2016/697 et à l’article 10 du règlement (UE) 2018/1725</w:t>
            </w:r>
            <w:r>
              <w:t>. Les images faciales des personnes doivent pouvoir être traitées, notamment dans les cas où u</w:t>
            </w:r>
            <w:r>
              <w:t>n titre de voyage provisoire de l’UE doit être délivré. Enfin, les cas consulaires liés à l’arrestation ou à l’incarcération peuvent nécessiter que les autorités compétentes traitent des données à caractère personnel relatives aux condamnations pénales et aux infractions.</w:t>
            </w:r>
          </w:p>
        </w:tc>
      </w:tr>
    </w:tbl>
    <w:p w:rsidR="001667A3" w:rsidRPr="00AA56F9" w:rsidP="00BD2DF0" w14:paraId="64D92B69" w14:textId="77777777">
      <w:pPr>
        <w:widowControl/>
      </w:pPr>
      <w:r w:rsidRPr="00825264">
        <w:rPr>
          <w:rStyle w:val="HideTWBExt"/>
        </w:rPr>
        <w:t>&lt;/Amend&gt;</w:t>
      </w:r>
    </w:p>
    <w:p w:rsidR="001667A3" w:rsidRPr="00AA56F9" w:rsidP="00BD2DF0" w14:paraId="7A633A13" w14:textId="77777777">
      <w:pPr>
        <w:pStyle w:val="AmNumberTabs"/>
        <w:widowControl/>
      </w:pPr>
      <w:r w:rsidRPr="00825264">
        <w:rPr>
          <w:rStyle w:val="HideTWBExt"/>
          <w:b w:val="0"/>
        </w:rPr>
        <w:t>&lt;Amend&gt;</w:t>
      </w:r>
      <w:r>
        <w:t>Amendement</w:t>
      </w:r>
      <w:r>
        <w:tab/>
      </w:r>
      <w:r>
        <w:tab/>
      </w:r>
      <w:r w:rsidRPr="00825264">
        <w:rPr>
          <w:rStyle w:val="HideTWBExt"/>
          <w:b w:val="0"/>
        </w:rPr>
        <w:t>&lt;NumAm&gt;</w:t>
      </w:r>
      <w:r>
        <w:t>15</w:t>
      </w:r>
      <w:r w:rsidRPr="00825264">
        <w:rPr>
          <w:rStyle w:val="HideTWBExt"/>
          <w:b w:val="0"/>
        </w:rPr>
        <w:t>&lt;/NumAm&gt;</w:t>
      </w:r>
    </w:p>
    <w:p w:rsidR="001667A3" w:rsidRPr="00825264" w:rsidP="00BD2DF0" w14:paraId="4BB7F06D" w14:textId="77777777">
      <w:pPr>
        <w:widowControl/>
      </w:pPr>
    </w:p>
    <w:p w:rsidR="001667A3" w:rsidRPr="00AA56F9" w:rsidP="00BD2DF0" w14:paraId="6A8F5372"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1781320E" w14:textId="77777777">
      <w:pPr>
        <w:pStyle w:val="NormalBold"/>
        <w:widowControl/>
      </w:pPr>
      <w:r>
        <w:rPr>
          <w:rStyle w:val="HideTWBExt"/>
          <w:b w:val="0"/>
        </w:rPr>
        <w:t>&lt;Article&gt;</w:t>
      </w:r>
      <w:r>
        <w:t>Considérant 30</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277858"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5269FD4E" w14:textId="77777777">
            <w:pPr>
              <w:keepNext/>
              <w:widowControl/>
            </w:pPr>
          </w:p>
        </w:tc>
      </w:tr>
      <w:tr w14:paraId="7996417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5040AE18" w14:textId="77777777">
            <w:pPr>
              <w:pStyle w:val="ColumnHeading"/>
              <w:keepNext/>
              <w:widowControl/>
            </w:pPr>
            <w:r>
              <w:t>Texte proposé par le Conseil</w:t>
            </w:r>
          </w:p>
        </w:tc>
        <w:tc>
          <w:tcPr>
            <w:tcW w:w="4876" w:type="dxa"/>
            <w:hideMark/>
          </w:tcPr>
          <w:p w:rsidR="001667A3" w:rsidRPr="00EC1ED7" w:rsidP="00BD2DF0" w14:paraId="5C63BEA9" w14:textId="77777777">
            <w:pPr>
              <w:pStyle w:val="ColumnHeading"/>
              <w:keepNext/>
              <w:widowControl/>
            </w:pPr>
            <w:r>
              <w:t>Amendement</w:t>
            </w:r>
          </w:p>
        </w:tc>
      </w:tr>
      <w:tr w14:paraId="0B3AA24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145A7DE6" w14:textId="77777777">
            <w:pPr>
              <w:pStyle w:val="Normal6"/>
              <w:widowControl/>
            </w:pPr>
            <w:r>
              <w:t>(30)</w:t>
            </w:r>
            <w:r>
              <w:tab/>
            </w:r>
            <w:r>
              <w:rPr>
                <w:b/>
                <w:i/>
              </w:rPr>
              <w:t>Lorsque la fourniture d’une protection consulaire nécessite</w:t>
            </w:r>
            <w:r>
              <w:t xml:space="preserve"> le transfert de données à caractère personnel de citoyens de l’Union vers des pays tiers ou des organisations internationales, telles que les Nations unies, </w:t>
            </w:r>
            <w:r>
              <w:rPr>
                <w:b/>
                <w:i/>
              </w:rPr>
              <w:t>qui collaborent aux mesures</w:t>
            </w:r>
            <w:r>
              <w:t xml:space="preserve"> de </w:t>
            </w:r>
            <w:r>
              <w:rPr>
                <w:b/>
                <w:i/>
              </w:rPr>
              <w:t>réaction aux crises, ces transferts devraient</w:t>
            </w:r>
            <w:r>
              <w:t xml:space="preserve"> être </w:t>
            </w:r>
            <w:r>
              <w:rPr>
                <w:b/>
                <w:i/>
              </w:rPr>
              <w:t>conformes</w:t>
            </w:r>
            <w:r>
              <w:t xml:space="preserve"> au chapitre V du règlement (UE) 2016/679 et au chapitre V du règlement (UE) 2018/1725.</w:t>
            </w:r>
          </w:p>
        </w:tc>
        <w:tc>
          <w:tcPr>
            <w:tcW w:w="4876" w:type="dxa"/>
            <w:hideMark/>
          </w:tcPr>
          <w:p w:rsidR="001667A3" w:rsidRPr="00AA56F9" w:rsidP="00BD2DF0" w14:paraId="6E9CAA35" w14:textId="77777777">
            <w:pPr>
              <w:pStyle w:val="Normal6"/>
              <w:widowControl/>
              <w:rPr>
                <w:szCs w:val="24"/>
              </w:rPr>
            </w:pPr>
            <w:r>
              <w:t>(30)</w:t>
            </w:r>
            <w:r>
              <w:tab/>
              <w:t xml:space="preserve">Le transfert de données à caractère personnel de citoyens de l’Union vers des pays tiers ou des organisations internationales, telles que les Nations unies, </w:t>
            </w:r>
            <w:r>
              <w:rPr>
                <w:b/>
                <w:i/>
              </w:rPr>
              <w:t>devrait être effectué avec la plus grande prudence et uniquement si cette collaboration revêt une importance directe pour l’octroi</w:t>
            </w:r>
            <w:r>
              <w:t xml:space="preserve"> de </w:t>
            </w:r>
            <w:r>
              <w:rPr>
                <w:b/>
                <w:i/>
              </w:rPr>
              <w:t>la protection consulaire.</w:t>
            </w:r>
            <w:r>
              <w:t xml:space="preserve"> </w:t>
            </w:r>
            <w:r>
              <w:rPr>
                <w:b/>
                <w:i/>
              </w:rPr>
              <w:t>Ce transfert devrait toujours</w:t>
            </w:r>
            <w:r>
              <w:t xml:space="preserve"> être </w:t>
            </w:r>
            <w:r>
              <w:rPr>
                <w:b/>
                <w:i/>
              </w:rPr>
              <w:t>conforme</w:t>
            </w:r>
            <w:r>
              <w:t xml:space="preserve"> au chapitre V du règlement (UE) 2016/679 et au chapitre V du règlement (UE) 2018/1725.</w:t>
            </w:r>
          </w:p>
        </w:tc>
      </w:tr>
    </w:tbl>
    <w:p w:rsidR="001667A3" w:rsidRPr="00AA56F9" w:rsidP="00BD2DF0" w14:paraId="63711EF0" w14:textId="77777777">
      <w:pPr>
        <w:widowControl/>
      </w:pPr>
      <w:r w:rsidRPr="00825264">
        <w:rPr>
          <w:rStyle w:val="HideTWBExt"/>
        </w:rPr>
        <w:t>&lt;/Amend&gt;</w:t>
      </w:r>
    </w:p>
    <w:p w:rsidR="001667A3" w:rsidRPr="00AA56F9" w:rsidP="00BD2DF0" w14:paraId="05BCDB85" w14:textId="77777777">
      <w:pPr>
        <w:pStyle w:val="AmNumberTabs"/>
        <w:widowControl/>
      </w:pPr>
      <w:r w:rsidRPr="00825264">
        <w:rPr>
          <w:rStyle w:val="HideTWBExt"/>
          <w:b w:val="0"/>
        </w:rPr>
        <w:t>&lt;Amend&gt;</w:t>
      </w:r>
      <w:r>
        <w:t>Amendement</w:t>
      </w:r>
      <w:r>
        <w:tab/>
      </w:r>
      <w:r>
        <w:tab/>
      </w:r>
      <w:r w:rsidRPr="00825264">
        <w:rPr>
          <w:rStyle w:val="HideTWBExt"/>
          <w:b w:val="0"/>
        </w:rPr>
        <w:t>&lt;NumAm&gt;</w:t>
      </w:r>
      <w:r>
        <w:t>16</w:t>
      </w:r>
      <w:r w:rsidRPr="00825264">
        <w:rPr>
          <w:rStyle w:val="HideTWBExt"/>
          <w:b w:val="0"/>
        </w:rPr>
        <w:t>&lt;/NumAm&gt;</w:t>
      </w:r>
    </w:p>
    <w:p w:rsidR="001667A3" w:rsidRPr="00825264" w:rsidP="00BD2DF0" w14:paraId="393E3A3C" w14:textId="77777777">
      <w:pPr>
        <w:widowControl/>
      </w:pPr>
    </w:p>
    <w:p w:rsidR="001667A3" w:rsidRPr="00AA56F9" w:rsidP="00BD2DF0" w14:paraId="234CDD20"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56CBD97C" w14:textId="77777777">
      <w:pPr>
        <w:pStyle w:val="NormalBold"/>
        <w:widowControl/>
      </w:pPr>
      <w:r>
        <w:rPr>
          <w:rStyle w:val="HideTWBExt"/>
          <w:b w:val="0"/>
        </w:rPr>
        <w:t>&lt;Article&gt;</w:t>
      </w:r>
      <w:r>
        <w:t>Considérant 31</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C5D1E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6563411D" w14:textId="77777777">
            <w:pPr>
              <w:keepNext/>
              <w:widowControl/>
            </w:pPr>
          </w:p>
        </w:tc>
      </w:tr>
      <w:tr w14:paraId="174FEF5F"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5F132326" w14:textId="77777777">
            <w:pPr>
              <w:pStyle w:val="ColumnHeading"/>
              <w:keepNext/>
              <w:widowControl/>
            </w:pPr>
            <w:r>
              <w:t>Texte proposé par le Conseil</w:t>
            </w:r>
          </w:p>
        </w:tc>
        <w:tc>
          <w:tcPr>
            <w:tcW w:w="4876" w:type="dxa"/>
            <w:hideMark/>
          </w:tcPr>
          <w:p w:rsidR="001667A3" w:rsidRPr="00EC1ED7" w:rsidP="00BD2DF0" w14:paraId="7C384F87" w14:textId="77777777">
            <w:pPr>
              <w:pStyle w:val="ColumnHeading"/>
              <w:keepNext/>
              <w:widowControl/>
            </w:pPr>
            <w:r>
              <w:t>Amendement</w:t>
            </w:r>
          </w:p>
        </w:tc>
      </w:tr>
      <w:tr w14:paraId="1CD0A1C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09ED6C4" w14:textId="77777777">
            <w:pPr>
              <w:pStyle w:val="Normal6"/>
              <w:widowControl/>
            </w:pPr>
            <w:r>
              <w:t>(31)</w:t>
            </w:r>
            <w:r>
              <w:tab/>
              <w:t xml:space="preserve">Les données à caractère personnel collectées par les </w:t>
            </w:r>
            <w:r>
              <w:t>États membres prêtant assistance, les États membres de nationalité ou les institutions et organes de l’Union ne devraient être conservées que le temps nécessaire à l’accomplissement des tâches prévues par la présente directive. Lorsque les données à caractère personnel concernent les coordonnées d’agents publics tels que les consuls honoraires, les données à caractère personnel devraient être conservées aussi longtemps que la personne reste le contact pertinent. L’effacement des données à caractère personne</w:t>
            </w:r>
            <w:r>
              <w:t>l des demandeurs ne devrait pas porter atteinte à la faculté des États membres de contrôler l’application de la présente directive.</w:t>
            </w:r>
          </w:p>
        </w:tc>
        <w:tc>
          <w:tcPr>
            <w:tcW w:w="4876" w:type="dxa"/>
            <w:hideMark/>
          </w:tcPr>
          <w:p w:rsidR="001667A3" w:rsidRPr="00AA56F9" w:rsidP="00BD2DF0" w14:paraId="18A21371" w14:textId="77777777">
            <w:pPr>
              <w:pStyle w:val="Normal6"/>
              <w:widowControl/>
              <w:rPr>
                <w:szCs w:val="24"/>
              </w:rPr>
            </w:pPr>
            <w:r>
              <w:t>(31)</w:t>
            </w:r>
            <w:r>
              <w:tab/>
              <w:t>Les données à caractère personnel collectées par les États membres prêtant assistance, les États membres de nationalité ou les institutions et organes de l’Union ne devraient être conservées que le temps nécessaire à l’accomplissement des tâches prévues par la présente directive.</w:t>
            </w:r>
            <w:r>
              <w:rPr>
                <w:b/>
                <w:i/>
              </w:rPr>
              <w:t xml:space="preserve"> En particulier, à moins qu’il ne soit nécessaire de conserver les données à caractère personnel pour étayer les demandes en justice des citoyens ou pour traiter les remboursements ultérieurs de la protection consulaire octroyée, c</w:t>
            </w:r>
            <w:r>
              <w:rPr>
                <w:b/>
                <w:i/>
              </w:rPr>
              <w:t>es données ne devraient pas être conservées plus longtemps que nécessaire pour fournir les différents types d’assistance.</w:t>
            </w:r>
            <w:r>
              <w:t xml:space="preserve"> Lorsque les données à caractère personnel concernent les coordonnées d’agents publics tels que les consuls honoraires, les données à caractère personnel devraient être conservées aussi longtemps que la personne reste le contact pertinent. L’effacement des données à caractère personnel des demandeurs ne devrait pas porter atteinte à la faculté des États </w:t>
            </w:r>
            <w:r>
              <w:t xml:space="preserve">membres de contrôler l’application </w:t>
            </w:r>
            <w:r>
              <w:t>de la présente directive.</w:t>
            </w:r>
          </w:p>
        </w:tc>
      </w:tr>
    </w:tbl>
    <w:p w:rsidR="001667A3" w:rsidRPr="00AA56F9" w:rsidP="00BD2DF0" w14:paraId="0ADC27D1" w14:textId="77777777">
      <w:pPr>
        <w:widowControl/>
      </w:pPr>
      <w:r w:rsidRPr="00825264">
        <w:rPr>
          <w:rStyle w:val="HideTWBExt"/>
        </w:rPr>
        <w:t>&lt;/Amend&gt;</w:t>
      </w:r>
    </w:p>
    <w:p w:rsidR="001667A3" w:rsidRPr="00AA56F9" w:rsidP="00BD2DF0" w14:paraId="3AF03772" w14:textId="77777777">
      <w:pPr>
        <w:pStyle w:val="AmNumberTabs"/>
        <w:widowControl/>
      </w:pPr>
      <w:r w:rsidRPr="00825264">
        <w:rPr>
          <w:rStyle w:val="HideTWBExt"/>
          <w:b w:val="0"/>
        </w:rPr>
        <w:t>&lt;Amend&gt;</w:t>
      </w:r>
      <w:r>
        <w:t>Amendement</w:t>
      </w:r>
      <w:r>
        <w:tab/>
      </w:r>
      <w:r>
        <w:tab/>
      </w:r>
      <w:r w:rsidRPr="00825264">
        <w:rPr>
          <w:rStyle w:val="HideTWBExt"/>
          <w:b w:val="0"/>
        </w:rPr>
        <w:t>&lt;NumAm&gt;</w:t>
      </w:r>
      <w:r>
        <w:t>17</w:t>
      </w:r>
      <w:r w:rsidRPr="00825264">
        <w:rPr>
          <w:rStyle w:val="HideTWBExt"/>
          <w:b w:val="0"/>
        </w:rPr>
        <w:t>&lt;/NumAm&gt;</w:t>
      </w:r>
    </w:p>
    <w:p w:rsidR="001667A3" w:rsidRPr="00825264" w:rsidP="00BD2DF0" w14:paraId="2C8BE4EF" w14:textId="77777777">
      <w:pPr>
        <w:widowControl/>
      </w:pPr>
    </w:p>
    <w:p w:rsidR="001667A3" w:rsidRPr="00AA56F9" w:rsidP="00BD2DF0" w14:paraId="0DDA7A78"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EC1ED7" w:rsidP="00BD2DF0" w14:paraId="119918AD" w14:textId="77777777">
      <w:pPr>
        <w:pStyle w:val="NormalBold"/>
        <w:widowControl/>
      </w:pPr>
      <w:r>
        <w:rPr>
          <w:rStyle w:val="HideTWBExt"/>
          <w:b w:val="0"/>
        </w:rPr>
        <w:t>&lt;Article&gt;</w:t>
      </w:r>
      <w:r>
        <w:t>Considérant 32</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D2F990"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39545879" w14:textId="77777777">
            <w:pPr>
              <w:keepNext/>
              <w:widowControl/>
            </w:pPr>
          </w:p>
        </w:tc>
      </w:tr>
      <w:tr w14:paraId="66DE5E2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FBD00D2" w14:textId="77777777">
            <w:pPr>
              <w:pStyle w:val="ColumnHeading"/>
              <w:keepNext/>
              <w:widowControl/>
            </w:pPr>
            <w:r>
              <w:t>Texte proposé par le Conseil</w:t>
            </w:r>
          </w:p>
        </w:tc>
        <w:tc>
          <w:tcPr>
            <w:tcW w:w="4876" w:type="dxa"/>
            <w:hideMark/>
          </w:tcPr>
          <w:p w:rsidR="001667A3" w:rsidRPr="00EC1ED7" w:rsidP="00BD2DF0" w14:paraId="10D56DB4" w14:textId="77777777">
            <w:pPr>
              <w:pStyle w:val="ColumnHeading"/>
              <w:keepNext/>
              <w:widowControl/>
            </w:pPr>
            <w:r>
              <w:t>Amendement</w:t>
            </w:r>
          </w:p>
        </w:tc>
      </w:tr>
      <w:tr w14:paraId="29A98AB6"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BCE7D6A" w14:textId="77777777">
            <w:pPr>
              <w:pStyle w:val="Normal6"/>
              <w:widowControl/>
            </w:pPr>
            <w:r>
              <w:t>(32)</w:t>
            </w:r>
            <w:r>
              <w:tab/>
              <w:t>Conformément à l’accord interinstitutionnel du 13 avril 2016 "Mieux légiférer"</w:t>
            </w:r>
            <w:r>
              <w:rPr>
                <w:b/>
                <w:i/>
                <w:vertAlign w:val="superscript"/>
              </w:rPr>
              <w:t>8</w:t>
            </w:r>
            <w:r>
              <w:t xml:space="preserve">, la Commission devrait, au plus </w:t>
            </w:r>
            <w:r>
              <w:rPr>
                <w:b/>
                <w:i/>
              </w:rPr>
              <w:t>tôt</w:t>
            </w:r>
            <w:r>
              <w:t xml:space="preserve"> [</w:t>
            </w:r>
            <w:r>
              <w:rPr>
                <w:b/>
                <w:i/>
              </w:rPr>
              <w:t>huit</w:t>
            </w:r>
            <w:r>
              <w:t xml:space="preserve"> ans après le délai de transposition de la directive modificative], procéder à une évaluation de la présente directive afin de prendre la mesure de ses effets réels et de la nécessité de toute action supplémentaire. Les États membres devraient fournir à la Commission les informations nécessaires à l’établissement de ce rapport.</w:t>
            </w:r>
          </w:p>
        </w:tc>
        <w:tc>
          <w:tcPr>
            <w:tcW w:w="4876" w:type="dxa"/>
            <w:hideMark/>
          </w:tcPr>
          <w:p w:rsidR="001667A3" w:rsidRPr="00AA56F9" w:rsidP="00BD2DF0" w14:paraId="3BAE52C1" w14:textId="77777777">
            <w:pPr>
              <w:pStyle w:val="Normal6"/>
              <w:widowControl/>
              <w:rPr>
                <w:szCs w:val="24"/>
              </w:rPr>
            </w:pPr>
            <w:r>
              <w:t>(32)</w:t>
            </w:r>
            <w:r>
              <w:tab/>
              <w:t xml:space="preserve">Conformément à l’accord interinstitutionnel du 13 avril 2016 "Mieux légiférer", la Commission devrait, au plus </w:t>
            </w:r>
            <w:r>
              <w:rPr>
                <w:b/>
                <w:i/>
              </w:rPr>
              <w:t>tard le...</w:t>
            </w:r>
            <w:r>
              <w:t xml:space="preserve"> [</w:t>
            </w:r>
            <w:r>
              <w:rPr>
                <w:b/>
                <w:i/>
              </w:rPr>
              <w:t>cinq</w:t>
            </w:r>
            <w:r>
              <w:t xml:space="preserve"> ans après le délai de transposition de la directive modificative], procéder à une évaluation de la présente directive afin de prendre la mesure de ses effets réels et de la nécessité de toute action supplémentaire. Les États membres devraient fournir à la Commission les informations nécessaires à l’établissement de ce rapport.</w:t>
            </w:r>
          </w:p>
        </w:tc>
      </w:tr>
      <w:tr w14:paraId="4E31BD2C"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EC1ED7" w:rsidP="00BD2DF0" w14:paraId="683B1E5D" w14:textId="77777777">
            <w:pPr>
              <w:pStyle w:val="Normal6"/>
              <w:widowControl/>
            </w:pPr>
            <w:r>
              <w:t>__________________</w:t>
            </w:r>
          </w:p>
        </w:tc>
        <w:tc>
          <w:tcPr>
            <w:tcW w:w="4876" w:type="dxa"/>
            <w:hideMark/>
          </w:tcPr>
          <w:p w:rsidR="001667A3" w:rsidRPr="00EC1ED7" w:rsidP="00BD2DF0" w14:paraId="3F08C31B" w14:textId="77777777">
            <w:pPr>
              <w:pStyle w:val="Normal6"/>
              <w:widowControl/>
              <w:rPr>
                <w:szCs w:val="24"/>
              </w:rPr>
            </w:pPr>
            <w:r>
              <w:t>__________________</w:t>
            </w:r>
          </w:p>
        </w:tc>
      </w:tr>
      <w:tr w14:paraId="146FCC4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825264" w:rsidP="00BD2DF0" w14:paraId="65331D12" w14:textId="77777777">
            <w:pPr>
              <w:pStyle w:val="Normal6"/>
              <w:widowControl/>
              <w:rPr>
                <w:lang w:val="fi-FI"/>
              </w:rPr>
            </w:pPr>
            <w:r w:rsidRPr="00825264">
              <w:rPr>
                <w:vertAlign w:val="superscript"/>
                <w:lang w:val="fi-FI"/>
              </w:rPr>
              <w:t>8</w:t>
            </w:r>
            <w:r w:rsidRPr="00825264">
              <w:rPr>
                <w:lang w:val="fi-FI"/>
              </w:rPr>
              <w:t xml:space="preserve"> JO L 123 du 12.5.2016, p. 1, ELI: http://data.europa.eu/eli/agree_interinstit/2016/512/oj.</w:t>
            </w:r>
          </w:p>
        </w:tc>
        <w:tc>
          <w:tcPr>
            <w:tcW w:w="4876" w:type="dxa"/>
            <w:hideMark/>
          </w:tcPr>
          <w:p w:rsidR="001667A3" w:rsidRPr="00825264" w:rsidP="00BD2DF0" w14:paraId="74EF1E71" w14:textId="77777777">
            <w:pPr>
              <w:pStyle w:val="Normal6"/>
              <w:widowControl/>
              <w:rPr>
                <w:szCs w:val="24"/>
                <w:lang w:val="fi-FI"/>
              </w:rPr>
            </w:pPr>
            <w:r w:rsidRPr="00825264">
              <w:rPr>
                <w:lang w:val="fi-FI"/>
              </w:rPr>
              <w:t xml:space="preserve">8 JO L 123 du 12.5.2016, p. 1, ELI: </w:t>
            </w:r>
            <w:r w:rsidRPr="00825264">
              <w:rPr>
                <w:lang w:val="fi-FI"/>
              </w:rPr>
              <w:t>http://data.europa.eu/eli/agree_interinstit/2016/512/oj.</w:t>
            </w:r>
          </w:p>
        </w:tc>
      </w:tr>
    </w:tbl>
    <w:p w:rsidR="001667A3" w:rsidRPr="00825264" w:rsidP="00BD2DF0" w14:paraId="1FFBFFE2" w14:textId="77777777">
      <w:pPr>
        <w:widowControl/>
        <w:rPr>
          <w:lang w:val="fi-FI"/>
        </w:rPr>
      </w:pPr>
      <w:r>
        <w:rPr>
          <w:rStyle w:val="HideTWBExt"/>
          <w:lang w:val="fi-FI"/>
        </w:rPr>
        <w:t>&lt;/Amend&gt;</w:t>
      </w:r>
    </w:p>
    <w:p w:rsidR="001667A3" w:rsidRPr="00BD2DF0" w:rsidP="00BD2DF0" w14:paraId="219436E7" w14:textId="77777777">
      <w:pPr>
        <w:pStyle w:val="AmNumberTabs"/>
        <w:widowControl/>
      </w:pPr>
      <w:r w:rsidRPr="00825264">
        <w:rPr>
          <w:rStyle w:val="HideTWBExt"/>
          <w:b w:val="0"/>
        </w:rPr>
        <w:t>&lt;Amend&gt;</w:t>
      </w:r>
      <w:r>
        <w:t>Amendement</w:t>
      </w:r>
      <w:r>
        <w:tab/>
      </w:r>
      <w:r>
        <w:tab/>
      </w:r>
      <w:r w:rsidRPr="00825264">
        <w:rPr>
          <w:rStyle w:val="HideTWBExt"/>
          <w:b w:val="0"/>
        </w:rPr>
        <w:t>&lt;NumAm&gt;</w:t>
      </w:r>
      <w:r>
        <w:t>18</w:t>
      </w:r>
      <w:r w:rsidRPr="00825264">
        <w:rPr>
          <w:rStyle w:val="HideTWBExt"/>
          <w:b w:val="0"/>
        </w:rPr>
        <w:t>&lt;/NumAm&gt;</w:t>
      </w:r>
    </w:p>
    <w:p w:rsidR="001667A3" w:rsidRPr="00825264" w:rsidP="00BD2DF0" w14:paraId="4E0AFF6E" w14:textId="77777777">
      <w:pPr>
        <w:widowControl/>
      </w:pPr>
    </w:p>
    <w:p w:rsidR="001667A3" w:rsidRPr="00BD2DF0" w:rsidP="00BD2DF0" w14:paraId="16F5EBB1"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735F98C6" w14:textId="77777777">
      <w:pPr>
        <w:pStyle w:val="NormalBold"/>
        <w:widowControl/>
      </w:pPr>
      <w:r w:rsidRPr="00825264">
        <w:rPr>
          <w:rStyle w:val="HideTWBExt"/>
          <w:b w:val="0"/>
        </w:rPr>
        <w:t>&lt;Article&gt;</w:t>
      </w:r>
      <w:r>
        <w:t>Article 1 – alinéa 1 – point 1</w:t>
      </w:r>
      <w:r w:rsidRPr="00825264">
        <w:rPr>
          <w:rStyle w:val="HideTWBExt"/>
          <w:b w:val="0"/>
        </w:rPr>
        <w:t>&lt;/Article&gt;</w:t>
      </w:r>
    </w:p>
    <w:p w:rsidR="001667A3" w:rsidRPr="00BD2DF0" w:rsidP="00BD2DF0" w14:paraId="3574DBF7"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5F276C45" w14:textId="77777777">
      <w:pPr>
        <w:widowControl/>
      </w:pPr>
      <w:r>
        <w:rPr>
          <w:rStyle w:val="HideTWBExt"/>
        </w:rPr>
        <w:t>&lt;Article2&gt;</w:t>
      </w:r>
      <w:r>
        <w:t>Article 7 – paragraphe 3 bis (nouveau)</w:t>
      </w:r>
      <w:r>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8C4EDF2" w14:textId="77777777" w:rsidTr="0044613B">
        <w:tblPrEx>
          <w:tblW w:w="9752" w:type="dxa"/>
          <w:jc w:val="center"/>
          <w:tblLayout w:type="fixed"/>
          <w:tblCellMar>
            <w:left w:w="340" w:type="dxa"/>
            <w:right w:w="340" w:type="dxa"/>
          </w:tblCellMar>
          <w:tblLook w:val="04A0"/>
        </w:tblPrEx>
        <w:trPr>
          <w:jc w:val="center"/>
        </w:trPr>
        <w:tc>
          <w:tcPr>
            <w:tcW w:w="9752" w:type="dxa"/>
            <w:gridSpan w:val="2"/>
          </w:tcPr>
          <w:p w:rsidR="001667A3" w:rsidRPr="00EC1ED7" w:rsidP="00BD2DF0" w14:paraId="06716F3B" w14:textId="77777777">
            <w:pPr>
              <w:keepNext/>
              <w:widowControl/>
            </w:pPr>
          </w:p>
        </w:tc>
      </w:tr>
      <w:tr w14:paraId="2439A48C" w14:textId="77777777" w:rsidTr="0044613B">
        <w:tblPrEx>
          <w:tblW w:w="9752" w:type="dxa"/>
          <w:jc w:val="center"/>
          <w:tblLayout w:type="fixed"/>
          <w:tblCellMar>
            <w:left w:w="340" w:type="dxa"/>
            <w:right w:w="340" w:type="dxa"/>
          </w:tblCellMar>
          <w:tblLook w:val="04A0"/>
        </w:tblPrEx>
        <w:trPr>
          <w:jc w:val="center"/>
        </w:trPr>
        <w:tc>
          <w:tcPr>
            <w:tcW w:w="4876" w:type="dxa"/>
            <w:hideMark/>
          </w:tcPr>
          <w:p w:rsidR="001667A3" w:rsidRPr="00AA56F9" w:rsidP="00BD2DF0" w14:paraId="45E929A4" w14:textId="77777777">
            <w:pPr>
              <w:pStyle w:val="ColumnHeading"/>
              <w:keepNext/>
              <w:widowControl/>
            </w:pPr>
            <w:r>
              <w:t>Texte proposé par le Conseil</w:t>
            </w:r>
          </w:p>
        </w:tc>
        <w:tc>
          <w:tcPr>
            <w:tcW w:w="4876" w:type="dxa"/>
            <w:hideMark/>
          </w:tcPr>
          <w:p w:rsidR="001667A3" w:rsidRPr="00EC1ED7" w:rsidP="00BD2DF0" w14:paraId="1CEF526B" w14:textId="77777777">
            <w:pPr>
              <w:pStyle w:val="ColumnHeading"/>
              <w:keepNext/>
              <w:widowControl/>
            </w:pPr>
            <w:r>
              <w:t>Amendement</w:t>
            </w:r>
          </w:p>
        </w:tc>
      </w:tr>
      <w:tr w14:paraId="14BFA50E" w14:textId="77777777" w:rsidTr="0044613B">
        <w:tblPrEx>
          <w:tblW w:w="9752" w:type="dxa"/>
          <w:jc w:val="center"/>
          <w:tblLayout w:type="fixed"/>
          <w:tblCellMar>
            <w:left w:w="340" w:type="dxa"/>
            <w:right w:w="340" w:type="dxa"/>
          </w:tblCellMar>
          <w:tblLook w:val="04A0"/>
        </w:tblPrEx>
        <w:trPr>
          <w:jc w:val="center"/>
        </w:trPr>
        <w:tc>
          <w:tcPr>
            <w:tcW w:w="4876" w:type="dxa"/>
          </w:tcPr>
          <w:p w:rsidR="001667A3" w:rsidRPr="00EC1ED7" w:rsidP="00BD2DF0" w14:paraId="526A41E2" w14:textId="77777777">
            <w:pPr>
              <w:pStyle w:val="Normal6"/>
              <w:widowControl/>
            </w:pPr>
          </w:p>
        </w:tc>
        <w:tc>
          <w:tcPr>
            <w:tcW w:w="4876" w:type="dxa"/>
            <w:hideMark/>
          </w:tcPr>
          <w:p w:rsidR="001667A3" w:rsidRPr="00AA56F9" w:rsidP="00BD2DF0" w14:paraId="516E6FB0" w14:textId="77777777">
            <w:pPr>
              <w:pStyle w:val="Normal6"/>
              <w:widowControl/>
              <w:rPr>
                <w:b/>
                <w:i/>
              </w:rPr>
            </w:pPr>
            <w:r>
              <w:rPr>
                <w:b/>
                <w:i/>
              </w:rPr>
              <w:t>3 bis.</w:t>
            </w:r>
            <w:r>
              <w:rPr>
                <w:b/>
                <w:i/>
              </w:rPr>
              <w:tab/>
              <w:t xml:space="preserve">Lorsqu’une situation de crise empêche les citoyens, pendant une période supérieure à 48 heures, de se rendre en toute </w:t>
            </w:r>
            <w:r>
              <w:rPr>
                <w:b/>
                <w:i/>
              </w:rPr>
              <w:t>sécurité à l’ambassade ou au consulat de leur État membre d’origine, ou d’être pris en charge par celui-ci, ces citoyens sont considérés comme non représentés.</w:t>
            </w:r>
          </w:p>
        </w:tc>
      </w:tr>
      <w:tr w14:paraId="6C80F52E" w14:textId="77777777" w:rsidTr="0044613B">
        <w:tblPrEx>
          <w:tblW w:w="9752" w:type="dxa"/>
          <w:jc w:val="center"/>
          <w:tblLayout w:type="fixed"/>
          <w:tblCellMar>
            <w:left w:w="340" w:type="dxa"/>
            <w:right w:w="340" w:type="dxa"/>
          </w:tblCellMar>
          <w:tblLook w:val="04A0"/>
        </w:tblPrEx>
        <w:trPr>
          <w:jc w:val="center"/>
        </w:trPr>
        <w:tc>
          <w:tcPr>
            <w:tcW w:w="4876" w:type="dxa"/>
          </w:tcPr>
          <w:p w:rsidR="00CF457D" w:rsidRPr="00825264" w:rsidP="00BD2DF0" w14:paraId="172BD611" w14:textId="77777777">
            <w:pPr>
              <w:pStyle w:val="Normal6"/>
              <w:widowControl/>
            </w:pPr>
          </w:p>
        </w:tc>
        <w:tc>
          <w:tcPr>
            <w:tcW w:w="4876" w:type="dxa"/>
          </w:tcPr>
          <w:p w:rsidR="00CF457D" w:rsidRPr="00AA56F9" w:rsidP="00BD2DF0" w14:paraId="07C004B3" w14:textId="77777777">
            <w:pPr>
              <w:pStyle w:val="Normal6"/>
              <w:widowControl/>
              <w:rPr>
                <w:b/>
                <w:i/>
              </w:rPr>
            </w:pPr>
            <w:r>
              <w:rPr>
                <w:b/>
                <w:i/>
              </w:rPr>
              <w:t>En fonction des circonstances propres à chaque demande d’assistance et si les circonstances locales présentent un danger ou empêchent les citoyens de se rendre en toute sécurité à l’ambassade ou au consulat de l’État membre dont ils ont la nationalité ou d’être contactés par ceux-ci, le délai de 48 heures visé au premier alinéa ne s’applique pas et les citoyens sont considérés comme non représentés.</w:t>
            </w:r>
          </w:p>
        </w:tc>
      </w:tr>
    </w:tbl>
    <w:p w:rsidR="001667A3" w:rsidRPr="00AA56F9" w:rsidP="00BD2DF0" w14:paraId="2A4AE1B8" w14:textId="77777777">
      <w:pPr>
        <w:widowControl/>
      </w:pPr>
      <w:r w:rsidRPr="00825264">
        <w:rPr>
          <w:rStyle w:val="HideTWBExt"/>
        </w:rPr>
        <w:t>&lt;/Amend&gt;</w:t>
      </w:r>
    </w:p>
    <w:p w:rsidR="001667A3" w:rsidRPr="00AA56F9" w:rsidP="00BD2DF0" w14:paraId="15C21B00" w14:textId="77777777">
      <w:pPr>
        <w:pStyle w:val="AmNumberTabs"/>
        <w:widowControl/>
      </w:pPr>
      <w:r w:rsidRPr="00825264">
        <w:rPr>
          <w:rStyle w:val="HideTWBExt"/>
          <w:b w:val="0"/>
        </w:rPr>
        <w:t>&lt;Amend&gt;</w:t>
      </w:r>
      <w:r>
        <w:t>Amendement</w:t>
      </w:r>
      <w:r>
        <w:tab/>
      </w:r>
      <w:r>
        <w:tab/>
      </w:r>
      <w:r w:rsidRPr="00825264">
        <w:rPr>
          <w:rStyle w:val="HideTWBExt"/>
          <w:b w:val="0"/>
        </w:rPr>
        <w:t>&lt;NumAm&gt;</w:t>
      </w:r>
      <w:r>
        <w:t>19</w:t>
      </w:r>
      <w:r w:rsidRPr="00825264">
        <w:rPr>
          <w:rStyle w:val="HideTWBExt"/>
          <w:b w:val="0"/>
        </w:rPr>
        <w:t>&lt;/NumAm&gt;</w:t>
      </w:r>
    </w:p>
    <w:p w:rsidR="001667A3" w:rsidRPr="00825264" w:rsidP="00BD2DF0" w14:paraId="52928998" w14:textId="77777777">
      <w:pPr>
        <w:widowControl/>
      </w:pPr>
    </w:p>
    <w:p w:rsidR="001667A3" w:rsidRPr="00AA56F9" w:rsidP="00BD2DF0" w14:paraId="5AB567B4"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7C585C46" w14:textId="77777777">
      <w:pPr>
        <w:pStyle w:val="NormalBold"/>
        <w:widowControl/>
      </w:pPr>
      <w:r w:rsidRPr="00825264">
        <w:rPr>
          <w:rStyle w:val="HideTWBExt"/>
          <w:b w:val="0"/>
        </w:rPr>
        <w:t>&lt;Article&gt;</w:t>
      </w:r>
      <w:r>
        <w:t>Article 1 – alinéa 1 – point 1</w:t>
      </w:r>
      <w:r w:rsidRPr="00825264">
        <w:rPr>
          <w:rStyle w:val="HideTWBExt"/>
          <w:b w:val="0"/>
        </w:rPr>
        <w:t>&lt;/Article&gt;</w:t>
      </w:r>
    </w:p>
    <w:p w:rsidR="001667A3" w:rsidRPr="00BD2DF0" w:rsidP="00BD2DF0" w14:paraId="64D8DB3E"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6E5FD66D" w14:textId="77777777">
      <w:pPr>
        <w:widowControl/>
      </w:pPr>
      <w:r>
        <w:rPr>
          <w:rStyle w:val="HideTWBExt"/>
        </w:rPr>
        <w:t>&lt;Article2&gt;</w:t>
      </w:r>
      <w:r>
        <w:t>Article 7 – paragraphe 4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809EDF"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6DB20BEE" w14:textId="77777777">
            <w:pPr>
              <w:keepNext/>
              <w:widowControl/>
            </w:pPr>
          </w:p>
        </w:tc>
      </w:tr>
      <w:tr w14:paraId="29B4A8C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B5BC320" w14:textId="77777777">
            <w:pPr>
              <w:pStyle w:val="ColumnHeading"/>
              <w:keepNext/>
              <w:widowControl/>
            </w:pPr>
            <w:r>
              <w:t>Texte proposé par le Conseil</w:t>
            </w:r>
          </w:p>
        </w:tc>
        <w:tc>
          <w:tcPr>
            <w:tcW w:w="4876" w:type="dxa"/>
            <w:hideMark/>
          </w:tcPr>
          <w:p w:rsidR="001667A3" w:rsidRPr="00EC1ED7" w:rsidP="00BD2DF0" w14:paraId="0A5994F8" w14:textId="77777777">
            <w:pPr>
              <w:pStyle w:val="ColumnHeading"/>
              <w:keepNext/>
              <w:widowControl/>
            </w:pPr>
            <w:r>
              <w:t>Amendement</w:t>
            </w:r>
          </w:p>
        </w:tc>
      </w:tr>
      <w:tr w14:paraId="04E286EC"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12BB234C" w14:textId="77777777">
            <w:pPr>
              <w:pStyle w:val="Normal6"/>
              <w:widowControl/>
            </w:pPr>
          </w:p>
        </w:tc>
        <w:tc>
          <w:tcPr>
            <w:tcW w:w="4876" w:type="dxa"/>
            <w:hideMark/>
          </w:tcPr>
          <w:p w:rsidR="001667A3" w:rsidRPr="00AA56F9" w:rsidP="00BD2DF0" w14:paraId="3045E803" w14:textId="77777777">
            <w:pPr>
              <w:pStyle w:val="Normal6"/>
              <w:widowControl/>
              <w:rPr>
                <w:szCs w:val="24"/>
              </w:rPr>
            </w:pPr>
            <w:r>
              <w:rPr>
                <w:b/>
                <w:i/>
              </w:rPr>
              <w:t>4 bis.</w:t>
            </w:r>
            <w:r>
              <w:rPr>
                <w:b/>
                <w:i/>
              </w:rPr>
              <w:tab/>
              <w:t xml:space="preserve">Lorsqu’ils accordent une protection consulaire aux citoyens non représentés, les États membres tiennent compte d’une approche </w:t>
            </w:r>
            <w:r>
              <w:rPr>
                <w:b/>
                <w:i/>
              </w:rPr>
              <w:t>intersectionnelle des besoins spécifiques des groupes vulnérables et des personnes exposées au risque de discrimination pour quelque motif que ce soit, tels que ceux visés à l’article 21 de la charte et dans la jurisprudence.</w:t>
            </w:r>
          </w:p>
        </w:tc>
      </w:tr>
    </w:tbl>
    <w:p w:rsidR="001667A3" w:rsidRPr="00AA56F9" w:rsidP="00BD2DF0" w14:paraId="015EB852" w14:textId="77777777">
      <w:pPr>
        <w:widowControl/>
      </w:pPr>
      <w:r w:rsidRPr="00825264">
        <w:rPr>
          <w:rStyle w:val="HideTWBExt"/>
        </w:rPr>
        <w:t>&lt;/Amend&gt;</w:t>
      </w:r>
    </w:p>
    <w:p w:rsidR="001667A3" w:rsidRPr="00AA56F9" w:rsidP="00BD2DF0" w14:paraId="29D1D830" w14:textId="77777777">
      <w:pPr>
        <w:pStyle w:val="AmNumberTabs"/>
        <w:widowControl/>
      </w:pPr>
      <w:r w:rsidRPr="00825264">
        <w:rPr>
          <w:rStyle w:val="HideTWBExt"/>
          <w:b w:val="0"/>
        </w:rPr>
        <w:t>&lt;Amend&gt;</w:t>
      </w:r>
      <w:r>
        <w:t>Amendement</w:t>
      </w:r>
      <w:r>
        <w:tab/>
      </w:r>
      <w:r>
        <w:tab/>
      </w:r>
      <w:r w:rsidRPr="00825264">
        <w:rPr>
          <w:rStyle w:val="HideTWBExt"/>
          <w:b w:val="0"/>
        </w:rPr>
        <w:t>&lt;NumAm&gt;</w:t>
      </w:r>
      <w:r>
        <w:t>20</w:t>
      </w:r>
      <w:r w:rsidRPr="00825264">
        <w:rPr>
          <w:rStyle w:val="HideTWBExt"/>
          <w:b w:val="0"/>
        </w:rPr>
        <w:t>&lt;/NumAm&gt;</w:t>
      </w:r>
    </w:p>
    <w:p w:rsidR="001667A3" w:rsidRPr="00825264" w:rsidP="00BD2DF0" w14:paraId="725F7E54" w14:textId="77777777">
      <w:pPr>
        <w:widowControl/>
      </w:pPr>
    </w:p>
    <w:p w:rsidR="001667A3" w:rsidRPr="00AA56F9" w:rsidP="00BD2DF0" w14:paraId="547E6080"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0F48FA07"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1667A3" w:rsidRPr="00BD2DF0" w:rsidP="00BD2DF0" w14:paraId="7DAC84C1"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5E6DD261" w14:textId="77777777">
      <w:pPr>
        <w:widowControl/>
      </w:pPr>
      <w:r>
        <w:rPr>
          <w:rStyle w:val="HideTWBExt"/>
        </w:rPr>
        <w:t>&lt;Article2&gt;</w:t>
      </w:r>
      <w:r>
        <w:t>Article 11 – paragraphe 2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FE69AD"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362CAD3A" w14:textId="77777777">
            <w:pPr>
              <w:keepNext/>
              <w:widowControl/>
            </w:pPr>
          </w:p>
        </w:tc>
      </w:tr>
      <w:tr w14:paraId="6E3536A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D29095C" w14:textId="77777777">
            <w:pPr>
              <w:pStyle w:val="ColumnHeading"/>
              <w:keepNext/>
              <w:widowControl/>
            </w:pPr>
            <w:r>
              <w:t xml:space="preserve">Texte </w:t>
            </w:r>
            <w:r>
              <w:t>proposé par le Conseil</w:t>
            </w:r>
          </w:p>
        </w:tc>
        <w:tc>
          <w:tcPr>
            <w:tcW w:w="4876" w:type="dxa"/>
            <w:hideMark/>
          </w:tcPr>
          <w:p w:rsidR="001667A3" w:rsidRPr="00EC1ED7" w:rsidP="00BD2DF0" w14:paraId="6A58DD78" w14:textId="77777777">
            <w:pPr>
              <w:pStyle w:val="ColumnHeading"/>
              <w:keepNext/>
              <w:widowControl/>
            </w:pPr>
            <w:r>
              <w:t>Amendement</w:t>
            </w:r>
          </w:p>
        </w:tc>
      </w:tr>
      <w:tr w14:paraId="6FC69D21"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0A7DD03A" w14:textId="77777777">
            <w:pPr>
              <w:pStyle w:val="Normal6"/>
              <w:widowControl/>
            </w:pPr>
          </w:p>
        </w:tc>
        <w:tc>
          <w:tcPr>
            <w:tcW w:w="4876" w:type="dxa"/>
            <w:hideMark/>
          </w:tcPr>
          <w:p w:rsidR="001667A3" w:rsidRPr="00AA56F9" w:rsidP="00BD2DF0" w14:paraId="17A9FFCA" w14:textId="77777777">
            <w:pPr>
              <w:pStyle w:val="Normal6"/>
              <w:widowControl/>
              <w:rPr>
                <w:szCs w:val="24"/>
              </w:rPr>
            </w:pPr>
            <w:r>
              <w:rPr>
                <w:b/>
                <w:i/>
              </w:rPr>
              <w:t>2 bis.</w:t>
            </w:r>
            <w:r>
              <w:rPr>
                <w:b/>
                <w:i/>
              </w:rPr>
              <w:tab/>
              <w:t xml:space="preserve">Le SEAE et les délégations de l’Union se verront allouer les ressources financières et humaines nécessaires pour couvrir les coûts de fonctionnement et la charge de travail administrative </w:t>
            </w:r>
            <w:r>
              <w:rPr>
                <w:b/>
                <w:i/>
              </w:rPr>
              <w:t>horizontale supplémentaire occasionnés par la protection consulaire fournie au titre de la présente directive.</w:t>
            </w:r>
          </w:p>
        </w:tc>
      </w:tr>
    </w:tbl>
    <w:p w:rsidR="001667A3" w:rsidRPr="00AA56F9" w:rsidP="00BD2DF0" w14:paraId="3186F665" w14:textId="77777777">
      <w:pPr>
        <w:widowControl/>
      </w:pPr>
      <w:r w:rsidRPr="00825264">
        <w:rPr>
          <w:rStyle w:val="HideTWBExt"/>
        </w:rPr>
        <w:t>&lt;/Amend&gt;</w:t>
      </w:r>
    </w:p>
    <w:p w:rsidR="001667A3" w:rsidRPr="00AA56F9" w:rsidP="00BD2DF0" w14:paraId="21A760D4" w14:textId="77777777">
      <w:pPr>
        <w:pStyle w:val="AmNumberTabs"/>
        <w:widowControl/>
      </w:pPr>
      <w:r w:rsidRPr="00825264">
        <w:rPr>
          <w:rStyle w:val="HideTWBExt"/>
          <w:b w:val="0"/>
        </w:rPr>
        <w:t>&lt;Amend&gt;</w:t>
      </w:r>
      <w:r>
        <w:t>Amendement</w:t>
      </w:r>
      <w:r>
        <w:tab/>
      </w:r>
      <w:r>
        <w:tab/>
      </w:r>
      <w:r w:rsidRPr="00825264">
        <w:rPr>
          <w:rStyle w:val="HideTWBExt"/>
          <w:b w:val="0"/>
        </w:rPr>
        <w:t>&lt;NumAm&gt;</w:t>
      </w:r>
      <w:r>
        <w:t>21</w:t>
      </w:r>
      <w:r w:rsidRPr="00825264">
        <w:rPr>
          <w:rStyle w:val="HideTWBExt"/>
          <w:b w:val="0"/>
        </w:rPr>
        <w:t>&lt;/NumAm&gt;</w:t>
      </w:r>
    </w:p>
    <w:p w:rsidR="001667A3" w:rsidRPr="00825264" w:rsidP="00BD2DF0" w14:paraId="2D3A5A37" w14:textId="77777777">
      <w:pPr>
        <w:widowControl/>
      </w:pPr>
    </w:p>
    <w:p w:rsidR="001667A3" w:rsidRPr="00AA56F9" w:rsidP="00BD2DF0" w14:paraId="32A3C879"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504E914A"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1667A3" w:rsidRPr="00BD2DF0" w:rsidP="00BD2DF0" w14:paraId="71289AB9"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3DC4990D" w14:textId="77777777">
      <w:pPr>
        <w:widowControl/>
      </w:pPr>
      <w:r>
        <w:rPr>
          <w:rStyle w:val="HideTWBExt"/>
        </w:rPr>
        <w:t>&lt;Article2&gt;</w:t>
      </w:r>
      <w:r>
        <w:t>Article 12 – paragraphe 1 – point d</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C50FD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3A306CA7" w14:textId="77777777">
            <w:pPr>
              <w:keepNext/>
              <w:widowControl/>
            </w:pPr>
          </w:p>
        </w:tc>
      </w:tr>
      <w:tr w14:paraId="681447B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18FDAEC2" w14:textId="77777777">
            <w:pPr>
              <w:pStyle w:val="ColumnHeading"/>
              <w:keepNext/>
              <w:widowControl/>
            </w:pPr>
            <w:r>
              <w:t>Texte proposé par le Conseil</w:t>
            </w:r>
          </w:p>
        </w:tc>
        <w:tc>
          <w:tcPr>
            <w:tcW w:w="4876" w:type="dxa"/>
            <w:hideMark/>
          </w:tcPr>
          <w:p w:rsidR="001667A3" w:rsidRPr="00EC1ED7" w:rsidP="00BD2DF0" w14:paraId="5726017F" w14:textId="77777777">
            <w:pPr>
              <w:pStyle w:val="ColumnHeading"/>
              <w:keepNext/>
              <w:widowControl/>
            </w:pPr>
            <w:r>
              <w:t>Amendement</w:t>
            </w:r>
          </w:p>
        </w:tc>
      </w:tr>
      <w:tr w14:paraId="51B46E5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EC1ED7" w:rsidP="00BD2DF0" w14:paraId="6D111F5C" w14:textId="77777777">
            <w:pPr>
              <w:pStyle w:val="Normal6"/>
              <w:widowControl/>
            </w:pPr>
            <w:r>
              <w:t>d)</w:t>
            </w:r>
            <w:r>
              <w:tab/>
              <w:t>l’organisation d’exercices consulaires conjoints;</w:t>
            </w:r>
          </w:p>
        </w:tc>
        <w:tc>
          <w:tcPr>
            <w:tcW w:w="4876" w:type="dxa"/>
            <w:hideMark/>
          </w:tcPr>
          <w:p w:rsidR="001667A3" w:rsidRPr="00AA56F9" w:rsidP="00BD2DF0" w14:paraId="44ECF65F" w14:textId="77777777">
            <w:pPr>
              <w:pStyle w:val="Normal6"/>
              <w:widowControl/>
              <w:rPr>
                <w:szCs w:val="24"/>
              </w:rPr>
            </w:pPr>
            <w:r>
              <w:t>d)</w:t>
            </w:r>
            <w:r>
              <w:tab/>
            </w:r>
            <w:r>
              <w:t xml:space="preserve">l’organisation d’exercices consulaires conjoints </w:t>
            </w:r>
            <w:r>
              <w:rPr>
                <w:b/>
                <w:i/>
              </w:rPr>
              <w:t>aussi souvent que nécessaire et, en tout état de cause, au moins une fois par an</w:t>
            </w:r>
            <w:r>
              <w:t>;</w:t>
            </w:r>
          </w:p>
        </w:tc>
      </w:tr>
    </w:tbl>
    <w:p w:rsidR="001667A3" w:rsidRPr="00AA56F9" w:rsidP="00BD2DF0" w14:paraId="11FA7CB7" w14:textId="77777777">
      <w:pPr>
        <w:widowControl/>
      </w:pPr>
      <w:r w:rsidRPr="00825264">
        <w:rPr>
          <w:rStyle w:val="HideTWBExt"/>
        </w:rPr>
        <w:t>&lt;/Amend&gt;</w:t>
      </w:r>
    </w:p>
    <w:p w:rsidR="001667A3" w:rsidRPr="00AA56F9" w:rsidP="00BD2DF0" w14:paraId="518F4249" w14:textId="77777777">
      <w:pPr>
        <w:pStyle w:val="AmNumberTabs"/>
        <w:widowControl/>
      </w:pPr>
      <w:r w:rsidRPr="00825264">
        <w:rPr>
          <w:rStyle w:val="HideTWBExt"/>
          <w:b w:val="0"/>
        </w:rPr>
        <w:t>&lt;Amend&gt;</w:t>
      </w:r>
      <w:r>
        <w:t>Amendement</w:t>
      </w:r>
      <w:r>
        <w:tab/>
      </w:r>
      <w:r>
        <w:tab/>
      </w:r>
      <w:r w:rsidRPr="00825264">
        <w:rPr>
          <w:rStyle w:val="HideTWBExt"/>
          <w:b w:val="0"/>
        </w:rPr>
        <w:t>&lt;NumAm&gt;</w:t>
      </w:r>
      <w:r>
        <w:t>22</w:t>
      </w:r>
      <w:r w:rsidRPr="00825264">
        <w:rPr>
          <w:rStyle w:val="HideTWBExt"/>
          <w:b w:val="0"/>
        </w:rPr>
        <w:t>&lt;/NumAm&gt;</w:t>
      </w:r>
    </w:p>
    <w:p w:rsidR="001667A3" w:rsidRPr="00825264" w:rsidP="00BD2DF0" w14:paraId="7FEEC122" w14:textId="77777777">
      <w:pPr>
        <w:widowControl/>
      </w:pPr>
    </w:p>
    <w:p w:rsidR="001667A3" w:rsidRPr="00AA56F9" w:rsidP="00BD2DF0" w14:paraId="057434A9"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5614DBE2" w14:textId="77777777">
      <w:pPr>
        <w:pStyle w:val="NormalBold"/>
        <w:widowControl/>
      </w:pPr>
      <w:r w:rsidRPr="00825264">
        <w:rPr>
          <w:rStyle w:val="HideTWBExt"/>
          <w:b w:val="0"/>
        </w:rPr>
        <w:t>&lt;Article&gt;</w:t>
      </w:r>
      <w:r>
        <w:t xml:space="preserve">Article 1 – </w:t>
      </w:r>
      <w:r>
        <w:t>alinéa 1 – point 4</w:t>
      </w:r>
      <w:r w:rsidRPr="00825264">
        <w:rPr>
          <w:rStyle w:val="HideTWBExt"/>
          <w:b w:val="0"/>
        </w:rPr>
        <w:t>&lt;/Article&gt;</w:t>
      </w:r>
    </w:p>
    <w:p w:rsidR="001667A3" w:rsidRPr="00BD2DF0" w:rsidP="00BD2DF0" w14:paraId="7944588C"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4E05DED5" w14:textId="77777777">
      <w:pPr>
        <w:widowControl/>
      </w:pPr>
      <w:r>
        <w:rPr>
          <w:rStyle w:val="HideTWBExt"/>
        </w:rPr>
        <w:t>&lt;Article2&gt;</w:t>
      </w:r>
      <w:r>
        <w:t>Article 13 – paragraphe 2 – alinéa 1 – point c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A265D4"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5242617A" w14:textId="77777777">
            <w:pPr>
              <w:keepNext/>
              <w:widowControl/>
            </w:pPr>
          </w:p>
        </w:tc>
      </w:tr>
      <w:tr w14:paraId="6704017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C294E0F" w14:textId="77777777">
            <w:pPr>
              <w:pStyle w:val="ColumnHeading"/>
              <w:keepNext/>
              <w:widowControl/>
            </w:pPr>
            <w:r>
              <w:t>Texte proposé par le Conseil</w:t>
            </w:r>
          </w:p>
        </w:tc>
        <w:tc>
          <w:tcPr>
            <w:tcW w:w="4876" w:type="dxa"/>
            <w:hideMark/>
          </w:tcPr>
          <w:p w:rsidR="001667A3" w:rsidRPr="00EC1ED7" w:rsidP="00BD2DF0" w14:paraId="27A45956" w14:textId="77777777">
            <w:pPr>
              <w:pStyle w:val="ColumnHeading"/>
              <w:keepNext/>
              <w:widowControl/>
            </w:pPr>
            <w:r>
              <w:t>Amendement</w:t>
            </w:r>
          </w:p>
        </w:tc>
      </w:tr>
      <w:tr w14:paraId="0E837100"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1FB85E03" w14:textId="77777777">
            <w:pPr>
              <w:pStyle w:val="Normal6"/>
              <w:widowControl/>
            </w:pPr>
          </w:p>
        </w:tc>
        <w:tc>
          <w:tcPr>
            <w:tcW w:w="4876" w:type="dxa"/>
            <w:hideMark/>
          </w:tcPr>
          <w:p w:rsidR="001667A3" w:rsidRPr="00AA56F9" w:rsidP="00BD2DF0" w14:paraId="7EFB6CA2" w14:textId="77777777">
            <w:pPr>
              <w:pStyle w:val="Normal6"/>
              <w:widowControl/>
              <w:rPr>
                <w:szCs w:val="24"/>
              </w:rPr>
            </w:pPr>
            <w:r>
              <w:rPr>
                <w:b/>
                <w:i/>
              </w:rPr>
              <w:t>c bis)</w:t>
            </w:r>
            <w:r>
              <w:rPr>
                <w:b/>
                <w:i/>
              </w:rPr>
              <w:tab/>
              <w:t>les arrangements relatifs au soutien à apporter aux citoyens confrontés à des procédures judiciaires, dans les cas urgents nécessitant une attention immédiate.</w:t>
            </w:r>
          </w:p>
        </w:tc>
      </w:tr>
    </w:tbl>
    <w:p w:rsidR="001667A3" w:rsidRPr="00AA56F9" w:rsidP="00BD2DF0" w14:paraId="6392C113" w14:textId="77777777">
      <w:pPr>
        <w:widowControl/>
      </w:pPr>
      <w:r w:rsidRPr="00825264">
        <w:rPr>
          <w:rStyle w:val="HideTWBExt"/>
        </w:rPr>
        <w:t>&lt;/Amend&gt;</w:t>
      </w:r>
    </w:p>
    <w:p w:rsidR="008B78C1" w:rsidRPr="00AA56F9" w:rsidP="00BD2DF0" w14:paraId="1005D8F6" w14:textId="77777777">
      <w:pPr>
        <w:pStyle w:val="AmNumberTabs"/>
        <w:widowControl/>
      </w:pPr>
      <w:r w:rsidRPr="00825264">
        <w:rPr>
          <w:rStyle w:val="HideTWBExt"/>
          <w:b w:val="0"/>
        </w:rPr>
        <w:t>&lt;Amend&gt;</w:t>
      </w:r>
      <w:r>
        <w:t>Amendement</w:t>
      </w:r>
      <w:r>
        <w:tab/>
      </w:r>
      <w:r>
        <w:tab/>
      </w:r>
      <w:r w:rsidRPr="00825264">
        <w:rPr>
          <w:rStyle w:val="HideTWBExt"/>
          <w:b w:val="0"/>
        </w:rPr>
        <w:t>&lt;NumAm&gt;</w:t>
      </w:r>
      <w:r>
        <w:t>23</w:t>
      </w:r>
      <w:r w:rsidRPr="00825264">
        <w:rPr>
          <w:rStyle w:val="HideTWBExt"/>
          <w:b w:val="0"/>
        </w:rPr>
        <w:t>&lt;/NumAm&gt;</w:t>
      </w:r>
    </w:p>
    <w:p w:rsidR="008B78C1" w:rsidRPr="00825264" w:rsidP="00BD2DF0" w14:paraId="4B610DCA" w14:textId="77777777">
      <w:pPr>
        <w:widowControl/>
      </w:pPr>
    </w:p>
    <w:p w:rsidR="008B78C1" w:rsidRPr="00AA56F9" w:rsidP="00BD2DF0" w14:paraId="655ACF9A"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8B78C1" w:rsidRPr="00BD2DF0" w:rsidP="00BD2DF0" w14:paraId="67DB4340"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8B78C1" w:rsidRPr="00BD2DF0" w:rsidP="00BD2DF0" w14:paraId="61AFD533" w14:textId="77777777">
      <w:pPr>
        <w:keepNext/>
        <w:widowControl/>
      </w:pPr>
      <w:r w:rsidRPr="00825264">
        <w:rPr>
          <w:rStyle w:val="HideTWBExt"/>
        </w:rPr>
        <w:t>&lt;DocAmend2&gt;</w:t>
      </w:r>
      <w:r>
        <w:t>directive (UE) 2015/637</w:t>
      </w:r>
      <w:r w:rsidRPr="00825264">
        <w:rPr>
          <w:rStyle w:val="HideTWBExt"/>
        </w:rPr>
        <w:t>&lt;/DocAmend2&gt;</w:t>
      </w:r>
    </w:p>
    <w:p w:rsidR="008B78C1" w:rsidRPr="00EC1ED7" w:rsidP="00BD2DF0" w14:paraId="3192F566" w14:textId="77777777">
      <w:pPr>
        <w:widowControl/>
      </w:pPr>
      <w:r>
        <w:rPr>
          <w:rStyle w:val="HideTWBExt"/>
        </w:rPr>
        <w:t>&lt;Article2&gt;</w:t>
      </w:r>
      <w:r>
        <w:t>Article 13 – paragraphe 2 – alinéa 2</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0DEF88" w14:textId="77777777" w:rsidTr="008E40B7">
        <w:tblPrEx>
          <w:tblW w:w="0" w:type="auto"/>
          <w:jc w:val="center"/>
          <w:tblLayout w:type="fixed"/>
          <w:tblCellMar>
            <w:left w:w="340" w:type="dxa"/>
            <w:right w:w="340" w:type="dxa"/>
          </w:tblCellMar>
          <w:tblLook w:val="04A0"/>
        </w:tblPrEx>
        <w:trPr>
          <w:jc w:val="center"/>
        </w:trPr>
        <w:tc>
          <w:tcPr>
            <w:tcW w:w="9752" w:type="dxa"/>
            <w:gridSpan w:val="2"/>
          </w:tcPr>
          <w:p w:rsidR="008B78C1" w:rsidRPr="00EC1ED7" w:rsidP="00BD2DF0" w14:paraId="6DDD04CC" w14:textId="77777777">
            <w:pPr>
              <w:keepNext/>
              <w:widowControl/>
            </w:pPr>
          </w:p>
        </w:tc>
      </w:tr>
      <w:tr w14:paraId="61F90769" w14:textId="77777777" w:rsidTr="008E40B7">
        <w:tblPrEx>
          <w:tblW w:w="0" w:type="auto"/>
          <w:jc w:val="center"/>
          <w:tblLayout w:type="fixed"/>
          <w:tblCellMar>
            <w:left w:w="340" w:type="dxa"/>
            <w:right w:w="340" w:type="dxa"/>
          </w:tblCellMar>
          <w:tblLook w:val="04A0"/>
        </w:tblPrEx>
        <w:trPr>
          <w:jc w:val="center"/>
        </w:trPr>
        <w:tc>
          <w:tcPr>
            <w:tcW w:w="4876" w:type="dxa"/>
            <w:hideMark/>
          </w:tcPr>
          <w:p w:rsidR="008B78C1" w:rsidRPr="00AA56F9" w:rsidP="00BD2DF0" w14:paraId="58AB2420" w14:textId="77777777">
            <w:pPr>
              <w:pStyle w:val="ColumnHeading"/>
              <w:keepNext/>
              <w:widowControl/>
            </w:pPr>
            <w:r>
              <w:t>Texte proposé par le Conseil</w:t>
            </w:r>
          </w:p>
        </w:tc>
        <w:tc>
          <w:tcPr>
            <w:tcW w:w="4876" w:type="dxa"/>
            <w:hideMark/>
          </w:tcPr>
          <w:p w:rsidR="008B78C1" w:rsidRPr="00EC1ED7" w:rsidP="00BD2DF0" w14:paraId="3895B2CC" w14:textId="77777777">
            <w:pPr>
              <w:pStyle w:val="ColumnHeading"/>
              <w:keepNext/>
              <w:widowControl/>
            </w:pPr>
            <w:r>
              <w:t>Amendement</w:t>
            </w:r>
          </w:p>
        </w:tc>
      </w:tr>
      <w:tr w14:paraId="54A4BA02" w14:textId="77777777" w:rsidTr="008E40B7">
        <w:tblPrEx>
          <w:tblW w:w="0" w:type="auto"/>
          <w:jc w:val="center"/>
          <w:tblLayout w:type="fixed"/>
          <w:tblCellMar>
            <w:left w:w="340" w:type="dxa"/>
            <w:right w:w="340" w:type="dxa"/>
          </w:tblCellMar>
          <w:tblLook w:val="04A0"/>
        </w:tblPrEx>
        <w:trPr>
          <w:jc w:val="center"/>
        </w:trPr>
        <w:tc>
          <w:tcPr>
            <w:tcW w:w="4876" w:type="dxa"/>
            <w:hideMark/>
          </w:tcPr>
          <w:p w:rsidR="008B78C1" w:rsidRPr="00AA56F9" w:rsidP="00BD2DF0" w14:paraId="299E360A" w14:textId="77777777">
            <w:pPr>
              <w:pStyle w:val="Normal6"/>
              <w:widowControl/>
            </w:pPr>
            <w:r>
              <w:t>Le cadre d’urgence conjoint est mis à jour</w:t>
            </w:r>
            <w:r>
              <w:rPr>
                <w:b/>
                <w:i/>
              </w:rPr>
              <w:t>, lorsque cela est</w:t>
            </w:r>
            <w:r>
              <w:t xml:space="preserve"> nécessaire, afin de faciliter </w:t>
            </w:r>
            <w:r>
              <w:t>la protection des citoyens de l’Union non représentés.</w:t>
            </w:r>
          </w:p>
        </w:tc>
        <w:tc>
          <w:tcPr>
            <w:tcW w:w="4876" w:type="dxa"/>
            <w:hideMark/>
          </w:tcPr>
          <w:p w:rsidR="008B78C1" w:rsidRPr="00AA56F9" w:rsidP="00BD2DF0" w14:paraId="358BF0E1" w14:textId="77777777">
            <w:pPr>
              <w:pStyle w:val="Normal6"/>
              <w:widowControl/>
              <w:rPr>
                <w:szCs w:val="24"/>
              </w:rPr>
            </w:pPr>
            <w:r>
              <w:t xml:space="preserve">Le cadre d’urgence conjoint est mis à jour </w:t>
            </w:r>
            <w:r>
              <w:rPr>
                <w:b/>
                <w:i/>
              </w:rPr>
              <w:t>chaque année ou aussi souvent que</w:t>
            </w:r>
            <w:r>
              <w:t xml:space="preserve"> nécessaire </w:t>
            </w:r>
            <w:r>
              <w:rPr>
                <w:b/>
                <w:i/>
              </w:rPr>
              <w:t xml:space="preserve">compte tenu des circonstances </w:t>
            </w:r>
            <w:r>
              <w:rPr>
                <w:b/>
                <w:i/>
              </w:rPr>
              <w:t>locales</w:t>
            </w:r>
            <w:r>
              <w:t>, afin de faciliter la protection des citoyens de l’Union non représentés.</w:t>
            </w:r>
          </w:p>
        </w:tc>
      </w:tr>
    </w:tbl>
    <w:p w:rsidR="008B78C1" w:rsidRPr="00AA56F9" w:rsidP="00BD2DF0" w14:paraId="4E80C980" w14:textId="77777777">
      <w:pPr>
        <w:widowControl/>
      </w:pPr>
      <w:r w:rsidRPr="00825264">
        <w:rPr>
          <w:rStyle w:val="HideTWBExt"/>
        </w:rPr>
        <w:t>&lt;/Amend&gt;</w:t>
      </w:r>
    </w:p>
    <w:p w:rsidR="001667A3" w:rsidRPr="00AA56F9" w:rsidP="00BD2DF0" w14:paraId="3DBF071F" w14:textId="77777777">
      <w:pPr>
        <w:pStyle w:val="AmNumberTabs"/>
        <w:widowControl/>
      </w:pPr>
      <w:r w:rsidRPr="00825264">
        <w:rPr>
          <w:rStyle w:val="HideTWBExt"/>
          <w:b w:val="0"/>
        </w:rPr>
        <w:t>&lt;Amend&gt;</w:t>
      </w:r>
      <w:r>
        <w:t>Amendement</w:t>
      </w:r>
      <w:r>
        <w:tab/>
      </w:r>
      <w:r>
        <w:tab/>
      </w:r>
      <w:r w:rsidRPr="00825264">
        <w:rPr>
          <w:rStyle w:val="HideTWBExt"/>
          <w:b w:val="0"/>
        </w:rPr>
        <w:t>&lt;NumAm&gt;</w:t>
      </w:r>
      <w:r>
        <w:t>24</w:t>
      </w:r>
      <w:r w:rsidRPr="00825264">
        <w:rPr>
          <w:rStyle w:val="HideTWBExt"/>
          <w:b w:val="0"/>
        </w:rPr>
        <w:t>&lt;/NumAm&gt;</w:t>
      </w:r>
    </w:p>
    <w:p w:rsidR="001667A3" w:rsidRPr="00825264" w:rsidP="00BD2DF0" w14:paraId="6480FF02" w14:textId="77777777">
      <w:pPr>
        <w:widowControl/>
      </w:pPr>
    </w:p>
    <w:p w:rsidR="001667A3" w:rsidRPr="00AA56F9" w:rsidP="00BD2DF0" w14:paraId="43C3EC42"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4E4B7578"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1667A3" w:rsidRPr="00BD2DF0" w:rsidP="00BD2DF0" w14:paraId="3FE66019"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04018151" w14:textId="77777777">
      <w:pPr>
        <w:widowControl/>
      </w:pPr>
      <w:r>
        <w:rPr>
          <w:rStyle w:val="HideTWBExt"/>
        </w:rPr>
        <w:t>&lt;Article2&gt;</w:t>
      </w:r>
      <w:r>
        <w:t>Article 13 – paragraphe 3 – alinéa 1</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250DED"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48CAB8EC" w14:textId="77777777">
            <w:pPr>
              <w:keepNext/>
              <w:widowControl/>
            </w:pPr>
          </w:p>
        </w:tc>
      </w:tr>
      <w:tr w14:paraId="70AB7D0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C940EEB" w14:textId="77777777">
            <w:pPr>
              <w:pStyle w:val="ColumnHeading"/>
              <w:keepNext/>
              <w:widowControl/>
            </w:pPr>
            <w:r>
              <w:t>Texte proposé par le Conseil</w:t>
            </w:r>
          </w:p>
        </w:tc>
        <w:tc>
          <w:tcPr>
            <w:tcW w:w="4876" w:type="dxa"/>
            <w:hideMark/>
          </w:tcPr>
          <w:p w:rsidR="001667A3" w:rsidRPr="00EC1ED7" w:rsidP="00BD2DF0" w14:paraId="170D34B3" w14:textId="77777777">
            <w:pPr>
              <w:pStyle w:val="ColumnHeading"/>
              <w:keepNext/>
              <w:widowControl/>
            </w:pPr>
            <w:r>
              <w:t>Amendement</w:t>
            </w:r>
          </w:p>
        </w:tc>
      </w:tr>
      <w:tr w14:paraId="77B25A2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DE7A897" w14:textId="77777777">
            <w:pPr>
              <w:pStyle w:val="Normal6"/>
              <w:widowControl/>
            </w:pPr>
            <w:r>
              <w:t xml:space="preserve">Lorsqu’elles sont présentes et lorsque cela est nécessaire pour faciliter la protection des citoyens de l’Union non représentés, les délégations de l’Union coordonnent la mise en place et </w:t>
            </w:r>
            <w:r>
              <w:t>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États membres, du SEAE et des services de la Commission.</w:t>
            </w:r>
          </w:p>
        </w:tc>
        <w:tc>
          <w:tcPr>
            <w:tcW w:w="4876" w:type="dxa"/>
            <w:hideMark/>
          </w:tcPr>
          <w:p w:rsidR="001667A3" w:rsidRPr="00AA56F9" w:rsidP="00BD2DF0" w14:paraId="3B3B943A" w14:textId="77777777">
            <w:pPr>
              <w:pStyle w:val="Normal6"/>
              <w:widowControl/>
              <w:rPr>
                <w:szCs w:val="24"/>
              </w:rPr>
            </w:pPr>
            <w:r>
              <w:t>Lorsqu’elles sont présentes et lorsque cela est nécessaire pour faciliter la protection des citoyens de l’Union non représentés, les délégations de l’Union coordonnent la mise en place et 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w:t>
            </w:r>
            <w:r>
              <w:t>s membres, du SEAE</w:t>
            </w:r>
            <w:r>
              <w:rPr>
                <w:b/>
                <w:i/>
              </w:rPr>
              <w:t>, du Parlement européen</w:t>
            </w:r>
            <w:r>
              <w:t xml:space="preserve"> et des services de la Commission.</w:t>
            </w:r>
          </w:p>
        </w:tc>
      </w:tr>
    </w:tbl>
    <w:p w:rsidR="001667A3" w:rsidRPr="00AA56F9" w:rsidP="00BD2DF0" w14:paraId="10393EEC" w14:textId="77777777">
      <w:pPr>
        <w:widowControl/>
      </w:pPr>
      <w:r w:rsidRPr="00825264">
        <w:rPr>
          <w:rStyle w:val="HideTWBExt"/>
        </w:rPr>
        <w:t>&lt;/Amend&gt;</w:t>
      </w:r>
    </w:p>
    <w:p w:rsidR="001667A3" w:rsidRPr="00AA56F9" w:rsidP="00BD2DF0" w14:paraId="7F2F9269" w14:textId="77777777">
      <w:pPr>
        <w:pStyle w:val="AmNumberTabs"/>
        <w:widowControl/>
      </w:pPr>
      <w:r w:rsidRPr="00825264">
        <w:rPr>
          <w:rStyle w:val="HideTWBExt"/>
          <w:b w:val="0"/>
        </w:rPr>
        <w:t>&lt;Amend&gt;</w:t>
      </w:r>
      <w:r>
        <w:t>Amendement</w:t>
      </w:r>
      <w:r>
        <w:tab/>
      </w:r>
      <w:r>
        <w:tab/>
      </w:r>
      <w:r w:rsidRPr="00825264">
        <w:rPr>
          <w:rStyle w:val="HideTWBExt"/>
          <w:b w:val="0"/>
        </w:rPr>
        <w:t>&lt;NumAm&gt;</w:t>
      </w:r>
      <w:r>
        <w:t>25</w:t>
      </w:r>
      <w:r w:rsidRPr="00825264">
        <w:rPr>
          <w:rStyle w:val="HideTWBExt"/>
          <w:b w:val="0"/>
        </w:rPr>
        <w:t>&lt;/NumAm&gt;</w:t>
      </w:r>
    </w:p>
    <w:p w:rsidR="001667A3" w:rsidRPr="00825264" w:rsidP="00BD2DF0" w14:paraId="5F10CC90" w14:textId="77777777">
      <w:pPr>
        <w:widowControl/>
      </w:pPr>
    </w:p>
    <w:p w:rsidR="001667A3" w:rsidRPr="00AA56F9" w:rsidP="00BD2DF0" w14:paraId="2284AB6C"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56B1126B"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1667A3" w:rsidRPr="00BD2DF0" w:rsidP="00BD2DF0" w14:paraId="621C77F3"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79328063" w14:textId="77777777">
      <w:pPr>
        <w:widowControl/>
      </w:pPr>
      <w:r>
        <w:rPr>
          <w:rStyle w:val="HideTWBExt"/>
        </w:rPr>
        <w:t>&lt;Article2&gt;</w:t>
      </w:r>
      <w:r>
        <w:t>Article 13 – paragraphe 3 – alinéa 2</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6289A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21745160" w14:textId="77777777">
            <w:pPr>
              <w:keepNext/>
              <w:widowControl/>
            </w:pPr>
          </w:p>
        </w:tc>
      </w:tr>
      <w:tr w14:paraId="7CF06D6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D475A82" w14:textId="77777777">
            <w:pPr>
              <w:pStyle w:val="ColumnHeading"/>
              <w:keepNext/>
              <w:widowControl/>
            </w:pPr>
            <w:r>
              <w:t>Texte proposé par le Conseil</w:t>
            </w:r>
          </w:p>
        </w:tc>
        <w:tc>
          <w:tcPr>
            <w:tcW w:w="4876" w:type="dxa"/>
            <w:hideMark/>
          </w:tcPr>
          <w:p w:rsidR="001667A3" w:rsidRPr="00EC1ED7" w:rsidP="00BD2DF0" w14:paraId="0567DF5C" w14:textId="77777777">
            <w:pPr>
              <w:pStyle w:val="ColumnHeading"/>
              <w:keepNext/>
              <w:widowControl/>
            </w:pPr>
            <w:r>
              <w:t>Amendement</w:t>
            </w:r>
          </w:p>
        </w:tc>
      </w:tr>
      <w:tr w14:paraId="2EBEE8E2"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EA16C2C" w14:textId="77777777">
            <w:pPr>
              <w:pStyle w:val="Normal6"/>
              <w:widowControl/>
            </w:pPr>
            <w:r>
              <w:t xml:space="preserve">Dans les </w:t>
            </w:r>
            <w:r>
              <w:t>pays tiers où aucune délégation de l’Union n’est présente, la coordination est assurée par le président de la coopération consulaire locale conformément à l’article 12, paragraphe </w:t>
            </w:r>
            <w:r>
              <w:rPr>
                <w:b/>
                <w:i/>
              </w:rPr>
              <w:t>3</w:t>
            </w:r>
            <w:r>
              <w:t>, avec le soutien du SEAE.</w:t>
            </w:r>
          </w:p>
        </w:tc>
        <w:tc>
          <w:tcPr>
            <w:tcW w:w="4876" w:type="dxa"/>
            <w:hideMark/>
          </w:tcPr>
          <w:p w:rsidR="001667A3" w:rsidRPr="00AA56F9" w:rsidP="00BD2DF0" w14:paraId="01BF9B8C" w14:textId="77777777">
            <w:pPr>
              <w:pStyle w:val="Normal6"/>
              <w:widowControl/>
              <w:rPr>
                <w:szCs w:val="24"/>
              </w:rPr>
            </w:pPr>
            <w:r>
              <w:t>Dans les pays tiers où aucune délégation de l’Union n’est présente, la coordination est assurée par le président de la coopération consulaire locale conformément à l’article 12, paragraphe </w:t>
            </w:r>
            <w:r>
              <w:rPr>
                <w:b/>
                <w:i/>
              </w:rPr>
              <w:t>2</w:t>
            </w:r>
            <w:r>
              <w:t>, avec le soutien du SEAE.</w:t>
            </w:r>
          </w:p>
        </w:tc>
      </w:tr>
    </w:tbl>
    <w:p w:rsidR="001667A3" w:rsidRPr="00AA56F9" w:rsidP="00BD2DF0" w14:paraId="6CF8E138" w14:textId="77777777">
      <w:pPr>
        <w:widowControl/>
      </w:pPr>
      <w:r w:rsidRPr="00825264">
        <w:rPr>
          <w:rStyle w:val="HideTWBExt"/>
        </w:rPr>
        <w:t>&lt;/Amend&gt;</w:t>
      </w:r>
    </w:p>
    <w:p w:rsidR="001667A3" w:rsidRPr="00AA56F9" w:rsidP="00BD2DF0" w14:paraId="22E51E40" w14:textId="77777777">
      <w:pPr>
        <w:pStyle w:val="AmNumberTabs"/>
        <w:widowControl/>
      </w:pPr>
      <w:r w:rsidRPr="00825264">
        <w:rPr>
          <w:rStyle w:val="HideTWBExt"/>
          <w:b w:val="0"/>
        </w:rPr>
        <w:t>&lt;Amend&gt;</w:t>
      </w:r>
      <w:r>
        <w:t>Amendement</w:t>
      </w:r>
      <w:r>
        <w:tab/>
      </w:r>
      <w:r>
        <w:tab/>
      </w:r>
      <w:r w:rsidRPr="00825264">
        <w:rPr>
          <w:rStyle w:val="HideTWBExt"/>
          <w:b w:val="0"/>
        </w:rPr>
        <w:t>&lt;NumAm&gt;</w:t>
      </w:r>
      <w:r>
        <w:t>26</w:t>
      </w:r>
      <w:r w:rsidRPr="00825264">
        <w:rPr>
          <w:rStyle w:val="HideTWBExt"/>
          <w:b w:val="0"/>
        </w:rPr>
        <w:t>&lt;/NumAm&gt;</w:t>
      </w:r>
    </w:p>
    <w:p w:rsidR="001667A3" w:rsidRPr="00825264" w:rsidP="00BD2DF0" w14:paraId="4AC64F4C" w14:textId="77777777">
      <w:pPr>
        <w:widowControl/>
      </w:pPr>
    </w:p>
    <w:p w:rsidR="001667A3" w:rsidRPr="00AA56F9" w:rsidP="00BD2DF0" w14:paraId="34DCEC7A" w14:textId="77777777">
      <w:pPr>
        <w:pStyle w:val="NormalBold"/>
        <w:keepNext/>
        <w:widowControl/>
      </w:pPr>
      <w:r w:rsidRPr="00825264">
        <w:rPr>
          <w:rStyle w:val="HideTWBExt"/>
          <w:b w:val="0"/>
        </w:rPr>
        <w:t>&lt;DocAmend&gt;</w:t>
      </w:r>
      <w:r>
        <w:t xml:space="preserve">Proposition de </w:t>
      </w:r>
      <w:r>
        <w:t>directive</w:t>
      </w:r>
      <w:r w:rsidRPr="00825264">
        <w:rPr>
          <w:rStyle w:val="HideTWBExt"/>
          <w:b w:val="0"/>
        </w:rPr>
        <w:t>&lt;/DocAmend&gt;</w:t>
      </w:r>
    </w:p>
    <w:p w:rsidR="001667A3" w:rsidRPr="00BD2DF0" w:rsidP="00BD2DF0" w14:paraId="1A68E44E"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1667A3" w:rsidRPr="00BD2DF0" w:rsidP="00BD2DF0" w14:paraId="450B51F6"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5E542B19" w14:textId="77777777">
      <w:pPr>
        <w:widowControl/>
      </w:pPr>
      <w:r>
        <w:rPr>
          <w:rStyle w:val="HideTWBExt"/>
        </w:rPr>
        <w:t>&lt;Article2&gt;</w:t>
      </w:r>
      <w:r>
        <w:t>Article 13 – paragraphe 4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79296E"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5E064B07" w14:textId="77777777">
            <w:pPr>
              <w:keepNext/>
              <w:widowControl/>
            </w:pPr>
          </w:p>
        </w:tc>
      </w:tr>
      <w:tr w14:paraId="119E718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6D372B4A" w14:textId="77777777">
            <w:pPr>
              <w:pStyle w:val="ColumnHeading"/>
              <w:keepNext/>
              <w:widowControl/>
            </w:pPr>
            <w:r>
              <w:t>Texte proposé par le Conseil</w:t>
            </w:r>
          </w:p>
        </w:tc>
        <w:tc>
          <w:tcPr>
            <w:tcW w:w="4876" w:type="dxa"/>
            <w:hideMark/>
          </w:tcPr>
          <w:p w:rsidR="001667A3" w:rsidRPr="00EC1ED7" w:rsidP="00BD2DF0" w14:paraId="788496E9" w14:textId="77777777">
            <w:pPr>
              <w:pStyle w:val="ColumnHeading"/>
              <w:keepNext/>
              <w:widowControl/>
            </w:pPr>
            <w:r>
              <w:t>Amendement</w:t>
            </w:r>
          </w:p>
        </w:tc>
      </w:tr>
      <w:tr w14:paraId="73E4913F"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06768F95" w14:textId="77777777">
            <w:pPr>
              <w:pStyle w:val="Normal6"/>
              <w:widowControl/>
            </w:pPr>
          </w:p>
        </w:tc>
        <w:tc>
          <w:tcPr>
            <w:tcW w:w="4876" w:type="dxa"/>
            <w:hideMark/>
          </w:tcPr>
          <w:p w:rsidR="001667A3" w:rsidRPr="00AA56F9" w:rsidP="00BD2DF0" w14:paraId="0D6EEF72" w14:textId="77777777">
            <w:pPr>
              <w:pStyle w:val="Normal6"/>
              <w:widowControl/>
              <w:rPr>
                <w:szCs w:val="24"/>
              </w:rPr>
            </w:pPr>
            <w:r>
              <w:rPr>
                <w:b/>
                <w:i/>
              </w:rPr>
              <w:t>4 bis.</w:t>
            </w:r>
            <w:r>
              <w:rPr>
                <w:b/>
                <w:i/>
              </w:rPr>
              <w:tab/>
              <w:t xml:space="preserve">Les États membres </w:t>
            </w:r>
            <w:r>
              <w:rPr>
                <w:b/>
                <w:i/>
              </w:rPr>
              <w:t>donnent à leurs citoyens, dans le respect du droit national, la possibilité de s’enregistrer auprès des autorités nationales compétentes ou de les informer, par des moyens et des outils appropriés, de leurs déplacements ou de leur résidence dans des pays tiers.</w:t>
            </w:r>
          </w:p>
        </w:tc>
      </w:tr>
    </w:tbl>
    <w:p w:rsidR="001667A3" w:rsidRPr="00AA56F9" w:rsidP="00BD2DF0" w14:paraId="22A51DDE" w14:textId="77777777">
      <w:pPr>
        <w:widowControl/>
      </w:pPr>
      <w:r w:rsidRPr="00825264">
        <w:rPr>
          <w:rStyle w:val="HideTWBExt"/>
        </w:rPr>
        <w:t>&lt;/Amend&gt;</w:t>
      </w:r>
    </w:p>
    <w:p w:rsidR="001667A3" w:rsidRPr="00AA56F9" w:rsidP="00BD2DF0" w14:paraId="33778A6B" w14:textId="77777777">
      <w:pPr>
        <w:pStyle w:val="AmNumberTabs"/>
        <w:widowControl/>
      </w:pPr>
      <w:r w:rsidRPr="00825264">
        <w:rPr>
          <w:rStyle w:val="HideTWBExt"/>
          <w:b w:val="0"/>
        </w:rPr>
        <w:t>&lt;Amend&gt;</w:t>
      </w:r>
      <w:r>
        <w:t>Amendement</w:t>
      </w:r>
      <w:r>
        <w:tab/>
      </w:r>
      <w:r>
        <w:tab/>
      </w:r>
      <w:r w:rsidRPr="00825264">
        <w:rPr>
          <w:rStyle w:val="HideTWBExt"/>
          <w:b w:val="0"/>
        </w:rPr>
        <w:t>&lt;NumAm&gt;</w:t>
      </w:r>
      <w:r>
        <w:t>27</w:t>
      </w:r>
      <w:r w:rsidRPr="00825264">
        <w:rPr>
          <w:rStyle w:val="HideTWBExt"/>
          <w:b w:val="0"/>
        </w:rPr>
        <w:t>&lt;/NumAm&gt;</w:t>
      </w:r>
    </w:p>
    <w:p w:rsidR="001667A3" w:rsidRPr="00825264" w:rsidP="00BD2DF0" w14:paraId="0C05EA44" w14:textId="77777777">
      <w:pPr>
        <w:widowControl/>
      </w:pPr>
    </w:p>
    <w:p w:rsidR="001667A3" w:rsidRPr="00AA56F9" w:rsidP="00BD2DF0" w14:paraId="59F8D971"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3ABA9A5E"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1667A3" w:rsidRPr="00BD2DF0" w:rsidP="00BD2DF0" w14:paraId="23C0EB95" w14:textId="77777777">
      <w:pPr>
        <w:keepNext/>
        <w:widowControl/>
      </w:pPr>
      <w:r w:rsidRPr="00825264">
        <w:rPr>
          <w:rStyle w:val="HideTWBExt"/>
        </w:rPr>
        <w:t>&lt;DocAmend2&gt;</w:t>
      </w:r>
      <w:r>
        <w:t>Directive (UE) 2015/637 du Conseil</w:t>
      </w:r>
      <w:r w:rsidRPr="00825264">
        <w:rPr>
          <w:rStyle w:val="HideTWBExt"/>
        </w:rPr>
        <w:t>&lt;/DocAmend2&gt;</w:t>
      </w:r>
    </w:p>
    <w:p w:rsidR="001667A3" w:rsidRPr="00EC1ED7" w:rsidP="00BD2DF0" w14:paraId="3B1A6807" w14:textId="77777777">
      <w:pPr>
        <w:widowControl/>
      </w:pPr>
      <w:r>
        <w:rPr>
          <w:rStyle w:val="HideTWBExt"/>
        </w:rPr>
        <w:t>&lt;Article2&gt;</w:t>
      </w:r>
      <w:r>
        <w:t>Article 13 – paragraphe 5</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2E677E"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7F15B785" w14:textId="77777777">
            <w:pPr>
              <w:keepNext/>
              <w:widowControl/>
            </w:pPr>
          </w:p>
        </w:tc>
      </w:tr>
      <w:tr w14:paraId="701A9D9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245487B" w14:textId="77777777">
            <w:pPr>
              <w:pStyle w:val="ColumnHeading"/>
              <w:keepNext/>
              <w:widowControl/>
            </w:pPr>
            <w:r>
              <w:t>Texte proposé par le Conseil</w:t>
            </w:r>
          </w:p>
        </w:tc>
        <w:tc>
          <w:tcPr>
            <w:tcW w:w="4876" w:type="dxa"/>
            <w:hideMark/>
          </w:tcPr>
          <w:p w:rsidR="001667A3" w:rsidRPr="00EC1ED7" w:rsidP="00BD2DF0" w14:paraId="26FA6C54" w14:textId="77777777">
            <w:pPr>
              <w:pStyle w:val="ColumnHeading"/>
              <w:keepNext/>
              <w:widowControl/>
            </w:pPr>
            <w:r>
              <w:t>Amendement</w:t>
            </w:r>
          </w:p>
        </w:tc>
      </w:tr>
      <w:tr w14:paraId="26A3D94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481CAA35" w14:textId="77777777">
            <w:pPr>
              <w:pStyle w:val="Normal6"/>
              <w:widowControl/>
            </w:pPr>
            <w:r>
              <w:t>5.</w:t>
            </w:r>
            <w:r>
              <w:tab/>
            </w:r>
            <w:r>
              <w:t xml:space="preserve">Le SEAE soutient l’échange d’informations entre les États membres sur les situations de crises, y compris </w:t>
            </w:r>
            <w:r>
              <w:rPr>
                <w:b/>
                <w:i/>
              </w:rPr>
              <w:t>sur les modifications apportées à leurs conseils aux voyageurs.;</w:t>
            </w:r>
          </w:p>
        </w:tc>
        <w:tc>
          <w:tcPr>
            <w:tcW w:w="4876" w:type="dxa"/>
            <w:hideMark/>
          </w:tcPr>
          <w:p w:rsidR="001667A3" w:rsidRPr="00AA56F9" w:rsidP="00BD2DF0" w14:paraId="0EBA92F1" w14:textId="77777777">
            <w:pPr>
              <w:pStyle w:val="Normal6"/>
              <w:widowControl/>
              <w:rPr>
                <w:szCs w:val="24"/>
              </w:rPr>
            </w:pPr>
            <w:r>
              <w:t>5.</w:t>
            </w:r>
            <w:r>
              <w:tab/>
              <w:t xml:space="preserve">Le SEAE soutient l’échange d’informations </w:t>
            </w:r>
            <w:r>
              <w:rPr>
                <w:b/>
                <w:i/>
              </w:rPr>
              <w:t>actualisées</w:t>
            </w:r>
            <w:r>
              <w:t xml:space="preserve"> entre les États membres sur les situations de crises, y compris </w:t>
            </w:r>
            <w:r>
              <w:rPr>
                <w:b/>
                <w:i/>
              </w:rPr>
              <w:t>la mise en place de mécanismes de détection et d’alerte précoces concernant les situations en évolution</w:t>
            </w:r>
            <w:r>
              <w:t>.</w:t>
            </w:r>
          </w:p>
        </w:tc>
      </w:tr>
    </w:tbl>
    <w:p w:rsidR="001667A3" w:rsidRPr="00AA56F9" w:rsidP="00BD2DF0" w14:paraId="76D45030" w14:textId="77777777">
      <w:pPr>
        <w:widowControl/>
      </w:pPr>
      <w:r w:rsidRPr="00825264">
        <w:rPr>
          <w:rStyle w:val="HideTWBExt"/>
        </w:rPr>
        <w:t>&lt;/Amend&gt;</w:t>
      </w:r>
    </w:p>
    <w:p w:rsidR="008B78C1" w:rsidRPr="00AA56F9" w:rsidP="00BD2DF0" w14:paraId="4A152CE2" w14:textId="77777777">
      <w:pPr>
        <w:pStyle w:val="AmNumberTabs"/>
        <w:widowControl/>
      </w:pPr>
      <w:r w:rsidRPr="00825264">
        <w:rPr>
          <w:rStyle w:val="HideTWBExt"/>
          <w:b w:val="0"/>
        </w:rPr>
        <w:t>&lt;Amend&gt;</w:t>
      </w:r>
      <w:r>
        <w:t>Amendement</w:t>
      </w:r>
      <w:r>
        <w:tab/>
      </w:r>
      <w:r>
        <w:tab/>
      </w:r>
      <w:r w:rsidRPr="00825264">
        <w:rPr>
          <w:rStyle w:val="HideTWBExt"/>
          <w:b w:val="0"/>
        </w:rPr>
        <w:t>&lt;NumAm&gt;</w:t>
      </w:r>
      <w:r>
        <w:t>28</w:t>
      </w:r>
      <w:r w:rsidRPr="00825264">
        <w:rPr>
          <w:rStyle w:val="HideTWBExt"/>
          <w:b w:val="0"/>
        </w:rPr>
        <w:t>&lt;/NumAm&gt;</w:t>
      </w:r>
    </w:p>
    <w:p w:rsidR="008B78C1" w:rsidRPr="00825264" w:rsidP="00BD2DF0" w14:paraId="2967C63A" w14:textId="77777777">
      <w:pPr>
        <w:widowControl/>
      </w:pPr>
    </w:p>
    <w:p w:rsidR="008B78C1" w:rsidRPr="00AA56F9" w:rsidP="00BD2DF0" w14:paraId="0D2C56AC"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8B78C1" w:rsidRPr="00BD2DF0" w:rsidP="00BD2DF0" w14:paraId="7905AF6A" w14:textId="77777777">
      <w:pPr>
        <w:pStyle w:val="NormalBold"/>
        <w:widowControl/>
      </w:pPr>
      <w:r w:rsidRPr="00825264">
        <w:rPr>
          <w:rStyle w:val="HideTWBExt"/>
          <w:b w:val="0"/>
        </w:rPr>
        <w:t>&lt;Article&gt;</w:t>
      </w:r>
      <w:r>
        <w:t>Article 1 – alinéa 1 – point 4</w:t>
      </w:r>
      <w:r w:rsidRPr="00825264">
        <w:rPr>
          <w:rStyle w:val="HideTWBExt"/>
          <w:b w:val="0"/>
        </w:rPr>
        <w:t>&lt;/Article&gt;</w:t>
      </w:r>
    </w:p>
    <w:p w:rsidR="008B78C1" w:rsidRPr="00BD2DF0" w:rsidP="00BD2DF0" w14:paraId="6A2778C8" w14:textId="77777777">
      <w:pPr>
        <w:keepNext/>
        <w:widowControl/>
      </w:pPr>
      <w:r w:rsidRPr="00825264">
        <w:rPr>
          <w:rStyle w:val="HideTWBExt"/>
        </w:rPr>
        <w:t>&lt;DocAmend2&gt;</w:t>
      </w:r>
      <w:r>
        <w:t>directive (UE) 2015/637</w:t>
      </w:r>
      <w:r w:rsidRPr="00825264">
        <w:rPr>
          <w:rStyle w:val="HideTWBExt"/>
        </w:rPr>
        <w:t>&lt;/DocAmend2&gt;</w:t>
      </w:r>
    </w:p>
    <w:p w:rsidR="008B78C1" w:rsidRPr="00EC1ED7" w:rsidP="00BD2DF0" w14:paraId="0751737E" w14:textId="77777777">
      <w:pPr>
        <w:widowControl/>
      </w:pPr>
      <w:r>
        <w:rPr>
          <w:rStyle w:val="HideTWBExt"/>
        </w:rPr>
        <w:t>&lt;Article2&gt;</w:t>
      </w:r>
      <w:r>
        <w:t>Article 13 – paragraphe 5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239078" w14:textId="77777777" w:rsidTr="008E40B7">
        <w:tblPrEx>
          <w:tblW w:w="0" w:type="auto"/>
          <w:jc w:val="center"/>
          <w:tblLayout w:type="fixed"/>
          <w:tblCellMar>
            <w:left w:w="340" w:type="dxa"/>
            <w:right w:w="340" w:type="dxa"/>
          </w:tblCellMar>
          <w:tblLook w:val="04A0"/>
        </w:tblPrEx>
        <w:trPr>
          <w:jc w:val="center"/>
        </w:trPr>
        <w:tc>
          <w:tcPr>
            <w:tcW w:w="9752" w:type="dxa"/>
            <w:gridSpan w:val="2"/>
          </w:tcPr>
          <w:p w:rsidR="008B78C1" w:rsidRPr="00EC1ED7" w:rsidP="00BD2DF0" w14:paraId="5AC84C4A" w14:textId="77777777">
            <w:pPr>
              <w:keepNext/>
              <w:widowControl/>
            </w:pPr>
          </w:p>
        </w:tc>
      </w:tr>
      <w:tr w14:paraId="7F322D59" w14:textId="77777777" w:rsidTr="008E40B7">
        <w:tblPrEx>
          <w:tblW w:w="0" w:type="auto"/>
          <w:jc w:val="center"/>
          <w:tblLayout w:type="fixed"/>
          <w:tblCellMar>
            <w:left w:w="340" w:type="dxa"/>
            <w:right w:w="340" w:type="dxa"/>
          </w:tblCellMar>
          <w:tblLook w:val="04A0"/>
        </w:tblPrEx>
        <w:trPr>
          <w:jc w:val="center"/>
        </w:trPr>
        <w:tc>
          <w:tcPr>
            <w:tcW w:w="4876" w:type="dxa"/>
            <w:hideMark/>
          </w:tcPr>
          <w:p w:rsidR="008B78C1" w:rsidRPr="00AA56F9" w:rsidP="00BD2DF0" w14:paraId="5C6A2069" w14:textId="77777777">
            <w:pPr>
              <w:pStyle w:val="ColumnHeading"/>
              <w:keepNext/>
              <w:widowControl/>
            </w:pPr>
            <w:r>
              <w:t>Texte proposé par le Conseil</w:t>
            </w:r>
          </w:p>
        </w:tc>
        <w:tc>
          <w:tcPr>
            <w:tcW w:w="4876" w:type="dxa"/>
            <w:hideMark/>
          </w:tcPr>
          <w:p w:rsidR="008B78C1" w:rsidRPr="00EC1ED7" w:rsidP="00BD2DF0" w14:paraId="6E6A4DA9" w14:textId="77777777">
            <w:pPr>
              <w:pStyle w:val="ColumnHeading"/>
              <w:keepNext/>
              <w:widowControl/>
            </w:pPr>
            <w:r>
              <w:t>Amendement</w:t>
            </w:r>
          </w:p>
        </w:tc>
      </w:tr>
      <w:tr w14:paraId="695C51AF" w14:textId="77777777" w:rsidTr="008E40B7">
        <w:tblPrEx>
          <w:tblW w:w="0" w:type="auto"/>
          <w:jc w:val="center"/>
          <w:tblLayout w:type="fixed"/>
          <w:tblCellMar>
            <w:left w:w="340" w:type="dxa"/>
            <w:right w:w="340" w:type="dxa"/>
          </w:tblCellMar>
          <w:tblLook w:val="04A0"/>
        </w:tblPrEx>
        <w:trPr>
          <w:jc w:val="center"/>
        </w:trPr>
        <w:tc>
          <w:tcPr>
            <w:tcW w:w="4876" w:type="dxa"/>
          </w:tcPr>
          <w:p w:rsidR="008B78C1" w:rsidRPr="00EC1ED7" w:rsidP="00BD2DF0" w14:paraId="4302B155" w14:textId="77777777">
            <w:pPr>
              <w:pStyle w:val="Normal6"/>
              <w:widowControl/>
            </w:pPr>
          </w:p>
        </w:tc>
        <w:tc>
          <w:tcPr>
            <w:tcW w:w="4876" w:type="dxa"/>
            <w:hideMark/>
          </w:tcPr>
          <w:p w:rsidR="008B78C1" w:rsidRPr="00AA56F9" w:rsidP="00BD2DF0" w14:paraId="5959E969" w14:textId="77777777">
            <w:pPr>
              <w:pStyle w:val="Normal6"/>
              <w:widowControl/>
              <w:rPr>
                <w:szCs w:val="24"/>
              </w:rPr>
            </w:pPr>
            <w:r>
              <w:rPr>
                <w:b/>
                <w:i/>
              </w:rPr>
              <w:t>5 bis.</w:t>
            </w:r>
            <w:r>
              <w:rPr>
                <w:b/>
                <w:i/>
              </w:rPr>
              <w:tab/>
              <w:t xml:space="preserve">Le SEAE, en étroite coopération avec les États membres, </w:t>
            </w:r>
            <w:r>
              <w:rPr>
                <w:b/>
                <w:i/>
              </w:rPr>
              <w:t>dispense aux fonctionnaires de l’Union une formation à la préparation et à la réaction aux crises consulaires.</w:t>
            </w:r>
          </w:p>
        </w:tc>
      </w:tr>
    </w:tbl>
    <w:p w:rsidR="008B78C1" w:rsidRPr="00AA56F9" w:rsidP="00BD2DF0" w14:paraId="15B6A009" w14:textId="77777777">
      <w:pPr>
        <w:widowControl/>
      </w:pPr>
      <w:r w:rsidRPr="00825264">
        <w:rPr>
          <w:rStyle w:val="HideTWBExt"/>
        </w:rPr>
        <w:t>&lt;/Amend&gt;</w:t>
      </w:r>
    </w:p>
    <w:p w:rsidR="001667A3" w:rsidRPr="00AA56F9" w:rsidP="00BD2DF0" w14:paraId="1A263D9B" w14:textId="77777777">
      <w:pPr>
        <w:pStyle w:val="AmNumberTabs"/>
        <w:widowControl/>
      </w:pPr>
      <w:r w:rsidRPr="00825264">
        <w:rPr>
          <w:rStyle w:val="HideTWBExt"/>
          <w:b w:val="0"/>
        </w:rPr>
        <w:t>&lt;Amend&gt;</w:t>
      </w:r>
      <w:r>
        <w:t>Amendement</w:t>
      </w:r>
      <w:r>
        <w:tab/>
      </w:r>
      <w:r>
        <w:tab/>
      </w:r>
      <w:r w:rsidRPr="00825264">
        <w:rPr>
          <w:rStyle w:val="HideTWBExt"/>
          <w:b w:val="0"/>
        </w:rPr>
        <w:t>&lt;NumAm&gt;</w:t>
      </w:r>
      <w:r>
        <w:t>29</w:t>
      </w:r>
      <w:r w:rsidRPr="00825264">
        <w:rPr>
          <w:rStyle w:val="HideTWBExt"/>
          <w:b w:val="0"/>
        </w:rPr>
        <w:t>&lt;/NumAm&gt;</w:t>
      </w:r>
    </w:p>
    <w:p w:rsidR="001667A3" w:rsidRPr="00825264" w:rsidP="00BD2DF0" w14:paraId="48162FF6" w14:textId="77777777">
      <w:pPr>
        <w:widowControl/>
      </w:pPr>
    </w:p>
    <w:p w:rsidR="001667A3" w:rsidRPr="00AA56F9" w:rsidP="00BD2DF0" w14:paraId="163AC33E"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6760D0F3" w14:textId="77777777">
      <w:pPr>
        <w:pStyle w:val="NormalBold"/>
        <w:widowControl/>
      </w:pPr>
      <w:r w:rsidRPr="00825264">
        <w:rPr>
          <w:rStyle w:val="HideTWBExt"/>
          <w:b w:val="0"/>
        </w:rPr>
        <w:t>&lt;Article&gt;</w:t>
      </w:r>
      <w:r>
        <w:t>Article 1 – alinéa 1 – point 5</w:t>
      </w:r>
      <w:r w:rsidRPr="00825264">
        <w:rPr>
          <w:rStyle w:val="HideTWBExt"/>
          <w:b w:val="0"/>
        </w:rPr>
        <w:t>&lt;/Article&gt;</w:t>
      </w:r>
    </w:p>
    <w:p w:rsidR="001667A3" w:rsidRPr="00BD2DF0" w:rsidP="00BD2DF0" w14:paraId="083CF9A9"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264273C8" w14:textId="77777777">
      <w:pPr>
        <w:widowControl/>
      </w:pPr>
      <w:r>
        <w:rPr>
          <w:rStyle w:val="HideTWBExt"/>
        </w:rPr>
        <w:t>&lt;Article2&gt;</w:t>
      </w:r>
      <w:r>
        <w:t>Article 13 bis – paragraphe 1</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7C5C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5E6079A6" w14:textId="77777777">
            <w:pPr>
              <w:keepNext/>
              <w:widowControl/>
            </w:pPr>
          </w:p>
        </w:tc>
      </w:tr>
      <w:tr w14:paraId="614E2C8E"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EDB090F" w14:textId="77777777">
            <w:pPr>
              <w:pStyle w:val="ColumnHeading"/>
              <w:keepNext/>
              <w:widowControl/>
            </w:pPr>
            <w:r>
              <w:t>Texte proposé par le Conseil</w:t>
            </w:r>
          </w:p>
        </w:tc>
        <w:tc>
          <w:tcPr>
            <w:tcW w:w="4876" w:type="dxa"/>
            <w:hideMark/>
          </w:tcPr>
          <w:p w:rsidR="001667A3" w:rsidRPr="00EC1ED7" w:rsidP="00BD2DF0" w14:paraId="23F74CE8" w14:textId="77777777">
            <w:pPr>
              <w:pStyle w:val="ColumnHeading"/>
              <w:keepNext/>
              <w:widowControl/>
            </w:pPr>
            <w:r>
              <w:t>Amendement</w:t>
            </w:r>
          </w:p>
        </w:tc>
      </w:tr>
      <w:tr w14:paraId="60B4E181"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F104058" w14:textId="77777777">
            <w:pPr>
              <w:pStyle w:val="Normal6"/>
              <w:widowControl/>
            </w:pPr>
            <w:r>
              <w:t>1.</w:t>
            </w:r>
            <w:r>
              <w:tab/>
              <w:t>En cas de crise, l’Union et les États membres coopèrent étroitement pour assurer une assistance efficace aux citoyens de l’Union non représentés. Si possible, ils s’informent, en temps utile, des capacités d’évacuation disponibles.</w:t>
            </w:r>
          </w:p>
        </w:tc>
        <w:tc>
          <w:tcPr>
            <w:tcW w:w="4876" w:type="dxa"/>
            <w:hideMark/>
          </w:tcPr>
          <w:p w:rsidR="001667A3" w:rsidRPr="00AA56F9" w:rsidP="00BD2DF0" w14:paraId="7D813400" w14:textId="77777777">
            <w:pPr>
              <w:pStyle w:val="Normal6"/>
              <w:widowControl/>
              <w:rPr>
                <w:szCs w:val="24"/>
              </w:rPr>
            </w:pPr>
            <w:r>
              <w:t>1.</w:t>
            </w:r>
            <w:r>
              <w:tab/>
              <w:t xml:space="preserve">En cas de crise, l’Union et les États membres coopèrent étroitement pour assurer une assistance efficace </w:t>
            </w:r>
            <w:r>
              <w:rPr>
                <w:b/>
                <w:i/>
              </w:rPr>
              <w:t>et en temps utile</w:t>
            </w:r>
            <w:r>
              <w:t xml:space="preserve"> aux citoyens de l’Union non représentés. Si possible, ils s’informent, en temps utile, des capacités d’évacuation disponibles.</w:t>
            </w:r>
          </w:p>
        </w:tc>
      </w:tr>
    </w:tbl>
    <w:p w:rsidR="001667A3" w:rsidRPr="00AA56F9" w:rsidP="00BD2DF0" w14:paraId="163BF54C" w14:textId="77777777">
      <w:pPr>
        <w:widowControl/>
      </w:pPr>
      <w:r w:rsidRPr="00825264">
        <w:rPr>
          <w:rStyle w:val="HideTWBExt"/>
        </w:rPr>
        <w:t>&lt;/Amend&gt;</w:t>
      </w:r>
    </w:p>
    <w:p w:rsidR="001667A3" w:rsidRPr="00AA56F9" w:rsidP="00BD2DF0" w14:paraId="153E1983" w14:textId="77777777">
      <w:pPr>
        <w:pStyle w:val="AmNumberTabs"/>
        <w:widowControl/>
      </w:pPr>
      <w:r w:rsidRPr="00825264">
        <w:rPr>
          <w:rStyle w:val="HideTWBExt"/>
          <w:b w:val="0"/>
        </w:rPr>
        <w:t>&lt;Amend&gt;</w:t>
      </w:r>
      <w:r>
        <w:t>Amendement</w:t>
      </w:r>
      <w:r>
        <w:tab/>
      </w:r>
      <w:r>
        <w:tab/>
      </w:r>
      <w:r w:rsidRPr="00825264">
        <w:rPr>
          <w:rStyle w:val="HideTWBExt"/>
          <w:b w:val="0"/>
        </w:rPr>
        <w:t>&lt;NumAm&gt;</w:t>
      </w:r>
      <w:r>
        <w:t>30</w:t>
      </w:r>
      <w:r w:rsidRPr="00825264">
        <w:rPr>
          <w:rStyle w:val="HideTWBExt"/>
          <w:b w:val="0"/>
        </w:rPr>
        <w:t>&lt;/NumAm&gt;</w:t>
      </w:r>
    </w:p>
    <w:p w:rsidR="001667A3" w:rsidRPr="00825264" w:rsidP="00BD2DF0" w14:paraId="0A657336" w14:textId="77777777">
      <w:pPr>
        <w:widowControl/>
      </w:pPr>
    </w:p>
    <w:p w:rsidR="001667A3" w:rsidRPr="00AA56F9" w:rsidP="00BD2DF0" w14:paraId="71019011"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6400D7E1" w14:textId="77777777">
      <w:pPr>
        <w:pStyle w:val="NormalBold"/>
        <w:widowControl/>
      </w:pPr>
      <w:r w:rsidRPr="00825264">
        <w:rPr>
          <w:rStyle w:val="HideTWBExt"/>
          <w:b w:val="0"/>
        </w:rPr>
        <w:t>&lt;Article&gt;</w:t>
      </w:r>
      <w:r>
        <w:t xml:space="preserve">Article 1 – </w:t>
      </w:r>
      <w:r>
        <w:t>alinéa 1 – point 5</w:t>
      </w:r>
      <w:r w:rsidRPr="00825264">
        <w:rPr>
          <w:rStyle w:val="HideTWBExt"/>
          <w:b w:val="0"/>
        </w:rPr>
        <w:t>&lt;/Article&gt;</w:t>
      </w:r>
    </w:p>
    <w:p w:rsidR="001667A3" w:rsidRPr="00BD2DF0" w:rsidP="00BD2DF0" w14:paraId="0F66CEBF"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76164076" w14:textId="77777777">
      <w:pPr>
        <w:widowControl/>
      </w:pPr>
      <w:r>
        <w:rPr>
          <w:rStyle w:val="HideTWBExt"/>
        </w:rPr>
        <w:t>&lt;Article2&gt;</w:t>
      </w:r>
      <w:r>
        <w:t>Article 13 bis – paragraphe 4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ED170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4EB3EF38" w14:textId="77777777">
            <w:pPr>
              <w:keepNext/>
              <w:widowControl/>
            </w:pPr>
          </w:p>
        </w:tc>
      </w:tr>
      <w:tr w14:paraId="7238B955"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D993FA9" w14:textId="77777777">
            <w:pPr>
              <w:pStyle w:val="ColumnHeading"/>
              <w:keepNext/>
              <w:widowControl/>
            </w:pPr>
            <w:r>
              <w:t>Texte proposé par le Conseil</w:t>
            </w:r>
          </w:p>
        </w:tc>
        <w:tc>
          <w:tcPr>
            <w:tcW w:w="4876" w:type="dxa"/>
            <w:hideMark/>
          </w:tcPr>
          <w:p w:rsidR="001667A3" w:rsidRPr="00EC1ED7" w:rsidP="00BD2DF0" w14:paraId="4B2C013F" w14:textId="77777777">
            <w:pPr>
              <w:pStyle w:val="ColumnHeading"/>
              <w:keepNext/>
              <w:widowControl/>
            </w:pPr>
            <w:r>
              <w:t>Amendement</w:t>
            </w:r>
          </w:p>
        </w:tc>
      </w:tr>
      <w:tr w14:paraId="51B051C1"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052ADDDB" w14:textId="77777777">
            <w:pPr>
              <w:pStyle w:val="Normal6"/>
              <w:widowControl/>
            </w:pPr>
          </w:p>
        </w:tc>
        <w:tc>
          <w:tcPr>
            <w:tcW w:w="4876" w:type="dxa"/>
            <w:hideMark/>
          </w:tcPr>
          <w:p w:rsidR="001667A3" w:rsidRPr="00AA56F9" w:rsidP="00BD2DF0" w14:paraId="588DC44B" w14:textId="77777777">
            <w:pPr>
              <w:pStyle w:val="Normal6"/>
              <w:widowControl/>
              <w:rPr>
                <w:szCs w:val="24"/>
              </w:rPr>
            </w:pPr>
            <w:r>
              <w:rPr>
                <w:b/>
                <w:i/>
              </w:rPr>
              <w:t>4 bis.</w:t>
            </w:r>
            <w:r>
              <w:rPr>
                <w:b/>
                <w:i/>
              </w:rPr>
              <w:tab/>
              <w:t xml:space="preserve">À n’importe quel stade d’une situation de crise, les États </w:t>
            </w:r>
            <w:r>
              <w:rPr>
                <w:b/>
                <w:i/>
              </w:rPr>
              <w:t>membres échangent des informations relatives aux conseils aux voyageurs qu’ils prodiguent aux citoyens et se coordonnent pour en assurer la cohérence, en utilisant tous les moyens et outils appropriés. Le SEAE soutient les États membres dans la coordination des modifications apportées à leurs conseils aux voyageurs.</w:t>
            </w:r>
          </w:p>
        </w:tc>
      </w:tr>
    </w:tbl>
    <w:p w:rsidR="001667A3" w:rsidRPr="00AA56F9" w:rsidP="00BD2DF0" w14:paraId="743D3127" w14:textId="77777777">
      <w:pPr>
        <w:widowControl/>
      </w:pPr>
      <w:r w:rsidRPr="00825264">
        <w:rPr>
          <w:rStyle w:val="HideTWBExt"/>
        </w:rPr>
        <w:t>&lt;/Amend&gt;</w:t>
      </w:r>
    </w:p>
    <w:p w:rsidR="001667A3" w:rsidRPr="00AA56F9" w:rsidP="00BD2DF0" w14:paraId="6A938F6A" w14:textId="77777777">
      <w:pPr>
        <w:pStyle w:val="AmNumberTabs"/>
        <w:widowControl/>
      </w:pPr>
      <w:r w:rsidRPr="00825264">
        <w:rPr>
          <w:rStyle w:val="HideTWBExt"/>
          <w:b w:val="0"/>
        </w:rPr>
        <w:t>&lt;Amend&gt;</w:t>
      </w:r>
      <w:r>
        <w:t>Amendement</w:t>
      </w:r>
      <w:r>
        <w:tab/>
      </w:r>
      <w:r>
        <w:tab/>
      </w:r>
      <w:r w:rsidRPr="00825264">
        <w:rPr>
          <w:rStyle w:val="HideTWBExt"/>
          <w:b w:val="0"/>
        </w:rPr>
        <w:t>&lt;NumAm&gt;</w:t>
      </w:r>
      <w:r>
        <w:t>31</w:t>
      </w:r>
      <w:r w:rsidRPr="00825264">
        <w:rPr>
          <w:rStyle w:val="HideTWBExt"/>
          <w:b w:val="0"/>
        </w:rPr>
        <w:t>&lt;/NumAm&gt;</w:t>
      </w:r>
    </w:p>
    <w:p w:rsidR="001667A3" w:rsidRPr="00825264" w:rsidP="00BD2DF0" w14:paraId="39F1C53A" w14:textId="77777777">
      <w:pPr>
        <w:widowControl/>
      </w:pPr>
    </w:p>
    <w:p w:rsidR="001667A3" w:rsidRPr="00AA56F9" w:rsidP="00BD2DF0" w14:paraId="0B28153F"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1BC3B6D4" w14:textId="77777777">
      <w:pPr>
        <w:pStyle w:val="NormalBold"/>
        <w:widowControl/>
      </w:pPr>
      <w:r w:rsidRPr="00825264">
        <w:rPr>
          <w:rStyle w:val="HideTWBExt"/>
          <w:b w:val="0"/>
        </w:rPr>
        <w:t>&lt;Article&gt;</w:t>
      </w:r>
      <w:r>
        <w:t>Article 1 – alinéa 1 – point 6</w:t>
      </w:r>
      <w:r w:rsidRPr="00825264">
        <w:rPr>
          <w:rStyle w:val="HideTWBExt"/>
          <w:b w:val="0"/>
        </w:rPr>
        <w:t>&lt;/Article&gt;</w:t>
      </w:r>
    </w:p>
    <w:p w:rsidR="001667A3" w:rsidRPr="00BD2DF0" w:rsidP="00BD2DF0" w14:paraId="3E49AB8C"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2B46ED1B" w14:textId="77777777">
      <w:pPr>
        <w:widowControl/>
      </w:pPr>
      <w:r>
        <w:rPr>
          <w:rStyle w:val="HideTWBExt"/>
        </w:rPr>
        <w:t>&lt;Article2&gt;</w:t>
      </w:r>
      <w:r>
        <w:t>Article 13 quater – paragraphe 1</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DA50A"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5B02F714" w14:textId="77777777">
            <w:pPr>
              <w:keepNext/>
              <w:widowControl/>
            </w:pPr>
          </w:p>
        </w:tc>
      </w:tr>
      <w:tr w14:paraId="3C8605F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B414441" w14:textId="77777777">
            <w:pPr>
              <w:pStyle w:val="ColumnHeading"/>
              <w:keepNext/>
              <w:widowControl/>
            </w:pPr>
            <w:r>
              <w:t>Texte proposé par le Conseil</w:t>
            </w:r>
          </w:p>
        </w:tc>
        <w:tc>
          <w:tcPr>
            <w:tcW w:w="4876" w:type="dxa"/>
            <w:hideMark/>
          </w:tcPr>
          <w:p w:rsidR="001667A3" w:rsidRPr="00EC1ED7" w:rsidP="00BD2DF0" w14:paraId="51E4405D" w14:textId="77777777">
            <w:pPr>
              <w:pStyle w:val="ColumnHeading"/>
              <w:keepNext/>
              <w:widowControl/>
            </w:pPr>
            <w:r>
              <w:t>Amendement</w:t>
            </w:r>
          </w:p>
        </w:tc>
      </w:tr>
      <w:tr w14:paraId="099511C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C9F3721" w14:textId="77777777">
            <w:pPr>
              <w:pStyle w:val="Normal6"/>
              <w:widowControl/>
            </w:pPr>
            <w:r>
              <w:t>1.</w:t>
            </w:r>
            <w:r>
              <w:tab/>
              <w:t>Les États membres prennent des mesures appropriées pour informer leurs citoyens de leur droit énoncé à l’article 20, paragraphe 2, point c), du TFUE.</w:t>
            </w:r>
          </w:p>
        </w:tc>
        <w:tc>
          <w:tcPr>
            <w:tcW w:w="4876" w:type="dxa"/>
            <w:hideMark/>
          </w:tcPr>
          <w:p w:rsidR="001667A3" w:rsidRPr="00AA56F9" w:rsidP="00BD2DF0" w14:paraId="0312F6DC" w14:textId="77777777">
            <w:pPr>
              <w:pStyle w:val="Normal6"/>
              <w:widowControl/>
              <w:rPr>
                <w:szCs w:val="24"/>
              </w:rPr>
            </w:pPr>
            <w:r>
              <w:t>1.</w:t>
            </w:r>
            <w:r>
              <w:tab/>
              <w:t xml:space="preserve">Les </w:t>
            </w:r>
            <w:r>
              <w:t>États membres prennent des mesures appropriées pour informer leurs citoyens de leur droit énoncé à l’article 20, paragraphe 2, point c), du TFUE</w:t>
            </w:r>
            <w:r>
              <w:rPr>
                <w:b/>
                <w:i/>
              </w:rPr>
              <w:t>, notamment:</w:t>
            </w:r>
          </w:p>
        </w:tc>
      </w:tr>
      <w:tr w14:paraId="71554D96"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825264" w:rsidP="00BD2DF0" w14:paraId="36D8513F" w14:textId="77777777">
            <w:pPr>
              <w:pStyle w:val="Normal6"/>
              <w:widowControl/>
            </w:pPr>
          </w:p>
        </w:tc>
        <w:tc>
          <w:tcPr>
            <w:tcW w:w="4876" w:type="dxa"/>
            <w:hideMark/>
          </w:tcPr>
          <w:p w:rsidR="001667A3" w:rsidRPr="00AA56F9" w:rsidP="00BD2DF0" w14:paraId="23B1A6B6" w14:textId="77777777">
            <w:pPr>
              <w:pStyle w:val="Normal6"/>
              <w:widowControl/>
              <w:rPr>
                <w:szCs w:val="24"/>
              </w:rPr>
            </w:pPr>
            <w:r>
              <w:rPr>
                <w:b/>
                <w:i/>
              </w:rPr>
              <w:t xml:space="preserve">a) la fourniture d’informations sur le droit à la protection consulaire dans les conseils aux </w:t>
            </w:r>
            <w:r>
              <w:rPr>
                <w:b/>
                <w:i/>
              </w:rPr>
              <w:t>voyageurs et les campagnes relatives à la protection consulaire;</w:t>
            </w:r>
          </w:p>
        </w:tc>
      </w:tr>
      <w:tr w14:paraId="56ED319B"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825264" w:rsidP="00BD2DF0" w14:paraId="708E598B" w14:textId="77777777">
            <w:pPr>
              <w:pStyle w:val="Normal6"/>
              <w:widowControl/>
            </w:pPr>
          </w:p>
        </w:tc>
        <w:tc>
          <w:tcPr>
            <w:tcW w:w="4876" w:type="dxa"/>
            <w:hideMark/>
          </w:tcPr>
          <w:p w:rsidR="001667A3" w:rsidRPr="00AA56F9" w:rsidP="00BD2DF0" w14:paraId="200E129F" w14:textId="77777777">
            <w:pPr>
              <w:pStyle w:val="Normal6"/>
              <w:widowControl/>
              <w:rPr>
                <w:szCs w:val="24"/>
              </w:rPr>
            </w:pPr>
            <w:r>
              <w:rPr>
                <w:b/>
                <w:i/>
              </w:rPr>
              <w:t xml:space="preserve">b) la participation à des campagnes d’information avec les prestataires de services de transport de voyageurs et les plateformes de transport proposant des voyages vers des pays </w:t>
            </w:r>
            <w:r>
              <w:rPr>
                <w:b/>
                <w:i/>
              </w:rPr>
              <w:t>tiers;</w:t>
            </w:r>
          </w:p>
        </w:tc>
      </w:tr>
      <w:tr w14:paraId="60549163"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825264" w:rsidP="00BD2DF0" w14:paraId="6494EAF6" w14:textId="77777777">
            <w:pPr>
              <w:pStyle w:val="Normal6"/>
              <w:widowControl/>
            </w:pPr>
          </w:p>
        </w:tc>
        <w:tc>
          <w:tcPr>
            <w:tcW w:w="4876" w:type="dxa"/>
            <w:hideMark/>
          </w:tcPr>
          <w:p w:rsidR="001667A3" w:rsidRPr="00AA56F9" w:rsidP="00BD2DF0" w14:paraId="4006CF89" w14:textId="77777777">
            <w:pPr>
              <w:pStyle w:val="Normal6"/>
              <w:widowControl/>
              <w:rPr>
                <w:szCs w:val="24"/>
              </w:rPr>
            </w:pPr>
            <w:r>
              <w:rPr>
                <w:b/>
                <w:i/>
              </w:rPr>
              <w:t>c) la mise au point de plateformes numériques ou d’applications mobiles, par l’intermédiaire desquelles les citoyens de l’Union ont rapidement et facilement accès aux informations relatives à la protection consulaire et aux canaux de contact à tout moment;</w:t>
            </w:r>
          </w:p>
        </w:tc>
      </w:tr>
      <w:tr w14:paraId="0AB089EE"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825264" w:rsidP="00BD2DF0" w14:paraId="275A5BE8" w14:textId="77777777">
            <w:pPr>
              <w:pStyle w:val="Normal6"/>
              <w:widowControl/>
            </w:pPr>
          </w:p>
        </w:tc>
        <w:tc>
          <w:tcPr>
            <w:tcW w:w="4876" w:type="dxa"/>
            <w:hideMark/>
          </w:tcPr>
          <w:p w:rsidR="001667A3" w:rsidRPr="00AA56F9" w:rsidP="00BD2DF0" w14:paraId="50849E0F" w14:textId="77777777">
            <w:pPr>
              <w:pStyle w:val="Normal6"/>
              <w:widowControl/>
              <w:rPr>
                <w:szCs w:val="24"/>
              </w:rPr>
            </w:pPr>
            <w:r>
              <w:rPr>
                <w:b/>
                <w:i/>
              </w:rPr>
              <w:t>d) la mise au point de systèmes de notification automatique, tels que des services de messages courts via les réseaux téléphoniques, pour fournir à tous les citoyens de l’Union des informations contextualisées sur leurs droits et sur la manière de les exercer à leur arrivée dans des pays tiers, ainsi que des messages d’alerte et des recommandations en temps réel en cas de crise pour les citoyens qui se sont enregistrés conformément à l’article 13, paragraphe 4 bis, de la présente directive</w:t>
            </w:r>
            <w:r>
              <w:t>.</w:t>
            </w:r>
          </w:p>
        </w:tc>
      </w:tr>
      <w:tr w14:paraId="256404D7"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825264" w:rsidP="00BD2DF0" w14:paraId="31A83931" w14:textId="77777777">
            <w:pPr>
              <w:pStyle w:val="Normal6"/>
              <w:widowControl/>
            </w:pPr>
          </w:p>
        </w:tc>
        <w:tc>
          <w:tcPr>
            <w:tcW w:w="4876" w:type="dxa"/>
            <w:hideMark/>
          </w:tcPr>
          <w:p w:rsidR="001667A3" w:rsidRPr="00AA56F9" w:rsidP="00BD2DF0" w14:paraId="1DA6DC74" w14:textId="77777777">
            <w:pPr>
              <w:pStyle w:val="Normal6"/>
              <w:widowControl/>
              <w:rPr>
                <w:szCs w:val="24"/>
              </w:rPr>
            </w:pPr>
            <w:r>
              <w:rPr>
                <w:b/>
                <w:i/>
              </w:rPr>
              <w:t>Les États membres peuvent également reproduire l’article 23, premier alinéa, du TFUE sur les passeports nationaux.</w:t>
            </w:r>
          </w:p>
        </w:tc>
      </w:tr>
    </w:tbl>
    <w:p w:rsidR="001667A3" w:rsidRPr="00AA56F9" w:rsidP="00BD2DF0" w14:paraId="091A7683" w14:textId="77777777">
      <w:pPr>
        <w:widowControl/>
      </w:pPr>
      <w:r w:rsidRPr="00825264">
        <w:rPr>
          <w:rStyle w:val="HideTWBExt"/>
        </w:rPr>
        <w:t>&lt;/Amend&gt;</w:t>
      </w:r>
    </w:p>
    <w:p w:rsidR="001667A3" w:rsidRPr="00AA56F9" w:rsidP="00BD2DF0" w14:paraId="5741413A" w14:textId="77777777">
      <w:pPr>
        <w:pStyle w:val="AmNumberTabs"/>
        <w:widowControl/>
      </w:pPr>
      <w:r w:rsidRPr="00825264">
        <w:rPr>
          <w:rStyle w:val="HideTWBExt"/>
          <w:b w:val="0"/>
        </w:rPr>
        <w:t>&lt;Amend&gt;</w:t>
      </w:r>
      <w:r>
        <w:t>Amendement</w:t>
      </w:r>
      <w:r>
        <w:tab/>
      </w:r>
      <w:r>
        <w:tab/>
      </w:r>
      <w:r w:rsidRPr="00825264">
        <w:rPr>
          <w:rStyle w:val="HideTWBExt"/>
          <w:b w:val="0"/>
        </w:rPr>
        <w:t>&lt;NumAm&gt;</w:t>
      </w:r>
      <w:r>
        <w:t>32</w:t>
      </w:r>
      <w:r w:rsidRPr="00825264">
        <w:rPr>
          <w:rStyle w:val="HideTWBExt"/>
          <w:b w:val="0"/>
        </w:rPr>
        <w:t>&lt;/NumAm&gt;</w:t>
      </w:r>
    </w:p>
    <w:p w:rsidR="001667A3" w:rsidRPr="00825264" w:rsidP="00BD2DF0" w14:paraId="7D702C67" w14:textId="77777777">
      <w:pPr>
        <w:widowControl/>
      </w:pPr>
    </w:p>
    <w:p w:rsidR="001667A3" w:rsidRPr="00AA56F9" w:rsidP="00BD2DF0" w14:paraId="53645F8E"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4CB2B968" w14:textId="77777777">
      <w:pPr>
        <w:pStyle w:val="NormalBold"/>
        <w:widowControl/>
      </w:pPr>
      <w:r w:rsidRPr="00825264">
        <w:rPr>
          <w:rStyle w:val="HideTWBExt"/>
          <w:b w:val="0"/>
        </w:rPr>
        <w:t>&lt;Article&gt;</w:t>
      </w:r>
      <w:r>
        <w:t>Article 1 – alinéa 1 – point 7</w:t>
      </w:r>
      <w:r w:rsidRPr="00825264">
        <w:rPr>
          <w:rStyle w:val="HideTWBExt"/>
          <w:b w:val="0"/>
        </w:rPr>
        <w:t>&lt;/Article&gt;</w:t>
      </w:r>
    </w:p>
    <w:p w:rsidR="001667A3" w:rsidRPr="00BD2DF0" w:rsidP="00BD2DF0" w14:paraId="7F7F970E"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5CD2F0D7" w14:textId="77777777">
      <w:pPr>
        <w:widowControl/>
      </w:pPr>
      <w:r>
        <w:rPr>
          <w:rStyle w:val="HideTWBExt"/>
        </w:rPr>
        <w:t>&lt;Article2&gt;</w:t>
      </w:r>
      <w:r>
        <w:t>Article 14 – paragraphe 5 – alinéa 1</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62D5E0"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236E5295" w14:textId="77777777">
            <w:pPr>
              <w:keepNext/>
              <w:widowControl/>
            </w:pPr>
          </w:p>
        </w:tc>
      </w:tr>
      <w:tr w14:paraId="109B473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1CB3D19D" w14:textId="77777777">
            <w:pPr>
              <w:pStyle w:val="ColumnHeading"/>
              <w:keepNext/>
              <w:widowControl/>
            </w:pPr>
            <w:r>
              <w:t>Texte proposé par le Conseil</w:t>
            </w:r>
          </w:p>
        </w:tc>
        <w:tc>
          <w:tcPr>
            <w:tcW w:w="4876" w:type="dxa"/>
            <w:hideMark/>
          </w:tcPr>
          <w:p w:rsidR="001667A3" w:rsidRPr="00EC1ED7" w:rsidP="00BD2DF0" w14:paraId="397D2257" w14:textId="77777777">
            <w:pPr>
              <w:pStyle w:val="ColumnHeading"/>
              <w:keepNext/>
              <w:widowControl/>
            </w:pPr>
            <w:r>
              <w:t>Amendement</w:t>
            </w:r>
          </w:p>
        </w:tc>
      </w:tr>
      <w:tr w14:paraId="1AED393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006BF46" w14:textId="77777777">
            <w:pPr>
              <w:pStyle w:val="Normal6"/>
              <w:widowControl/>
            </w:pPr>
            <w:r>
              <w:t xml:space="preserve">Lorsque la protection consulaire accordée à un citoyen non représenté dans les situations visées à l’article 9, points a) </w:t>
            </w:r>
            <w:r>
              <w:rPr>
                <w:b/>
                <w:i/>
              </w:rPr>
              <w:t>à</w:t>
            </w:r>
            <w:r>
              <w:t xml:space="preserve"> c), entraîne des coûts essentiels et justifiés exceptionnellement élevés de transport, d’hébergement ou de traduction pour les autorités diplomatiques ou consulaires, l’État membre prêtant assistance informe, dans le contexte de la consultation prévue à l’article 10, paragraphe 2, l’État membre dont le citoyen non représenté a la nationalité de ces éventuels coûts et peut, dans un délai de douze mois à compter de la date de fourniture de l’assistance, demander leur remboursement directement à l’État membr</w:t>
            </w:r>
            <w:r>
              <w:t xml:space="preserve">e </w:t>
            </w:r>
            <w:r>
              <w:rPr>
                <w:b/>
                <w:i/>
              </w:rPr>
              <w:t>de</w:t>
            </w:r>
            <w:r>
              <w:t xml:space="preserve"> nationalité.</w:t>
            </w:r>
          </w:p>
        </w:tc>
        <w:tc>
          <w:tcPr>
            <w:tcW w:w="4876" w:type="dxa"/>
            <w:hideMark/>
          </w:tcPr>
          <w:p w:rsidR="001667A3" w:rsidRPr="00AA56F9" w:rsidP="00BD2DF0" w14:paraId="0DE4BB2C" w14:textId="77777777">
            <w:pPr>
              <w:pStyle w:val="Normal6"/>
              <w:widowControl/>
              <w:rPr>
                <w:szCs w:val="24"/>
              </w:rPr>
            </w:pPr>
            <w:r>
              <w:t>Lorsque la protection consulaire accordée à un citoyen non représenté dans les situations visées à l’article 9, points a)</w:t>
            </w:r>
            <w:r>
              <w:rPr>
                <w:b/>
                <w:i/>
              </w:rPr>
              <w:t>, b),</w:t>
            </w:r>
            <w:r>
              <w:t xml:space="preserve"> c) </w:t>
            </w:r>
            <w:r>
              <w:rPr>
                <w:b/>
                <w:i/>
              </w:rPr>
              <w:t>et e)</w:t>
            </w:r>
            <w:r>
              <w:t>, entraîne des coûts essentiels et justifiés exceptionnellement élevés de transport, d’hébergement ou de traduction pour les autorités diplomatiques ou consulaires, l’État membre prêtant assistance informe, dans le contexte de la consultation prévue à l’article 10, paragraphe 2, l’État membre dont le citoyen non représenté a la nationalité de ces éventuels coûts et peut, dans un délai de douze mois à compter de la date de fourniture de l’assistance, demander leur remboursement directement à l’</w:t>
            </w:r>
            <w:r>
              <w:t xml:space="preserve">État membre </w:t>
            </w:r>
            <w:r>
              <w:rPr>
                <w:b/>
                <w:i/>
              </w:rPr>
              <w:t>dont le citoyen non représenté a la</w:t>
            </w:r>
            <w:r>
              <w:t xml:space="preserve"> nationalité.</w:t>
            </w:r>
          </w:p>
        </w:tc>
      </w:tr>
    </w:tbl>
    <w:p w:rsidR="001667A3" w:rsidRPr="00AA56F9" w:rsidP="00BD2DF0" w14:paraId="19B7B4BD" w14:textId="77777777">
      <w:pPr>
        <w:widowControl/>
      </w:pPr>
      <w:r w:rsidRPr="00825264">
        <w:rPr>
          <w:rStyle w:val="HideTWBExt"/>
        </w:rPr>
        <w:t>&lt;/Amend&gt;</w:t>
      </w:r>
    </w:p>
    <w:p w:rsidR="001667A3" w:rsidRPr="00AA56F9" w:rsidP="00BD2DF0" w14:paraId="379D8962" w14:textId="77777777">
      <w:pPr>
        <w:pStyle w:val="AmNumberTabs"/>
        <w:widowControl/>
      </w:pPr>
      <w:r w:rsidRPr="00825264">
        <w:rPr>
          <w:rStyle w:val="HideTWBExt"/>
          <w:b w:val="0"/>
        </w:rPr>
        <w:t>&lt;Amend&gt;</w:t>
      </w:r>
      <w:r>
        <w:t>Amendement</w:t>
      </w:r>
      <w:r>
        <w:tab/>
      </w:r>
      <w:r>
        <w:tab/>
      </w:r>
      <w:r w:rsidRPr="00825264">
        <w:rPr>
          <w:rStyle w:val="HideTWBExt"/>
          <w:b w:val="0"/>
        </w:rPr>
        <w:t>&lt;NumAm&gt;</w:t>
      </w:r>
      <w:r>
        <w:t>33</w:t>
      </w:r>
      <w:r w:rsidRPr="00825264">
        <w:rPr>
          <w:rStyle w:val="HideTWBExt"/>
          <w:b w:val="0"/>
        </w:rPr>
        <w:t>&lt;/NumAm&gt;</w:t>
      </w:r>
    </w:p>
    <w:p w:rsidR="001667A3" w:rsidRPr="00825264" w:rsidP="00BD2DF0" w14:paraId="31AC3C76" w14:textId="77777777">
      <w:pPr>
        <w:widowControl/>
      </w:pPr>
    </w:p>
    <w:p w:rsidR="001667A3" w:rsidRPr="00AA56F9" w:rsidP="00BD2DF0" w14:paraId="379835C3"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65534AD6" w14:textId="77777777">
      <w:pPr>
        <w:pStyle w:val="NormalBold"/>
        <w:widowControl/>
      </w:pPr>
      <w:r w:rsidRPr="00825264">
        <w:rPr>
          <w:rStyle w:val="HideTWBExt"/>
          <w:b w:val="0"/>
        </w:rPr>
        <w:t>&lt;Article&gt;</w:t>
      </w:r>
      <w:r>
        <w:t>Article 1 – alinéa 1 – point 9</w:t>
      </w:r>
      <w:r w:rsidRPr="00825264">
        <w:rPr>
          <w:rStyle w:val="HideTWBExt"/>
          <w:b w:val="0"/>
        </w:rPr>
        <w:t>&lt;/Article&gt;</w:t>
      </w:r>
    </w:p>
    <w:p w:rsidR="001667A3" w:rsidRPr="00BD2DF0" w:rsidP="00BD2DF0" w14:paraId="476ADB25" w14:textId="77777777">
      <w:pPr>
        <w:keepNext/>
        <w:widowControl/>
      </w:pPr>
      <w:r w:rsidRPr="00825264">
        <w:rPr>
          <w:rStyle w:val="HideTWBExt"/>
        </w:rPr>
        <w:t>&lt;DocAmend2&gt;</w:t>
      </w:r>
      <w:r>
        <w:t xml:space="preserve">directive </w:t>
      </w:r>
      <w:r>
        <w:t>(UE) 2015/637</w:t>
      </w:r>
      <w:r w:rsidRPr="00825264">
        <w:rPr>
          <w:rStyle w:val="HideTWBExt"/>
        </w:rPr>
        <w:t>&lt;/DocAmend2&gt;</w:t>
      </w:r>
    </w:p>
    <w:p w:rsidR="001667A3" w:rsidRPr="00EC1ED7" w:rsidP="00BD2DF0" w14:paraId="6965E764" w14:textId="77777777">
      <w:pPr>
        <w:widowControl/>
      </w:pPr>
      <w:r>
        <w:rPr>
          <w:rStyle w:val="HideTWBExt"/>
        </w:rPr>
        <w:t>&lt;Article2&gt;</w:t>
      </w:r>
      <w:r>
        <w:t>Article 16 bis – paragraphe 5</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A35C35"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056AD613" w14:textId="77777777">
            <w:pPr>
              <w:keepNext/>
              <w:widowControl/>
            </w:pPr>
          </w:p>
        </w:tc>
      </w:tr>
      <w:tr w14:paraId="7C5F07C0"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C155E22" w14:textId="77777777">
            <w:pPr>
              <w:pStyle w:val="ColumnHeading"/>
              <w:keepNext/>
              <w:widowControl/>
            </w:pPr>
            <w:r>
              <w:t>Texte proposé par le Conseil</w:t>
            </w:r>
          </w:p>
        </w:tc>
        <w:tc>
          <w:tcPr>
            <w:tcW w:w="4876" w:type="dxa"/>
            <w:hideMark/>
          </w:tcPr>
          <w:p w:rsidR="001667A3" w:rsidRPr="00EC1ED7" w:rsidP="00BD2DF0" w14:paraId="2AC90203" w14:textId="77777777">
            <w:pPr>
              <w:pStyle w:val="ColumnHeading"/>
              <w:keepNext/>
              <w:widowControl/>
            </w:pPr>
            <w:r>
              <w:t>Amendement</w:t>
            </w:r>
          </w:p>
        </w:tc>
      </w:tr>
      <w:tr w14:paraId="03E6A05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64B948B5" w14:textId="77777777">
            <w:pPr>
              <w:pStyle w:val="Normal6"/>
              <w:widowControl/>
            </w:pPr>
            <w:r>
              <w:t>5.</w:t>
            </w:r>
            <w:r>
              <w:tab/>
              <w:t xml:space="preserve">Les autorités compétentes des États membres </w:t>
            </w:r>
            <w:r>
              <w:rPr>
                <w:b/>
                <w:i/>
              </w:rPr>
              <w:t>et les institutions et organes de l’Union peuvent traiter des</w:t>
            </w:r>
            <w:r>
              <w:t xml:space="preserve"> données à caractère personnel </w:t>
            </w:r>
            <w:r>
              <w:rPr>
                <w:b/>
                <w:i/>
              </w:rPr>
              <w:t>qui révèlent l’origine raciale ou ethnique, les opinions politiques, les convictions religieuses ou philosophiques ou l’appartenance syndicale, des données génétiques</w:t>
            </w:r>
            <w:r>
              <w:t xml:space="preserve">, </w:t>
            </w:r>
            <w:r>
              <w:rPr>
                <w:b/>
                <w:i/>
              </w:rPr>
              <w:t>des données biométriques aux fins d’identifier une personne physique de manière unique</w:t>
            </w:r>
            <w:r>
              <w:t xml:space="preserve">, </w:t>
            </w:r>
            <w:r>
              <w:rPr>
                <w:b/>
                <w:i/>
              </w:rPr>
              <w:t>des données concernant la santé</w:t>
            </w:r>
            <w:r>
              <w:t xml:space="preserve">, des données </w:t>
            </w:r>
            <w:r>
              <w:rPr>
                <w:b/>
                <w:i/>
              </w:rPr>
              <w:t>concernant la vie sexuelle ou l’orientation sexuelle ou des données</w:t>
            </w:r>
            <w:r>
              <w:t xml:space="preserve"> à cara</w:t>
            </w:r>
            <w:r>
              <w:t xml:space="preserve">ctère personnel ayant trait à des condamnations pénales et à des infractions </w:t>
            </w:r>
            <w:r>
              <w:t xml:space="preserve">concernant une personne ayant besoin d’une protection consulaire lorsque cela est strictement nécessaire afin d’être en mesure de s’acquitter des tâches visées </w:t>
            </w:r>
            <w:r>
              <w:rPr>
                <w:b/>
                <w:i/>
              </w:rPr>
              <w:t>à l’article</w:t>
            </w:r>
            <w:r>
              <w:t xml:space="preserve"> 9, </w:t>
            </w:r>
            <w:r>
              <w:rPr>
                <w:b/>
                <w:i/>
              </w:rPr>
              <w:t>à l’article</w:t>
            </w:r>
            <w:r>
              <w:t xml:space="preserve"> 10, </w:t>
            </w:r>
            <w:r>
              <w:rPr>
                <w:b/>
                <w:i/>
              </w:rPr>
              <w:t>à l’article</w:t>
            </w:r>
            <w:r>
              <w:t xml:space="preserve"> 11 et </w:t>
            </w:r>
            <w:r>
              <w:rPr>
                <w:b/>
                <w:i/>
              </w:rPr>
              <w:t>à l’article</w:t>
            </w:r>
            <w:r>
              <w:t> 13 bis en ce qui concerne cette personne.</w:t>
            </w:r>
          </w:p>
        </w:tc>
        <w:tc>
          <w:tcPr>
            <w:tcW w:w="4876" w:type="dxa"/>
            <w:hideMark/>
          </w:tcPr>
          <w:p w:rsidR="001667A3" w:rsidRPr="00AA56F9" w:rsidP="00BD2DF0" w14:paraId="3327409D" w14:textId="77777777">
            <w:pPr>
              <w:pStyle w:val="Normal6"/>
              <w:widowControl/>
              <w:rPr>
                <w:szCs w:val="24"/>
              </w:rPr>
            </w:pPr>
            <w:r>
              <w:t>5.</w:t>
            </w:r>
            <w:r>
              <w:tab/>
              <w:t xml:space="preserve">Les autorités compétentes des États membres </w:t>
            </w:r>
            <w:r>
              <w:rPr>
                <w:b/>
                <w:i/>
              </w:rPr>
              <w:t>sont habilitées à traiter les catégories particulières de</w:t>
            </w:r>
            <w:r>
              <w:t xml:space="preserve"> données à caractère personnel </w:t>
            </w:r>
            <w:r>
              <w:rPr>
                <w:b/>
                <w:i/>
              </w:rPr>
              <w:t>telles que définies par l’article 9 du règlement (UE) 2016/679 du Parlement européen et du Conseil et conformément à celui-ci</w:t>
            </w:r>
            <w:r>
              <w:t xml:space="preserve">, </w:t>
            </w:r>
            <w:r>
              <w:rPr>
                <w:b/>
                <w:i/>
              </w:rPr>
              <w:t>ainsi que</w:t>
            </w:r>
            <w:r>
              <w:t xml:space="preserve">, </w:t>
            </w:r>
            <w:r>
              <w:rPr>
                <w:b/>
                <w:i/>
              </w:rPr>
              <w:t>si nécessaire</w:t>
            </w:r>
            <w:r>
              <w:t>, des données à caractère personnel ayant trait à des condamnations pénales et à des infractions concernant une personne ayant besoin d’une protection consulaire</w:t>
            </w:r>
            <w:r>
              <w:rPr>
                <w:b/>
                <w:i/>
              </w:rPr>
              <w:t>,</w:t>
            </w:r>
            <w:r>
              <w:t xml:space="preserve"> lorsque cela est strictement nécessaire afin d’être en mesure de </w:t>
            </w:r>
            <w:r>
              <w:t xml:space="preserve">s’acquitter des tâches visées </w:t>
            </w:r>
            <w:r>
              <w:rPr>
                <w:b/>
                <w:i/>
              </w:rPr>
              <w:t>aux articles</w:t>
            </w:r>
            <w:r>
              <w:t xml:space="preserve"> 9, </w:t>
            </w:r>
            <w:r>
              <w:t xml:space="preserve">10, 11 et 13 bis </w:t>
            </w:r>
            <w:r>
              <w:rPr>
                <w:b/>
                <w:i/>
              </w:rPr>
              <w:t>de la présente directive</w:t>
            </w:r>
            <w:r>
              <w:t xml:space="preserve"> en ce qui concerne cette personne.</w:t>
            </w:r>
          </w:p>
        </w:tc>
      </w:tr>
    </w:tbl>
    <w:p w:rsidR="001667A3" w:rsidRPr="00AA56F9" w:rsidP="00BD2DF0" w14:paraId="41A263F4" w14:textId="77777777">
      <w:pPr>
        <w:widowControl/>
      </w:pPr>
      <w:r w:rsidRPr="00825264">
        <w:rPr>
          <w:rStyle w:val="HideTWBExt"/>
        </w:rPr>
        <w:t>&lt;/Amend&gt;</w:t>
      </w:r>
    </w:p>
    <w:p w:rsidR="001667A3" w:rsidRPr="00AA56F9" w:rsidP="00BD2DF0" w14:paraId="0DE15784" w14:textId="77777777">
      <w:pPr>
        <w:pStyle w:val="AmNumberTabs"/>
        <w:widowControl/>
      </w:pPr>
      <w:r w:rsidRPr="00825264">
        <w:rPr>
          <w:rStyle w:val="HideTWBExt"/>
          <w:b w:val="0"/>
        </w:rPr>
        <w:t>&lt;Amend&gt;</w:t>
      </w:r>
      <w:r>
        <w:t>Amendement</w:t>
      </w:r>
      <w:r>
        <w:tab/>
      </w:r>
      <w:r>
        <w:tab/>
      </w:r>
      <w:r w:rsidRPr="00825264">
        <w:rPr>
          <w:rStyle w:val="HideTWBExt"/>
          <w:b w:val="0"/>
        </w:rPr>
        <w:t>&lt;NumAm&gt;</w:t>
      </w:r>
      <w:r>
        <w:t>34</w:t>
      </w:r>
      <w:r w:rsidRPr="00825264">
        <w:rPr>
          <w:rStyle w:val="HideTWBExt"/>
          <w:b w:val="0"/>
        </w:rPr>
        <w:t>&lt;/NumAm&gt;</w:t>
      </w:r>
    </w:p>
    <w:p w:rsidR="001667A3" w:rsidRPr="00825264" w:rsidP="00BD2DF0" w14:paraId="18E72E8F" w14:textId="77777777">
      <w:pPr>
        <w:widowControl/>
      </w:pPr>
    </w:p>
    <w:p w:rsidR="001667A3" w:rsidRPr="00AA56F9" w:rsidP="00BD2DF0" w14:paraId="77F1E1FD"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1577900A" w14:textId="77777777">
      <w:pPr>
        <w:pStyle w:val="NormalBold"/>
        <w:widowControl/>
      </w:pPr>
      <w:r w:rsidRPr="00825264">
        <w:rPr>
          <w:rStyle w:val="HideTWBExt"/>
          <w:b w:val="0"/>
        </w:rPr>
        <w:t>&lt;Article&gt;</w:t>
      </w:r>
      <w:r>
        <w:t>Article 1 – alinéa 1 – point 9</w:t>
      </w:r>
      <w:r w:rsidRPr="00825264">
        <w:rPr>
          <w:rStyle w:val="HideTWBExt"/>
          <w:b w:val="0"/>
        </w:rPr>
        <w:t>&lt;/Article&gt;</w:t>
      </w:r>
    </w:p>
    <w:p w:rsidR="001667A3" w:rsidRPr="00BD2DF0" w:rsidP="00BD2DF0" w14:paraId="26DD7D1E" w14:textId="77777777">
      <w:pPr>
        <w:keepNext/>
        <w:widowControl/>
      </w:pPr>
      <w:r w:rsidRPr="00825264">
        <w:rPr>
          <w:rStyle w:val="HideTWBExt"/>
        </w:rPr>
        <w:t>&lt;DocAmend2&gt;</w:t>
      </w:r>
      <w:r>
        <w:t xml:space="preserve">directive </w:t>
      </w:r>
      <w:r>
        <w:t>(UE) 2015/637</w:t>
      </w:r>
      <w:r w:rsidRPr="00825264">
        <w:rPr>
          <w:rStyle w:val="HideTWBExt"/>
        </w:rPr>
        <w:t>&lt;/DocAmend2&gt;</w:t>
      </w:r>
    </w:p>
    <w:p w:rsidR="001667A3" w:rsidRPr="00EC1ED7" w:rsidP="00BD2DF0" w14:paraId="1A15A531" w14:textId="77777777">
      <w:pPr>
        <w:widowControl/>
      </w:pPr>
      <w:r>
        <w:rPr>
          <w:rStyle w:val="HideTWBExt"/>
        </w:rPr>
        <w:t>&lt;Article2&gt;</w:t>
      </w:r>
      <w:r>
        <w:t>Article 16 bis – paragraphe 5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299AEC"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4B6F129B" w14:textId="77777777">
            <w:pPr>
              <w:keepNext/>
              <w:widowControl/>
            </w:pPr>
          </w:p>
        </w:tc>
      </w:tr>
      <w:tr w14:paraId="690E6991"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A294F09" w14:textId="77777777">
            <w:pPr>
              <w:pStyle w:val="ColumnHeading"/>
              <w:keepNext/>
              <w:widowControl/>
            </w:pPr>
            <w:r>
              <w:t>Texte proposé par le Conseil</w:t>
            </w:r>
          </w:p>
        </w:tc>
        <w:tc>
          <w:tcPr>
            <w:tcW w:w="4876" w:type="dxa"/>
            <w:hideMark/>
          </w:tcPr>
          <w:p w:rsidR="001667A3" w:rsidRPr="00EC1ED7" w:rsidP="00BD2DF0" w14:paraId="1DC9FD7D" w14:textId="77777777">
            <w:pPr>
              <w:pStyle w:val="ColumnHeading"/>
              <w:keepNext/>
              <w:widowControl/>
            </w:pPr>
            <w:r>
              <w:t>Amendement</w:t>
            </w:r>
          </w:p>
        </w:tc>
      </w:tr>
      <w:tr w14:paraId="36913AE3"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68F4D29D" w14:textId="77777777">
            <w:pPr>
              <w:pStyle w:val="Normal6"/>
              <w:widowControl/>
            </w:pPr>
          </w:p>
        </w:tc>
        <w:tc>
          <w:tcPr>
            <w:tcW w:w="4876" w:type="dxa"/>
            <w:hideMark/>
          </w:tcPr>
          <w:p w:rsidR="001667A3" w:rsidRPr="00AA56F9" w:rsidP="00BD2DF0" w14:paraId="1340C34E" w14:textId="77777777">
            <w:pPr>
              <w:pStyle w:val="Normal6"/>
              <w:widowControl/>
              <w:rPr>
                <w:szCs w:val="24"/>
              </w:rPr>
            </w:pPr>
            <w:r>
              <w:rPr>
                <w:b/>
                <w:i/>
              </w:rPr>
              <w:t>5 bis.</w:t>
            </w:r>
            <w:r>
              <w:rPr>
                <w:b/>
                <w:i/>
              </w:rPr>
              <w:tab/>
              <w:t xml:space="preserve">Les institutions et organes de l’Union sont habilités à traiter les catégories particulières de données à </w:t>
            </w:r>
            <w:r>
              <w:rPr>
                <w:b/>
                <w:i/>
              </w:rPr>
              <w:t>caractère personnel telles que définies par l’article 10 du règlement (UE) 2018/1725 du Parlement européen et du Conseil et dans le cadre des compétences qui y sont prévues, ainsi que, si nécessaire, les données à caractère personnel relatives aux condamnations pénales et aux infractions d’une personne ayant besoin d’une protection consulaire, lorsque cela est strictement nécessaire pour permettre l’exécution des missions visées à l’article 9, à l’article 10, à l’article 11 et à l’article 13 bis en ce qui c</w:t>
            </w:r>
            <w:r>
              <w:rPr>
                <w:b/>
                <w:i/>
              </w:rPr>
              <w:t>oncerne cette personne.</w:t>
            </w:r>
          </w:p>
        </w:tc>
      </w:tr>
    </w:tbl>
    <w:p w:rsidR="001667A3" w:rsidRPr="00AA56F9" w:rsidP="00BD2DF0" w14:paraId="7C8CEF1A" w14:textId="77777777">
      <w:pPr>
        <w:widowControl/>
      </w:pPr>
      <w:r w:rsidRPr="00825264">
        <w:rPr>
          <w:rStyle w:val="HideTWBExt"/>
        </w:rPr>
        <w:t>&lt;/Amend&gt;</w:t>
      </w:r>
    </w:p>
    <w:p w:rsidR="001667A3" w:rsidRPr="00AA56F9" w:rsidP="00BD2DF0" w14:paraId="45BDB414" w14:textId="77777777">
      <w:pPr>
        <w:pStyle w:val="AmNumberTabs"/>
        <w:widowControl/>
      </w:pPr>
      <w:r w:rsidRPr="00825264">
        <w:rPr>
          <w:rStyle w:val="HideTWBExt"/>
          <w:b w:val="0"/>
        </w:rPr>
        <w:t>&lt;Amend&gt;</w:t>
      </w:r>
      <w:r>
        <w:t>Amendement</w:t>
      </w:r>
      <w:r>
        <w:tab/>
      </w:r>
      <w:r>
        <w:tab/>
      </w:r>
      <w:r w:rsidRPr="00825264">
        <w:rPr>
          <w:rStyle w:val="HideTWBExt"/>
          <w:b w:val="0"/>
        </w:rPr>
        <w:t>&lt;NumAm&gt;</w:t>
      </w:r>
      <w:r>
        <w:t>35</w:t>
      </w:r>
      <w:r w:rsidRPr="00825264">
        <w:rPr>
          <w:rStyle w:val="HideTWBExt"/>
          <w:b w:val="0"/>
        </w:rPr>
        <w:t>&lt;/NumAm&gt;</w:t>
      </w:r>
    </w:p>
    <w:p w:rsidR="001667A3" w:rsidRPr="00825264" w:rsidP="00BD2DF0" w14:paraId="19B23205" w14:textId="77777777">
      <w:pPr>
        <w:widowControl/>
      </w:pPr>
    </w:p>
    <w:p w:rsidR="001667A3" w:rsidRPr="00AA56F9" w:rsidP="00BD2DF0" w14:paraId="6435999E"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77533E40" w14:textId="77777777">
      <w:pPr>
        <w:pStyle w:val="NormalBold"/>
        <w:widowControl/>
      </w:pPr>
      <w:r w:rsidRPr="00825264">
        <w:rPr>
          <w:rStyle w:val="HideTWBExt"/>
          <w:b w:val="0"/>
        </w:rPr>
        <w:t>&lt;Article&gt;</w:t>
      </w:r>
      <w:r>
        <w:t>Article 1 – alinéa 1 – point 9</w:t>
      </w:r>
      <w:r w:rsidRPr="00825264">
        <w:rPr>
          <w:rStyle w:val="HideTWBExt"/>
          <w:b w:val="0"/>
        </w:rPr>
        <w:t>&lt;/Article&gt;</w:t>
      </w:r>
    </w:p>
    <w:p w:rsidR="001667A3" w:rsidRPr="00BD2DF0" w:rsidP="00BD2DF0" w14:paraId="4F88271E"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35518C21" w14:textId="77777777">
      <w:pPr>
        <w:widowControl/>
      </w:pPr>
      <w:r>
        <w:rPr>
          <w:rStyle w:val="HideTWBExt"/>
        </w:rPr>
        <w:t>&lt;Article2&gt;</w:t>
      </w:r>
      <w:r>
        <w:t>Article 16 bis – paragraphe 7 – alinéa 1</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E8D906"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1479ACDA" w14:textId="77777777">
            <w:pPr>
              <w:keepNext/>
              <w:widowControl/>
            </w:pPr>
          </w:p>
        </w:tc>
      </w:tr>
      <w:tr w14:paraId="4AC4FC93"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1DA8D00" w14:textId="77777777">
            <w:pPr>
              <w:pStyle w:val="ColumnHeading"/>
              <w:keepNext/>
              <w:widowControl/>
            </w:pPr>
            <w:r>
              <w:t>Texte proposé par le Conseil</w:t>
            </w:r>
          </w:p>
        </w:tc>
        <w:tc>
          <w:tcPr>
            <w:tcW w:w="4876" w:type="dxa"/>
            <w:hideMark/>
          </w:tcPr>
          <w:p w:rsidR="001667A3" w:rsidRPr="00EC1ED7" w:rsidP="00BD2DF0" w14:paraId="68602053" w14:textId="77777777">
            <w:pPr>
              <w:pStyle w:val="ColumnHeading"/>
              <w:keepNext/>
              <w:widowControl/>
            </w:pPr>
            <w:r>
              <w:t>Amendement</w:t>
            </w:r>
          </w:p>
        </w:tc>
      </w:tr>
      <w:tr w14:paraId="191BEFDA"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021A66E0" w14:textId="77777777">
            <w:pPr>
              <w:pStyle w:val="Normal6"/>
              <w:widowControl/>
            </w:pPr>
            <w:r>
              <w:t xml:space="preserve">Aux fins de la présente directive, les autorités compétentes des États membres </w:t>
            </w:r>
            <w:r>
              <w:t xml:space="preserve">transfèrent des données à caractère personnel vers un pays tiers ou à une organisation </w:t>
            </w:r>
            <w:r>
              <w:t>internationale uniquement pour s’acquitter des tâches visées à l’article 9, à l’article 10 et à l’article 13 bis et conformément au chapitre V du règlement (UE) 2016/679.</w:t>
            </w:r>
          </w:p>
        </w:tc>
        <w:tc>
          <w:tcPr>
            <w:tcW w:w="4876" w:type="dxa"/>
            <w:hideMark/>
          </w:tcPr>
          <w:p w:rsidR="001667A3" w:rsidRPr="00AA56F9" w:rsidP="00BD2DF0" w14:paraId="49E96030" w14:textId="77777777">
            <w:pPr>
              <w:pStyle w:val="Normal6"/>
              <w:widowControl/>
              <w:rPr>
                <w:szCs w:val="24"/>
              </w:rPr>
            </w:pPr>
            <w:r>
              <w:t xml:space="preserve">Aux fins de la présente directive, les autorités compétentes des États membres </w:t>
            </w:r>
            <w:r>
              <w:t xml:space="preserve">transfèrent des données à caractère personnel vers un pays tiers ou à une organisation internationale uniquement </w:t>
            </w:r>
            <w:r>
              <w:rPr>
                <w:b/>
                <w:i/>
              </w:rPr>
              <w:t>si cela revêt une importance directe</w:t>
            </w:r>
            <w:r>
              <w:t xml:space="preserve"> pour </w:t>
            </w:r>
            <w:r>
              <w:rPr>
                <w:b/>
                <w:i/>
              </w:rPr>
              <w:t>leur capacité à</w:t>
            </w:r>
            <w:r>
              <w:t xml:space="preserve"> s’acquitter des tâches visées à l’article 9, à l’article 10 et à l’article 13 bis et conformément au chapitre V du règlement (UE) 2016/679.</w:t>
            </w:r>
          </w:p>
        </w:tc>
      </w:tr>
    </w:tbl>
    <w:p w:rsidR="001667A3" w:rsidRPr="00AA56F9" w:rsidP="00BD2DF0" w14:paraId="5FCD4394" w14:textId="77777777">
      <w:pPr>
        <w:widowControl/>
      </w:pPr>
      <w:r w:rsidRPr="00825264">
        <w:rPr>
          <w:rStyle w:val="HideTWBExt"/>
        </w:rPr>
        <w:t>&lt;/Amend&gt;</w:t>
      </w:r>
    </w:p>
    <w:p w:rsidR="001667A3" w:rsidRPr="00AA56F9" w:rsidP="00BD2DF0" w14:paraId="60A6663F" w14:textId="77777777">
      <w:pPr>
        <w:pStyle w:val="AmNumberTabs"/>
        <w:widowControl/>
      </w:pPr>
      <w:r w:rsidRPr="00825264">
        <w:rPr>
          <w:rStyle w:val="HideTWBExt"/>
          <w:b w:val="0"/>
        </w:rPr>
        <w:t>&lt;Amend&gt;</w:t>
      </w:r>
      <w:r>
        <w:t>Amendement</w:t>
      </w:r>
      <w:r>
        <w:tab/>
      </w:r>
      <w:r>
        <w:tab/>
      </w:r>
      <w:r w:rsidRPr="00825264">
        <w:rPr>
          <w:rStyle w:val="HideTWBExt"/>
          <w:b w:val="0"/>
        </w:rPr>
        <w:t>&lt;NumAm&gt;</w:t>
      </w:r>
      <w:r>
        <w:t>36</w:t>
      </w:r>
      <w:r w:rsidRPr="00825264">
        <w:rPr>
          <w:rStyle w:val="HideTWBExt"/>
          <w:b w:val="0"/>
        </w:rPr>
        <w:t>&lt;/NumAm&gt;</w:t>
      </w:r>
    </w:p>
    <w:p w:rsidR="001667A3" w:rsidRPr="00825264" w:rsidP="00BD2DF0" w14:paraId="6AAD64C9" w14:textId="77777777">
      <w:pPr>
        <w:widowControl/>
      </w:pPr>
    </w:p>
    <w:p w:rsidR="001667A3" w:rsidRPr="00AA56F9" w:rsidP="00BD2DF0" w14:paraId="1900746C"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417F214F" w14:textId="77777777">
      <w:pPr>
        <w:pStyle w:val="NormalBold"/>
        <w:widowControl/>
      </w:pPr>
      <w:r w:rsidRPr="00825264">
        <w:rPr>
          <w:rStyle w:val="HideTWBExt"/>
          <w:b w:val="0"/>
        </w:rPr>
        <w:t>&lt;Article&gt;</w:t>
      </w:r>
      <w:r>
        <w:t>Article 1 – alinéa 1 – point 9</w:t>
      </w:r>
      <w:r w:rsidRPr="00825264">
        <w:rPr>
          <w:rStyle w:val="HideTWBExt"/>
          <w:b w:val="0"/>
        </w:rPr>
        <w:t>&lt;/Article&gt;</w:t>
      </w:r>
    </w:p>
    <w:p w:rsidR="001667A3" w:rsidRPr="00BD2DF0" w:rsidP="00BD2DF0" w14:paraId="452DB7E1"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05F406F6" w14:textId="77777777">
      <w:pPr>
        <w:widowControl/>
      </w:pPr>
      <w:r>
        <w:rPr>
          <w:rStyle w:val="HideTWBExt"/>
        </w:rPr>
        <w:t>&lt;Article2&gt;</w:t>
      </w:r>
      <w:r>
        <w:t>Article 16 bis – paragraphe 7 – alinéa 2</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86AB47"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7DBBC522" w14:textId="77777777">
            <w:pPr>
              <w:keepNext/>
              <w:widowControl/>
            </w:pPr>
          </w:p>
        </w:tc>
      </w:tr>
      <w:tr w14:paraId="60B783F7"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4659B6E" w14:textId="77777777">
            <w:pPr>
              <w:pStyle w:val="ColumnHeading"/>
              <w:keepNext/>
              <w:widowControl/>
            </w:pPr>
            <w:r>
              <w:t>Texte proposé par le Conseil</w:t>
            </w:r>
          </w:p>
        </w:tc>
        <w:tc>
          <w:tcPr>
            <w:tcW w:w="4876" w:type="dxa"/>
            <w:hideMark/>
          </w:tcPr>
          <w:p w:rsidR="001667A3" w:rsidRPr="00EC1ED7" w:rsidP="00BD2DF0" w14:paraId="7908C697" w14:textId="77777777">
            <w:pPr>
              <w:pStyle w:val="ColumnHeading"/>
              <w:keepNext/>
              <w:widowControl/>
            </w:pPr>
            <w:r>
              <w:t>Amendement</w:t>
            </w:r>
          </w:p>
        </w:tc>
      </w:tr>
      <w:tr w14:paraId="450BCAE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7B4E9755" w14:textId="77777777">
            <w:pPr>
              <w:pStyle w:val="Normal6"/>
              <w:widowControl/>
            </w:pPr>
            <w:r>
              <w:t xml:space="preserve">Aux fins de la présente directive, les institutions et organes de l’Union transfèrent des données à caractère personnel vers un pays tiers ou à une </w:t>
            </w:r>
            <w:r>
              <w:t>organisation internationale uniquement pour s’acquitter des tâches visées à l’article 10, paragraphe 1, à l’article 11 et à l’article 13 bis et conformément au chapitre V du règlement (UE) 2018/1725.</w:t>
            </w:r>
          </w:p>
        </w:tc>
        <w:tc>
          <w:tcPr>
            <w:tcW w:w="4876" w:type="dxa"/>
            <w:hideMark/>
          </w:tcPr>
          <w:p w:rsidR="001667A3" w:rsidRPr="00AA56F9" w:rsidP="00BD2DF0" w14:paraId="11109AB5" w14:textId="77777777">
            <w:pPr>
              <w:pStyle w:val="Normal6"/>
              <w:widowControl/>
              <w:rPr>
                <w:szCs w:val="24"/>
              </w:rPr>
            </w:pPr>
            <w:r>
              <w:t xml:space="preserve">Aux fins de la présente directive, les institutions et organes de l’Union transfèrent des données à caractère personnel vers un pays tiers ou à une organisation internationale uniquement </w:t>
            </w:r>
            <w:r>
              <w:rPr>
                <w:b/>
                <w:i/>
              </w:rPr>
              <w:t>si cela revêt une importance directe</w:t>
            </w:r>
            <w:r>
              <w:t xml:space="preserve"> pour </w:t>
            </w:r>
            <w:r>
              <w:rPr>
                <w:b/>
                <w:i/>
              </w:rPr>
              <w:t>leur capacité à</w:t>
            </w:r>
            <w:r>
              <w:t xml:space="preserve"> s’acquitter des tâches visées à l’article 10, paragraphe 1, à l’article 11 et à l’article 13 bis et conformément au chapitre V du règlement (UE) 2018/1725.</w:t>
            </w:r>
          </w:p>
        </w:tc>
      </w:tr>
    </w:tbl>
    <w:p w:rsidR="001667A3" w:rsidRPr="00AA56F9" w:rsidP="00BD2DF0" w14:paraId="7074B046" w14:textId="77777777">
      <w:pPr>
        <w:widowControl/>
      </w:pPr>
      <w:r w:rsidRPr="00825264">
        <w:rPr>
          <w:rStyle w:val="HideTWBExt"/>
        </w:rPr>
        <w:t>&lt;/Amend&gt;</w:t>
      </w:r>
    </w:p>
    <w:p w:rsidR="001667A3" w:rsidRPr="00AA56F9" w:rsidP="00BD2DF0" w14:paraId="479B66E3" w14:textId="77777777">
      <w:pPr>
        <w:pStyle w:val="AmNumberTabs"/>
        <w:widowControl/>
      </w:pPr>
      <w:r w:rsidRPr="00825264">
        <w:rPr>
          <w:rStyle w:val="HideTWBExt"/>
          <w:b w:val="0"/>
        </w:rPr>
        <w:t>&lt;Amend&gt;</w:t>
      </w:r>
      <w:r>
        <w:t>Amendement</w:t>
      </w:r>
      <w:r>
        <w:tab/>
      </w:r>
      <w:r>
        <w:tab/>
      </w:r>
      <w:r w:rsidRPr="00825264">
        <w:rPr>
          <w:rStyle w:val="HideTWBExt"/>
          <w:b w:val="0"/>
        </w:rPr>
        <w:t>&lt;NumAm&gt;</w:t>
      </w:r>
      <w:r>
        <w:t>37</w:t>
      </w:r>
      <w:r w:rsidRPr="00825264">
        <w:rPr>
          <w:rStyle w:val="HideTWBExt"/>
          <w:b w:val="0"/>
        </w:rPr>
        <w:t>&lt;/NumAm&gt;</w:t>
      </w:r>
    </w:p>
    <w:p w:rsidR="001667A3" w:rsidRPr="00825264" w:rsidP="00BD2DF0" w14:paraId="2FC6FD3D" w14:textId="77777777">
      <w:pPr>
        <w:widowControl/>
      </w:pPr>
    </w:p>
    <w:p w:rsidR="001667A3" w:rsidRPr="00AA56F9" w:rsidP="00BD2DF0" w14:paraId="7FEDE0C7" w14:textId="77777777">
      <w:pPr>
        <w:pStyle w:val="NormalBold"/>
        <w:keepNext/>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63D52767" w14:textId="77777777">
      <w:pPr>
        <w:pStyle w:val="NormalBold"/>
        <w:widowControl/>
      </w:pPr>
      <w:r w:rsidRPr="00825264">
        <w:rPr>
          <w:rStyle w:val="HideTWBExt"/>
          <w:b w:val="0"/>
        </w:rPr>
        <w:t>&lt;Article&gt;</w:t>
      </w:r>
      <w:r>
        <w:t>Article 1 – alinéa 1 – point 10</w:t>
      </w:r>
      <w:r w:rsidRPr="00825264">
        <w:rPr>
          <w:rStyle w:val="HideTWBExt"/>
          <w:b w:val="0"/>
        </w:rPr>
        <w:t>&lt;/Article&gt;</w:t>
      </w:r>
    </w:p>
    <w:p w:rsidR="001667A3" w:rsidRPr="00BD2DF0" w:rsidP="00BD2DF0" w14:paraId="03559707"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058F9DA5" w14:textId="77777777">
      <w:pPr>
        <w:widowControl/>
      </w:pPr>
      <w:r>
        <w:rPr>
          <w:rStyle w:val="HideTWBExt"/>
        </w:rPr>
        <w:t>&lt;Article2&gt;</w:t>
      </w:r>
      <w:r>
        <w:t>Article 19 – paragraphe 3 – alinéa 1</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636EFA"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719F7BF6" w14:textId="77777777">
            <w:pPr>
              <w:keepNext/>
              <w:widowControl/>
            </w:pPr>
          </w:p>
        </w:tc>
      </w:tr>
      <w:tr w14:paraId="01874A5D"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17A521CC" w14:textId="77777777">
            <w:pPr>
              <w:pStyle w:val="ColumnHeading"/>
              <w:keepNext/>
              <w:widowControl/>
            </w:pPr>
            <w:r>
              <w:t>Texte proposé par le Conseil</w:t>
            </w:r>
          </w:p>
        </w:tc>
        <w:tc>
          <w:tcPr>
            <w:tcW w:w="4876" w:type="dxa"/>
            <w:hideMark/>
          </w:tcPr>
          <w:p w:rsidR="001667A3" w:rsidRPr="00EC1ED7" w:rsidP="00BD2DF0" w14:paraId="350E52B2" w14:textId="77777777">
            <w:pPr>
              <w:pStyle w:val="ColumnHeading"/>
              <w:keepNext/>
              <w:widowControl/>
            </w:pPr>
            <w:r>
              <w:t>Amendement</w:t>
            </w:r>
          </w:p>
        </w:tc>
      </w:tr>
      <w:tr w14:paraId="6C97F0F4"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3E3C8124" w14:textId="77777777">
            <w:pPr>
              <w:pStyle w:val="Normal6"/>
              <w:widowControl/>
            </w:pPr>
            <w:r>
              <w:t xml:space="preserve">Au plus </w:t>
            </w:r>
            <w:r>
              <w:rPr>
                <w:b/>
                <w:i/>
              </w:rPr>
              <w:t>tôt</w:t>
            </w:r>
            <w:r>
              <w:t xml:space="preserve"> [</w:t>
            </w:r>
            <w:r>
              <w:rPr>
                <w:b/>
                <w:i/>
              </w:rPr>
              <w:t>huit</w:t>
            </w:r>
            <w:r>
              <w:t xml:space="preserve"> ans après le délai de transposition de la directive modificative], la Commission procède à une évaluation de la présente directive et soumet un rapport exposant ses principales conclusions au Parlement européen et au Conseil.</w:t>
            </w:r>
          </w:p>
        </w:tc>
        <w:tc>
          <w:tcPr>
            <w:tcW w:w="4876" w:type="dxa"/>
            <w:hideMark/>
          </w:tcPr>
          <w:p w:rsidR="001667A3" w:rsidRPr="00AA56F9" w:rsidP="00BD2DF0" w14:paraId="32331420" w14:textId="77777777">
            <w:pPr>
              <w:pStyle w:val="Normal6"/>
              <w:widowControl/>
              <w:rPr>
                <w:szCs w:val="24"/>
              </w:rPr>
            </w:pPr>
            <w:r>
              <w:t xml:space="preserve">Au plus </w:t>
            </w:r>
            <w:r>
              <w:rPr>
                <w:b/>
                <w:i/>
              </w:rPr>
              <w:t>tard le...</w:t>
            </w:r>
            <w:r>
              <w:t>[</w:t>
            </w:r>
            <w:r>
              <w:rPr>
                <w:b/>
                <w:i/>
              </w:rPr>
              <w:t>cinq</w:t>
            </w:r>
            <w:r>
              <w:t xml:space="preserve"> ans après le délai de transposition de la directive modificative], la Commission procède à une évaluation de la </w:t>
            </w:r>
            <w:r>
              <w:rPr>
                <w:b/>
                <w:i/>
              </w:rPr>
              <w:t>transposition et de l’application de la</w:t>
            </w:r>
            <w:r>
              <w:t xml:space="preserve"> présente directive et soumet un rapport exposant ses principales conclusions au Parlement européen et au Conseil.</w:t>
            </w:r>
            <w:r>
              <w:rPr>
                <w:b/>
                <w:i/>
              </w:rPr>
              <w:t xml:space="preserve"> Par la </w:t>
            </w:r>
            <w:r>
              <w:rPr>
                <w:b/>
                <w:i/>
              </w:rPr>
              <w:t>suite, d’autres évaluations sont effectuées à intervalles appropriés en vue de garantir que la présente directive reste à jour et répond aux besoins émergents et à l’évolution de la situation.</w:t>
            </w:r>
          </w:p>
        </w:tc>
      </w:tr>
    </w:tbl>
    <w:p w:rsidR="001667A3" w:rsidRPr="00AA56F9" w:rsidP="00BD2DF0" w14:paraId="1C03BEF9" w14:textId="77777777">
      <w:pPr>
        <w:widowControl/>
      </w:pPr>
      <w:r w:rsidRPr="00825264">
        <w:rPr>
          <w:rStyle w:val="HideTWBExt"/>
        </w:rPr>
        <w:t>&lt;/Amend&gt;</w:t>
      </w:r>
    </w:p>
    <w:p w:rsidR="001667A3" w:rsidRPr="00AA56F9" w:rsidP="00BD2DF0" w14:paraId="56C21386" w14:textId="77777777">
      <w:pPr>
        <w:pStyle w:val="AmNumberTabs"/>
        <w:widowControl/>
      </w:pPr>
      <w:r w:rsidRPr="00825264">
        <w:rPr>
          <w:rStyle w:val="HideTWBExt"/>
          <w:b w:val="0"/>
        </w:rPr>
        <w:t>&lt;Amend&gt;</w:t>
      </w:r>
      <w:r>
        <w:t>Amendement</w:t>
      </w:r>
      <w:r>
        <w:tab/>
      </w:r>
      <w:r>
        <w:tab/>
      </w:r>
      <w:r w:rsidRPr="00825264">
        <w:rPr>
          <w:rStyle w:val="HideTWBExt"/>
          <w:b w:val="0"/>
        </w:rPr>
        <w:t>&lt;NumAm&gt;</w:t>
      </w:r>
      <w:r>
        <w:t>38</w:t>
      </w:r>
      <w:r w:rsidRPr="00825264">
        <w:rPr>
          <w:rStyle w:val="HideTWBExt"/>
          <w:b w:val="0"/>
        </w:rPr>
        <w:t>&lt;/NumAm&gt;</w:t>
      </w:r>
    </w:p>
    <w:p w:rsidR="001667A3" w:rsidRPr="00AA56F9" w:rsidP="00BD2DF0" w14:paraId="6E73D6F1" w14:textId="77777777">
      <w:pPr>
        <w:pStyle w:val="NormalBold12b"/>
        <w:widowControl/>
      </w:pPr>
      <w:r w:rsidRPr="00825264">
        <w:rPr>
          <w:rStyle w:val="HideTWBExt"/>
          <w:b w:val="0"/>
        </w:rPr>
        <w:t>&lt;DocAmend&gt;</w:t>
      </w:r>
      <w:r>
        <w:t>Proposition de directive</w:t>
      </w:r>
      <w:r w:rsidRPr="00825264">
        <w:rPr>
          <w:rStyle w:val="HideTWBExt"/>
          <w:b w:val="0"/>
        </w:rPr>
        <w:t>&lt;/DocAmend&gt;</w:t>
      </w:r>
    </w:p>
    <w:p w:rsidR="001667A3" w:rsidRPr="00BD2DF0" w:rsidP="00BD2DF0" w14:paraId="6D09BE87" w14:textId="77777777">
      <w:pPr>
        <w:pStyle w:val="NormalBold"/>
        <w:widowControl/>
      </w:pPr>
      <w:r w:rsidRPr="00825264">
        <w:rPr>
          <w:rStyle w:val="HideTWBExt"/>
          <w:b w:val="0"/>
        </w:rPr>
        <w:t>&lt;Article&gt;</w:t>
      </w:r>
      <w:r>
        <w:t>Article 1 – alinéa 1 – point 10</w:t>
      </w:r>
      <w:r w:rsidRPr="00825264">
        <w:rPr>
          <w:rStyle w:val="HideTWBExt"/>
          <w:b w:val="0"/>
        </w:rPr>
        <w:t>&lt;/Article&gt;</w:t>
      </w:r>
    </w:p>
    <w:p w:rsidR="001667A3" w:rsidRPr="00BD2DF0" w:rsidP="00BD2DF0" w14:paraId="29DF3F4C" w14:textId="77777777">
      <w:pPr>
        <w:keepNext/>
        <w:widowControl/>
      </w:pPr>
      <w:r w:rsidRPr="00825264">
        <w:rPr>
          <w:rStyle w:val="HideTWBExt"/>
        </w:rPr>
        <w:t>&lt;DocAmend2&gt;</w:t>
      </w:r>
      <w:r>
        <w:t>directive (UE) 2015/637</w:t>
      </w:r>
      <w:r w:rsidRPr="00825264">
        <w:rPr>
          <w:rStyle w:val="HideTWBExt"/>
        </w:rPr>
        <w:t>&lt;/DocAmend2&gt;</w:t>
      </w:r>
    </w:p>
    <w:p w:rsidR="001667A3" w:rsidRPr="00EC1ED7" w:rsidP="00BD2DF0" w14:paraId="748C22FE" w14:textId="77777777">
      <w:pPr>
        <w:widowControl/>
      </w:pPr>
      <w:r>
        <w:rPr>
          <w:rStyle w:val="HideTWBExt"/>
        </w:rPr>
        <w:t>&lt;Article2&gt;</w:t>
      </w:r>
      <w:r>
        <w:t>Article 19 – alinéa 3 bis (nouveau)</w:t>
      </w:r>
      <w:r>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F5FE73" w14:textId="77777777" w:rsidTr="00160B22">
        <w:tblPrEx>
          <w:tblW w:w="0" w:type="auto"/>
          <w:jc w:val="center"/>
          <w:tblLayout w:type="fixed"/>
          <w:tblCellMar>
            <w:left w:w="340" w:type="dxa"/>
            <w:right w:w="340" w:type="dxa"/>
          </w:tblCellMar>
          <w:tblLook w:val="04A0"/>
        </w:tblPrEx>
        <w:trPr>
          <w:jc w:val="center"/>
        </w:trPr>
        <w:tc>
          <w:tcPr>
            <w:tcW w:w="9752" w:type="dxa"/>
            <w:gridSpan w:val="2"/>
          </w:tcPr>
          <w:p w:rsidR="001667A3" w:rsidRPr="00EC1ED7" w:rsidP="00BD2DF0" w14:paraId="3F27690D" w14:textId="77777777">
            <w:pPr>
              <w:keepNext/>
              <w:widowControl/>
            </w:pPr>
          </w:p>
        </w:tc>
      </w:tr>
      <w:tr w14:paraId="09A9564B" w14:textId="77777777" w:rsidTr="00160B22">
        <w:tblPrEx>
          <w:tblW w:w="0" w:type="auto"/>
          <w:jc w:val="center"/>
          <w:tblLayout w:type="fixed"/>
          <w:tblCellMar>
            <w:left w:w="340" w:type="dxa"/>
            <w:right w:w="340" w:type="dxa"/>
          </w:tblCellMar>
          <w:tblLook w:val="04A0"/>
        </w:tblPrEx>
        <w:trPr>
          <w:jc w:val="center"/>
        </w:trPr>
        <w:tc>
          <w:tcPr>
            <w:tcW w:w="4876" w:type="dxa"/>
            <w:hideMark/>
          </w:tcPr>
          <w:p w:rsidR="001667A3" w:rsidRPr="00AA56F9" w:rsidP="00BD2DF0" w14:paraId="292F5CBE" w14:textId="77777777">
            <w:pPr>
              <w:pStyle w:val="ColumnHeading"/>
              <w:keepNext/>
              <w:widowControl/>
            </w:pPr>
            <w:r>
              <w:t>Texte proposé par le Conseil</w:t>
            </w:r>
          </w:p>
        </w:tc>
        <w:tc>
          <w:tcPr>
            <w:tcW w:w="4876" w:type="dxa"/>
            <w:hideMark/>
          </w:tcPr>
          <w:p w:rsidR="001667A3" w:rsidRPr="00EC1ED7" w:rsidP="00BD2DF0" w14:paraId="1905AC22" w14:textId="77777777">
            <w:pPr>
              <w:pStyle w:val="ColumnHeading"/>
              <w:keepNext/>
              <w:widowControl/>
            </w:pPr>
            <w:r>
              <w:t>Amendement</w:t>
            </w:r>
          </w:p>
        </w:tc>
      </w:tr>
      <w:tr w14:paraId="66DDB9DF" w14:textId="77777777" w:rsidTr="00160B22">
        <w:tblPrEx>
          <w:tblW w:w="0" w:type="auto"/>
          <w:jc w:val="center"/>
          <w:tblLayout w:type="fixed"/>
          <w:tblCellMar>
            <w:left w:w="340" w:type="dxa"/>
            <w:right w:w="340" w:type="dxa"/>
          </w:tblCellMar>
          <w:tblLook w:val="04A0"/>
        </w:tblPrEx>
        <w:trPr>
          <w:jc w:val="center"/>
        </w:trPr>
        <w:tc>
          <w:tcPr>
            <w:tcW w:w="4876" w:type="dxa"/>
          </w:tcPr>
          <w:p w:rsidR="001667A3" w:rsidRPr="00EC1ED7" w:rsidP="00BD2DF0" w14:paraId="406028BA" w14:textId="77777777">
            <w:pPr>
              <w:pStyle w:val="Normal6"/>
              <w:widowControl/>
            </w:pPr>
          </w:p>
        </w:tc>
        <w:tc>
          <w:tcPr>
            <w:tcW w:w="4876" w:type="dxa"/>
            <w:hideMark/>
          </w:tcPr>
          <w:p w:rsidR="001667A3" w:rsidRPr="00AA56F9" w:rsidP="00BD2DF0" w14:paraId="44074B3A" w14:textId="77777777">
            <w:pPr>
              <w:pStyle w:val="Normal6"/>
              <w:widowControl/>
              <w:rPr>
                <w:szCs w:val="24"/>
              </w:rPr>
            </w:pPr>
            <w:r>
              <w:rPr>
                <w:b/>
                <w:i/>
              </w:rPr>
              <w:t>Au plus tard le... [deux ans après la date d’application de la présente directive modificative], la Commission évalue la mise en œuvre de la présente directive, notamment afin de déterminer si son champ d’application personnel continue d’assurer une protection consulaire efficace à la lumière de l’expérience du terrain. Cette évaluation porte, entre autres, sur la situation des personnes résidant légalement dans un État membre et titulaires d’un document de voyage délivré par cet État membre, telles que les</w:t>
            </w:r>
            <w:r>
              <w:rPr>
                <w:b/>
                <w:i/>
              </w:rPr>
              <w:t xml:space="preserve"> personnes ayant le statut de réfugié, qui ne relèvent pas du champ d’application de la présente directive. Les États membres fournissent à la Commission les informations nécessaires à cette évaluation. Le cas échéant, cette évaluation est accompagnée d’une proposition législative.</w:t>
            </w:r>
          </w:p>
        </w:tc>
      </w:tr>
    </w:tbl>
    <w:p w:rsidR="001667A3" w:rsidRPr="00AA56F9" w:rsidP="00BD2DF0" w14:paraId="63309CFE" w14:textId="77777777">
      <w:pPr>
        <w:widowControl/>
      </w:pPr>
      <w:r w:rsidRPr="00825264">
        <w:rPr>
          <w:rStyle w:val="HideTWBExt"/>
        </w:rPr>
        <w:t>&lt;/Amend&gt;</w:t>
      </w:r>
    </w:p>
    <w:p w:rsidR="001667A3" w:rsidRPr="00825264" w:rsidP="00BD2DF0" w14:paraId="5B039536" w14:textId="77777777">
      <w:pPr>
        <w:widowControl/>
        <w:rPr>
          <w:rStyle w:val="HideTWBExt"/>
        </w:rPr>
      </w:pPr>
    </w:p>
    <w:p w:rsidR="008F6E1E" w:rsidRPr="00AA56F9" w:rsidP="00BD2DF0" w14:paraId="338029C3" w14:textId="77777777">
      <w:pPr>
        <w:widowControl/>
        <w:rPr>
          <w:szCs w:val="24"/>
        </w:rPr>
      </w:pPr>
      <w:r w:rsidRPr="00825264">
        <w:rPr>
          <w:rStyle w:val="HideTWBExt"/>
        </w:rPr>
        <w:t>&lt;/RepeatBlock-Amend&gt;</w:t>
      </w:r>
    </w:p>
    <w:p w:rsidR="008F6E1E" w:rsidRPr="00825264" w:rsidP="00BD2DF0" w14:paraId="56CEDBF4" w14:textId="77777777">
      <w:pPr>
        <w:widowControl/>
      </w:pPr>
    </w:p>
    <w:p w:rsidR="00415E55" w:rsidRPr="00825264" w:rsidP="00BD2DF0" w14:paraId="58D90FBB" w14:textId="77777777">
      <w:pPr>
        <w:widowControl/>
        <w:sectPr w:rsidSect="004F4F9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415E55" w:rsidRPr="00AA56F9" w:rsidP="00BD2DF0" w14:paraId="1A3D6EF3" w14:textId="77777777">
      <w:pPr>
        <w:pStyle w:val="PageHeading"/>
        <w:widowControl/>
      </w:pPr>
      <w:bookmarkStart w:id="1" w:name="_Toc242088250"/>
      <w:r>
        <w:t>EXPOSÉ DES MOTIFS</w:t>
      </w:r>
      <w:bookmarkEnd w:id="1"/>
    </w:p>
    <w:p w:rsidR="00415E55" w:rsidRPr="00AA56F9" w:rsidP="00BD2DF0" w14:paraId="41D616FA" w14:textId="77777777">
      <w:pPr>
        <w:widowControl/>
        <w:rPr>
          <w:szCs w:val="24"/>
        </w:rPr>
      </w:pPr>
      <w:r>
        <w:t xml:space="preserve">Après que le Parlement européen eut rendu son avis à l’issue d’un vote en séance plénière le 24 avril 2024, le Conseil a, début 2026, apporté des modifications substantielles à la proposition </w:t>
      </w:r>
      <w:r>
        <w:t xml:space="preserve">législative de la Commission. Le présent rapport vise à clore cette procédure de nouvelle consultation. </w:t>
      </w:r>
    </w:p>
    <w:p w:rsidR="00415E55" w:rsidRPr="00825264" w:rsidP="00BD2DF0" w14:paraId="4D3C3F39" w14:textId="77777777">
      <w:pPr>
        <w:widowControl/>
        <w:rPr>
          <w:szCs w:val="24"/>
        </w:rPr>
      </w:pPr>
    </w:p>
    <w:p w:rsidR="00415E55" w:rsidRPr="00AA56F9" w:rsidP="00BD2DF0" w14:paraId="1B5255B6" w14:textId="77777777">
      <w:pPr>
        <w:widowControl/>
        <w:rPr>
          <w:szCs w:val="24"/>
        </w:rPr>
      </w:pPr>
      <w:r>
        <w:t xml:space="preserve">Par ce rapport, la rapporteure rappelle que le droit, garanti par l’article 23 du traité FUE, dont bénéficient les citoyens de l’Union non représentés de bénéficier de la protection des autorités diplomatiques ou consulaires de tout État membre dans les mêmes conditions que les ressortissants de cet État, constitue l’un des éléments les plus essentiels de la citoyenneté de l’Union. </w:t>
      </w:r>
    </w:p>
    <w:p w:rsidR="00415E55" w:rsidRPr="00825264" w:rsidP="00BD2DF0" w14:paraId="40AEDF17" w14:textId="77777777">
      <w:pPr>
        <w:widowControl/>
        <w:rPr>
          <w:szCs w:val="24"/>
        </w:rPr>
      </w:pPr>
    </w:p>
    <w:p w:rsidR="00415E55" w:rsidRPr="00AA56F9" w:rsidP="00BD2DF0" w14:paraId="0FB14322" w14:textId="77777777">
      <w:pPr>
        <w:widowControl/>
        <w:rPr>
          <w:szCs w:val="24"/>
        </w:rPr>
      </w:pPr>
      <w:r>
        <w:t xml:space="preserve">Constatant que des situations de crise récentes ont touché et mis en danger des milliers de citoyens de l’Union à l’étranger, la rapporteure estime qu’il est urgent d’actualiser le cadre juridique grâce auquel les États membres, soutenus partout dans le monde par les délégations de l’Union, assurent des services consulaires et une protection aux citoyens de l’Union non représentés à l’étranger. </w:t>
      </w:r>
    </w:p>
    <w:p w:rsidR="00415E55" w:rsidRPr="00825264" w:rsidP="00BD2DF0" w14:paraId="1E6937A9" w14:textId="77777777">
      <w:pPr>
        <w:widowControl/>
        <w:rPr>
          <w:szCs w:val="24"/>
        </w:rPr>
      </w:pPr>
    </w:p>
    <w:p w:rsidR="00415E55" w:rsidRPr="00AA56F9" w:rsidP="00BD2DF0" w14:paraId="45890CBC" w14:textId="77777777">
      <w:pPr>
        <w:widowControl/>
        <w:rPr>
          <w:szCs w:val="24"/>
        </w:rPr>
      </w:pPr>
      <w:r>
        <w:t xml:space="preserve">Par conséquent, le rapport affiche les objectifs suivants: </w:t>
      </w:r>
    </w:p>
    <w:p w:rsidR="00415E55" w:rsidRPr="00825264" w:rsidP="00BD2DF0" w14:paraId="35BA66EF" w14:textId="77777777">
      <w:pPr>
        <w:widowControl/>
        <w:rPr>
          <w:szCs w:val="24"/>
        </w:rPr>
      </w:pPr>
    </w:p>
    <w:p w:rsidR="00415E55" w:rsidRPr="00AA56F9" w:rsidP="00BD2DF0" w14:paraId="4B0BA21C" w14:textId="77777777">
      <w:pPr>
        <w:widowControl/>
        <w:rPr>
          <w:szCs w:val="24"/>
        </w:rPr>
      </w:pPr>
      <w:r>
        <w:rPr>
          <w:rFonts w:ascii="Abadi" w:hAnsi="Abadi"/>
        </w:rPr>
        <w:t>­</w:t>
      </w:r>
      <w:r>
        <w:rPr>
          <w:rFonts w:ascii="Abadi" w:hAnsi="Abadi"/>
        </w:rPr>
        <w:tab/>
      </w:r>
      <w:r>
        <w:t>faciliter l’identification de ces citoyens au moyen d’un critère automatique: les citoyens de l’Union sont considérés comme non représentés si le délai nécessaire pour rejoindre en toute sécurité l’ambassade ou le consulat de leur État membre de nationalité, ou pour être contactés par ceux-ci, est supérieur à 48 heures. En cas de situation présentant un danger immédiat, ce délai ne s’appliquera pas, et le citoyen de l’Union concerné sera immédiatement considéré comme non représenté;</w:t>
      </w:r>
    </w:p>
    <w:p w:rsidR="00415E55" w:rsidRPr="00AA56F9" w:rsidP="00BD2DF0" w14:paraId="1856EA5C" w14:textId="77777777">
      <w:pPr>
        <w:widowControl/>
        <w:rPr>
          <w:szCs w:val="24"/>
        </w:rPr>
      </w:pPr>
      <w:r>
        <w:rPr>
          <w:rFonts w:ascii="Abadi" w:hAnsi="Abadi"/>
        </w:rPr>
        <w:t>­</w:t>
      </w:r>
      <w:r>
        <w:rPr>
          <w:rFonts w:ascii="Abadi" w:hAnsi="Abadi"/>
        </w:rPr>
        <w:tab/>
      </w:r>
      <w:r>
        <w:t>enforcer les efforts d’anticipation et de préparation des autorités compétentes des États membres et des délégations de l’Union grâce à des exercices consulaires plus fréquents;</w:t>
      </w:r>
    </w:p>
    <w:p w:rsidR="00415E55" w:rsidRPr="00AA56F9" w:rsidP="00BD2DF0" w14:paraId="59698B42" w14:textId="77777777">
      <w:pPr>
        <w:widowControl/>
        <w:rPr>
          <w:szCs w:val="24"/>
        </w:rPr>
      </w:pPr>
      <w:r>
        <w:rPr>
          <w:rFonts w:ascii="Abadi" w:hAnsi="Abadi"/>
        </w:rPr>
        <w:t>­</w:t>
      </w:r>
      <w:r>
        <w:rPr>
          <w:rFonts w:ascii="Abadi" w:hAnsi="Abadi"/>
        </w:rPr>
        <w:tab/>
      </w:r>
      <w:r>
        <w:t>améliorer les services fournis aux citoyens de l’Union vulnérables et non représentés;</w:t>
      </w:r>
    </w:p>
    <w:p w:rsidR="00415E55" w:rsidRPr="00AA56F9" w:rsidP="00BD2DF0" w14:paraId="411059E3" w14:textId="77777777">
      <w:pPr>
        <w:widowControl/>
        <w:rPr>
          <w:szCs w:val="24"/>
        </w:rPr>
      </w:pPr>
      <w:r>
        <w:rPr>
          <w:rFonts w:ascii="Abadi" w:hAnsi="Abadi"/>
        </w:rPr>
        <w:t>­</w:t>
      </w:r>
      <w:r>
        <w:rPr>
          <w:rFonts w:ascii="Abadi" w:hAnsi="Abadi"/>
        </w:rPr>
        <w:tab/>
      </w:r>
      <w:r>
        <w:t>garantir les ressources allouées au SEAE ainsi que la formation dispensée aux fonctionnaires de l’Union, que la rapporteure juge nécessaires pour renforcer le soutien qu’apporte l’Union aux États membres dans l’accomplissement de ces missions;</w:t>
      </w:r>
    </w:p>
    <w:p w:rsidR="00415E55" w:rsidRPr="00AA56F9" w:rsidP="00BD2DF0" w14:paraId="2B553D6C" w14:textId="77777777">
      <w:pPr>
        <w:widowControl/>
        <w:rPr>
          <w:szCs w:val="24"/>
        </w:rPr>
      </w:pPr>
      <w:r>
        <w:rPr>
          <w:rFonts w:ascii="Abadi" w:hAnsi="Abadi"/>
        </w:rPr>
        <w:t>­</w:t>
      </w:r>
      <w:r>
        <w:rPr>
          <w:rFonts w:ascii="Abadi" w:hAnsi="Abadi"/>
        </w:rPr>
        <w:tab/>
      </w:r>
      <w:r>
        <w:t>mettre en place des canaux de coopération entre les États membres et les délégations de l’Union afin d’améliorer les systèmes d’alerte rapide sur l’évolution des situations, d’harmoniser les conseils aux voyageurs diffusés auprès des citoyens de l’Union et d’améliorer la mise en relation d’urgence avec ces derniers lorsque la situation l’exige;</w:t>
      </w:r>
    </w:p>
    <w:p w:rsidR="00415E55" w:rsidRPr="00AA56F9" w:rsidP="00BD2DF0" w14:paraId="0022178E" w14:textId="77777777">
      <w:pPr>
        <w:widowControl/>
        <w:rPr>
          <w:szCs w:val="24"/>
        </w:rPr>
      </w:pPr>
      <w:r>
        <w:rPr>
          <w:rFonts w:ascii="Abadi" w:hAnsi="Abadi"/>
        </w:rPr>
        <w:t>­</w:t>
      </w:r>
      <w:r>
        <w:rPr>
          <w:rFonts w:ascii="Abadi" w:hAnsi="Abadi"/>
        </w:rPr>
        <w:tab/>
      </w:r>
      <w:r>
        <w:t>aligner les mécanismes de protection des données sur le cadre juridique applicable, sans compromettre la capacité des autorités compétentes des États membres et des institutions et organes de l’Union à mener à bien ces missions;</w:t>
      </w:r>
    </w:p>
    <w:p w:rsidR="00415E55" w:rsidRPr="00AA56F9" w:rsidP="00BD2DF0" w14:paraId="36EE425B" w14:textId="77777777">
      <w:pPr>
        <w:widowControl/>
        <w:rPr>
          <w:szCs w:val="24"/>
        </w:rPr>
      </w:pPr>
      <w:r>
        <w:rPr>
          <w:rFonts w:ascii="Abadi" w:hAnsi="Abadi"/>
        </w:rPr>
        <w:t>­</w:t>
      </w:r>
      <w:r>
        <w:rPr>
          <w:rFonts w:ascii="Abadi" w:hAnsi="Abadi"/>
        </w:rPr>
        <w:tab/>
      </w:r>
      <w:r>
        <w:t xml:space="preserve">instaurer pour la Commission européenne des obligations de rendre compte afin de garantir que ce cadre juridique reste adapté aux besoins qui découleront du contexte international dans les années à venir. </w:t>
      </w:r>
    </w:p>
    <w:p w:rsidR="00415E55" w:rsidRPr="00825264" w:rsidP="00BD2DF0" w14:paraId="6D74777F" w14:textId="77777777">
      <w:pPr>
        <w:widowControl/>
        <w:rPr>
          <w:szCs w:val="24"/>
        </w:rPr>
      </w:pPr>
    </w:p>
    <w:p w:rsidR="00415E55" w:rsidRPr="00825264" w:rsidP="00BD2DF0" w14:paraId="28193494" w14:textId="77777777">
      <w:pPr>
        <w:widowControl/>
        <w:sectPr w:rsidSect="004F4F9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64E01" w:rsidRPr="00AA56F9" w:rsidP="00BD2DF0" w14:paraId="6A02EBE7" w14:textId="77777777">
      <w:pPr>
        <w:pStyle w:val="PageHeading"/>
        <w:widowControl/>
      </w:pPr>
      <w:bookmarkStart w:id="2" w:name="_Toc242088251"/>
      <w:r>
        <w:t xml:space="preserve">ANNEXE: DÉCLARATION DES </w:t>
      </w:r>
      <w:r>
        <w:t>CONTRIBUTIONS</w:t>
      </w:r>
      <w:bookmarkEnd w:id="2"/>
    </w:p>
    <w:p w:rsidR="00AA56F9" w:rsidRPr="00AA56F9" w:rsidP="00BD2DF0" w14:paraId="0D20EA77" w14:textId="77777777">
      <w:pPr>
        <w:widowControl/>
        <w:rPr>
          <w:rStyle w:val="HideTWBExt"/>
          <w:vanish w:val="0"/>
        </w:rPr>
        <w:sectPr w:rsidSect="004F4F9E">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r>
        <w:t>La rapporteure déclare, sous sa responsabilité exclusive, n’avoir inclus dans son rapport aucune contribution de représentants d’intérêts relevant du champ d’application de l’accord interinstitutionnel sur un registre de transparence obligatoire</w:t>
      </w:r>
      <w:r>
        <w:rPr>
          <w:rStyle w:val="FootnoteReference"/>
          <w:lang w:bidi="en-GB"/>
        </w:rPr>
        <w:footnoteReference w:id="3"/>
      </w:r>
      <w:r>
        <w:t xml:space="preserve">, ou de représentants des autorités publiques de pays tiers, y compris leurs missions </w:t>
      </w:r>
      <w:r>
        <w:t>diplomatiques et ambassades, devant être énumérés dans la présente annexe en vertu de l’article 8 de l’annexe I du règlement intérieur.</w:t>
      </w:r>
    </w:p>
    <w:p w:rsidR="00AA56F9" w:rsidRPr="00FE0A8B" w:rsidP="00BD2DF0" w14:paraId="42CFA023" w14:textId="77777777">
      <w:pPr>
        <w:pStyle w:val="Normal24a"/>
        <w:widowControl/>
      </w:pPr>
      <w:r>
        <w:rPr>
          <w:rStyle w:val="HideTWBExt"/>
          <w:lang w:val="fr-BE"/>
        </w:rPr>
        <w:t>&lt;Date&gt;</w:t>
      </w:r>
      <w:r>
        <w:t>7.5.2026</w:t>
      </w:r>
      <w:r>
        <w:rPr>
          <w:rStyle w:val="HideTWBExt"/>
          <w:lang w:val="fr-BE"/>
        </w:rPr>
        <w:t>&lt;/Date&gt;</w:t>
      </w:r>
    </w:p>
    <w:p w:rsidR="00AA56F9" w:rsidRPr="00FE0A8B" w:rsidP="00BD2DF0" w14:paraId="323F2E71" w14:textId="77777777">
      <w:pPr>
        <w:pStyle w:val="PageHeading"/>
        <w:widowControl/>
      </w:pPr>
      <w:r>
        <w:rPr>
          <w:rStyle w:val="HideTWBExt"/>
          <w:lang w:val="fr-BE"/>
        </w:rPr>
        <w:t>&lt;CommissionResp&gt;</w:t>
      </w:r>
      <w:bookmarkStart w:id="3" w:name="OpinionToc_1"/>
      <w:bookmarkStart w:id="4" w:name="_Toc242088252"/>
      <w:r>
        <w:t>AVIS DE LA COMMISSION DES AFFAIRES ÉTRANGÈRES</w:t>
      </w:r>
      <w:bookmarkEnd w:id="3"/>
      <w:bookmarkEnd w:id="4"/>
      <w:r>
        <w:rPr>
          <w:rStyle w:val="HideTWBExt"/>
          <w:lang w:val="fr-BE"/>
        </w:rPr>
        <w:t>&lt;/CommissionResp&gt;</w:t>
      </w:r>
    </w:p>
    <w:p w:rsidR="00AA56F9" w:rsidRPr="00FE0A8B" w:rsidP="00BD2DF0" w14:paraId="3CE562B8" w14:textId="77777777">
      <w:pPr>
        <w:pStyle w:val="Normal12a"/>
        <w:widowControl/>
      </w:pPr>
      <w:r>
        <w:rPr>
          <w:rStyle w:val="HideTWBExt"/>
          <w:lang w:val="fr-BE"/>
        </w:rPr>
        <w:t>&lt;CommissionInt&gt;</w:t>
      </w:r>
      <w:r>
        <w:t>à l’intention de la commission des libertés civiles, de la justice et des affaires intérieures</w:t>
      </w:r>
      <w:r>
        <w:rPr>
          <w:rStyle w:val="HideTWBExt"/>
          <w:lang w:val="fr-BE"/>
        </w:rPr>
        <w:t>&lt;/CommissionInt&gt;</w:t>
      </w:r>
    </w:p>
    <w:p w:rsidR="00AA56F9" w:rsidRPr="00FE0A8B" w:rsidP="00BD2DF0" w14:paraId="4708F320" w14:textId="77777777">
      <w:pPr>
        <w:widowControl/>
      </w:pPr>
      <w:r>
        <w:rPr>
          <w:rStyle w:val="HideTWBExt"/>
          <w:lang w:val="fr-BE"/>
        </w:rPr>
        <w:t>&lt;Titre&gt;</w:t>
      </w:r>
      <w:r>
        <w:t>sur la proposition de directive du Conseil modifiant la directive (UE) 2015/637 établissant les mesures de coordination et de coopération nécessaires pour faciliter la protection consulaire des citoyens de l’Union non représentés dans des pays tiers et la directive (UE) 2019/997 établissant un titre de voyage provisoire de l’Union européenne</w:t>
      </w:r>
      <w:r>
        <w:rPr>
          <w:rStyle w:val="HideTWBExt"/>
          <w:lang w:val="fr-BE"/>
        </w:rPr>
        <w:t>&lt;/Titre&gt;</w:t>
      </w:r>
    </w:p>
    <w:p w:rsidR="00AA56F9" w:rsidRPr="00BD2DF0" w:rsidP="00BD2DF0" w14:paraId="3D63FB00" w14:textId="77777777">
      <w:pPr>
        <w:pStyle w:val="Normal12a"/>
        <w:widowControl/>
      </w:pPr>
      <w:r w:rsidRPr="00825264">
        <w:rPr>
          <w:rStyle w:val="HideTWBExt"/>
        </w:rPr>
        <w:t>&lt;DocRef&gt;</w:t>
      </w:r>
      <w:r>
        <w:t>(COM(2023)930 – C10</w:t>
      </w:r>
      <w:r>
        <w:noBreakHyphen/>
        <w:t>0027/2026 – 2023/0441(CNS))</w:t>
      </w:r>
      <w:r w:rsidRPr="00825264">
        <w:rPr>
          <w:rStyle w:val="HideTWBExt"/>
        </w:rPr>
        <w:t>&lt;/DocRef&gt;</w:t>
      </w:r>
    </w:p>
    <w:p w:rsidR="00AA56F9" w:rsidRPr="00FE0A8B" w:rsidP="00BD2DF0" w14:paraId="3FA109D0" w14:textId="77777777">
      <w:pPr>
        <w:pStyle w:val="Normal24a"/>
        <w:widowControl/>
      </w:pPr>
      <w:r>
        <w:t xml:space="preserve">Rapporteur pour avis: </w:t>
      </w:r>
      <w:r>
        <w:rPr>
          <w:rStyle w:val="HideTWBExt"/>
          <w:lang w:val="fr-BE"/>
        </w:rPr>
        <w:t>&lt;Depute&gt;</w:t>
      </w:r>
      <w:r>
        <w:t>Nacho Sánchez Amor</w:t>
      </w:r>
      <w:r>
        <w:rPr>
          <w:rStyle w:val="HideTWBExt"/>
          <w:lang w:val="fr-BE"/>
        </w:rPr>
        <w:t>&lt;/Depute&gt;</w:t>
      </w:r>
    </w:p>
    <w:p w:rsidR="00AA56F9" w:rsidRPr="00FE0A8B" w:rsidP="00BD2DF0" w14:paraId="20025019" w14:textId="77777777">
      <w:pPr>
        <w:widowControl/>
        <w:tabs>
          <w:tab w:val="center" w:pos="4677"/>
        </w:tabs>
      </w:pPr>
    </w:p>
    <w:p w:rsidR="00AA56F9" w:rsidRPr="00FE0A8B" w:rsidP="00BD2DF0" w14:paraId="13C79944" w14:textId="77777777">
      <w:pPr>
        <w:pStyle w:val="AmHeadingPA"/>
        <w:widowControl/>
      </w:pPr>
      <w:r>
        <w:t>AMENDEMENTS</w:t>
      </w:r>
    </w:p>
    <w:p w:rsidR="00AA56F9" w:rsidRPr="00FE0A8B" w:rsidP="00BD2DF0" w14:paraId="6B4F726F" w14:textId="77777777">
      <w:pPr>
        <w:pStyle w:val="Normal12a"/>
        <w:widowControl/>
      </w:pPr>
      <w:bookmarkStart w:id="5" w:name="IntroA"/>
      <w:r>
        <w:t>La commission des affaires étrangères présente à la commission des libertés civiles, de la justice et des affaires intérieures, compétente au fond, ce qui suit:</w:t>
      </w:r>
    </w:p>
    <w:p w:rsidR="00AA56F9" w:rsidRPr="00FE0A8B" w:rsidP="00BD2DF0" w14:paraId="61E5F705" w14:textId="77777777">
      <w:pPr>
        <w:pStyle w:val="AmNumberTabs"/>
        <w:keepNext/>
        <w:widowControl/>
      </w:pPr>
      <w:bookmarkStart w:id="6" w:name="IntroB"/>
      <w:bookmarkEnd w:id="5"/>
      <w:r>
        <w:rPr>
          <w:rStyle w:val="HideTWBExt"/>
          <w:b w:val="0"/>
          <w:lang w:val="fr-BE"/>
        </w:rPr>
        <w:t>&lt;RepeatBlock-Amend&gt;</w:t>
      </w:r>
      <w:bookmarkStart w:id="7" w:name="EndB"/>
      <w:bookmarkEnd w:id="6"/>
      <w:r>
        <w:rPr>
          <w:rStyle w:val="HideTWBExt"/>
          <w:lang w:val="fr-BE"/>
        </w:rPr>
        <w:t>&lt;Amend&gt;</w:t>
      </w:r>
      <w:r>
        <w:t>Amendement</w:t>
      </w:r>
      <w:r>
        <w:tab/>
      </w:r>
      <w:r>
        <w:tab/>
      </w:r>
      <w:r>
        <w:rPr>
          <w:rStyle w:val="HideTWBExt"/>
          <w:lang w:val="fr-BE"/>
        </w:rPr>
        <w:t>&lt;NumAm&gt;</w:t>
      </w:r>
      <w:r>
        <w:t>1</w:t>
      </w:r>
      <w:r>
        <w:rPr>
          <w:rStyle w:val="HideTWBExt"/>
          <w:lang w:val="fr-BE"/>
        </w:rPr>
        <w:t>&lt;/NumAm&gt;</w:t>
      </w:r>
    </w:p>
    <w:p w:rsidR="00AA56F9" w:rsidRPr="00FE0A8B" w:rsidP="00BD2DF0" w14:paraId="4E426DD5"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657C573F" w14:textId="77777777">
      <w:pPr>
        <w:pStyle w:val="NormalBold"/>
        <w:widowControl/>
      </w:pPr>
      <w:r>
        <w:rPr>
          <w:rStyle w:val="HideTWBExt"/>
        </w:rPr>
        <w:t>&lt;Article&gt;</w:t>
      </w:r>
      <w:r>
        <w:t>Considérant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D6703"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6E2C080A" w14:textId="77777777">
            <w:pPr>
              <w:widowControl/>
            </w:pPr>
          </w:p>
        </w:tc>
      </w:tr>
      <w:tr w14:paraId="1B9A008D"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10A5AFD7"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3F57851A" w14:textId="77777777">
            <w:pPr>
              <w:pStyle w:val="AmColumnHeading"/>
              <w:widowControl/>
            </w:pPr>
            <w:r>
              <w:t>Amendement</w:t>
            </w:r>
          </w:p>
        </w:tc>
      </w:tr>
      <w:tr w14:paraId="6079CA85"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7E13ED59" w14:textId="77777777">
            <w:pPr>
              <w:pStyle w:val="Normal6a"/>
              <w:widowControl/>
            </w:pPr>
          </w:p>
        </w:tc>
        <w:tc>
          <w:tcPr>
            <w:tcW w:w="4876" w:type="dxa"/>
            <w:tcBorders>
              <w:top w:val="nil"/>
              <w:left w:val="nil"/>
              <w:bottom w:val="nil"/>
              <w:right w:val="nil"/>
            </w:tcBorders>
          </w:tcPr>
          <w:p w:rsidR="00AA56F9" w:rsidRPr="00FE0A8B" w:rsidP="00BD2DF0" w14:paraId="5D855E26" w14:textId="77777777">
            <w:pPr>
              <w:pStyle w:val="Normal6a"/>
              <w:widowControl/>
            </w:pPr>
            <w:r>
              <w:rPr>
                <w:b/>
                <w:i/>
              </w:rPr>
              <w:t>(5 bis)</w:t>
            </w:r>
            <w:r>
              <w:tab/>
            </w:r>
            <w:r>
              <w:rPr>
                <w:b/>
                <w:i/>
              </w:rPr>
              <w:t xml:space="preserve">Lorsqu’ils accordent une protection consulaire aux </w:t>
            </w:r>
            <w:r>
              <w:rPr>
                <w:b/>
                <w:i/>
              </w:rPr>
              <w:t>citoyens non représentés, les États membres devraient adopter une approche intersectionnelle des besoins spécifiques des groupes vulnérables, tels que les mineurs non accompagnés, les victimes de mariage forcé ou de captivité conjugale, à qui une assistance juridique et psychologique devrait être apportée, les femmes enceintes, les personnes à mobilité réduite, les personnes âgées, les personnes handicapées, les personnes LGBTIQ+, les migrants ou les personnes exposées au risque de discrimination pour quelq</w:t>
            </w:r>
            <w:r>
              <w:rPr>
                <w:b/>
                <w:i/>
              </w:rPr>
              <w:t>ue motif que ce soit, tels que ceux visés à l’article 21 de la charte et dans la jurisprudence.</w:t>
            </w:r>
            <w:r>
              <w:t xml:space="preserve"> </w:t>
            </w:r>
            <w:r>
              <w:rPr>
                <w:b/>
                <w:i/>
              </w:rPr>
              <w:t xml:space="preserve">Avec le soutien des délégations de l’Union, les États membres </w:t>
            </w:r>
            <w:r>
              <w:rPr>
                <w:b/>
                <w:i/>
              </w:rPr>
              <w:t>prennent également des mesures spécifiques pour garantir le droit à la protection consulaire des enfants dans les pays tiers, en conformité avec l’article 1, paragraphe 4, alinéa 1 bis, en particulier lorsqu’il existe un risque de violation de leurs droits consacrés par la charte des droits fondamentaux de l’Union et par la convention des Nations unies</w:t>
            </w:r>
            <w:r>
              <w:rPr>
                <w:b/>
                <w:i/>
              </w:rPr>
              <w:t xml:space="preserve"> relative aux droits de l’enfant. </w:t>
            </w:r>
          </w:p>
        </w:tc>
      </w:tr>
    </w:tbl>
    <w:p w:rsidR="00AA56F9" w:rsidRPr="00BD2DF0" w:rsidP="00BD2DF0" w14:paraId="3B5B2DAD" w14:textId="77777777">
      <w:pPr>
        <w:widowControl/>
      </w:pPr>
      <w:r w:rsidRPr="00825264">
        <w:rPr>
          <w:rStyle w:val="HideTWBExt"/>
        </w:rPr>
        <w:t>&lt;/Amend&gt;</w:t>
      </w:r>
    </w:p>
    <w:p w:rsidR="00AA56F9" w:rsidRPr="00BD2DF0" w:rsidP="00BD2DF0" w14:paraId="33F42C20" w14:textId="77777777">
      <w:pPr>
        <w:pStyle w:val="AmNumberTabs"/>
        <w:widowControl/>
      </w:pPr>
      <w:r w:rsidRPr="00825264">
        <w:rPr>
          <w:rStyle w:val="HideTWBExt"/>
        </w:rPr>
        <w:t>&lt;Amend&gt;</w:t>
      </w:r>
      <w:r>
        <w:t>Amendement</w:t>
      </w:r>
      <w:r>
        <w:tab/>
      </w:r>
      <w:r>
        <w:tab/>
      </w:r>
      <w:r w:rsidRPr="00825264">
        <w:rPr>
          <w:rStyle w:val="HideTWBExt"/>
        </w:rPr>
        <w:t>&lt;NumAm&gt;</w:t>
      </w:r>
      <w:r>
        <w:t>2</w:t>
      </w:r>
      <w:r w:rsidRPr="00825264">
        <w:rPr>
          <w:rStyle w:val="HideTWBExt"/>
        </w:rPr>
        <w:t>&lt;/NumAm&gt;</w:t>
      </w:r>
    </w:p>
    <w:p w:rsidR="00AA56F9" w:rsidRPr="00FE0A8B" w:rsidP="00BD2DF0" w14:paraId="394D9F24"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71DF07E9" w14:textId="77777777">
      <w:pPr>
        <w:pStyle w:val="NormalBold"/>
        <w:widowControl/>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DA4C9"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143F5BB3" w14:textId="77777777">
            <w:pPr>
              <w:widowControl/>
            </w:pPr>
          </w:p>
        </w:tc>
      </w:tr>
      <w:tr w14:paraId="2D80D87C"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6997AD27"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7ADA8DDA" w14:textId="77777777">
            <w:pPr>
              <w:pStyle w:val="AmColumnHeading"/>
              <w:widowControl/>
            </w:pPr>
            <w:r>
              <w:t>Amendement</w:t>
            </w:r>
          </w:p>
        </w:tc>
      </w:tr>
      <w:tr w14:paraId="67CD915A"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42FDE34A" w14:textId="77777777">
            <w:pPr>
              <w:pStyle w:val="Normal6a"/>
              <w:widowControl/>
            </w:pPr>
            <w:r>
              <w:t>(6)</w:t>
            </w:r>
            <w:r>
              <w:tab/>
              <w:t xml:space="preserve">L’expérience passée a mis en évidence la </w:t>
            </w:r>
            <w:r>
              <w:t xml:space="preserve">contribution importante des délégations de l’Union, en étroite coopération avec les États membres, à la mise en œuvre du droit à la protection consulaire énoncé à l’article 20, paragraphe 2, point c), du TFUE. Cela a notamment été le cas dans les pays tiers où peu d’États membres sont représentés, dans les situations de crise et en ce qui concerne l’échange d’informations. Dans ce contexte, il convient de </w:t>
            </w:r>
            <w:r>
              <w:rPr>
                <w:b/>
                <w:i/>
              </w:rPr>
              <w:t>préciser le rôle</w:t>
            </w:r>
            <w:r>
              <w:t xml:space="preserve"> de </w:t>
            </w:r>
            <w:r>
              <w:rPr>
                <w:b/>
                <w:i/>
              </w:rPr>
              <w:t>soutien des</w:t>
            </w:r>
            <w:r>
              <w:t xml:space="preserve"> délégations de l’Union dans la mise en œuvre du droit à la protection c</w:t>
            </w:r>
            <w:r>
              <w:t>onsulaire. Pour des raisons de cohérence et de continuité des activités, et sauf s’il en est convenu autrement au niveau local, les délégations de l’Union devraient présider les réunions de coopération consulaire locale, en étroite coopération avec l’État membre qui assure la présidence tournante du Conseil de l’Union européenne, lorsque celui-ci est représenté, et coordonner la mise en place et la mise à jour de cadres consulaires conjoints de l’UE en matière de préparation aux crises. Afin d’assurer la co</w:t>
            </w:r>
            <w:r>
              <w:t xml:space="preserve">ordination et la protection efficace des citoyens non représentés, les délégations de l’Union devraient aussi participer à la </w:t>
            </w:r>
            <w:r>
              <w:t>coordination de la réaction aux crises en étroite coopération avec les États membres.</w:t>
            </w:r>
          </w:p>
        </w:tc>
        <w:tc>
          <w:tcPr>
            <w:tcW w:w="4876" w:type="dxa"/>
            <w:tcBorders>
              <w:top w:val="nil"/>
              <w:left w:val="nil"/>
              <w:bottom w:val="nil"/>
              <w:right w:val="nil"/>
            </w:tcBorders>
          </w:tcPr>
          <w:p w:rsidR="00AA56F9" w:rsidRPr="00FE0A8B" w:rsidP="00BD2DF0" w14:paraId="21056A59" w14:textId="77777777">
            <w:pPr>
              <w:pStyle w:val="Normal6a"/>
              <w:widowControl/>
            </w:pPr>
            <w:r>
              <w:t>(6)</w:t>
            </w:r>
            <w:r>
              <w:tab/>
              <w:t xml:space="preserve">L’expérience passée a mis en </w:t>
            </w:r>
            <w:r>
              <w:t xml:space="preserve">évidence la contribution importante des délégations de l’Union, en étroite coopération avec les États membres, à la mise en œuvre du droit à la protection consulaire énoncé à l’article 20, paragraphe 2, point c), du TFUE. Cela a notamment été le cas dans les pays tiers où peu d’États membres sont représentés, dans les situations de crise et en ce qui concerne l’échange d’informations. Dans ce contexte, il convient de </w:t>
            </w:r>
            <w:r>
              <w:rPr>
                <w:b/>
                <w:i/>
              </w:rPr>
              <w:t>reconnaître l’importance vitale</w:t>
            </w:r>
            <w:r>
              <w:t xml:space="preserve"> de </w:t>
            </w:r>
            <w:r>
              <w:rPr>
                <w:b/>
                <w:i/>
              </w:rPr>
              <w:t>la présence de</w:t>
            </w:r>
            <w:r>
              <w:t xml:space="preserve"> délégations de l’Union </w:t>
            </w:r>
            <w:r>
              <w:rPr>
                <w:b/>
                <w:i/>
              </w:rPr>
              <w:t>dans les pays tier</w:t>
            </w:r>
            <w:r>
              <w:rPr>
                <w:b/>
                <w:i/>
              </w:rPr>
              <w:t>s et de clarifier leur rôle de soutien</w:t>
            </w:r>
            <w:r>
              <w:t xml:space="preserve"> dans la mise en œuvre du droit à la protection consulaire. Pour des raisons de cohérence et de continuité des activités, et sauf s’il en est convenu autrement au niveau local, les délégations de l’Union devraient présider les réunions de coopération consulaire locale, en étroite coopération avec l’État membre qui assure la présidence tournante du Conseil de l’Union européenne, lorsque celui-ci est représenté, et coordonner la mise en place et la mise à jour de cadres c</w:t>
            </w:r>
            <w:r>
              <w:t xml:space="preserve">onsulaires conjoints de l’UE en matière de préparation aux crises. Afin d’assurer la coordination et la protection efficace des citoyens non représentés, les délégations de </w:t>
            </w:r>
            <w:r>
              <w:t>l’Union devraient aussi participer à la coordination de la réaction aux crises en étroite coopération avec les États membres.</w:t>
            </w:r>
          </w:p>
        </w:tc>
      </w:tr>
    </w:tbl>
    <w:p w:rsidR="00AA56F9" w:rsidRPr="00BD2DF0" w:rsidP="00BD2DF0" w14:paraId="544E0C4D" w14:textId="77777777">
      <w:pPr>
        <w:widowControl/>
      </w:pPr>
      <w:r w:rsidRPr="00825264">
        <w:rPr>
          <w:rStyle w:val="HideTWBExt"/>
        </w:rPr>
        <w:t>&lt;/Amend&gt;</w:t>
      </w:r>
    </w:p>
    <w:p w:rsidR="00AA56F9" w:rsidRPr="00BD2DF0" w:rsidP="00BD2DF0" w14:paraId="513AC14F" w14:textId="77777777">
      <w:pPr>
        <w:pStyle w:val="AmNumberTabs"/>
        <w:widowControl/>
      </w:pPr>
      <w:r w:rsidRPr="00825264">
        <w:rPr>
          <w:rStyle w:val="HideTWBExt"/>
        </w:rPr>
        <w:t>&lt;Amend&gt;</w:t>
      </w:r>
      <w:r>
        <w:t>Amendement</w:t>
      </w:r>
      <w:r>
        <w:tab/>
      </w:r>
      <w:r>
        <w:tab/>
      </w:r>
      <w:r w:rsidRPr="00825264">
        <w:rPr>
          <w:rStyle w:val="HideTWBExt"/>
        </w:rPr>
        <w:t>&lt;NumAm&gt;</w:t>
      </w:r>
      <w:r>
        <w:t>3</w:t>
      </w:r>
      <w:r w:rsidRPr="00825264">
        <w:rPr>
          <w:rStyle w:val="HideTWBExt"/>
        </w:rPr>
        <w:t>&lt;/NumAm&gt;</w:t>
      </w:r>
    </w:p>
    <w:p w:rsidR="00AA56F9" w:rsidRPr="00FE0A8B" w:rsidP="00BD2DF0" w14:paraId="5616DDA6"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4641FD00" w14:textId="77777777">
      <w:pPr>
        <w:pStyle w:val="NormalBold"/>
        <w:widowControl/>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86AE3"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6C93BEB7" w14:textId="77777777">
            <w:pPr>
              <w:widowControl/>
            </w:pPr>
          </w:p>
        </w:tc>
      </w:tr>
      <w:tr w14:paraId="2875E5B2"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0CF982C6"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5B1AA697" w14:textId="77777777">
            <w:pPr>
              <w:pStyle w:val="AmColumnHeading"/>
              <w:widowControl/>
            </w:pPr>
            <w:r>
              <w:t>Amendement</w:t>
            </w:r>
          </w:p>
        </w:tc>
      </w:tr>
      <w:tr w14:paraId="6458758C"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4DF99449" w14:textId="77777777">
            <w:pPr>
              <w:pStyle w:val="Normal6a"/>
              <w:widowControl/>
            </w:pPr>
          </w:p>
        </w:tc>
        <w:tc>
          <w:tcPr>
            <w:tcW w:w="4876" w:type="dxa"/>
            <w:tcBorders>
              <w:top w:val="nil"/>
              <w:left w:val="nil"/>
              <w:bottom w:val="nil"/>
              <w:right w:val="nil"/>
            </w:tcBorders>
          </w:tcPr>
          <w:p w:rsidR="00AA56F9" w:rsidRPr="00FE0A8B" w:rsidP="00BD2DF0" w14:paraId="7ABA9E51" w14:textId="77777777">
            <w:pPr>
              <w:pStyle w:val="Normal6a"/>
              <w:widowControl/>
            </w:pPr>
            <w:r>
              <w:rPr>
                <w:b/>
                <w:i/>
              </w:rPr>
              <w:t>(7 bis)</w:t>
            </w:r>
            <w:r>
              <w:tab/>
            </w:r>
            <w:r>
              <w:rPr>
                <w:b/>
                <w:i/>
              </w:rPr>
              <w:t xml:space="preserve">Il est </w:t>
            </w:r>
            <w:r>
              <w:rPr>
                <w:b/>
                <w:i/>
              </w:rPr>
              <w:t>également tenu compte de toute autre circonstance ou condition particulière non prévue par la présente directive qui pourrait entraver la capacité ou la volonté d’un citoyen de l’Union de se rendre dans un État membre ou dans un pays tiers, notamment les circonstances ou conditions qui concernent les membres de la famille accompagnant un citoyen non représenté qui ne sont pas citoyens de l’Union et qui sont donc susceptibles de ne pas pouvoir bénéficier de la protection consulaire des États membres.</w:t>
            </w:r>
          </w:p>
        </w:tc>
      </w:tr>
    </w:tbl>
    <w:p w:rsidR="00AA56F9" w:rsidRPr="00BD2DF0" w:rsidP="00BD2DF0" w14:paraId="30A259E5" w14:textId="77777777">
      <w:pPr>
        <w:widowControl/>
      </w:pPr>
      <w:r w:rsidRPr="00825264">
        <w:rPr>
          <w:rStyle w:val="HideTWBExt"/>
        </w:rPr>
        <w:t>&lt;/Amend&gt;</w:t>
      </w:r>
    </w:p>
    <w:p w:rsidR="00AA56F9" w:rsidRPr="00BD2DF0" w:rsidP="00BD2DF0" w14:paraId="5F5F7E75" w14:textId="77777777">
      <w:pPr>
        <w:pStyle w:val="AmNumberTabs"/>
        <w:widowControl/>
      </w:pPr>
      <w:r w:rsidRPr="00825264">
        <w:rPr>
          <w:rStyle w:val="HideTWBExt"/>
        </w:rPr>
        <w:t>&lt;Amend&gt;</w:t>
      </w:r>
      <w:r>
        <w:t>Amendement</w:t>
      </w:r>
      <w:r>
        <w:tab/>
      </w:r>
      <w:r>
        <w:tab/>
      </w:r>
      <w:r w:rsidRPr="00825264">
        <w:rPr>
          <w:rStyle w:val="HideTWBExt"/>
        </w:rPr>
        <w:t>&lt;NumAm&gt;</w:t>
      </w:r>
      <w:r>
        <w:t>4</w:t>
      </w:r>
      <w:r w:rsidRPr="00825264">
        <w:rPr>
          <w:rStyle w:val="HideTWBExt"/>
        </w:rPr>
        <w:t>&lt;/NumAm&gt;</w:t>
      </w:r>
    </w:p>
    <w:p w:rsidR="00AA56F9" w:rsidRPr="00FE0A8B" w:rsidP="00BD2DF0" w14:paraId="6D83274B"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5B874B73" w14:textId="77777777">
      <w:pPr>
        <w:pStyle w:val="NormalBold"/>
        <w:widowControl/>
      </w:pPr>
      <w:r>
        <w:rPr>
          <w:rStyle w:val="HideTWBExt"/>
        </w:rPr>
        <w:t>&lt;Article&gt;</w:t>
      </w:r>
      <w:r>
        <w:t>Considérant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D627B"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7066677F" w14:textId="77777777">
            <w:pPr>
              <w:widowControl/>
            </w:pPr>
          </w:p>
        </w:tc>
      </w:tr>
      <w:tr w14:paraId="258BCA76"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67D7DF86"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5FA70586" w14:textId="77777777">
            <w:pPr>
              <w:pStyle w:val="AmColumnHeading"/>
              <w:widowControl/>
            </w:pPr>
            <w:r>
              <w:t>Amendement</w:t>
            </w:r>
          </w:p>
        </w:tc>
      </w:tr>
      <w:tr w14:paraId="37AC9EE1"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7EE2D01A" w14:textId="77777777">
            <w:pPr>
              <w:pStyle w:val="Normal6a"/>
              <w:widowControl/>
            </w:pPr>
            <w:r>
              <w:t>(12)</w:t>
            </w:r>
            <w:r>
              <w:tab/>
            </w:r>
            <w:r>
              <w:t xml:space="preserve">Dans le contexte de la coopération consulaire locale, les cadres d’urgence consulaires conjoints devraient être réexaminés </w:t>
            </w:r>
            <w:r>
              <w:rPr>
                <w:b/>
                <w:i/>
              </w:rPr>
              <w:t>régulièrement</w:t>
            </w:r>
            <w:r>
              <w:t xml:space="preserve"> et mis à jour </w:t>
            </w:r>
            <w:r>
              <w:rPr>
                <w:b/>
                <w:i/>
              </w:rPr>
              <w:t>si nécessaire</w:t>
            </w:r>
            <w:r>
              <w:t xml:space="preserve">, notamment sur la base des conclusions des exercices consulaires. Les cadres </w:t>
            </w:r>
            <w:r>
              <w:t xml:space="preserve">d’urgence consulaires conjoints pourraient également contenir des dispositions spécifiques relatives au rôle des États membres, telles que la décision d’un groupe d’États membres de renforcer leur coopération à des fins de préparation ou de réaction aux crises de manière à assurer une coordination efficace de </w:t>
            </w:r>
            <w:r>
              <w:t>l’assistance consulaire. Dans le même temps, les cadres d’urgence consulaires conjoints ne devraient pas être interprétés comme remplaçant les plans de crise nationaux existants des États membres ou co</w:t>
            </w:r>
            <w:r>
              <w:t>mme portant atteinte à leur responsabilité de fournir une assistance consulaire à leurs propres ressortissants.</w:t>
            </w:r>
          </w:p>
        </w:tc>
        <w:tc>
          <w:tcPr>
            <w:tcW w:w="4876" w:type="dxa"/>
            <w:tcBorders>
              <w:top w:val="nil"/>
              <w:left w:val="nil"/>
              <w:bottom w:val="nil"/>
              <w:right w:val="nil"/>
            </w:tcBorders>
          </w:tcPr>
          <w:p w:rsidR="00AA56F9" w:rsidRPr="00FE0A8B" w:rsidP="00BD2DF0" w14:paraId="5E568156" w14:textId="77777777">
            <w:pPr>
              <w:pStyle w:val="Normal6a"/>
              <w:widowControl/>
            </w:pPr>
            <w:r>
              <w:t>(12)</w:t>
            </w:r>
            <w:r>
              <w:tab/>
              <w:t xml:space="preserve">Dans le contexte de la coopération consulaire locale, les cadres d’urgence consulaires conjoints devraient être réexaminés et mis à jour </w:t>
            </w:r>
            <w:r>
              <w:rPr>
                <w:b/>
                <w:i/>
              </w:rPr>
              <w:t>chaque année ou plus fréquemment lorsque la situation l’exige</w:t>
            </w:r>
            <w:r>
              <w:t xml:space="preserve">, notamment sur la base des conclusions des exercices consulaires. Les cadres d’urgence consulaires conjoints pourraient également contenir des dispositions spécifiques relatives au rôle des États membres, telles que la décision d’un groupe d’États membres de renforcer leur coopération à des fins de préparation </w:t>
            </w:r>
            <w:r>
              <w:t xml:space="preserve">ou de réaction aux crises de manière à </w:t>
            </w:r>
            <w:r>
              <w:t>assurer une coordination efficace de l’assistance consulaire. Dans le même temps, les cadres d’urgence consulaires conjoints ne devraient pas être interprétés comme remplaçant les plans de crise nationaux existants des États membres ou comme portant atteinte à leur responsabilité de fournir une assistance consulaire à leurs propres ressortissants.</w:t>
            </w:r>
          </w:p>
        </w:tc>
      </w:tr>
    </w:tbl>
    <w:p w:rsidR="00AA56F9" w:rsidRPr="00BD2DF0" w:rsidP="00BD2DF0" w14:paraId="7457E105" w14:textId="77777777">
      <w:pPr>
        <w:widowControl/>
      </w:pPr>
      <w:r w:rsidRPr="00825264">
        <w:rPr>
          <w:rStyle w:val="HideTWBExt"/>
        </w:rPr>
        <w:t>&lt;/Amend&gt;</w:t>
      </w:r>
    </w:p>
    <w:p w:rsidR="00AA56F9" w:rsidRPr="00BD2DF0" w:rsidP="00BD2DF0" w14:paraId="6A60815D" w14:textId="77777777">
      <w:pPr>
        <w:pStyle w:val="AmNumberTabs"/>
        <w:widowControl/>
      </w:pPr>
      <w:r w:rsidRPr="00825264">
        <w:rPr>
          <w:rStyle w:val="HideTWBExt"/>
        </w:rPr>
        <w:t>&lt;Amend&gt;</w:t>
      </w:r>
      <w:r>
        <w:t>Amendement</w:t>
      </w:r>
      <w:r>
        <w:tab/>
      </w:r>
      <w:r>
        <w:tab/>
      </w:r>
      <w:r w:rsidRPr="00825264">
        <w:rPr>
          <w:rStyle w:val="HideTWBExt"/>
        </w:rPr>
        <w:t>&lt;NumAm&gt;</w:t>
      </w:r>
      <w:r>
        <w:t>5</w:t>
      </w:r>
      <w:r w:rsidRPr="00825264">
        <w:rPr>
          <w:rStyle w:val="HideTWBExt"/>
        </w:rPr>
        <w:t>&lt;/NumAm&gt;</w:t>
      </w:r>
    </w:p>
    <w:p w:rsidR="00AA56F9" w:rsidRPr="00FE0A8B" w:rsidP="00BD2DF0" w14:paraId="134FB311"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73954453" w14:textId="77777777">
      <w:pPr>
        <w:pStyle w:val="NormalBold"/>
        <w:widowControl/>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47E75"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406B2A59" w14:textId="77777777">
            <w:pPr>
              <w:widowControl/>
            </w:pPr>
          </w:p>
        </w:tc>
      </w:tr>
      <w:tr w14:paraId="29DD37B7"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60B43E72"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7DCC837C" w14:textId="77777777">
            <w:pPr>
              <w:pStyle w:val="AmColumnHeading"/>
              <w:widowControl/>
            </w:pPr>
            <w:r>
              <w:t>Amendement</w:t>
            </w:r>
          </w:p>
        </w:tc>
      </w:tr>
      <w:tr w14:paraId="636D07DF"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26AF3123" w14:textId="77777777">
            <w:pPr>
              <w:pStyle w:val="Normal6a"/>
              <w:widowControl/>
            </w:pPr>
            <w:r>
              <w:t>(13)</w:t>
            </w:r>
            <w:r>
              <w:tab/>
              <w:t xml:space="preserve">Les conseils aux voyageurs, c’est-à-dire les informations fournies par les États </w:t>
            </w:r>
            <w:r>
              <w:t>membres sur la sécurité relative des voyages vers certains pays tiers, permettent aux voyageurs de prendre une décision en connaissance de cause sur une destination donnée, y compris les pays tiers dans lesquels l’État membre dont ils ont la nationalité n’est pas représenté. Si la délivrance de conseils aux voyageurs relève de la responsabilité des États membres, il est utile qu’ils échangent des informations sur ce sujet, notamment dans le contexte de situations de crise, de manière à améliorer les informa</w:t>
            </w:r>
            <w:r>
              <w:t>tions fournies aux citoyens non représentés. À cette fin, le SEAE devrait encourager les échanges de ce type d’informations entre les États membres, notamment par l’intermédiaire de son site internet sécurisé (Consular On Line, ou "CoOL"). Ces échanges pourraient reposer sur une structure commune des niveaux de risque indiqués dans les conseils aux voyageurs.</w:t>
            </w:r>
          </w:p>
        </w:tc>
        <w:tc>
          <w:tcPr>
            <w:tcW w:w="4876" w:type="dxa"/>
            <w:tcBorders>
              <w:top w:val="nil"/>
              <w:left w:val="nil"/>
              <w:bottom w:val="nil"/>
              <w:right w:val="nil"/>
            </w:tcBorders>
          </w:tcPr>
          <w:p w:rsidR="00AA56F9" w:rsidRPr="00FE0A8B" w:rsidP="00BD2DF0" w14:paraId="29FCD466" w14:textId="77777777">
            <w:pPr>
              <w:pStyle w:val="Normal6a"/>
              <w:widowControl/>
            </w:pPr>
            <w:r>
              <w:t>(13)</w:t>
            </w:r>
            <w:r>
              <w:tab/>
              <w:t>Les conseils aux voyageurs, c’est-à-dire les informations fournies par les États membres sur la sécurité relative des voyages vers certains pays tiers, permettent aux voyageurs de prendre une décision en connaissance de cause sur une destination donnée, y compris les pays tiers dans lesquels l’État membre dont ils ont la nationalité n’est pas représenté. Si la délivrance de conseils aux voyageurs relève de la responsabilité des États membres, il est utile qu’ils échangent des informations sur ce sujet, not</w:t>
            </w:r>
            <w:r>
              <w:t xml:space="preserve">amment dans le contexte de situations de crise, de manière à améliorer les informations fournies aux citoyens non représentés </w:t>
            </w:r>
            <w:r>
              <w:rPr>
                <w:b/>
                <w:i/>
              </w:rPr>
              <w:t>et à veiller à ce qu’elles soient cohérentes et à jour</w:t>
            </w:r>
            <w:r>
              <w:t>. À cette fin, le SEAE devrait encourager les échanges de ce type d’informations entre les États membres, notamment par l’intermédiaire de son site internet sécurisé (Consular On Line, ou "CoOL"). Ces échanges pourraient reposer sur une structure commune des niveaux de risque indiqués dans les conseils aux voyageurs.</w:t>
            </w:r>
          </w:p>
        </w:tc>
      </w:tr>
    </w:tbl>
    <w:p w:rsidR="00AA56F9" w:rsidRPr="00BD2DF0" w:rsidP="00BD2DF0" w14:paraId="68D3E667" w14:textId="77777777">
      <w:pPr>
        <w:widowControl/>
      </w:pPr>
      <w:r w:rsidRPr="00825264">
        <w:rPr>
          <w:rStyle w:val="HideTWBExt"/>
        </w:rPr>
        <w:t>&lt;/Amend&gt;</w:t>
      </w:r>
    </w:p>
    <w:p w:rsidR="00AA56F9" w:rsidRPr="00BD2DF0" w:rsidP="00BD2DF0" w14:paraId="243AE8F1" w14:textId="77777777">
      <w:pPr>
        <w:pStyle w:val="AmNumberTabs"/>
        <w:widowControl/>
      </w:pPr>
      <w:r w:rsidRPr="00825264">
        <w:rPr>
          <w:rStyle w:val="HideTWBExt"/>
        </w:rPr>
        <w:t>&lt;Amend&gt;</w:t>
      </w:r>
      <w:r>
        <w:t>Amendement</w:t>
      </w:r>
      <w:r>
        <w:tab/>
      </w:r>
      <w:r>
        <w:tab/>
      </w:r>
      <w:r w:rsidRPr="00825264">
        <w:rPr>
          <w:rStyle w:val="HideTWBExt"/>
        </w:rPr>
        <w:t>&lt;NumAm&gt;</w:t>
      </w:r>
      <w:r>
        <w:t>6</w:t>
      </w:r>
      <w:r w:rsidRPr="00825264">
        <w:rPr>
          <w:rStyle w:val="HideTWBExt"/>
        </w:rPr>
        <w:t>&lt;/NumAm&gt;</w:t>
      </w:r>
    </w:p>
    <w:p w:rsidR="00AA56F9" w:rsidRPr="00FE0A8B" w:rsidP="00BD2DF0" w14:paraId="03073222"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461AE7E4" w14:textId="77777777">
      <w:pPr>
        <w:pStyle w:val="NormalBold"/>
        <w:widowControl/>
      </w:pPr>
      <w:r>
        <w:rPr>
          <w:rStyle w:val="HideTWBExt"/>
        </w:rPr>
        <w:t>&lt;Article&gt;</w:t>
      </w:r>
      <w:r>
        <w:t>Considérant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03BAB"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113EEFBF" w14:textId="77777777">
            <w:pPr>
              <w:widowControl/>
            </w:pPr>
          </w:p>
        </w:tc>
      </w:tr>
      <w:tr w14:paraId="5528CBEC"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707DDB52" w14:textId="77777777">
            <w:pPr>
              <w:pStyle w:val="AmColumnHeading"/>
              <w:widowControl/>
            </w:pPr>
            <w:r>
              <w:t xml:space="preserve">Texte </w:t>
            </w:r>
            <w:r>
              <w:t>proposé par le Conseil</w:t>
            </w:r>
          </w:p>
        </w:tc>
        <w:tc>
          <w:tcPr>
            <w:tcW w:w="4876" w:type="dxa"/>
            <w:tcBorders>
              <w:top w:val="nil"/>
              <w:left w:val="nil"/>
              <w:bottom w:val="nil"/>
              <w:right w:val="nil"/>
            </w:tcBorders>
          </w:tcPr>
          <w:p w:rsidR="00AA56F9" w:rsidRPr="009A76E7" w:rsidP="00BD2DF0" w14:paraId="2753CE94" w14:textId="77777777">
            <w:pPr>
              <w:pStyle w:val="AmColumnHeading"/>
              <w:widowControl/>
            </w:pPr>
            <w:r>
              <w:t>Amendement</w:t>
            </w:r>
          </w:p>
        </w:tc>
      </w:tr>
      <w:tr w14:paraId="4D81B7C6"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1923F381" w14:textId="77777777">
            <w:pPr>
              <w:pStyle w:val="Normal6a"/>
              <w:widowControl/>
            </w:pPr>
          </w:p>
        </w:tc>
        <w:tc>
          <w:tcPr>
            <w:tcW w:w="4876" w:type="dxa"/>
            <w:tcBorders>
              <w:top w:val="nil"/>
              <w:left w:val="nil"/>
              <w:bottom w:val="nil"/>
              <w:right w:val="nil"/>
            </w:tcBorders>
          </w:tcPr>
          <w:p w:rsidR="00AA56F9" w:rsidRPr="00FE0A8B" w:rsidP="00BD2DF0" w14:paraId="13415C61" w14:textId="77777777">
            <w:pPr>
              <w:pStyle w:val="Normal6a"/>
              <w:widowControl/>
            </w:pPr>
            <w:r>
              <w:rPr>
                <w:b/>
                <w:i/>
              </w:rPr>
              <w:t>(14 bis)</w:t>
            </w:r>
            <w:r>
              <w:tab/>
            </w:r>
            <w:r>
              <w:rPr>
                <w:b/>
                <w:i/>
              </w:rPr>
              <w:t xml:space="preserve">L’expérience a montré que l’échange en temps utile d’informations actualisées entre les États membres et les délégations de l’Union est l’un des principaux défis rencontrés dans les situations de crise. </w:t>
            </w:r>
            <w:r>
              <w:rPr>
                <w:b/>
                <w:i/>
              </w:rPr>
              <w:t>C’est pourquoi il convient d’encourager l’adoption de mesures et de procédures supplémentaires pour améliorer cet échange, y compris l’amélioration par le SEAE de l’outil informatique pour les crises.</w:t>
            </w:r>
          </w:p>
        </w:tc>
      </w:tr>
    </w:tbl>
    <w:p w:rsidR="00AA56F9" w:rsidRPr="00BD2DF0" w:rsidP="00BD2DF0" w14:paraId="04740C29" w14:textId="77777777">
      <w:pPr>
        <w:widowControl/>
      </w:pPr>
      <w:r w:rsidRPr="00825264">
        <w:rPr>
          <w:rStyle w:val="HideTWBExt"/>
        </w:rPr>
        <w:t>&lt;/Amend&gt;</w:t>
      </w:r>
    </w:p>
    <w:p w:rsidR="00AA56F9" w:rsidRPr="00BD2DF0" w:rsidP="00BD2DF0" w14:paraId="73034394" w14:textId="77777777">
      <w:pPr>
        <w:pStyle w:val="AmNumberTabs"/>
        <w:widowControl/>
      </w:pPr>
      <w:r w:rsidRPr="00825264">
        <w:rPr>
          <w:rStyle w:val="HideTWBExt"/>
        </w:rPr>
        <w:t>&lt;Amend&gt;</w:t>
      </w:r>
      <w:r>
        <w:t>Amendement</w:t>
      </w:r>
      <w:r>
        <w:tab/>
      </w:r>
      <w:r>
        <w:tab/>
      </w:r>
      <w:r w:rsidRPr="00825264">
        <w:rPr>
          <w:rStyle w:val="HideTWBExt"/>
        </w:rPr>
        <w:t>&lt;NumAm&gt;</w:t>
      </w:r>
      <w:r>
        <w:t>7</w:t>
      </w:r>
      <w:r w:rsidRPr="00825264">
        <w:rPr>
          <w:rStyle w:val="HideTWBExt"/>
        </w:rPr>
        <w:t>&lt;/NumAm&gt;</w:t>
      </w:r>
    </w:p>
    <w:p w:rsidR="00AA56F9" w:rsidRPr="00FE0A8B" w:rsidP="00BD2DF0" w14:paraId="5F4477EE"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60B9C657" w14:textId="77777777">
      <w:pPr>
        <w:pStyle w:val="NormalBold"/>
        <w:widowControl/>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57B0E"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51FAF27D" w14:textId="77777777">
            <w:pPr>
              <w:widowControl/>
            </w:pPr>
          </w:p>
        </w:tc>
      </w:tr>
      <w:tr w14:paraId="7AB12C7E"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55BE932A"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0B208C40" w14:textId="77777777">
            <w:pPr>
              <w:pStyle w:val="AmColumnHeading"/>
              <w:widowControl/>
            </w:pPr>
            <w:r>
              <w:t>Amendement</w:t>
            </w:r>
          </w:p>
        </w:tc>
      </w:tr>
      <w:tr w14:paraId="43294CCB"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7A04D548" w14:textId="77777777">
            <w:pPr>
              <w:pStyle w:val="Normal6a"/>
              <w:widowControl/>
            </w:pPr>
            <w:r>
              <w:t>(16)</w:t>
            </w:r>
            <w:r>
              <w:tab/>
            </w:r>
            <w:r>
              <w:t xml:space="preserve">Les équipes consulaires conjointes devraient être fondées sur les principes de </w:t>
            </w:r>
            <w:r>
              <w:rPr>
                <w:b/>
                <w:i/>
              </w:rPr>
              <w:t>participation volontaire, de</w:t>
            </w:r>
            <w:r>
              <w:t xml:space="preserve"> 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 de visibilité de la réaction coordonnée de l’Union et d’ouverture aux p</w:t>
            </w:r>
            <w:r>
              <w:t xml:space="preserve">ays tiers concernés. Ces principes ainsi que des thèmes tels que la formation, les activités préparatoires au déploiement, le déploiement à proprement parler, les procédures de suivi, la logistique et les questions financières pourraient être développés davantage dans le cadre d’orientations non contraignantes. Les équipes consulaires conjointes ne devraient pas avoir d’incidence sur les opérations consulaires menées par les États membres ni sur leur compétence pour ce qui est de </w:t>
            </w:r>
            <w:r>
              <w:t>déployer des équipes consul</w:t>
            </w:r>
            <w:r>
              <w:t>aires nationales.</w:t>
            </w:r>
          </w:p>
        </w:tc>
        <w:tc>
          <w:tcPr>
            <w:tcW w:w="4876" w:type="dxa"/>
            <w:tcBorders>
              <w:top w:val="nil"/>
              <w:left w:val="nil"/>
              <w:bottom w:val="nil"/>
              <w:right w:val="nil"/>
            </w:tcBorders>
          </w:tcPr>
          <w:p w:rsidR="00AA56F9" w:rsidRPr="00FE0A8B" w:rsidP="00BD2DF0" w14:paraId="26772092" w14:textId="77777777">
            <w:pPr>
              <w:pStyle w:val="Normal6a"/>
              <w:widowControl/>
            </w:pPr>
            <w:r>
              <w:t>(16)</w:t>
            </w:r>
            <w:r>
              <w:tab/>
              <w:t>Les équipes consulaires conjointes devraient être fondées sur les principes de 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w:t>
            </w:r>
            <w:r>
              <w:rPr>
                <w:b/>
                <w:i/>
              </w:rPr>
              <w:t>, de rapidité</w:t>
            </w:r>
            <w:r>
              <w:t>, de visibilité de la réaction coordonnée de l’Union et d’ouverture aux pays tiers conce</w:t>
            </w:r>
            <w:r>
              <w:t xml:space="preserve">rnés. Ces principes ainsi que des thèmes tels que la formation, les activités préparatoires au déploiement, le déploiement à proprement parler, les procédures de suivi, la logistique et les questions financières pourraient être développés davantage dans le cadre d’orientations non contraignantes. Les équipes consulaires conjointes ne devraient pas avoir d’incidence sur les opérations consulaires menées par les États membres ni sur leur compétence pour ce qui est de </w:t>
            </w:r>
            <w:r>
              <w:t>déployer des équipes consulaires nationale</w:t>
            </w:r>
            <w:r>
              <w:t>s.</w:t>
            </w:r>
          </w:p>
        </w:tc>
      </w:tr>
    </w:tbl>
    <w:p w:rsidR="00AA56F9" w:rsidRPr="00BD2DF0" w:rsidP="00BD2DF0" w14:paraId="2273D3BA" w14:textId="77777777">
      <w:pPr>
        <w:widowControl/>
      </w:pPr>
      <w:r w:rsidRPr="00825264">
        <w:rPr>
          <w:rStyle w:val="HideTWBExt"/>
        </w:rPr>
        <w:t>&lt;/Amend&gt;</w:t>
      </w:r>
    </w:p>
    <w:p w:rsidR="00AA56F9" w:rsidRPr="00BD2DF0" w:rsidP="00BD2DF0" w14:paraId="508E4117" w14:textId="77777777">
      <w:pPr>
        <w:pStyle w:val="AmNumberTabs"/>
        <w:widowControl/>
      </w:pPr>
      <w:r w:rsidRPr="00825264">
        <w:rPr>
          <w:rStyle w:val="HideTWBExt"/>
        </w:rPr>
        <w:t>&lt;Amend&gt;</w:t>
      </w:r>
      <w:r>
        <w:t>Amendement</w:t>
      </w:r>
      <w:r>
        <w:tab/>
      </w:r>
      <w:r>
        <w:tab/>
      </w:r>
      <w:r w:rsidRPr="00825264">
        <w:rPr>
          <w:rStyle w:val="HideTWBExt"/>
        </w:rPr>
        <w:t>&lt;NumAm&gt;</w:t>
      </w:r>
      <w:r>
        <w:t>8</w:t>
      </w:r>
      <w:r w:rsidRPr="00825264">
        <w:rPr>
          <w:rStyle w:val="HideTWBExt"/>
        </w:rPr>
        <w:t>&lt;/NumAm&gt;</w:t>
      </w:r>
    </w:p>
    <w:p w:rsidR="00AA56F9" w:rsidRPr="00FE0A8B" w:rsidP="00BD2DF0" w14:paraId="7C63E3DF"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1F29DE05" w14:textId="77777777">
      <w:pPr>
        <w:pStyle w:val="NormalBold"/>
        <w:widowControl/>
      </w:pPr>
      <w:r>
        <w:rPr>
          <w:rStyle w:val="HideTWBExt"/>
        </w:rPr>
        <w:t>&lt;Article&gt;</w:t>
      </w:r>
      <w:r>
        <w:t>Considérant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E7B0C"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243730F9" w14:textId="77777777">
            <w:pPr>
              <w:widowControl/>
            </w:pPr>
          </w:p>
        </w:tc>
      </w:tr>
      <w:tr w14:paraId="61E9DA66"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67A37D35"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06075238" w14:textId="77777777">
            <w:pPr>
              <w:pStyle w:val="AmColumnHeading"/>
              <w:widowControl/>
            </w:pPr>
            <w:r>
              <w:t>Amendement</w:t>
            </w:r>
          </w:p>
        </w:tc>
      </w:tr>
      <w:tr w14:paraId="29BDB0A1"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636C73C3" w14:textId="77777777">
            <w:pPr>
              <w:pStyle w:val="Normal6a"/>
              <w:widowControl/>
            </w:pPr>
          </w:p>
        </w:tc>
        <w:tc>
          <w:tcPr>
            <w:tcW w:w="4876" w:type="dxa"/>
            <w:tcBorders>
              <w:top w:val="nil"/>
              <w:left w:val="nil"/>
              <w:bottom w:val="nil"/>
              <w:right w:val="nil"/>
            </w:tcBorders>
          </w:tcPr>
          <w:p w:rsidR="00AA56F9" w:rsidRPr="00FE0A8B" w:rsidP="00BD2DF0" w14:paraId="52A1F195" w14:textId="77777777">
            <w:pPr>
              <w:pStyle w:val="Normal6a"/>
              <w:widowControl/>
            </w:pPr>
            <w:r>
              <w:rPr>
                <w:b/>
                <w:i/>
              </w:rPr>
              <w:t>(18 bis)</w:t>
            </w:r>
            <w:r>
              <w:tab/>
            </w:r>
            <w:r>
              <w:rPr>
                <w:b/>
                <w:i/>
              </w:rPr>
              <w:t xml:space="preserve">Les États membres et les </w:t>
            </w:r>
            <w:r>
              <w:rPr>
                <w:b/>
                <w:i/>
              </w:rPr>
              <w:t>organes compétents de l’Union veillent à ce que les informations destinées aux citoyens relatives à la protection consulaire soient facilement accessibles et à jour. Sont encouragées les plateformes numériques, y compris les applications mobiles, par l’intermédiaire desquelles les citoyens de l’Union ont rapidement et facilement accès aux informations relatives à la protection consulaire et aux canaux de contact à tout moment. En outre, des systèmes de notification automatique, tels que des systèmes de mess</w:t>
            </w:r>
            <w:r>
              <w:rPr>
                <w:b/>
                <w:i/>
              </w:rPr>
              <w:t>ages courts via les réseaux téléphoniques, devraient être mis en place pour fournir à tous les citoyens de l’Union des informations contextualisées sur leurs droits et sur la manière de les exercer à leur arrivée dans des pays tiers, ainsi que des messages d’alerte et des recommandations en temps réel en cas de crise.</w:t>
            </w:r>
          </w:p>
        </w:tc>
      </w:tr>
    </w:tbl>
    <w:p w:rsidR="00AA56F9" w:rsidRPr="00BD2DF0" w:rsidP="00BD2DF0" w14:paraId="6D2DDF9C" w14:textId="77777777">
      <w:pPr>
        <w:widowControl/>
      </w:pPr>
      <w:r w:rsidRPr="00825264">
        <w:rPr>
          <w:rStyle w:val="HideTWBExt"/>
        </w:rPr>
        <w:t>&lt;/Amend&gt;</w:t>
      </w:r>
    </w:p>
    <w:p w:rsidR="00AA56F9" w:rsidRPr="00BD2DF0" w:rsidP="00BD2DF0" w14:paraId="13E85CAF" w14:textId="77777777">
      <w:pPr>
        <w:pStyle w:val="AmNumberTabs"/>
        <w:widowControl/>
      </w:pPr>
      <w:r w:rsidRPr="00825264">
        <w:rPr>
          <w:rStyle w:val="HideTWBExt"/>
        </w:rPr>
        <w:t>&lt;Amend&gt;</w:t>
      </w:r>
      <w:r>
        <w:t>Amendement</w:t>
      </w:r>
      <w:r>
        <w:tab/>
      </w:r>
      <w:r>
        <w:tab/>
      </w:r>
      <w:r w:rsidRPr="00825264">
        <w:rPr>
          <w:rStyle w:val="HideTWBExt"/>
        </w:rPr>
        <w:t>&lt;NumAm&gt;</w:t>
      </w:r>
      <w:r>
        <w:t>9</w:t>
      </w:r>
      <w:r w:rsidRPr="00825264">
        <w:rPr>
          <w:rStyle w:val="HideTWBExt"/>
        </w:rPr>
        <w:t>&lt;/NumAm&gt;</w:t>
      </w:r>
    </w:p>
    <w:p w:rsidR="00AA56F9" w:rsidRPr="00FE0A8B" w:rsidP="00BD2DF0" w14:paraId="54386689"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12C2821E" w14:textId="77777777">
      <w:pPr>
        <w:pStyle w:val="NormalBold"/>
        <w:widowControl/>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8855A"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4B068566" w14:textId="77777777">
            <w:pPr>
              <w:widowControl/>
            </w:pPr>
          </w:p>
        </w:tc>
      </w:tr>
      <w:tr w14:paraId="58066651"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1760ABBC"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72A8FD32" w14:textId="77777777">
            <w:pPr>
              <w:pStyle w:val="AmColumnHeading"/>
              <w:widowControl/>
            </w:pPr>
            <w:r>
              <w:t>Amendement</w:t>
            </w:r>
          </w:p>
        </w:tc>
      </w:tr>
      <w:tr w14:paraId="69A2B77C"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089014B6" w14:textId="77777777">
            <w:pPr>
              <w:pStyle w:val="Normal6a"/>
              <w:widowControl/>
            </w:pPr>
            <w:r>
              <w:t>(19)</w:t>
            </w:r>
            <w:r>
              <w:tab/>
              <w:t xml:space="preserve">Les États </w:t>
            </w:r>
            <w:r>
              <w:t xml:space="preserve">membres devraient prendre les mesures appropriées pour contribuer davantage à sensibiliser les citoyens de l’Union à leur droit énoncé à l’article 20, paragraphe 2, point c), du TFUE, en tenant également compte des </w:t>
            </w:r>
            <w:r>
              <w:t xml:space="preserve">besoins spécifiques des personnes handicapées. Il </w:t>
            </w:r>
            <w:r>
              <w:rPr>
                <w:b/>
                <w:i/>
              </w:rPr>
              <w:t>pourrait</w:t>
            </w:r>
            <w:r>
              <w:t xml:space="preserve"> par exemple s’agir de reproduire le texte de l’article 23 du TFUE dans les passeports délivrés par les États membres, comme le préconisait déjà la recommandation C(2007) 5841 de la Commission</w:t>
            </w:r>
            <w:r>
              <w:rPr>
                <w:vertAlign w:val="superscript"/>
              </w:rPr>
              <w:t>3</w:t>
            </w:r>
            <w:r>
              <w:t>, d’intégrer des informations pertinentes dans</w:t>
            </w:r>
            <w:r>
              <w:t xml:space="preserve"> les conseils aux voyageurs et les campagnes relatives à l’assistance consulaire ou </w:t>
            </w:r>
            <w:r>
              <w:rPr>
                <w:b/>
                <w:i/>
              </w:rPr>
              <w:t>d’encourager les</w:t>
            </w:r>
            <w:r>
              <w:t xml:space="preserve"> prestataires de services de transport de voyageurs et </w:t>
            </w:r>
            <w:r>
              <w:rPr>
                <w:b/>
                <w:i/>
              </w:rPr>
              <w:t>les</w:t>
            </w:r>
            <w:r>
              <w:t xml:space="preserve"> plateformes de transport proposant des voyages vers des pays tiers </w:t>
            </w:r>
            <w:r>
              <w:rPr>
                <w:b/>
                <w:i/>
              </w:rPr>
              <w:t>à ajouter</w:t>
            </w:r>
            <w:r>
              <w:t xml:space="preserve"> des détails importants dans les documents d’information mis à la disposition des clients.</w:t>
            </w:r>
          </w:p>
        </w:tc>
        <w:tc>
          <w:tcPr>
            <w:tcW w:w="4876" w:type="dxa"/>
            <w:tcBorders>
              <w:top w:val="nil"/>
              <w:left w:val="nil"/>
              <w:bottom w:val="nil"/>
              <w:right w:val="nil"/>
            </w:tcBorders>
          </w:tcPr>
          <w:p w:rsidR="00AA56F9" w:rsidRPr="00FE0A8B" w:rsidP="00BD2DF0" w14:paraId="1A773115" w14:textId="77777777">
            <w:pPr>
              <w:pStyle w:val="Normal6a"/>
              <w:widowControl/>
            </w:pPr>
            <w:r>
              <w:t>(19)</w:t>
            </w:r>
            <w:r>
              <w:tab/>
              <w:t xml:space="preserve">Les États membres </w:t>
            </w:r>
            <w:r>
              <w:rPr>
                <w:b/>
                <w:i/>
              </w:rPr>
              <w:t>et les institutions de l’Union</w:t>
            </w:r>
            <w:r>
              <w:t xml:space="preserve"> devraient prendre les mesures appropriées pour contribuer davantage à sensibiliser les citoyens de l’Union à leur droit énoncé à l’article 20, paragraphe 2, point c), du TFUE, en tenant </w:t>
            </w:r>
            <w:r>
              <w:t xml:space="preserve">également compte des besoins spécifiques des personnes handicapées. Il </w:t>
            </w:r>
            <w:r>
              <w:rPr>
                <w:b/>
                <w:i/>
              </w:rPr>
              <w:t>devrait</w:t>
            </w:r>
            <w:r>
              <w:t xml:space="preserve"> par exemple s’agir de reproduire le texte de l’article 23 du TFUE dans les passeports délivrés par les États membres, comme le préconisait déjà la recommandation C(2007) 5841 de la Commission</w:t>
            </w:r>
            <w:r>
              <w:rPr>
                <w:vertAlign w:val="superscript"/>
              </w:rPr>
              <w:t>3</w:t>
            </w:r>
            <w:r>
              <w:t>, d’i</w:t>
            </w:r>
            <w:r>
              <w:t xml:space="preserve">ntégrer des informations pertinentes dans les conseils aux voyageurs et les campagnes relatives à l’assistance consulaire ou </w:t>
            </w:r>
            <w:r>
              <w:rPr>
                <w:b/>
                <w:i/>
              </w:rPr>
              <w:t>d’exiger des</w:t>
            </w:r>
            <w:r>
              <w:t xml:space="preserve"> prestataires de services de transport de voyageurs et </w:t>
            </w:r>
            <w:r>
              <w:rPr>
                <w:b/>
                <w:i/>
              </w:rPr>
              <w:t>des</w:t>
            </w:r>
            <w:r>
              <w:t xml:space="preserve"> plateformes de transport proposant des voyages vers des pays tiers </w:t>
            </w:r>
            <w:r>
              <w:rPr>
                <w:b/>
                <w:i/>
              </w:rPr>
              <w:t>qu’ils ajoutent</w:t>
            </w:r>
            <w:r>
              <w:t xml:space="preserve"> des détails importants dans les documents d’information mis à la disposition des clients.</w:t>
            </w:r>
          </w:p>
        </w:tc>
      </w:tr>
      <w:tr w14:paraId="2189412C"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22660D7B" w14:textId="77777777">
            <w:pPr>
              <w:pStyle w:val="Normal6a"/>
              <w:widowControl/>
            </w:pPr>
            <w:r>
              <w:rPr>
                <w:b/>
                <w:i/>
              </w:rPr>
              <w:t>_________________</w:t>
            </w:r>
          </w:p>
        </w:tc>
        <w:tc>
          <w:tcPr>
            <w:tcW w:w="4876" w:type="dxa"/>
            <w:tcBorders>
              <w:top w:val="nil"/>
              <w:left w:val="nil"/>
              <w:bottom w:val="nil"/>
              <w:right w:val="nil"/>
            </w:tcBorders>
          </w:tcPr>
          <w:p w:rsidR="00AA56F9" w:rsidRPr="009A76E7" w:rsidP="00BD2DF0" w14:paraId="401FDDB5" w14:textId="77777777">
            <w:pPr>
              <w:pStyle w:val="Normal6a"/>
              <w:widowControl/>
            </w:pPr>
            <w:r>
              <w:rPr>
                <w:b/>
                <w:i/>
              </w:rPr>
              <w:t>_________________</w:t>
            </w:r>
          </w:p>
        </w:tc>
      </w:tr>
      <w:tr w14:paraId="7E8054B6"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2995F559" w14:textId="77777777">
            <w:pPr>
              <w:pStyle w:val="Normal6a"/>
              <w:widowControl/>
            </w:pPr>
            <w:r>
              <w:rPr>
                <w:vertAlign w:val="superscript"/>
              </w:rPr>
              <w:t>3</w:t>
            </w:r>
            <w:r>
              <w:t xml:space="preserve"> Recommandation C(2007) 5841 de la Commission du 5 décembre 2007 relative à la reproduction de l’article 20 du traité CE dans les passeports (JO L 118 du 6.5.2008, p. 30, ELI: http://data.europa.eu/eli/reco/2008/355/oj).</w:t>
            </w:r>
          </w:p>
        </w:tc>
        <w:tc>
          <w:tcPr>
            <w:tcW w:w="4876" w:type="dxa"/>
            <w:tcBorders>
              <w:top w:val="nil"/>
              <w:left w:val="nil"/>
              <w:bottom w:val="nil"/>
              <w:right w:val="nil"/>
            </w:tcBorders>
          </w:tcPr>
          <w:p w:rsidR="00AA56F9" w:rsidRPr="00FE0A8B" w:rsidP="00BD2DF0" w14:paraId="78F2324B" w14:textId="77777777">
            <w:pPr>
              <w:pStyle w:val="Normal6a"/>
              <w:widowControl/>
            </w:pPr>
            <w:r>
              <w:rPr>
                <w:vertAlign w:val="superscript"/>
              </w:rPr>
              <w:t>3</w:t>
            </w:r>
            <w:r>
              <w:t xml:space="preserve"> Recommandation C(2007) 5841 de la Commission du 5 décembre 2007 relative à la reproduction de l’article 20 du traité CE dans les passeports (JO L 118 du 6.5.2008, p. 30, ELI: http://data.europa.eu/eli/reco/2008/355/oj).</w:t>
            </w:r>
          </w:p>
        </w:tc>
      </w:tr>
    </w:tbl>
    <w:p w:rsidR="00AA56F9" w:rsidRPr="00BD2DF0" w:rsidP="00BD2DF0" w14:paraId="1C3ED8DC" w14:textId="77777777">
      <w:pPr>
        <w:widowControl/>
      </w:pPr>
      <w:r w:rsidRPr="00825264">
        <w:rPr>
          <w:rStyle w:val="HideTWBExt"/>
        </w:rPr>
        <w:t>&lt;/Amend&gt;</w:t>
      </w:r>
    </w:p>
    <w:p w:rsidR="00AA56F9" w:rsidRPr="00BD2DF0" w:rsidP="00BD2DF0" w14:paraId="32122473" w14:textId="77777777">
      <w:pPr>
        <w:pStyle w:val="AmNumberTabs"/>
        <w:widowControl/>
      </w:pPr>
      <w:r w:rsidRPr="00825264">
        <w:rPr>
          <w:rStyle w:val="HideTWBExt"/>
        </w:rPr>
        <w:t>&lt;Amend&gt;</w:t>
      </w:r>
      <w:r>
        <w:t>Amendement</w:t>
      </w:r>
      <w:r>
        <w:tab/>
      </w:r>
      <w:r>
        <w:tab/>
      </w:r>
      <w:r w:rsidRPr="00825264">
        <w:rPr>
          <w:rStyle w:val="HideTWBExt"/>
        </w:rPr>
        <w:t>&lt;NumAm&gt;</w:t>
      </w:r>
      <w:r>
        <w:t>10</w:t>
      </w:r>
      <w:r w:rsidRPr="00825264">
        <w:rPr>
          <w:rStyle w:val="HideTWBExt"/>
        </w:rPr>
        <w:t>&lt;/NumAm&gt;</w:t>
      </w:r>
    </w:p>
    <w:p w:rsidR="00AA56F9" w:rsidRPr="00FE0A8B" w:rsidP="00BD2DF0" w14:paraId="7D0D0FEA"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7928706D" w14:textId="77777777">
      <w:pPr>
        <w:pStyle w:val="NormalBold"/>
        <w:widowControl/>
      </w:pPr>
      <w:r>
        <w:rPr>
          <w:rStyle w:val="HideTWBExt"/>
        </w:rPr>
        <w:t>&lt;Article&gt;</w:t>
      </w:r>
      <w:r>
        <w:t>Considérant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FE615"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1F6DFF82" w14:textId="77777777">
            <w:pPr>
              <w:widowControl/>
            </w:pPr>
          </w:p>
        </w:tc>
      </w:tr>
      <w:tr w14:paraId="3C222B45"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635A94E2"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250E9977" w14:textId="77777777">
            <w:pPr>
              <w:pStyle w:val="AmColumnHeading"/>
              <w:widowControl/>
            </w:pPr>
            <w:r>
              <w:t>Amendement</w:t>
            </w:r>
          </w:p>
        </w:tc>
      </w:tr>
      <w:tr w14:paraId="7730ECD5"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05E2C306" w14:textId="77777777">
            <w:pPr>
              <w:pStyle w:val="Normal6a"/>
              <w:widowControl/>
            </w:pPr>
          </w:p>
        </w:tc>
        <w:tc>
          <w:tcPr>
            <w:tcW w:w="4876" w:type="dxa"/>
            <w:tcBorders>
              <w:top w:val="nil"/>
              <w:left w:val="nil"/>
              <w:bottom w:val="nil"/>
              <w:right w:val="nil"/>
            </w:tcBorders>
          </w:tcPr>
          <w:p w:rsidR="00AA56F9" w:rsidRPr="00FE0A8B" w:rsidP="00BD2DF0" w14:paraId="67605F32" w14:textId="77777777">
            <w:pPr>
              <w:pStyle w:val="Normal6a"/>
              <w:widowControl/>
            </w:pPr>
            <w:r>
              <w:rPr>
                <w:b/>
                <w:i/>
              </w:rPr>
              <w:t>(22 bis)</w:t>
            </w:r>
            <w:r>
              <w:tab/>
            </w:r>
            <w:r>
              <w:rPr>
                <w:b/>
                <w:i/>
              </w:rPr>
              <w:t xml:space="preserve">En plus des recettes provenant des remboursements des États membres, une augmentation appropriée du budget et du </w:t>
            </w:r>
            <w:r>
              <w:rPr>
                <w:b/>
                <w:i/>
              </w:rPr>
              <w:t>personnel du SEAE devrait être accordée afin de garantir la bonne exécution des responsabilités qui lui incombent en vertu de la présente directive.</w:t>
            </w:r>
          </w:p>
        </w:tc>
      </w:tr>
    </w:tbl>
    <w:p w:rsidR="00AA56F9" w:rsidRPr="00BD2DF0" w:rsidP="00BD2DF0" w14:paraId="2AFAA842" w14:textId="77777777">
      <w:pPr>
        <w:widowControl/>
      </w:pPr>
      <w:r w:rsidRPr="00825264">
        <w:rPr>
          <w:rStyle w:val="HideTWBExt"/>
        </w:rPr>
        <w:t>&lt;/Amend&gt;</w:t>
      </w:r>
    </w:p>
    <w:p w:rsidR="00AA56F9" w:rsidRPr="00BD2DF0" w:rsidP="00BD2DF0" w14:paraId="6D15AFA2" w14:textId="77777777">
      <w:pPr>
        <w:pStyle w:val="AmNumberTabs"/>
        <w:widowControl/>
      </w:pPr>
      <w:r w:rsidRPr="00825264">
        <w:rPr>
          <w:rStyle w:val="HideTWBExt"/>
        </w:rPr>
        <w:t>&lt;Amend&gt;</w:t>
      </w:r>
      <w:r>
        <w:t>Amendement</w:t>
      </w:r>
      <w:r>
        <w:tab/>
      </w:r>
      <w:r>
        <w:tab/>
      </w:r>
      <w:r w:rsidRPr="00825264">
        <w:rPr>
          <w:rStyle w:val="HideTWBExt"/>
        </w:rPr>
        <w:t>&lt;NumAm&gt;</w:t>
      </w:r>
      <w:r>
        <w:t>11</w:t>
      </w:r>
      <w:r w:rsidRPr="00825264">
        <w:rPr>
          <w:rStyle w:val="HideTWBExt"/>
        </w:rPr>
        <w:t>&lt;/NumAm&gt;</w:t>
      </w:r>
    </w:p>
    <w:p w:rsidR="00AA56F9" w:rsidRPr="00FE0A8B" w:rsidP="00BD2DF0" w14:paraId="73FFDAE0"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397CBB7C" w14:textId="77777777">
      <w:pPr>
        <w:pStyle w:val="NormalBold"/>
        <w:widowControl/>
      </w:pPr>
      <w:r>
        <w:rPr>
          <w:rStyle w:val="HideTWBExt"/>
        </w:rPr>
        <w:t>&lt;Article&gt;</w:t>
      </w:r>
      <w:r>
        <w:t>Considérant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893C1"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0131647C" w14:textId="77777777">
            <w:pPr>
              <w:widowControl/>
            </w:pPr>
          </w:p>
        </w:tc>
      </w:tr>
      <w:tr w14:paraId="354A1EB5"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1B79417D"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15D20658" w14:textId="77777777">
            <w:pPr>
              <w:pStyle w:val="AmColumnHeading"/>
              <w:widowControl/>
            </w:pPr>
            <w:r>
              <w:t>Amendement</w:t>
            </w:r>
          </w:p>
        </w:tc>
      </w:tr>
      <w:tr w14:paraId="3EFA16D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7788DD31" w14:textId="77777777">
            <w:pPr>
              <w:pStyle w:val="Normal6a"/>
              <w:widowControl/>
            </w:pPr>
            <w:r>
              <w:t>(32)</w:t>
            </w:r>
            <w:r>
              <w:tab/>
              <w:t>Conformément à l’accord interinstitutionnel du 13 avril 2016 "Mieux légiférer"</w:t>
            </w:r>
            <w:r>
              <w:rPr>
                <w:b/>
                <w:i/>
                <w:vertAlign w:val="superscript"/>
              </w:rPr>
              <w:t>8</w:t>
            </w:r>
            <w:r>
              <w:t>, la Commission devrait, au plus tôt [</w:t>
            </w:r>
            <w:r>
              <w:rPr>
                <w:b/>
                <w:i/>
              </w:rPr>
              <w:t>huit</w:t>
            </w:r>
            <w:r>
              <w:t xml:space="preserve"> ans après le délai de transposition de la directive modificative], procéder à une évaluation de la présente directive afin de prendre la mesure de ses effets réels et de la nécessité de toute action supplémentaire. Les États membres devraient fournir à la Commission les informations nécessaires à l’établissement de ce rapport.</w:t>
            </w:r>
          </w:p>
        </w:tc>
        <w:tc>
          <w:tcPr>
            <w:tcW w:w="4876" w:type="dxa"/>
            <w:tcBorders>
              <w:top w:val="nil"/>
              <w:left w:val="nil"/>
              <w:bottom w:val="nil"/>
              <w:right w:val="nil"/>
            </w:tcBorders>
          </w:tcPr>
          <w:p w:rsidR="00AA56F9" w:rsidRPr="00FE0A8B" w:rsidP="00BD2DF0" w14:paraId="589AA007" w14:textId="77777777">
            <w:pPr>
              <w:pStyle w:val="Normal6a"/>
              <w:widowControl/>
            </w:pPr>
            <w:r>
              <w:t>(32)</w:t>
            </w:r>
            <w:r>
              <w:tab/>
              <w:t>Conformément à l’accord interinstitutionnel du 13 avril 2016 "Mieux légiférer"</w:t>
            </w:r>
            <w:r>
              <w:rPr>
                <w:vertAlign w:val="superscript"/>
              </w:rPr>
              <w:t>8</w:t>
            </w:r>
            <w:r>
              <w:t>, la Commission devrait, au plus tôt [</w:t>
            </w:r>
            <w:r>
              <w:rPr>
                <w:b/>
                <w:i/>
              </w:rPr>
              <w:t>cinq</w:t>
            </w:r>
            <w:r>
              <w:t xml:space="preserve"> ans après le délai de transposition de la directive modificative], procéder à une évaluation de la présente directive afin de prendre la mesure de ses effets réels et de la nécessité de toute action supplémentaire. Les États membres devraient fournir à la Commission les informations nécessaires à l’établissement de ce rapport.</w:t>
            </w:r>
          </w:p>
        </w:tc>
      </w:tr>
      <w:tr w14:paraId="1666D820"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1B4C12D3" w14:textId="77777777">
            <w:pPr>
              <w:pStyle w:val="Normal6a"/>
              <w:widowControl/>
            </w:pPr>
            <w:r>
              <w:rPr>
                <w:b/>
                <w:i/>
              </w:rPr>
              <w:t>_________________</w:t>
            </w:r>
          </w:p>
        </w:tc>
        <w:tc>
          <w:tcPr>
            <w:tcW w:w="4876" w:type="dxa"/>
            <w:tcBorders>
              <w:top w:val="nil"/>
              <w:left w:val="nil"/>
              <w:bottom w:val="nil"/>
              <w:right w:val="nil"/>
            </w:tcBorders>
          </w:tcPr>
          <w:p w:rsidR="00AA56F9" w:rsidRPr="009A76E7" w:rsidP="00BD2DF0" w14:paraId="507AE9C4" w14:textId="77777777">
            <w:pPr>
              <w:pStyle w:val="Normal6a"/>
              <w:widowControl/>
            </w:pPr>
            <w:r>
              <w:rPr>
                <w:b/>
                <w:i/>
              </w:rPr>
              <w:t>_________________</w:t>
            </w:r>
          </w:p>
        </w:tc>
      </w:tr>
      <w:tr w14:paraId="262C69CD"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825264" w:rsidP="00BD2DF0" w14:paraId="027E07E4" w14:textId="77777777">
            <w:pPr>
              <w:pStyle w:val="Normal6a"/>
              <w:widowControl/>
              <w:rPr>
                <w:lang w:val="fi-FI"/>
              </w:rPr>
            </w:pPr>
            <w:r w:rsidRPr="00825264">
              <w:rPr>
                <w:vertAlign w:val="superscript"/>
                <w:lang w:val="fi-FI"/>
              </w:rPr>
              <w:t>8</w:t>
            </w:r>
            <w:r w:rsidRPr="00825264">
              <w:rPr>
                <w:lang w:val="fi-FI"/>
              </w:rPr>
              <w:t xml:space="preserve"> JO L 123 du 12.5.2016, p. 1, ELI: http://data.europa.eu/eli/agree_interinstit/2016/512/oj.</w:t>
            </w:r>
          </w:p>
        </w:tc>
        <w:tc>
          <w:tcPr>
            <w:tcW w:w="4876" w:type="dxa"/>
            <w:tcBorders>
              <w:top w:val="nil"/>
              <w:left w:val="nil"/>
              <w:bottom w:val="nil"/>
              <w:right w:val="nil"/>
            </w:tcBorders>
          </w:tcPr>
          <w:p w:rsidR="00AA56F9" w:rsidRPr="00825264" w:rsidP="00BD2DF0" w14:paraId="38015526" w14:textId="77777777">
            <w:pPr>
              <w:pStyle w:val="Normal6a"/>
              <w:widowControl/>
              <w:rPr>
                <w:lang w:val="fi-FI"/>
              </w:rPr>
            </w:pPr>
            <w:r w:rsidRPr="00825264">
              <w:rPr>
                <w:vertAlign w:val="superscript"/>
                <w:lang w:val="fi-FI"/>
              </w:rPr>
              <w:t>8</w:t>
            </w:r>
            <w:r w:rsidRPr="00825264">
              <w:rPr>
                <w:lang w:val="fi-FI"/>
              </w:rPr>
              <w:t xml:space="preserve"> JO L 123 du 12.5.2016, p. 1, ELI: http://data.europa.eu/eli/agree_interinstit/2016/512/oj.</w:t>
            </w:r>
          </w:p>
        </w:tc>
      </w:tr>
    </w:tbl>
    <w:p w:rsidR="00AA56F9" w:rsidRPr="00825264" w:rsidP="00BD2DF0" w14:paraId="10E3A389" w14:textId="77777777">
      <w:pPr>
        <w:widowControl/>
        <w:rPr>
          <w:lang w:val="fi-FI"/>
        </w:rPr>
      </w:pPr>
      <w:r w:rsidRPr="00825264">
        <w:rPr>
          <w:rStyle w:val="HideTWBExt"/>
          <w:lang w:val="fi-FI"/>
        </w:rPr>
        <w:t>&lt;/Amend&gt;</w:t>
      </w:r>
    </w:p>
    <w:p w:rsidR="00AA56F9" w:rsidRPr="00BD2DF0" w:rsidP="00BD2DF0" w14:paraId="08056BE1" w14:textId="77777777">
      <w:pPr>
        <w:pStyle w:val="AmNumberTabs"/>
        <w:widowControl/>
      </w:pPr>
      <w:r w:rsidRPr="00825264">
        <w:rPr>
          <w:rStyle w:val="HideTWBExt"/>
        </w:rPr>
        <w:t>&lt;Amend&gt;</w:t>
      </w:r>
      <w:r>
        <w:t>Amendement</w:t>
      </w:r>
      <w:r>
        <w:tab/>
      </w:r>
      <w:r>
        <w:tab/>
      </w:r>
      <w:r w:rsidRPr="00825264">
        <w:rPr>
          <w:rStyle w:val="HideTWBExt"/>
        </w:rPr>
        <w:t>&lt;NumAm&gt;</w:t>
      </w:r>
      <w:r>
        <w:t>12</w:t>
      </w:r>
      <w:r w:rsidRPr="00825264">
        <w:rPr>
          <w:rStyle w:val="HideTWBExt"/>
        </w:rPr>
        <w:t>&lt;/NumAm&gt;</w:t>
      </w:r>
    </w:p>
    <w:p w:rsidR="00AA56F9" w:rsidRPr="00FE0A8B" w:rsidP="00BD2DF0" w14:paraId="5308578D"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02139AA3" w14:textId="77777777">
      <w:pPr>
        <w:pStyle w:val="NormalBold"/>
        <w:widowControl/>
      </w:pPr>
      <w:r>
        <w:rPr>
          <w:rStyle w:val="HideTWBExt"/>
        </w:rPr>
        <w:t>&lt;Article&gt;</w:t>
      </w:r>
      <w:r>
        <w:t>Article 1 – alinéa 1 – point 1</w:t>
      </w:r>
      <w:r>
        <w:rPr>
          <w:rStyle w:val="HideTWBExt"/>
        </w:rPr>
        <w:t>&lt;/Article&gt;</w:t>
      </w:r>
    </w:p>
    <w:p w:rsidR="00AA56F9" w:rsidRPr="009A76E7" w:rsidP="00BD2DF0" w14:paraId="45200D98" w14:textId="77777777">
      <w:pPr>
        <w:widowControl/>
      </w:pPr>
      <w:r>
        <w:rPr>
          <w:rStyle w:val="HideTWBExt"/>
        </w:rPr>
        <w:t>&lt;DocAmend2&gt;</w:t>
      </w:r>
      <w:r>
        <w:t>Directive (UE) 2015/637</w:t>
      </w:r>
      <w:r>
        <w:rPr>
          <w:rStyle w:val="HideTWBExt"/>
        </w:rPr>
        <w:t>&lt;/DocAmend2&gt;</w:t>
      </w:r>
    </w:p>
    <w:p w:rsidR="00AA56F9" w:rsidRPr="009A76E7" w:rsidP="00BD2DF0" w14:paraId="79B66AC4" w14:textId="77777777">
      <w:pPr>
        <w:widowControl/>
      </w:pPr>
      <w:r>
        <w:rPr>
          <w:rStyle w:val="HideTWBExt"/>
        </w:rPr>
        <w:t>&lt;Article2&gt;</w:t>
      </w:r>
      <w:r>
        <w:t>Article 7 – paragraphe 4 bis (nouveau)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80B92"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662ADD48" w14:textId="77777777">
            <w:pPr>
              <w:widowControl/>
            </w:pPr>
          </w:p>
        </w:tc>
      </w:tr>
      <w:tr w14:paraId="7E78E74E"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39608F8B"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486FA77B" w14:textId="77777777">
            <w:pPr>
              <w:pStyle w:val="AmColumnHeading"/>
              <w:widowControl/>
            </w:pPr>
            <w:r>
              <w:t>Amendement</w:t>
            </w:r>
          </w:p>
        </w:tc>
      </w:tr>
      <w:tr w14:paraId="32A87C1D"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7F4EA26E" w14:textId="77777777">
            <w:pPr>
              <w:pStyle w:val="Normal6a"/>
              <w:widowControl/>
            </w:pPr>
          </w:p>
        </w:tc>
        <w:tc>
          <w:tcPr>
            <w:tcW w:w="4876" w:type="dxa"/>
            <w:tcBorders>
              <w:top w:val="nil"/>
              <w:left w:val="nil"/>
              <w:bottom w:val="nil"/>
              <w:right w:val="nil"/>
            </w:tcBorders>
          </w:tcPr>
          <w:p w:rsidR="00AA56F9" w:rsidRPr="00FE0A8B" w:rsidP="00BD2DF0" w14:paraId="06BA42FC" w14:textId="77777777">
            <w:pPr>
              <w:pStyle w:val="Normal6a"/>
              <w:widowControl/>
            </w:pPr>
            <w:r>
              <w:rPr>
                <w:b/>
                <w:i/>
              </w:rPr>
              <w:t>4 bis.</w:t>
            </w:r>
            <w:r>
              <w:tab/>
            </w:r>
            <w:r>
              <w:rPr>
                <w:b/>
                <w:i/>
              </w:rPr>
              <w:t xml:space="preserve">Lorsqu’ils accordent une protection consulaire aux citoyens non représentés, les États membres tiennent compte des besoins spécifiques des groupes vulnérables et des </w:t>
            </w:r>
            <w:r>
              <w:rPr>
                <w:b/>
                <w:i/>
              </w:rPr>
              <w:t>personnes exposées au risque de discrimination intersectionnelle sur la base de l’article 21 de la charte et de la jurisprudence.</w:t>
            </w:r>
          </w:p>
        </w:tc>
      </w:tr>
    </w:tbl>
    <w:p w:rsidR="00AA56F9" w:rsidRPr="00BD2DF0" w:rsidP="00BD2DF0" w14:paraId="04AE31B7" w14:textId="77777777">
      <w:pPr>
        <w:widowControl/>
      </w:pPr>
      <w:r w:rsidRPr="00825264">
        <w:rPr>
          <w:rStyle w:val="HideTWBExt"/>
        </w:rPr>
        <w:t>&lt;/Amend&gt;</w:t>
      </w:r>
    </w:p>
    <w:p w:rsidR="00AA56F9" w:rsidRPr="00BD2DF0" w:rsidP="00BD2DF0" w14:paraId="29B5F068" w14:textId="77777777">
      <w:pPr>
        <w:pStyle w:val="AmNumberTabs"/>
        <w:widowControl/>
      </w:pPr>
      <w:r w:rsidRPr="00825264">
        <w:rPr>
          <w:rStyle w:val="HideTWBExt"/>
        </w:rPr>
        <w:t>&lt;Amend&gt;</w:t>
      </w:r>
      <w:r>
        <w:t>Amendement</w:t>
      </w:r>
      <w:r>
        <w:tab/>
      </w:r>
      <w:r>
        <w:tab/>
      </w:r>
      <w:r w:rsidRPr="00825264">
        <w:rPr>
          <w:rStyle w:val="HideTWBExt"/>
        </w:rPr>
        <w:t>&lt;NumAm&gt;</w:t>
      </w:r>
      <w:r>
        <w:t>13</w:t>
      </w:r>
      <w:r w:rsidRPr="00825264">
        <w:rPr>
          <w:rStyle w:val="HideTWBExt"/>
        </w:rPr>
        <w:t>&lt;/NumAm&gt;</w:t>
      </w:r>
    </w:p>
    <w:p w:rsidR="00AA56F9" w:rsidRPr="00FE0A8B" w:rsidP="00BD2DF0" w14:paraId="43D47EBA"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4A0E8135" w14:textId="77777777">
      <w:pPr>
        <w:pStyle w:val="NormalBold"/>
        <w:widowControl/>
      </w:pPr>
      <w:r>
        <w:rPr>
          <w:rStyle w:val="HideTWBExt"/>
        </w:rPr>
        <w:t>&lt;Article&gt;</w:t>
      </w:r>
      <w:r>
        <w:t xml:space="preserve">Article 1 – alinéa 1 – </w:t>
      </w:r>
      <w:r>
        <w:t>point 4</w:t>
      </w:r>
      <w:r>
        <w:rPr>
          <w:rStyle w:val="HideTWBExt"/>
        </w:rPr>
        <w:t>&lt;/Article&gt;</w:t>
      </w:r>
    </w:p>
    <w:p w:rsidR="00AA56F9" w:rsidRPr="009A76E7" w:rsidP="00BD2DF0" w14:paraId="297FADB7" w14:textId="77777777">
      <w:pPr>
        <w:widowControl/>
      </w:pPr>
      <w:r>
        <w:rPr>
          <w:rStyle w:val="HideTWBExt"/>
        </w:rPr>
        <w:t>&lt;DocAmend2&gt;</w:t>
      </w:r>
      <w:r>
        <w:t>Directive (UE) 2015/637</w:t>
      </w:r>
      <w:r>
        <w:rPr>
          <w:rStyle w:val="HideTWBExt"/>
        </w:rPr>
        <w:t>&lt;/DocAmend2&gt;</w:t>
      </w:r>
    </w:p>
    <w:p w:rsidR="00AA56F9" w:rsidRPr="009A76E7" w:rsidP="00BD2DF0" w14:paraId="223808B1" w14:textId="77777777">
      <w:pPr>
        <w:widowControl/>
      </w:pPr>
      <w:r>
        <w:rPr>
          <w:rStyle w:val="HideTWBExt"/>
        </w:rPr>
        <w:t>&lt;Article2&gt;</w:t>
      </w:r>
      <w:r>
        <w:t>Article 11 – paragraphe 2 bis (nouveau)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1C348"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5AB24584" w14:textId="77777777">
            <w:pPr>
              <w:widowControl/>
            </w:pPr>
          </w:p>
        </w:tc>
      </w:tr>
      <w:tr w14:paraId="756A3E2C"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1E4D4AF8"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1641CD36" w14:textId="77777777">
            <w:pPr>
              <w:pStyle w:val="AmColumnHeading"/>
              <w:widowControl/>
            </w:pPr>
            <w:r>
              <w:t>Amendement</w:t>
            </w:r>
          </w:p>
        </w:tc>
      </w:tr>
      <w:tr w14:paraId="61B16FEB"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07E0089C" w14:textId="77777777">
            <w:pPr>
              <w:pStyle w:val="Normal6a"/>
              <w:widowControl/>
            </w:pPr>
          </w:p>
        </w:tc>
        <w:tc>
          <w:tcPr>
            <w:tcW w:w="4876" w:type="dxa"/>
            <w:tcBorders>
              <w:top w:val="nil"/>
              <w:left w:val="nil"/>
              <w:bottom w:val="nil"/>
              <w:right w:val="nil"/>
            </w:tcBorders>
          </w:tcPr>
          <w:p w:rsidR="00AA56F9" w:rsidRPr="00FE0A8B" w:rsidP="00BD2DF0" w14:paraId="38B70E6E" w14:textId="77777777">
            <w:pPr>
              <w:pStyle w:val="Normal6a"/>
              <w:widowControl/>
            </w:pPr>
            <w:r>
              <w:rPr>
                <w:b/>
                <w:i/>
              </w:rPr>
              <w:t>2 bis.</w:t>
            </w:r>
            <w:r>
              <w:tab/>
            </w:r>
            <w:r>
              <w:rPr>
                <w:b/>
                <w:i/>
              </w:rPr>
              <w:t xml:space="preserve">Le SEAE et les délégations de l’Union se voient allouer les </w:t>
            </w:r>
            <w:r>
              <w:rPr>
                <w:b/>
                <w:i/>
              </w:rPr>
              <w:t>ressources financières et humaines supplémentaires nécessaires pour couvrir les frais généraux et la charge de travail administrative horizontale supplémentaire.</w:t>
            </w:r>
          </w:p>
        </w:tc>
      </w:tr>
    </w:tbl>
    <w:p w:rsidR="00AA56F9" w:rsidRPr="00BD2DF0" w:rsidP="00BD2DF0" w14:paraId="6F1F8207" w14:textId="77777777">
      <w:pPr>
        <w:widowControl/>
      </w:pPr>
      <w:r w:rsidRPr="00825264">
        <w:rPr>
          <w:rStyle w:val="HideTWBExt"/>
        </w:rPr>
        <w:t>&lt;/Amend&gt;</w:t>
      </w:r>
    </w:p>
    <w:p w:rsidR="00AA56F9" w:rsidRPr="00BD2DF0" w:rsidP="00BD2DF0" w14:paraId="26CC49D2" w14:textId="77777777">
      <w:pPr>
        <w:pStyle w:val="AmNumberTabs"/>
        <w:widowControl/>
      </w:pPr>
      <w:r w:rsidRPr="00825264">
        <w:rPr>
          <w:rStyle w:val="HideTWBExt"/>
        </w:rPr>
        <w:t>&lt;Amend&gt;</w:t>
      </w:r>
      <w:r>
        <w:t>Amendement</w:t>
      </w:r>
      <w:r>
        <w:tab/>
      </w:r>
      <w:r>
        <w:tab/>
      </w:r>
      <w:r w:rsidRPr="00825264">
        <w:rPr>
          <w:rStyle w:val="HideTWBExt"/>
        </w:rPr>
        <w:t>&lt;NumAm&gt;</w:t>
      </w:r>
      <w:r>
        <w:t>14</w:t>
      </w:r>
      <w:r w:rsidRPr="00825264">
        <w:rPr>
          <w:rStyle w:val="HideTWBExt"/>
        </w:rPr>
        <w:t>&lt;/NumAm&gt;</w:t>
      </w:r>
    </w:p>
    <w:p w:rsidR="00AA56F9" w:rsidRPr="00FE0A8B" w:rsidP="00BD2DF0" w14:paraId="0638B9C3"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493B115B" w14:textId="77777777">
      <w:pPr>
        <w:pStyle w:val="NormalBold"/>
        <w:widowControl/>
      </w:pPr>
      <w:r>
        <w:rPr>
          <w:rStyle w:val="HideTWBExt"/>
        </w:rPr>
        <w:t>&lt;Article&gt;</w:t>
      </w:r>
      <w:r>
        <w:t>Article 1 – alinéa 1 – point 4</w:t>
      </w:r>
      <w:r>
        <w:rPr>
          <w:rStyle w:val="HideTWBExt"/>
        </w:rPr>
        <w:t>&lt;/Article&gt;</w:t>
      </w:r>
    </w:p>
    <w:p w:rsidR="00AA56F9" w:rsidRPr="009A76E7" w:rsidP="00BD2DF0" w14:paraId="7A15ADA4" w14:textId="77777777">
      <w:pPr>
        <w:widowControl/>
      </w:pPr>
      <w:r>
        <w:rPr>
          <w:rStyle w:val="HideTWBExt"/>
        </w:rPr>
        <w:t>&lt;DocAmend2&gt;</w:t>
      </w:r>
      <w:r>
        <w:t>Directive (UE) 2015/637</w:t>
      </w:r>
      <w:r>
        <w:rPr>
          <w:rStyle w:val="HideTWBExt"/>
        </w:rPr>
        <w:t>&lt;/DocAmend2&gt;</w:t>
      </w:r>
    </w:p>
    <w:p w:rsidR="00AA56F9" w:rsidRPr="009A76E7" w:rsidP="00BD2DF0" w14:paraId="2CB367C3" w14:textId="77777777">
      <w:pPr>
        <w:widowControl/>
      </w:pPr>
      <w:r>
        <w:rPr>
          <w:rStyle w:val="HideTWBExt"/>
        </w:rPr>
        <w:t>&lt;Article2&gt;</w:t>
      </w:r>
      <w:r>
        <w:t>Article 13 – paragraphe 2 – alinéa 1 – partie introductive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EE73C"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79A06EFD" w14:textId="77777777">
            <w:pPr>
              <w:widowControl/>
            </w:pPr>
          </w:p>
        </w:tc>
      </w:tr>
      <w:tr w14:paraId="2513DB36"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0E899E13"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5081F7FF" w14:textId="77777777">
            <w:pPr>
              <w:pStyle w:val="AmColumnHeading"/>
              <w:widowControl/>
            </w:pPr>
            <w:r>
              <w:t>Amendement</w:t>
            </w:r>
          </w:p>
        </w:tc>
      </w:tr>
      <w:tr w14:paraId="28AF4F91"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05CD7DD6" w14:textId="77777777">
            <w:pPr>
              <w:pStyle w:val="Normal6a"/>
              <w:widowControl/>
            </w:pPr>
            <w:r>
              <w:t xml:space="preserve">Les cadres d’urgence consulaires conjoints regroupent des aspects qui ont trait aux citoyens de l’Union non représentés et qui sont nécessaires pour faciliter leur protection, </w:t>
            </w:r>
            <w:r>
              <w:rPr>
                <w:b/>
                <w:i/>
              </w:rPr>
              <w:t>et notamment</w:t>
            </w:r>
            <w:r>
              <w:t>:</w:t>
            </w:r>
          </w:p>
        </w:tc>
        <w:tc>
          <w:tcPr>
            <w:tcW w:w="4876" w:type="dxa"/>
            <w:tcBorders>
              <w:top w:val="nil"/>
              <w:left w:val="nil"/>
              <w:bottom w:val="nil"/>
              <w:right w:val="nil"/>
            </w:tcBorders>
          </w:tcPr>
          <w:p w:rsidR="00AA56F9" w:rsidRPr="00FE0A8B" w:rsidP="00BD2DF0" w14:paraId="37613EB4" w14:textId="77777777">
            <w:pPr>
              <w:pStyle w:val="Normal6a"/>
              <w:widowControl/>
            </w:pPr>
            <w:r>
              <w:t xml:space="preserve">Les cadres d’urgence consulaires conjoints regroupent des aspects qui ont trait aux citoyens de l’Union non représentés et qui sont nécessaires pour faciliter leur protection, </w:t>
            </w:r>
            <w:r>
              <w:rPr>
                <w:b/>
                <w:i/>
              </w:rPr>
              <w:t>à savoir</w:t>
            </w:r>
            <w:r>
              <w:t>:</w:t>
            </w:r>
          </w:p>
        </w:tc>
      </w:tr>
    </w:tbl>
    <w:p w:rsidR="00AA56F9" w:rsidRPr="00BD2DF0" w:rsidP="00BD2DF0" w14:paraId="688C2EC9" w14:textId="77777777">
      <w:pPr>
        <w:widowControl/>
      </w:pPr>
      <w:r w:rsidRPr="00825264">
        <w:rPr>
          <w:rStyle w:val="HideTWBExt"/>
        </w:rPr>
        <w:t>&lt;/Amend&gt;</w:t>
      </w:r>
    </w:p>
    <w:p w:rsidR="00AA56F9" w:rsidRPr="00BD2DF0" w:rsidP="00BD2DF0" w14:paraId="64EBCF4D" w14:textId="77777777">
      <w:pPr>
        <w:pStyle w:val="AmNumberTabs"/>
        <w:widowControl/>
      </w:pPr>
      <w:r w:rsidRPr="00825264">
        <w:rPr>
          <w:rStyle w:val="HideTWBExt"/>
        </w:rPr>
        <w:t>&lt;Amend&gt;</w:t>
      </w:r>
      <w:r>
        <w:t>Amendement</w:t>
      </w:r>
      <w:r>
        <w:tab/>
      </w:r>
      <w:r>
        <w:tab/>
      </w:r>
      <w:r w:rsidRPr="00825264">
        <w:rPr>
          <w:rStyle w:val="HideTWBExt"/>
        </w:rPr>
        <w:t>&lt;NumAm&gt;</w:t>
      </w:r>
      <w:r>
        <w:t>15</w:t>
      </w:r>
      <w:r w:rsidRPr="00825264">
        <w:rPr>
          <w:rStyle w:val="HideTWBExt"/>
        </w:rPr>
        <w:t>&lt;/NumAm&gt;</w:t>
      </w:r>
    </w:p>
    <w:p w:rsidR="00AA56F9" w:rsidRPr="00FE0A8B" w:rsidP="00BD2DF0" w14:paraId="457CA798"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5A365E44" w14:textId="77777777">
      <w:pPr>
        <w:pStyle w:val="NormalBold"/>
        <w:widowControl/>
      </w:pPr>
      <w:r>
        <w:rPr>
          <w:rStyle w:val="HideTWBExt"/>
        </w:rPr>
        <w:t>&lt;Article&gt;</w:t>
      </w:r>
      <w:r>
        <w:t>Article 1 – alinéa 1 – point 4</w:t>
      </w:r>
      <w:r>
        <w:rPr>
          <w:rStyle w:val="HideTWBExt"/>
        </w:rPr>
        <w:t>&lt;/Article&gt;</w:t>
      </w:r>
    </w:p>
    <w:p w:rsidR="00AA56F9" w:rsidRPr="009A76E7" w:rsidP="00BD2DF0" w14:paraId="72CB2DB1" w14:textId="77777777">
      <w:pPr>
        <w:widowControl/>
      </w:pPr>
      <w:r>
        <w:rPr>
          <w:rStyle w:val="HideTWBExt"/>
        </w:rPr>
        <w:t>&lt;DocAmend2&gt;</w:t>
      </w:r>
      <w:r>
        <w:t xml:space="preserve"> Directive (UE) 2015/637</w:t>
      </w:r>
      <w:r>
        <w:rPr>
          <w:rStyle w:val="HideTWBExt"/>
        </w:rPr>
        <w:t>&lt;/DocAmend2&gt;</w:t>
      </w:r>
    </w:p>
    <w:p w:rsidR="00AA56F9" w:rsidRPr="009A76E7" w:rsidP="00BD2DF0" w14:paraId="77A4DB14" w14:textId="77777777">
      <w:pPr>
        <w:widowControl/>
      </w:pPr>
      <w:r>
        <w:rPr>
          <w:rStyle w:val="HideTWBExt"/>
        </w:rPr>
        <w:t>&lt;Article2&gt;</w:t>
      </w:r>
      <w:r>
        <w:t>Article 13 – paragraphe 2 – alinéa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EDEAF"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0A75912B" w14:textId="77777777">
            <w:pPr>
              <w:widowControl/>
            </w:pPr>
          </w:p>
        </w:tc>
      </w:tr>
      <w:tr w14:paraId="338A803B"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7BC1C506"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53B07522" w14:textId="77777777">
            <w:pPr>
              <w:pStyle w:val="AmColumnHeading"/>
              <w:widowControl/>
            </w:pPr>
            <w:r>
              <w:t>Amendement</w:t>
            </w:r>
          </w:p>
        </w:tc>
      </w:tr>
      <w:tr w14:paraId="7D2146D6"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636619F8" w14:textId="77777777">
            <w:pPr>
              <w:pStyle w:val="Normal6a"/>
              <w:widowControl/>
            </w:pPr>
            <w:r>
              <w:t>Le cadre d’urgence conjoint est mis à jour</w:t>
            </w:r>
            <w:r>
              <w:rPr>
                <w:b/>
                <w:i/>
              </w:rPr>
              <w:t>,</w:t>
            </w:r>
            <w:r>
              <w:t xml:space="preserve"> lorsque </w:t>
            </w:r>
            <w:r>
              <w:rPr>
                <w:b/>
                <w:i/>
              </w:rPr>
              <w:t>cela est nécessaire,</w:t>
            </w:r>
            <w:r>
              <w:t xml:space="preserve"> afin de faciliter la protection des citoyens de l’Union non représentés.</w:t>
            </w:r>
          </w:p>
        </w:tc>
        <w:tc>
          <w:tcPr>
            <w:tcW w:w="4876" w:type="dxa"/>
            <w:tcBorders>
              <w:top w:val="nil"/>
              <w:left w:val="nil"/>
              <w:bottom w:val="nil"/>
              <w:right w:val="nil"/>
            </w:tcBorders>
          </w:tcPr>
          <w:p w:rsidR="00AA56F9" w:rsidRPr="00FE0A8B" w:rsidP="00BD2DF0" w14:paraId="5EFF2452" w14:textId="77777777">
            <w:pPr>
              <w:pStyle w:val="Normal6a"/>
              <w:widowControl/>
            </w:pPr>
            <w:r>
              <w:t xml:space="preserve">Le cadre d’urgence conjoint est mis à jour </w:t>
            </w:r>
            <w:r>
              <w:rPr>
                <w:b/>
                <w:i/>
              </w:rPr>
              <w:t>chaque année ou plus fréquemment</w:t>
            </w:r>
            <w:r>
              <w:t xml:space="preserve"> lorsque </w:t>
            </w:r>
            <w:r>
              <w:rPr>
                <w:b/>
                <w:i/>
              </w:rPr>
              <w:t>la situation l’exige</w:t>
            </w:r>
            <w:r>
              <w:t xml:space="preserve"> afin de faciliter la protection des citoyens de l’Union non représentés.</w:t>
            </w:r>
          </w:p>
        </w:tc>
      </w:tr>
    </w:tbl>
    <w:p w:rsidR="00AA56F9" w:rsidRPr="00BD2DF0" w:rsidP="00BD2DF0" w14:paraId="00A772E9" w14:textId="77777777">
      <w:pPr>
        <w:widowControl/>
      </w:pPr>
      <w:r w:rsidRPr="00825264">
        <w:rPr>
          <w:rStyle w:val="HideTWBExt"/>
        </w:rPr>
        <w:t>&lt;/Amend&gt;</w:t>
      </w:r>
    </w:p>
    <w:p w:rsidR="00AA56F9" w:rsidRPr="00BD2DF0" w:rsidP="00BD2DF0" w14:paraId="32F00F2A" w14:textId="77777777">
      <w:pPr>
        <w:pStyle w:val="AmNumberTabs"/>
        <w:widowControl/>
      </w:pPr>
      <w:r w:rsidRPr="00825264">
        <w:rPr>
          <w:rStyle w:val="HideTWBExt"/>
        </w:rPr>
        <w:t>&lt;Amend&gt;</w:t>
      </w:r>
      <w:r>
        <w:t>Amendement</w:t>
      </w:r>
      <w:r>
        <w:tab/>
      </w:r>
      <w:r>
        <w:tab/>
      </w:r>
      <w:r w:rsidRPr="00825264">
        <w:rPr>
          <w:rStyle w:val="HideTWBExt"/>
        </w:rPr>
        <w:t>&lt;NumAm&gt;</w:t>
      </w:r>
      <w:r>
        <w:t>16</w:t>
      </w:r>
      <w:r w:rsidRPr="00825264">
        <w:rPr>
          <w:rStyle w:val="HideTWBExt"/>
        </w:rPr>
        <w:t>&lt;/NumAm&gt;</w:t>
      </w:r>
    </w:p>
    <w:p w:rsidR="00AA56F9" w:rsidRPr="00FE0A8B" w:rsidP="00BD2DF0" w14:paraId="3E8292C7"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3245BD70" w14:textId="77777777">
      <w:pPr>
        <w:pStyle w:val="NormalBold"/>
        <w:widowControl/>
      </w:pPr>
      <w:r>
        <w:rPr>
          <w:rStyle w:val="HideTWBExt"/>
        </w:rPr>
        <w:t>&lt;Article&gt;</w:t>
      </w:r>
      <w:r>
        <w:t>Article 1 – alinéa 1 – point 4</w:t>
      </w:r>
      <w:r>
        <w:rPr>
          <w:rStyle w:val="HideTWBExt"/>
        </w:rPr>
        <w:t>&lt;/Article&gt;</w:t>
      </w:r>
    </w:p>
    <w:p w:rsidR="00AA56F9" w:rsidRPr="009A76E7" w:rsidP="00BD2DF0" w14:paraId="38814B74" w14:textId="77777777">
      <w:pPr>
        <w:widowControl/>
      </w:pPr>
      <w:r>
        <w:rPr>
          <w:rStyle w:val="HideTWBExt"/>
        </w:rPr>
        <w:t>&lt;DocAmend2&gt;</w:t>
      </w:r>
      <w:r>
        <w:t>Directive (UE) 2015/637</w:t>
      </w:r>
      <w:r>
        <w:rPr>
          <w:rStyle w:val="HideTWBExt"/>
        </w:rPr>
        <w:t>&lt;/DocAmend2&gt;</w:t>
      </w:r>
    </w:p>
    <w:p w:rsidR="00AA56F9" w:rsidRPr="009A76E7" w:rsidP="00BD2DF0" w14:paraId="53386BD8" w14:textId="77777777">
      <w:pPr>
        <w:widowControl/>
      </w:pPr>
      <w:r>
        <w:rPr>
          <w:rStyle w:val="HideTWBExt"/>
        </w:rPr>
        <w:t>&lt;Article2&gt;</w:t>
      </w:r>
      <w:r>
        <w:t>Article 13 – paragraphe 3 – alinéa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DDD0A"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368E1AFB" w14:textId="77777777">
            <w:pPr>
              <w:widowControl/>
            </w:pPr>
          </w:p>
        </w:tc>
      </w:tr>
      <w:tr w14:paraId="13DF5847"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1D05718C"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74E1C213" w14:textId="77777777">
            <w:pPr>
              <w:pStyle w:val="AmColumnHeading"/>
              <w:widowControl/>
            </w:pPr>
            <w:r>
              <w:t>Amendement</w:t>
            </w:r>
          </w:p>
        </w:tc>
      </w:tr>
      <w:tr w14:paraId="59499144"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7A4A5B8E" w14:textId="77777777">
            <w:pPr>
              <w:pStyle w:val="Normal6a"/>
              <w:widowControl/>
            </w:pPr>
            <w:r>
              <w:t>Lorsqu’elles sont présentes et lorsque cela est nécessaire pour faciliter la protection des citoyens de l’Union non représentés, les délégations de l’Union coordonnent la mise en place et 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w:t>
            </w:r>
            <w:r>
              <w:t>s membres, du SEAE et des services de la Commission.</w:t>
            </w:r>
          </w:p>
        </w:tc>
        <w:tc>
          <w:tcPr>
            <w:tcW w:w="4876" w:type="dxa"/>
            <w:tcBorders>
              <w:top w:val="nil"/>
              <w:left w:val="nil"/>
              <w:bottom w:val="nil"/>
              <w:right w:val="nil"/>
            </w:tcBorders>
          </w:tcPr>
          <w:p w:rsidR="00AA56F9" w:rsidRPr="00FE0A8B" w:rsidP="00BD2DF0" w14:paraId="11A74688" w14:textId="77777777">
            <w:pPr>
              <w:pStyle w:val="Normal6a"/>
              <w:widowControl/>
            </w:pPr>
            <w:r>
              <w:t>Lorsqu’elles sont présentes et lorsque cela est nécessaire pour faciliter la protection des citoyens de l’Union non représentés, les délégations de l’Union coordonnent la mise en place et la mise à jour des cadres d’urgence consulaires conjoints, sur la base des contributions des ambassades ou consulats des États membres représentés dans le pays tiers concerné et des autorités consulaires des États membres non représentés. Les cadres d’urgence consulaires conjoints sont mis à la disposition de tous les État</w:t>
            </w:r>
            <w:r>
              <w:t xml:space="preserve">s membres, du </w:t>
            </w:r>
            <w:r>
              <w:rPr>
                <w:b/>
                <w:i/>
              </w:rPr>
              <w:t>Parlement européen, du</w:t>
            </w:r>
            <w:r>
              <w:t xml:space="preserve"> SEAE et des services de la Commission.</w:t>
            </w:r>
          </w:p>
        </w:tc>
      </w:tr>
    </w:tbl>
    <w:p w:rsidR="00AA56F9" w:rsidRPr="00BD2DF0" w:rsidP="00BD2DF0" w14:paraId="7656D0F1" w14:textId="77777777">
      <w:pPr>
        <w:widowControl/>
      </w:pPr>
      <w:r w:rsidRPr="00825264">
        <w:rPr>
          <w:rStyle w:val="HideTWBExt"/>
        </w:rPr>
        <w:t>&lt;/Amend&gt;</w:t>
      </w:r>
    </w:p>
    <w:p w:rsidR="00AA56F9" w:rsidRPr="00BD2DF0" w:rsidP="00BD2DF0" w14:paraId="7B9A9553" w14:textId="77777777">
      <w:pPr>
        <w:pStyle w:val="AmNumberTabs"/>
        <w:widowControl/>
      </w:pPr>
      <w:r w:rsidRPr="00825264">
        <w:rPr>
          <w:rStyle w:val="HideTWBExt"/>
        </w:rPr>
        <w:t>&lt;Amend&gt;</w:t>
      </w:r>
      <w:r>
        <w:t>Amendement</w:t>
      </w:r>
      <w:r>
        <w:tab/>
      </w:r>
      <w:r>
        <w:tab/>
      </w:r>
      <w:r w:rsidRPr="00825264">
        <w:rPr>
          <w:rStyle w:val="HideTWBExt"/>
        </w:rPr>
        <w:t>&lt;NumAm&gt;</w:t>
      </w:r>
      <w:r>
        <w:t>17</w:t>
      </w:r>
      <w:r w:rsidRPr="00825264">
        <w:rPr>
          <w:rStyle w:val="HideTWBExt"/>
        </w:rPr>
        <w:t>&lt;/NumAm&gt;</w:t>
      </w:r>
    </w:p>
    <w:p w:rsidR="00AA56F9" w:rsidRPr="00FE0A8B" w:rsidP="00BD2DF0" w14:paraId="745F8104" w14:textId="77777777">
      <w:pPr>
        <w:pStyle w:val="NormalBold12b"/>
        <w:widowControl/>
      </w:pPr>
      <w:r>
        <w:rPr>
          <w:rStyle w:val="HideTWBExt"/>
          <w:lang w:val="fr-BE"/>
        </w:rPr>
        <w:t>&lt;DocAmend&gt;</w:t>
      </w:r>
      <w:r>
        <w:t xml:space="preserve">Proposition de </w:t>
      </w:r>
      <w:r>
        <w:t>directive</w:t>
      </w:r>
      <w:r>
        <w:rPr>
          <w:rStyle w:val="HideTWBExt"/>
          <w:lang w:val="fr-BE"/>
        </w:rPr>
        <w:t>&lt;/DocAmend&gt;</w:t>
      </w:r>
    </w:p>
    <w:p w:rsidR="00AA56F9" w:rsidRPr="009A76E7" w:rsidP="00BD2DF0" w14:paraId="0EE57E00" w14:textId="77777777">
      <w:pPr>
        <w:pStyle w:val="NormalBold"/>
        <w:widowControl/>
      </w:pPr>
      <w:r>
        <w:rPr>
          <w:rStyle w:val="HideTWBExt"/>
        </w:rPr>
        <w:t>&lt;Article&gt;</w:t>
      </w:r>
      <w:r>
        <w:t>Article 1 – alinéa 1 – point 4</w:t>
      </w:r>
      <w:r>
        <w:rPr>
          <w:rStyle w:val="HideTWBExt"/>
        </w:rPr>
        <w:t>&lt;/Article&gt;</w:t>
      </w:r>
    </w:p>
    <w:p w:rsidR="00AA56F9" w:rsidRPr="009A76E7" w:rsidP="00BD2DF0" w14:paraId="151F901B" w14:textId="77777777">
      <w:pPr>
        <w:widowControl/>
      </w:pPr>
      <w:r>
        <w:rPr>
          <w:rStyle w:val="HideTWBExt"/>
        </w:rPr>
        <w:t>&lt;DocAmend2&gt;</w:t>
      </w:r>
      <w:r>
        <w:t>Directive (UE) 2015/637</w:t>
      </w:r>
      <w:r>
        <w:rPr>
          <w:rStyle w:val="HideTWBExt"/>
        </w:rPr>
        <w:t>&lt;/DocAmend2&gt;</w:t>
      </w:r>
    </w:p>
    <w:p w:rsidR="00AA56F9" w:rsidRPr="009A76E7" w:rsidP="00BD2DF0" w14:paraId="76E827EF" w14:textId="77777777">
      <w:pPr>
        <w:widowControl/>
      </w:pPr>
      <w:r>
        <w:rPr>
          <w:rStyle w:val="HideTWBExt"/>
        </w:rPr>
        <w:t>&lt;Article2&gt;</w:t>
      </w:r>
      <w:r>
        <w:t>Article 13 – paragraphe 3 – alinéa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6884C"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4350EAA5" w14:textId="77777777">
            <w:pPr>
              <w:widowControl/>
            </w:pPr>
          </w:p>
        </w:tc>
      </w:tr>
      <w:tr w14:paraId="58C20402"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36E7829C"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6A8A5A95" w14:textId="77777777">
            <w:pPr>
              <w:pStyle w:val="AmColumnHeading"/>
              <w:widowControl/>
            </w:pPr>
            <w:r>
              <w:t>Amendement</w:t>
            </w:r>
          </w:p>
        </w:tc>
      </w:tr>
      <w:tr w14:paraId="74BB0CF9"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2620A090" w14:textId="77777777">
            <w:pPr>
              <w:pStyle w:val="Normal6a"/>
              <w:widowControl/>
            </w:pPr>
            <w:r>
              <w:t xml:space="preserve">Dans les pays tiers où aucune </w:t>
            </w:r>
            <w:r>
              <w:t>délégation de l’Union n’est présente, la coordination est assurée par le président de la coopération consulaire locale conformément à l’article 12, paragraphe </w:t>
            </w:r>
            <w:r>
              <w:rPr>
                <w:b/>
                <w:i/>
              </w:rPr>
              <w:t>3</w:t>
            </w:r>
            <w:r>
              <w:t>, avec le soutien du SEAE.</w:t>
            </w:r>
          </w:p>
        </w:tc>
        <w:tc>
          <w:tcPr>
            <w:tcW w:w="4876" w:type="dxa"/>
            <w:tcBorders>
              <w:top w:val="nil"/>
              <w:left w:val="nil"/>
              <w:bottom w:val="nil"/>
              <w:right w:val="nil"/>
            </w:tcBorders>
          </w:tcPr>
          <w:p w:rsidR="00AA56F9" w:rsidRPr="00FE0A8B" w:rsidP="00BD2DF0" w14:paraId="4CBC7400" w14:textId="77777777">
            <w:pPr>
              <w:pStyle w:val="Normal6a"/>
              <w:widowControl/>
            </w:pPr>
            <w:r>
              <w:t>Dans les pays tiers où aucune délégation de l’Union n’est présente, la coordination est assurée par le président de la coopération consulaire locale conformément à l’article 12, paragraphe </w:t>
            </w:r>
            <w:r>
              <w:rPr>
                <w:b/>
                <w:i/>
              </w:rPr>
              <w:t>2</w:t>
            </w:r>
            <w:r>
              <w:t>, avec le soutien du SEAE.</w:t>
            </w:r>
          </w:p>
        </w:tc>
      </w:tr>
    </w:tbl>
    <w:p w:rsidR="00AA56F9" w:rsidRPr="00BD2DF0" w:rsidP="00BD2DF0" w14:paraId="46ED98A7" w14:textId="77777777">
      <w:pPr>
        <w:widowControl/>
      </w:pPr>
      <w:r w:rsidRPr="00825264">
        <w:rPr>
          <w:rStyle w:val="HideTWBExt"/>
        </w:rPr>
        <w:t>&lt;/Amend&gt;</w:t>
      </w:r>
    </w:p>
    <w:p w:rsidR="00AA56F9" w:rsidRPr="00BD2DF0" w:rsidP="00BD2DF0" w14:paraId="24062399" w14:textId="77777777">
      <w:pPr>
        <w:pStyle w:val="AmNumberTabs"/>
        <w:widowControl/>
      </w:pPr>
      <w:r w:rsidRPr="00825264">
        <w:rPr>
          <w:rStyle w:val="HideTWBExt"/>
        </w:rPr>
        <w:t>&lt;Amend&gt;</w:t>
      </w:r>
      <w:r>
        <w:t>Amendement</w:t>
      </w:r>
      <w:r>
        <w:tab/>
      </w:r>
      <w:r>
        <w:tab/>
      </w:r>
      <w:r w:rsidRPr="00825264">
        <w:rPr>
          <w:rStyle w:val="HideTWBExt"/>
        </w:rPr>
        <w:t>&lt;NumAm&gt;</w:t>
      </w:r>
      <w:r>
        <w:t>18</w:t>
      </w:r>
      <w:r w:rsidRPr="00825264">
        <w:rPr>
          <w:rStyle w:val="HideTWBExt"/>
        </w:rPr>
        <w:t>&lt;/NumAm&gt;</w:t>
      </w:r>
    </w:p>
    <w:p w:rsidR="00AA56F9" w:rsidRPr="00FE0A8B" w:rsidP="00BD2DF0" w14:paraId="1A9071C3"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3268FCC3" w14:textId="77777777">
      <w:pPr>
        <w:pStyle w:val="NormalBold"/>
        <w:widowControl/>
      </w:pPr>
      <w:r>
        <w:rPr>
          <w:rStyle w:val="HideTWBExt"/>
        </w:rPr>
        <w:t>&lt;Article&gt;</w:t>
      </w:r>
      <w:r>
        <w:t>Article 1 – alinéa 1 – point 4</w:t>
      </w:r>
      <w:r>
        <w:rPr>
          <w:rStyle w:val="HideTWBExt"/>
        </w:rPr>
        <w:t>&lt;/Article&gt;</w:t>
      </w:r>
    </w:p>
    <w:p w:rsidR="00AA56F9" w:rsidRPr="009A76E7" w:rsidP="00BD2DF0" w14:paraId="00B5A427" w14:textId="77777777">
      <w:pPr>
        <w:widowControl/>
      </w:pPr>
      <w:r>
        <w:rPr>
          <w:rStyle w:val="HideTWBExt"/>
        </w:rPr>
        <w:t>&lt;DocAmend2&gt;</w:t>
      </w:r>
      <w:r>
        <w:t>Directive (UE) 2015/637</w:t>
      </w:r>
      <w:r>
        <w:rPr>
          <w:rStyle w:val="HideTWBExt"/>
        </w:rPr>
        <w:t>&lt;/DocAmend2&gt;</w:t>
      </w:r>
    </w:p>
    <w:p w:rsidR="00AA56F9" w:rsidRPr="009A76E7" w:rsidP="00BD2DF0" w14:paraId="53672171" w14:textId="77777777">
      <w:pPr>
        <w:widowControl/>
      </w:pPr>
      <w:r>
        <w:rPr>
          <w:rStyle w:val="HideTWBExt"/>
        </w:rPr>
        <w:t>&lt;Article2&gt;</w:t>
      </w:r>
      <w:r>
        <w:t>Article 13 – paragraphe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E2F44"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367ACB83" w14:textId="77777777">
            <w:pPr>
              <w:widowControl/>
            </w:pPr>
          </w:p>
        </w:tc>
      </w:tr>
      <w:tr w14:paraId="7869A189"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29C812E7"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7B8A0187" w14:textId="77777777">
            <w:pPr>
              <w:pStyle w:val="AmColumnHeading"/>
              <w:widowControl/>
            </w:pPr>
            <w:r>
              <w:t>Amendement</w:t>
            </w:r>
          </w:p>
        </w:tc>
      </w:tr>
      <w:tr w14:paraId="265B8FBD"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0766EA9A" w14:textId="77777777">
            <w:pPr>
              <w:pStyle w:val="Normal6a"/>
              <w:widowControl/>
            </w:pPr>
            <w:r>
              <w:t>5.</w:t>
            </w:r>
            <w:r>
              <w:tab/>
              <w:t xml:space="preserve">Le SEAE soutient l’échange d’informations entre les États </w:t>
            </w:r>
            <w:r>
              <w:t xml:space="preserve">membres sur les situations de crises, y compris sur les </w:t>
            </w:r>
            <w:r>
              <w:t>modifications apportées à leurs conseils aux voyageurs.</w:t>
            </w:r>
          </w:p>
        </w:tc>
        <w:tc>
          <w:tcPr>
            <w:tcW w:w="4876" w:type="dxa"/>
            <w:tcBorders>
              <w:top w:val="nil"/>
              <w:left w:val="nil"/>
              <w:bottom w:val="nil"/>
              <w:right w:val="nil"/>
            </w:tcBorders>
          </w:tcPr>
          <w:p w:rsidR="00AA56F9" w:rsidRPr="00FE0A8B" w:rsidP="00BD2DF0" w14:paraId="1242C3BB" w14:textId="77777777">
            <w:pPr>
              <w:pStyle w:val="Normal6a"/>
              <w:widowControl/>
            </w:pPr>
            <w:r>
              <w:t>5.</w:t>
            </w:r>
            <w:r>
              <w:tab/>
              <w:t xml:space="preserve">Le SEAE soutient l’échange d’informations </w:t>
            </w:r>
            <w:r>
              <w:rPr>
                <w:b/>
                <w:i/>
              </w:rPr>
              <w:t>actualisées</w:t>
            </w:r>
            <w:r>
              <w:t xml:space="preserve"> entre les États membres sur les situations de crises, y </w:t>
            </w:r>
            <w:r>
              <w:t>compris sur les modifications apportées à leurs conseils aux voyageurs.</w:t>
            </w:r>
          </w:p>
        </w:tc>
      </w:tr>
    </w:tbl>
    <w:p w:rsidR="00AA56F9" w:rsidRPr="00BD2DF0" w:rsidP="00BD2DF0" w14:paraId="21A5FEFC" w14:textId="77777777">
      <w:pPr>
        <w:widowControl/>
      </w:pPr>
      <w:r w:rsidRPr="00825264">
        <w:rPr>
          <w:rStyle w:val="HideTWBExt"/>
        </w:rPr>
        <w:t>&lt;/Amend&gt;</w:t>
      </w:r>
    </w:p>
    <w:p w:rsidR="00AA56F9" w:rsidRPr="00BD2DF0" w:rsidP="00BD2DF0" w14:paraId="7833BB4C" w14:textId="77777777">
      <w:pPr>
        <w:pStyle w:val="AmNumberTabs"/>
        <w:widowControl/>
      </w:pPr>
      <w:r w:rsidRPr="00825264">
        <w:rPr>
          <w:rStyle w:val="HideTWBExt"/>
        </w:rPr>
        <w:t>&lt;Amend&gt;</w:t>
      </w:r>
      <w:r>
        <w:t>Amendement</w:t>
      </w:r>
      <w:r>
        <w:tab/>
      </w:r>
      <w:r>
        <w:tab/>
      </w:r>
      <w:r w:rsidRPr="00825264">
        <w:rPr>
          <w:rStyle w:val="HideTWBExt"/>
        </w:rPr>
        <w:t>&lt;NumAm&gt;</w:t>
      </w:r>
      <w:r>
        <w:t>19</w:t>
      </w:r>
      <w:r w:rsidRPr="00825264">
        <w:rPr>
          <w:rStyle w:val="HideTWBExt"/>
        </w:rPr>
        <w:t>&lt;/NumAm&gt;</w:t>
      </w:r>
    </w:p>
    <w:p w:rsidR="00AA56F9" w:rsidRPr="00FE0A8B" w:rsidP="00BD2DF0" w14:paraId="73A543D3"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2627E12D" w14:textId="77777777">
      <w:pPr>
        <w:pStyle w:val="NormalBold"/>
        <w:widowControl/>
      </w:pPr>
      <w:r>
        <w:rPr>
          <w:rStyle w:val="HideTWBExt"/>
        </w:rPr>
        <w:t>&lt;Article&gt;</w:t>
      </w:r>
      <w:r>
        <w:t>Article 1 – alinéa 1 – point 4</w:t>
      </w:r>
      <w:r>
        <w:rPr>
          <w:rStyle w:val="HideTWBExt"/>
        </w:rPr>
        <w:t>&lt;/Article&gt;</w:t>
      </w:r>
    </w:p>
    <w:p w:rsidR="00AA56F9" w:rsidRPr="009A76E7" w:rsidP="00BD2DF0" w14:paraId="62F647FF" w14:textId="77777777">
      <w:pPr>
        <w:widowControl/>
      </w:pPr>
      <w:r>
        <w:rPr>
          <w:rStyle w:val="HideTWBExt"/>
        </w:rPr>
        <w:t>&lt;DocAmend2&gt;</w:t>
      </w:r>
      <w:r>
        <w:t>Directive (UE) 2015/637</w:t>
      </w:r>
      <w:r>
        <w:rPr>
          <w:rStyle w:val="HideTWBExt"/>
        </w:rPr>
        <w:t>&lt;/DocAmend2&gt;</w:t>
      </w:r>
    </w:p>
    <w:p w:rsidR="00AA56F9" w:rsidRPr="009A76E7" w:rsidP="00BD2DF0" w14:paraId="1D34FAE0" w14:textId="77777777">
      <w:pPr>
        <w:widowControl/>
      </w:pPr>
      <w:r>
        <w:rPr>
          <w:rStyle w:val="HideTWBExt"/>
        </w:rPr>
        <w:t>&lt;Article2&gt;</w:t>
      </w:r>
      <w:r>
        <w:t xml:space="preserve">Article 13 – </w:t>
      </w:r>
      <w:r>
        <w:t>paragraphe 5 bis (nouveau)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341D9"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148912CF" w14:textId="77777777">
            <w:pPr>
              <w:widowControl/>
            </w:pPr>
          </w:p>
        </w:tc>
      </w:tr>
      <w:tr w14:paraId="5EC43EBF"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372219F1"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324A12E9" w14:textId="77777777">
            <w:pPr>
              <w:pStyle w:val="AmColumnHeading"/>
              <w:widowControl/>
            </w:pPr>
            <w:r>
              <w:t>Amendement</w:t>
            </w:r>
          </w:p>
        </w:tc>
      </w:tr>
      <w:tr w14:paraId="58EDD971"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29A817E1" w14:textId="77777777">
            <w:pPr>
              <w:pStyle w:val="Normal6a"/>
              <w:widowControl/>
            </w:pPr>
          </w:p>
        </w:tc>
        <w:tc>
          <w:tcPr>
            <w:tcW w:w="4876" w:type="dxa"/>
            <w:tcBorders>
              <w:top w:val="nil"/>
              <w:left w:val="nil"/>
              <w:bottom w:val="nil"/>
              <w:right w:val="nil"/>
            </w:tcBorders>
          </w:tcPr>
          <w:p w:rsidR="00AA56F9" w:rsidRPr="00FE0A8B" w:rsidP="00BD2DF0" w14:paraId="30A8DB32" w14:textId="77777777">
            <w:pPr>
              <w:pStyle w:val="Normal6a"/>
              <w:widowControl/>
            </w:pPr>
            <w:r>
              <w:rPr>
                <w:b/>
                <w:i/>
              </w:rPr>
              <w:t>5 bis.</w:t>
            </w:r>
            <w:r>
              <w:tab/>
            </w:r>
            <w:r>
              <w:rPr>
                <w:b/>
                <w:i/>
              </w:rPr>
              <w:t xml:space="preserve">Le SEAE, en étroite coopération avec les États membres, dispense aux fonctionnaires de l’Union une formation à la préparation et à la réaction aux crises </w:t>
            </w:r>
            <w:r>
              <w:rPr>
                <w:b/>
                <w:i/>
              </w:rPr>
              <w:t>consulaires.</w:t>
            </w:r>
          </w:p>
        </w:tc>
      </w:tr>
    </w:tbl>
    <w:p w:rsidR="00AA56F9" w:rsidRPr="00BD2DF0" w:rsidP="00BD2DF0" w14:paraId="37BB9A72" w14:textId="77777777">
      <w:pPr>
        <w:widowControl/>
      </w:pPr>
      <w:r w:rsidRPr="00825264">
        <w:rPr>
          <w:rStyle w:val="HideTWBExt"/>
        </w:rPr>
        <w:t>&lt;/Amend&gt;</w:t>
      </w:r>
    </w:p>
    <w:p w:rsidR="00AA56F9" w:rsidRPr="00BD2DF0" w:rsidP="00BD2DF0" w14:paraId="3320CB73" w14:textId="77777777">
      <w:pPr>
        <w:pStyle w:val="AmNumberTabs"/>
        <w:widowControl/>
      </w:pPr>
      <w:r w:rsidRPr="00825264">
        <w:rPr>
          <w:rStyle w:val="HideTWBExt"/>
        </w:rPr>
        <w:t>&lt;Amend&gt;</w:t>
      </w:r>
      <w:r>
        <w:t>Amendement</w:t>
      </w:r>
      <w:r>
        <w:tab/>
      </w:r>
      <w:r>
        <w:tab/>
      </w:r>
      <w:r w:rsidRPr="00825264">
        <w:rPr>
          <w:rStyle w:val="HideTWBExt"/>
        </w:rPr>
        <w:t>&lt;NumAm&gt;</w:t>
      </w:r>
      <w:r>
        <w:t>20</w:t>
      </w:r>
      <w:r w:rsidRPr="00825264">
        <w:rPr>
          <w:rStyle w:val="HideTWBExt"/>
        </w:rPr>
        <w:t>&lt;/NumAm&gt;</w:t>
      </w:r>
    </w:p>
    <w:p w:rsidR="00AA56F9" w:rsidRPr="00FE0A8B" w:rsidP="00BD2DF0" w14:paraId="0C29D1EC"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3B6707BA" w14:textId="77777777">
      <w:pPr>
        <w:pStyle w:val="NormalBold"/>
        <w:widowControl/>
      </w:pPr>
      <w:r>
        <w:rPr>
          <w:rStyle w:val="HideTWBExt"/>
        </w:rPr>
        <w:t>&lt;Article&gt;</w:t>
      </w:r>
      <w:r>
        <w:t>Article 1 – alinéa 1 – point 5</w:t>
      </w:r>
      <w:r>
        <w:rPr>
          <w:rStyle w:val="HideTWBExt"/>
        </w:rPr>
        <w:t>&lt;/Article&gt;</w:t>
      </w:r>
    </w:p>
    <w:p w:rsidR="00AA56F9" w:rsidRPr="009A76E7" w:rsidP="00BD2DF0" w14:paraId="7AA03EDD" w14:textId="77777777">
      <w:pPr>
        <w:widowControl/>
      </w:pPr>
      <w:r>
        <w:rPr>
          <w:rStyle w:val="HideTWBExt"/>
        </w:rPr>
        <w:t>&lt;DocAmend2&gt;</w:t>
      </w:r>
      <w:r>
        <w:t>Directive (UE) 2015/637</w:t>
      </w:r>
      <w:r>
        <w:rPr>
          <w:rStyle w:val="HideTWBExt"/>
        </w:rPr>
        <w:t>&lt;/DocAmend2&gt;</w:t>
      </w:r>
    </w:p>
    <w:p w:rsidR="00AA56F9" w:rsidRPr="009A76E7" w:rsidP="00BD2DF0" w14:paraId="70988B62" w14:textId="77777777">
      <w:pPr>
        <w:widowControl/>
      </w:pPr>
      <w:r>
        <w:rPr>
          <w:rStyle w:val="HideTWBExt"/>
        </w:rPr>
        <w:t>&lt;Article2&gt;</w:t>
      </w:r>
      <w:r>
        <w:t>Article 13 bis – titre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C6AB9"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27282C68" w14:textId="77777777">
            <w:pPr>
              <w:widowControl/>
            </w:pPr>
          </w:p>
        </w:tc>
      </w:tr>
      <w:tr w14:paraId="02E8CB47"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67D705FC"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3F0D7907" w14:textId="77777777">
            <w:pPr>
              <w:pStyle w:val="AmColumnHeading"/>
              <w:widowControl/>
            </w:pPr>
            <w:r>
              <w:t>Amendement</w:t>
            </w:r>
          </w:p>
        </w:tc>
      </w:tr>
      <w:tr w14:paraId="74CCCFEB"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9A76E7" w:rsidP="00BD2DF0" w14:paraId="37CB0C14" w14:textId="77777777">
            <w:pPr>
              <w:pStyle w:val="Normal6a"/>
              <w:widowControl/>
            </w:pPr>
            <w:r>
              <w:t>Réaction aux crises</w:t>
            </w:r>
          </w:p>
        </w:tc>
        <w:tc>
          <w:tcPr>
            <w:tcW w:w="4876" w:type="dxa"/>
            <w:tcBorders>
              <w:top w:val="nil"/>
              <w:left w:val="nil"/>
              <w:bottom w:val="nil"/>
              <w:right w:val="nil"/>
            </w:tcBorders>
          </w:tcPr>
          <w:p w:rsidR="00AA56F9" w:rsidRPr="009A76E7" w:rsidP="00BD2DF0" w14:paraId="039B3855" w14:textId="77777777">
            <w:pPr>
              <w:pStyle w:val="Normal6a"/>
              <w:widowControl/>
            </w:pPr>
            <w:r>
              <w:t xml:space="preserve">Réaction aux crises </w:t>
            </w:r>
            <w:r>
              <w:rPr>
                <w:b/>
                <w:i/>
              </w:rPr>
              <w:t>et aux situations d’urgence</w:t>
            </w:r>
          </w:p>
        </w:tc>
      </w:tr>
    </w:tbl>
    <w:p w:rsidR="00AA56F9" w:rsidRPr="00BD2DF0" w:rsidP="00BD2DF0" w14:paraId="70516FAA" w14:textId="77777777">
      <w:pPr>
        <w:widowControl/>
      </w:pPr>
      <w:r w:rsidRPr="00825264">
        <w:rPr>
          <w:rStyle w:val="HideTWBExt"/>
        </w:rPr>
        <w:t>&lt;/Amend&gt;</w:t>
      </w:r>
    </w:p>
    <w:p w:rsidR="00AA56F9" w:rsidRPr="00BD2DF0" w:rsidP="00BD2DF0" w14:paraId="7F35D25A" w14:textId="77777777">
      <w:pPr>
        <w:pStyle w:val="AmNumberTabs"/>
        <w:widowControl/>
      </w:pPr>
      <w:r w:rsidRPr="00825264">
        <w:rPr>
          <w:rStyle w:val="HideTWBExt"/>
        </w:rPr>
        <w:t>&lt;Amend&gt;</w:t>
      </w:r>
      <w:r>
        <w:t>Amendement</w:t>
      </w:r>
      <w:r>
        <w:tab/>
      </w:r>
      <w:r>
        <w:tab/>
      </w:r>
      <w:r w:rsidRPr="00825264">
        <w:rPr>
          <w:rStyle w:val="HideTWBExt"/>
        </w:rPr>
        <w:t>&lt;NumAm&gt;</w:t>
      </w:r>
      <w:r>
        <w:t>21</w:t>
      </w:r>
      <w:r w:rsidRPr="00825264">
        <w:rPr>
          <w:rStyle w:val="HideTWBExt"/>
        </w:rPr>
        <w:t>&lt;/NumAm&gt;</w:t>
      </w:r>
    </w:p>
    <w:p w:rsidR="00AA56F9" w:rsidRPr="009A76E7" w:rsidP="00BD2DF0" w14:paraId="4ED3C1CD" w14:textId="77777777">
      <w:pPr>
        <w:pStyle w:val="NormalBold12b"/>
        <w:widowControl/>
      </w:pPr>
      <w:r>
        <w:rPr>
          <w:rStyle w:val="HideTWBExt"/>
        </w:rPr>
        <w:t>&lt;DocAmend&gt;</w:t>
      </w:r>
      <w:r>
        <w:t>Proposition de directive</w:t>
      </w:r>
      <w:r>
        <w:rPr>
          <w:rStyle w:val="HideTWBExt"/>
        </w:rPr>
        <w:t>&lt;/DocAmend&gt;</w:t>
      </w:r>
    </w:p>
    <w:p w:rsidR="00AA56F9" w:rsidRPr="009A76E7" w:rsidP="00BD2DF0" w14:paraId="2CBEC019" w14:textId="77777777">
      <w:pPr>
        <w:pStyle w:val="NormalBold"/>
        <w:widowControl/>
      </w:pPr>
      <w:r>
        <w:rPr>
          <w:rStyle w:val="HideTWBExt"/>
        </w:rPr>
        <w:t>&lt;Article&gt;</w:t>
      </w:r>
      <w:r>
        <w:t xml:space="preserve">Article 1 – alinéa 1 – </w:t>
      </w:r>
      <w:r>
        <w:t>point 5</w:t>
      </w:r>
      <w:r>
        <w:rPr>
          <w:rStyle w:val="HideTWBExt"/>
        </w:rPr>
        <w:t>&lt;/Article&gt;</w:t>
      </w:r>
    </w:p>
    <w:p w:rsidR="00AA56F9" w:rsidRPr="009A76E7" w:rsidP="00BD2DF0" w14:paraId="2CDC44C4" w14:textId="77777777">
      <w:pPr>
        <w:widowControl/>
      </w:pPr>
      <w:r>
        <w:rPr>
          <w:rStyle w:val="HideTWBExt"/>
        </w:rPr>
        <w:t>&lt;DocAmend2&gt;</w:t>
      </w:r>
      <w:r>
        <w:t>Directive (UE) 2015/637</w:t>
      </w:r>
      <w:r>
        <w:rPr>
          <w:rStyle w:val="HideTWBExt"/>
        </w:rPr>
        <w:t>&lt;/DocAmend2&gt;</w:t>
      </w:r>
    </w:p>
    <w:p w:rsidR="00AA56F9" w:rsidRPr="009A76E7" w:rsidP="00BD2DF0" w14:paraId="1946EA33" w14:textId="77777777">
      <w:pPr>
        <w:widowControl/>
      </w:pPr>
      <w:r>
        <w:rPr>
          <w:rStyle w:val="HideTWBExt"/>
        </w:rPr>
        <w:t>&lt;Article2&gt;</w:t>
      </w:r>
      <w:r>
        <w:t>Article 13 bis – paragraphe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711AA"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50935595" w14:textId="77777777">
            <w:pPr>
              <w:widowControl/>
            </w:pPr>
          </w:p>
        </w:tc>
      </w:tr>
      <w:tr w14:paraId="03658DBF"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247D8D1D"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7F9B49A7" w14:textId="77777777">
            <w:pPr>
              <w:pStyle w:val="AmColumnHeading"/>
              <w:widowControl/>
            </w:pPr>
            <w:r>
              <w:t>Amendement</w:t>
            </w:r>
          </w:p>
        </w:tc>
      </w:tr>
      <w:tr w14:paraId="4BB00406"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69FB9873" w14:textId="77777777">
            <w:pPr>
              <w:pStyle w:val="Normal6a"/>
              <w:widowControl/>
            </w:pPr>
            <w:r>
              <w:t>1.</w:t>
            </w:r>
            <w:r>
              <w:tab/>
              <w:t xml:space="preserve">En cas de crise, l’Union et les États membres coopèrent étroitement pour assurer une </w:t>
            </w:r>
            <w:r>
              <w:t xml:space="preserve">assistance efficace aux citoyens de l’Union non représentés. </w:t>
            </w:r>
            <w:r>
              <w:rPr>
                <w:b/>
                <w:i/>
              </w:rPr>
              <w:t>Si possible,</w:t>
            </w:r>
            <w:r>
              <w:t xml:space="preserve"> ils s’informent, en temps utile, </w:t>
            </w:r>
            <w:r>
              <w:rPr>
                <w:b/>
                <w:i/>
              </w:rPr>
              <w:t>des</w:t>
            </w:r>
            <w:r>
              <w:t xml:space="preserve"> capacités d’évacuation disponibles.</w:t>
            </w:r>
          </w:p>
        </w:tc>
        <w:tc>
          <w:tcPr>
            <w:tcW w:w="4876" w:type="dxa"/>
            <w:tcBorders>
              <w:top w:val="nil"/>
              <w:left w:val="nil"/>
              <w:bottom w:val="nil"/>
              <w:right w:val="nil"/>
            </w:tcBorders>
          </w:tcPr>
          <w:p w:rsidR="00AA56F9" w:rsidRPr="00FE0A8B" w:rsidP="00BD2DF0" w14:paraId="7414593A" w14:textId="77777777">
            <w:pPr>
              <w:pStyle w:val="Normal6a"/>
              <w:widowControl/>
            </w:pPr>
            <w:r>
              <w:t>1.</w:t>
            </w:r>
            <w:r>
              <w:tab/>
              <w:t xml:space="preserve">En cas de crise, l’Union et les États membres coopèrent étroitement pour assurer une assistance efficace </w:t>
            </w:r>
            <w:r>
              <w:rPr>
                <w:b/>
                <w:i/>
              </w:rPr>
              <w:t>et en temps utile</w:t>
            </w:r>
            <w:r>
              <w:t xml:space="preserve"> aux citoyens de l’Union non représentés. Ils s’informent, en temps utile, </w:t>
            </w:r>
            <w:r>
              <w:rPr>
                <w:b/>
                <w:i/>
              </w:rPr>
              <w:t>de toutes les</w:t>
            </w:r>
            <w:r>
              <w:t xml:space="preserve"> capacités d’évacuation disponibles</w:t>
            </w:r>
            <w:r>
              <w:rPr>
                <w:b/>
                <w:i/>
              </w:rPr>
              <w:t xml:space="preserve">, en particulier dans le cas </w:t>
            </w:r>
            <w:r>
              <w:rPr>
                <w:b/>
                <w:i/>
              </w:rPr>
              <w:t>d’opérations utilisant des ressources militaires</w:t>
            </w:r>
            <w:r>
              <w:t>.</w:t>
            </w:r>
          </w:p>
        </w:tc>
      </w:tr>
    </w:tbl>
    <w:p w:rsidR="00AA56F9" w:rsidRPr="00BD2DF0" w:rsidP="00BD2DF0" w14:paraId="3A97410F" w14:textId="77777777">
      <w:pPr>
        <w:widowControl/>
      </w:pPr>
      <w:r w:rsidRPr="00825264">
        <w:rPr>
          <w:rStyle w:val="HideTWBExt"/>
        </w:rPr>
        <w:t>&lt;/Amend&gt;</w:t>
      </w:r>
    </w:p>
    <w:p w:rsidR="00AA56F9" w:rsidRPr="00BD2DF0" w:rsidP="00BD2DF0" w14:paraId="57A79EFC" w14:textId="77777777">
      <w:pPr>
        <w:pStyle w:val="AmNumberTabs"/>
        <w:widowControl/>
      </w:pPr>
      <w:r w:rsidRPr="00825264">
        <w:rPr>
          <w:rStyle w:val="HideTWBExt"/>
        </w:rPr>
        <w:t>&lt;Amend&gt;</w:t>
      </w:r>
      <w:r>
        <w:t>Amendement</w:t>
      </w:r>
      <w:r>
        <w:tab/>
      </w:r>
      <w:r>
        <w:tab/>
      </w:r>
      <w:r w:rsidRPr="00825264">
        <w:rPr>
          <w:rStyle w:val="HideTWBExt"/>
        </w:rPr>
        <w:t>&lt;NumAm&gt;</w:t>
      </w:r>
      <w:r>
        <w:t>22</w:t>
      </w:r>
      <w:r w:rsidRPr="00825264">
        <w:rPr>
          <w:rStyle w:val="HideTWBExt"/>
        </w:rPr>
        <w:t>&lt;/NumAm&gt;</w:t>
      </w:r>
    </w:p>
    <w:p w:rsidR="00AA56F9" w:rsidRPr="00FE0A8B" w:rsidP="00BD2DF0" w14:paraId="548B0EC6"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75C2AAFA" w14:textId="77777777">
      <w:pPr>
        <w:pStyle w:val="NormalBold"/>
        <w:widowControl/>
      </w:pPr>
      <w:r>
        <w:rPr>
          <w:rStyle w:val="HideTWBExt"/>
        </w:rPr>
        <w:t>&lt;Article&gt;</w:t>
      </w:r>
      <w:r>
        <w:t>Article 1 – alinéa 1 – point 6</w:t>
      </w:r>
      <w:r>
        <w:rPr>
          <w:rStyle w:val="HideTWBExt"/>
        </w:rPr>
        <w:t>&lt;/Article&gt;</w:t>
      </w:r>
    </w:p>
    <w:p w:rsidR="00AA56F9" w:rsidRPr="009A76E7" w:rsidP="00BD2DF0" w14:paraId="48262BFC" w14:textId="77777777">
      <w:pPr>
        <w:widowControl/>
      </w:pPr>
      <w:r>
        <w:rPr>
          <w:rStyle w:val="HideTWBExt"/>
        </w:rPr>
        <w:t>&lt;DocAmend2&gt;</w:t>
      </w:r>
      <w:r>
        <w:t>Directive (UE) 2015/637</w:t>
      </w:r>
      <w:r>
        <w:rPr>
          <w:rStyle w:val="HideTWBExt"/>
        </w:rPr>
        <w:t>&lt;/DocAmend2&gt;</w:t>
      </w:r>
    </w:p>
    <w:p w:rsidR="00AA56F9" w:rsidRPr="009A76E7" w:rsidP="00BD2DF0" w14:paraId="7B72436D" w14:textId="77777777">
      <w:pPr>
        <w:widowControl/>
      </w:pPr>
      <w:r>
        <w:rPr>
          <w:rStyle w:val="HideTWBExt"/>
        </w:rPr>
        <w:t>&lt;Article2&gt;</w:t>
      </w:r>
      <w:r>
        <w:t>Article 13 ter – paragraphe 1 – partie introductive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D2EF54"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6991A77A" w14:textId="77777777">
            <w:pPr>
              <w:widowControl/>
            </w:pPr>
          </w:p>
        </w:tc>
      </w:tr>
      <w:tr w14:paraId="4E4D21DD"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1E343499" w14:textId="77777777">
            <w:pPr>
              <w:pStyle w:val="AmColumnHeading"/>
              <w:widowControl/>
            </w:pPr>
            <w:r>
              <w:t xml:space="preserve">Texte proposé par </w:t>
            </w:r>
            <w:r>
              <w:t>le Conseil</w:t>
            </w:r>
          </w:p>
        </w:tc>
        <w:tc>
          <w:tcPr>
            <w:tcW w:w="4876" w:type="dxa"/>
            <w:tcBorders>
              <w:top w:val="nil"/>
              <w:left w:val="nil"/>
              <w:bottom w:val="nil"/>
              <w:right w:val="nil"/>
            </w:tcBorders>
          </w:tcPr>
          <w:p w:rsidR="00AA56F9" w:rsidRPr="009A76E7" w:rsidP="00BD2DF0" w14:paraId="53D28535" w14:textId="77777777">
            <w:pPr>
              <w:pStyle w:val="AmColumnHeading"/>
              <w:widowControl/>
            </w:pPr>
            <w:r>
              <w:t>Amendement</w:t>
            </w:r>
          </w:p>
        </w:tc>
      </w:tr>
      <w:tr w14:paraId="615DA7A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0018EC70" w14:textId="77777777">
            <w:pPr>
              <w:pStyle w:val="Normal6a"/>
              <w:widowControl/>
            </w:pPr>
            <w:r>
              <w:t>Les États membres communiquent</w:t>
            </w:r>
            <w:r>
              <w:rPr>
                <w:b/>
                <w:i/>
              </w:rPr>
              <w:t>, sur demande, à la Commission et</w:t>
            </w:r>
            <w:r>
              <w:t xml:space="preserve"> au </w:t>
            </w:r>
            <w:r>
              <w:rPr>
                <w:b/>
                <w:i/>
              </w:rPr>
              <w:t>haut représentant de l’Union pour les affaires étrangères</w:t>
            </w:r>
            <w:r>
              <w:t xml:space="preserve"> et </w:t>
            </w:r>
            <w:r>
              <w:rPr>
                <w:b/>
                <w:i/>
              </w:rPr>
              <w:t>la politique de sécurité</w:t>
            </w:r>
            <w:r>
              <w:t xml:space="preserve"> les informations suivantes:</w:t>
            </w:r>
          </w:p>
        </w:tc>
        <w:tc>
          <w:tcPr>
            <w:tcW w:w="4876" w:type="dxa"/>
            <w:tcBorders>
              <w:top w:val="nil"/>
              <w:left w:val="nil"/>
              <w:bottom w:val="nil"/>
              <w:right w:val="nil"/>
            </w:tcBorders>
          </w:tcPr>
          <w:p w:rsidR="00AA56F9" w:rsidRPr="00FE0A8B" w:rsidP="00BD2DF0" w14:paraId="57332D4C" w14:textId="77777777">
            <w:pPr>
              <w:pStyle w:val="Normal6a"/>
              <w:widowControl/>
            </w:pPr>
            <w:r>
              <w:t xml:space="preserve">Les États membres communiquent au </w:t>
            </w:r>
            <w:r>
              <w:rPr>
                <w:b/>
                <w:i/>
              </w:rPr>
              <w:t>SEAE au moins une fois par an,</w:t>
            </w:r>
            <w:r>
              <w:t xml:space="preserve"> et </w:t>
            </w:r>
            <w:r>
              <w:rPr>
                <w:b/>
                <w:i/>
              </w:rPr>
              <w:t>plus fréquemment si nécessaire,</w:t>
            </w:r>
            <w:r>
              <w:t xml:space="preserve"> les informations suivantes:</w:t>
            </w:r>
          </w:p>
        </w:tc>
      </w:tr>
    </w:tbl>
    <w:p w:rsidR="00AA56F9" w:rsidRPr="00BD2DF0" w:rsidP="00BD2DF0" w14:paraId="60F6BB57" w14:textId="77777777">
      <w:pPr>
        <w:widowControl/>
      </w:pPr>
      <w:r w:rsidRPr="00825264">
        <w:rPr>
          <w:rStyle w:val="HideTWBExt"/>
        </w:rPr>
        <w:t>&lt;/Amend&gt;</w:t>
      </w:r>
    </w:p>
    <w:p w:rsidR="00AA56F9" w:rsidRPr="00BD2DF0" w:rsidP="00BD2DF0" w14:paraId="747DDF7B" w14:textId="77777777">
      <w:pPr>
        <w:pStyle w:val="AmNumberTabs"/>
        <w:widowControl/>
      </w:pPr>
      <w:r w:rsidRPr="00825264">
        <w:rPr>
          <w:rStyle w:val="HideTWBExt"/>
        </w:rPr>
        <w:t>&lt;Amend&gt;</w:t>
      </w:r>
      <w:r>
        <w:t>Amendement</w:t>
      </w:r>
      <w:r>
        <w:tab/>
      </w:r>
      <w:r>
        <w:tab/>
      </w:r>
      <w:r w:rsidRPr="00825264">
        <w:rPr>
          <w:rStyle w:val="HideTWBExt"/>
        </w:rPr>
        <w:t>&lt;NumAm&gt;</w:t>
      </w:r>
      <w:r>
        <w:t>23</w:t>
      </w:r>
      <w:r w:rsidRPr="00825264">
        <w:rPr>
          <w:rStyle w:val="HideTWBExt"/>
        </w:rPr>
        <w:t>&lt;/NumAm&gt;</w:t>
      </w:r>
    </w:p>
    <w:p w:rsidR="00AA56F9" w:rsidRPr="00FE0A8B" w:rsidP="00BD2DF0" w14:paraId="1BF35A96"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61E6EB5B" w14:textId="77777777">
      <w:pPr>
        <w:pStyle w:val="NormalBold"/>
        <w:widowControl/>
      </w:pPr>
      <w:r>
        <w:rPr>
          <w:rStyle w:val="HideTWBExt"/>
        </w:rPr>
        <w:t>&lt;Article&gt;</w:t>
      </w:r>
      <w:r>
        <w:t>Article 1 – alinéa 1 – point 6</w:t>
      </w:r>
      <w:r>
        <w:rPr>
          <w:rStyle w:val="HideTWBExt"/>
        </w:rPr>
        <w:t>&lt;/Article&gt;</w:t>
      </w:r>
    </w:p>
    <w:p w:rsidR="00AA56F9" w:rsidRPr="009A76E7" w:rsidP="00BD2DF0" w14:paraId="72DFEB1B" w14:textId="77777777">
      <w:pPr>
        <w:widowControl/>
      </w:pPr>
      <w:r>
        <w:rPr>
          <w:rStyle w:val="HideTWBExt"/>
        </w:rPr>
        <w:t>&lt;DocAmend2&gt;</w:t>
      </w:r>
      <w:r>
        <w:t xml:space="preserve">Directive (UE) </w:t>
      </w:r>
      <w:r>
        <w:t>2015/637</w:t>
      </w:r>
      <w:r>
        <w:rPr>
          <w:rStyle w:val="HideTWBExt"/>
        </w:rPr>
        <w:t>&lt;/DocAmend2&gt;</w:t>
      </w:r>
    </w:p>
    <w:p w:rsidR="00AA56F9" w:rsidRPr="009A76E7" w:rsidP="00BD2DF0" w14:paraId="134B5DFA" w14:textId="77777777">
      <w:pPr>
        <w:widowControl/>
      </w:pPr>
      <w:r>
        <w:rPr>
          <w:rStyle w:val="HideTWBExt"/>
        </w:rPr>
        <w:t>&lt;Article2&gt;</w:t>
      </w:r>
      <w:r>
        <w:t>Article 13 quater – paragraphe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0B021"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4D60FA57" w14:textId="77777777">
            <w:pPr>
              <w:widowControl/>
            </w:pPr>
          </w:p>
        </w:tc>
      </w:tr>
      <w:tr w14:paraId="6CED986E"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2A219145"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64CECF25" w14:textId="77777777">
            <w:pPr>
              <w:pStyle w:val="AmColumnHeading"/>
              <w:widowControl/>
            </w:pPr>
            <w:r>
              <w:t>Amendement</w:t>
            </w:r>
          </w:p>
        </w:tc>
      </w:tr>
      <w:tr w14:paraId="7FBA157C"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71FD9391" w14:textId="77777777">
            <w:pPr>
              <w:pStyle w:val="Normal6a"/>
              <w:widowControl/>
            </w:pPr>
            <w:r>
              <w:t>1.</w:t>
            </w:r>
            <w:r>
              <w:tab/>
              <w:t xml:space="preserve">Les États membres prennent des mesures appropriées pour informer leurs citoyens de leur droit énoncé à l’article 20, </w:t>
            </w:r>
            <w:r>
              <w:t>paragraphe 2, point c), du TFUE.</w:t>
            </w:r>
          </w:p>
        </w:tc>
        <w:tc>
          <w:tcPr>
            <w:tcW w:w="4876" w:type="dxa"/>
            <w:tcBorders>
              <w:top w:val="nil"/>
              <w:left w:val="nil"/>
              <w:bottom w:val="nil"/>
              <w:right w:val="nil"/>
            </w:tcBorders>
          </w:tcPr>
          <w:p w:rsidR="00AA56F9" w:rsidRPr="00FE0A8B" w:rsidP="00BD2DF0" w14:paraId="28131930" w14:textId="77777777">
            <w:pPr>
              <w:pStyle w:val="Normal6a"/>
              <w:widowControl/>
            </w:pPr>
            <w:r>
              <w:t>1.</w:t>
            </w:r>
            <w:r>
              <w:tab/>
              <w:t>Les États membres prennent des mesures appropriées pour informer leurs citoyens de leur droit énoncé à l’article 20, paragraphe 2, point c), du TFUE</w:t>
            </w:r>
            <w:r>
              <w:rPr>
                <w:b/>
                <w:i/>
              </w:rPr>
              <w:t>, notamment:</w:t>
            </w:r>
          </w:p>
        </w:tc>
      </w:tr>
      <w:tr w14:paraId="51A4F787"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E51FD1" w:rsidP="00BD2DF0" w14:paraId="20D72817" w14:textId="77777777">
            <w:pPr>
              <w:pStyle w:val="Normal6a"/>
              <w:widowControl/>
              <w:rPr>
                <w:lang w:val="fr-BE"/>
              </w:rPr>
            </w:pPr>
          </w:p>
        </w:tc>
        <w:tc>
          <w:tcPr>
            <w:tcW w:w="4876" w:type="dxa"/>
            <w:tcBorders>
              <w:top w:val="nil"/>
              <w:left w:val="nil"/>
              <w:bottom w:val="nil"/>
              <w:right w:val="nil"/>
            </w:tcBorders>
          </w:tcPr>
          <w:p w:rsidR="00AA56F9" w:rsidRPr="00FE0A8B" w:rsidP="00BD2DF0" w14:paraId="7929BF83" w14:textId="77777777">
            <w:pPr>
              <w:pStyle w:val="Normal6a"/>
              <w:widowControl/>
            </w:pPr>
            <w:r>
              <w:rPr>
                <w:b/>
                <w:i/>
              </w:rPr>
              <w:t xml:space="preserve">a) la fourniture d’informations sur le droit à la </w:t>
            </w:r>
            <w:r>
              <w:rPr>
                <w:b/>
                <w:i/>
              </w:rPr>
              <w:t>protection consulaire dans les conseils aux voyageurs et les campagnes relatives à la protection consulaire;</w:t>
            </w:r>
          </w:p>
        </w:tc>
      </w:tr>
      <w:tr w14:paraId="663F4B74"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E51FD1" w:rsidP="00BD2DF0" w14:paraId="40B8E875" w14:textId="77777777">
            <w:pPr>
              <w:pStyle w:val="Normal6a"/>
              <w:widowControl/>
              <w:rPr>
                <w:lang w:val="fr-BE"/>
              </w:rPr>
            </w:pPr>
          </w:p>
        </w:tc>
        <w:tc>
          <w:tcPr>
            <w:tcW w:w="4876" w:type="dxa"/>
            <w:tcBorders>
              <w:top w:val="nil"/>
              <w:left w:val="nil"/>
              <w:bottom w:val="nil"/>
              <w:right w:val="nil"/>
            </w:tcBorders>
          </w:tcPr>
          <w:p w:rsidR="00AA56F9" w:rsidRPr="00FE0A8B" w:rsidP="00BD2DF0" w14:paraId="10BAB85C" w14:textId="77777777">
            <w:pPr>
              <w:pStyle w:val="Normal6a"/>
              <w:widowControl/>
            </w:pPr>
            <w:r>
              <w:rPr>
                <w:b/>
                <w:i/>
              </w:rPr>
              <w:t>b) la participation à des campagnes d’information avec les prestataires de services de transport de voyageurs et les plateformes de transport proposant des voyages vers des pays tiers;</w:t>
            </w:r>
          </w:p>
        </w:tc>
      </w:tr>
      <w:tr w14:paraId="71C01A8B"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E51FD1" w:rsidP="00BD2DF0" w14:paraId="253E9D86" w14:textId="77777777">
            <w:pPr>
              <w:pStyle w:val="Normal6a"/>
              <w:widowControl/>
              <w:rPr>
                <w:lang w:val="fr-BE"/>
              </w:rPr>
            </w:pPr>
          </w:p>
        </w:tc>
        <w:tc>
          <w:tcPr>
            <w:tcW w:w="4876" w:type="dxa"/>
            <w:tcBorders>
              <w:top w:val="nil"/>
              <w:left w:val="nil"/>
              <w:bottom w:val="nil"/>
              <w:right w:val="nil"/>
            </w:tcBorders>
          </w:tcPr>
          <w:p w:rsidR="00AA56F9" w:rsidRPr="00FE0A8B" w:rsidP="00BD2DF0" w14:paraId="6E2DE53C" w14:textId="77777777">
            <w:pPr>
              <w:pStyle w:val="Normal6a"/>
              <w:widowControl/>
            </w:pPr>
            <w:r>
              <w:rPr>
                <w:b/>
                <w:i/>
              </w:rPr>
              <w:t xml:space="preserve">c) la mise au point de plateformes numériques, y compris les applications mobiles, par l’intermédiaire desquelles les citoyens de l’Union ont rapidement et facilement accès aux informations </w:t>
            </w:r>
            <w:r>
              <w:rPr>
                <w:b/>
                <w:i/>
              </w:rPr>
              <w:t>relatives à la protection consulaire et aux canaux de contact à tout moment;</w:t>
            </w:r>
          </w:p>
        </w:tc>
      </w:tr>
      <w:tr w14:paraId="48D452F9"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E51FD1" w:rsidP="00BD2DF0" w14:paraId="71C72820" w14:textId="77777777">
            <w:pPr>
              <w:pStyle w:val="Normal6a"/>
              <w:widowControl/>
              <w:rPr>
                <w:lang w:val="fr-BE"/>
              </w:rPr>
            </w:pPr>
          </w:p>
        </w:tc>
        <w:tc>
          <w:tcPr>
            <w:tcW w:w="4876" w:type="dxa"/>
            <w:tcBorders>
              <w:top w:val="nil"/>
              <w:left w:val="nil"/>
              <w:bottom w:val="nil"/>
              <w:right w:val="nil"/>
            </w:tcBorders>
          </w:tcPr>
          <w:p w:rsidR="00AA56F9" w:rsidRPr="00FE0A8B" w:rsidP="00BD2DF0" w14:paraId="005B478B" w14:textId="77777777">
            <w:pPr>
              <w:pStyle w:val="Normal6a"/>
              <w:widowControl/>
            </w:pPr>
            <w:r>
              <w:rPr>
                <w:b/>
                <w:i/>
              </w:rPr>
              <w:t>d) la mise au point de systèmes de notification automatique, tels que des systèmes de messages courts via les réseaux téléphoniques, pour fournir à tous les citoyens de l’Union des informations contextualisées sur leurs droits et sur la manière de les exercer à leur arrivée dans des pays tiers, ainsi que des messages d’alerte et des recommandations en temps réel en cas de crise;</w:t>
            </w:r>
          </w:p>
        </w:tc>
      </w:tr>
      <w:tr w14:paraId="348849A2"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E51FD1" w:rsidP="00BD2DF0" w14:paraId="147FEC22" w14:textId="77777777">
            <w:pPr>
              <w:pStyle w:val="Normal6a"/>
              <w:widowControl/>
              <w:rPr>
                <w:lang w:val="fr-BE"/>
              </w:rPr>
            </w:pPr>
          </w:p>
        </w:tc>
        <w:tc>
          <w:tcPr>
            <w:tcW w:w="4876" w:type="dxa"/>
            <w:tcBorders>
              <w:top w:val="nil"/>
              <w:left w:val="nil"/>
              <w:bottom w:val="nil"/>
              <w:right w:val="nil"/>
            </w:tcBorders>
          </w:tcPr>
          <w:p w:rsidR="00AA56F9" w:rsidRPr="00FE0A8B" w:rsidP="00BD2DF0" w14:paraId="0A9295C4" w14:textId="77777777">
            <w:pPr>
              <w:pStyle w:val="Normal6a"/>
              <w:widowControl/>
            </w:pPr>
            <w:r>
              <w:rPr>
                <w:b/>
                <w:i/>
              </w:rPr>
              <w:t>En outre, les États membres reproduisent la première phrase de l’article 23 du TFUE sur les passeports nationaux</w:t>
            </w:r>
            <w:r>
              <w:t>.</w:t>
            </w:r>
          </w:p>
        </w:tc>
      </w:tr>
    </w:tbl>
    <w:p w:rsidR="00AA56F9" w:rsidRPr="00BD2DF0" w:rsidP="00BD2DF0" w14:paraId="6B7DA5FD" w14:textId="77777777">
      <w:pPr>
        <w:widowControl/>
      </w:pPr>
      <w:r w:rsidRPr="00825264">
        <w:rPr>
          <w:rStyle w:val="HideTWBExt"/>
        </w:rPr>
        <w:t>&lt;/Amend&gt;</w:t>
      </w:r>
    </w:p>
    <w:p w:rsidR="00AA56F9" w:rsidRPr="00BD2DF0" w:rsidP="00BD2DF0" w14:paraId="4E55C874" w14:textId="77777777">
      <w:pPr>
        <w:pStyle w:val="AmNumberTabs"/>
        <w:widowControl/>
      </w:pPr>
      <w:r w:rsidRPr="00825264">
        <w:rPr>
          <w:rStyle w:val="HideTWBExt"/>
        </w:rPr>
        <w:t>&lt;Amend&gt;</w:t>
      </w:r>
      <w:r>
        <w:t>Amendement</w:t>
      </w:r>
      <w:r>
        <w:tab/>
      </w:r>
      <w:r>
        <w:tab/>
      </w:r>
      <w:r w:rsidRPr="00825264">
        <w:rPr>
          <w:rStyle w:val="HideTWBExt"/>
        </w:rPr>
        <w:t>&lt;NumAm&gt;</w:t>
      </w:r>
      <w:r>
        <w:t>24</w:t>
      </w:r>
      <w:r w:rsidRPr="00825264">
        <w:rPr>
          <w:rStyle w:val="HideTWBExt"/>
        </w:rPr>
        <w:t>&lt;/NumAm&gt;</w:t>
      </w:r>
    </w:p>
    <w:p w:rsidR="00AA56F9" w:rsidRPr="00FE0A8B" w:rsidP="00BD2DF0" w14:paraId="4BF7F98F"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032DC09D" w14:textId="77777777">
      <w:pPr>
        <w:pStyle w:val="NormalBold"/>
        <w:widowControl/>
      </w:pPr>
      <w:r>
        <w:rPr>
          <w:rStyle w:val="HideTWBExt"/>
        </w:rPr>
        <w:t>&lt;Article&gt;</w:t>
      </w:r>
      <w:r>
        <w:t>Article 1 – alinéa 1 – point 7</w:t>
      </w:r>
      <w:r>
        <w:rPr>
          <w:rStyle w:val="HideTWBExt"/>
        </w:rPr>
        <w:t>&lt;/Article&gt;</w:t>
      </w:r>
    </w:p>
    <w:p w:rsidR="00AA56F9" w:rsidRPr="009A76E7" w:rsidP="00BD2DF0" w14:paraId="0D42FC76" w14:textId="77777777">
      <w:pPr>
        <w:widowControl/>
      </w:pPr>
      <w:r>
        <w:rPr>
          <w:rStyle w:val="HideTWBExt"/>
        </w:rPr>
        <w:t>&lt;DocAmend2&gt;</w:t>
      </w:r>
      <w:r>
        <w:t>Directive (UE) 2015/637</w:t>
      </w:r>
      <w:r>
        <w:rPr>
          <w:rStyle w:val="HideTWBExt"/>
        </w:rPr>
        <w:t>&lt;/DocAmend2&gt;</w:t>
      </w:r>
    </w:p>
    <w:p w:rsidR="00AA56F9" w:rsidRPr="009A76E7" w:rsidP="00BD2DF0" w14:paraId="5DDC01E6" w14:textId="77777777">
      <w:pPr>
        <w:widowControl/>
      </w:pPr>
      <w:r>
        <w:rPr>
          <w:rStyle w:val="HideTWBExt"/>
        </w:rPr>
        <w:t>&lt;Article2&gt;</w:t>
      </w:r>
      <w:r>
        <w:t xml:space="preserve">Article 14 – </w:t>
      </w:r>
      <w:r>
        <w:t>paragraphe 5 – alinéa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DB9B7"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5C41CCE1" w14:textId="77777777">
            <w:pPr>
              <w:widowControl/>
            </w:pPr>
          </w:p>
        </w:tc>
      </w:tr>
      <w:tr w14:paraId="0DE40058"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1DAA837D"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31831C5E" w14:textId="77777777">
            <w:pPr>
              <w:pStyle w:val="AmColumnHeading"/>
              <w:widowControl/>
            </w:pPr>
            <w:r>
              <w:t>Amendement</w:t>
            </w:r>
          </w:p>
        </w:tc>
      </w:tr>
      <w:tr w14:paraId="7E06D4B8"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7EEDDA4D" w14:textId="77777777">
            <w:pPr>
              <w:pStyle w:val="Normal6a"/>
              <w:widowControl/>
            </w:pPr>
            <w:r>
              <w:t xml:space="preserve">Lorsque la protection consulaire accordée à un citoyen non représenté dans les situations visées à l’article 9, points a) à </w:t>
            </w:r>
            <w:r>
              <w:rPr>
                <w:b/>
                <w:i/>
              </w:rPr>
              <w:t>c</w:t>
            </w:r>
            <w:r>
              <w:t xml:space="preserve">), entraîne des coûts essentiels et justifiés exceptionnellement élevés de transport, d’hébergement ou de traduction pour les autorités diplomatiques ou consulaires, l’État membre prêtant assistance informe, dans le contexte de la consultation prévue à l’article 10, paragraphe 2, l’État membre dont le citoyen non représenté a la nationalité de ces éventuels coûts et peut, dans un délai de douze mois à compter de la date de fourniture de l’assistance, demander leur remboursement directement à l’État membre </w:t>
            </w:r>
            <w:r>
              <w:rPr>
                <w:b/>
                <w:i/>
              </w:rPr>
              <w:t>de</w:t>
            </w:r>
            <w:r>
              <w:t xml:space="preserve"> nationalité.</w:t>
            </w:r>
          </w:p>
        </w:tc>
        <w:tc>
          <w:tcPr>
            <w:tcW w:w="4876" w:type="dxa"/>
            <w:tcBorders>
              <w:top w:val="nil"/>
              <w:left w:val="nil"/>
              <w:bottom w:val="nil"/>
              <w:right w:val="nil"/>
            </w:tcBorders>
          </w:tcPr>
          <w:p w:rsidR="00AA56F9" w:rsidRPr="00FE0A8B" w:rsidP="00BD2DF0" w14:paraId="05DCADDE" w14:textId="77777777">
            <w:pPr>
              <w:pStyle w:val="Normal6a"/>
              <w:widowControl/>
            </w:pPr>
            <w:r>
              <w:t xml:space="preserve">Lorsque la protection consulaire accordée à un citoyen non représenté dans les situations visées à l’article 9, points a) à </w:t>
            </w:r>
            <w:r>
              <w:rPr>
                <w:b/>
                <w:i/>
              </w:rPr>
              <w:t>e</w:t>
            </w:r>
            <w:r>
              <w:t xml:space="preserve">), entraîne des coûts essentiels et justifiés exceptionnellement élevés de transport, d’hébergement ou de traduction pour les autorités diplomatiques ou consulaires, l’État membre prêtant assistance informe, dans le contexte de la consultation prévue à l’article 10, paragraphe 2, l’État membre dont le citoyen non représenté a la nationalité de ces éventuels coûts et peut, dans un délai de douze mois à compter de la date de fourniture de l’assistance, demander leur remboursement directement à l’État membre </w:t>
            </w:r>
            <w:r>
              <w:rPr>
                <w:b/>
                <w:i/>
              </w:rPr>
              <w:t>dont le citoyen non représenté a la</w:t>
            </w:r>
            <w:r>
              <w:t xml:space="preserve"> nationalité.</w:t>
            </w:r>
          </w:p>
        </w:tc>
      </w:tr>
    </w:tbl>
    <w:p w:rsidR="00AA56F9" w:rsidRPr="00BD2DF0" w:rsidP="00BD2DF0" w14:paraId="671B8416" w14:textId="77777777">
      <w:pPr>
        <w:widowControl/>
      </w:pPr>
      <w:r w:rsidRPr="00825264">
        <w:rPr>
          <w:rStyle w:val="HideTWBExt"/>
        </w:rPr>
        <w:t>&lt;/Amend&gt;</w:t>
      </w:r>
    </w:p>
    <w:p w:rsidR="00AA56F9" w:rsidRPr="00BD2DF0" w:rsidP="00BD2DF0" w14:paraId="25A739E7" w14:textId="77777777">
      <w:pPr>
        <w:pStyle w:val="AmNumberTabs"/>
        <w:widowControl/>
      </w:pPr>
      <w:r w:rsidRPr="00825264">
        <w:rPr>
          <w:rStyle w:val="HideTWBExt"/>
        </w:rPr>
        <w:t>&lt;Amend&gt;</w:t>
      </w:r>
      <w:r>
        <w:t>Amendement</w:t>
      </w:r>
      <w:r>
        <w:tab/>
      </w:r>
      <w:r>
        <w:tab/>
      </w:r>
      <w:r w:rsidRPr="00825264">
        <w:rPr>
          <w:rStyle w:val="HideTWBExt"/>
        </w:rPr>
        <w:t>&lt;NumAm&gt;</w:t>
      </w:r>
      <w:r>
        <w:t>25</w:t>
      </w:r>
      <w:r w:rsidRPr="00825264">
        <w:rPr>
          <w:rStyle w:val="HideTWBExt"/>
        </w:rPr>
        <w:t>&lt;/NumAm&gt;</w:t>
      </w:r>
    </w:p>
    <w:p w:rsidR="00AA56F9" w:rsidRPr="00FE0A8B" w:rsidP="00BD2DF0" w14:paraId="1B651AB4"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10BE1F52" w14:textId="77777777">
      <w:pPr>
        <w:pStyle w:val="NormalBold"/>
        <w:widowControl/>
      </w:pPr>
      <w:r>
        <w:rPr>
          <w:rStyle w:val="HideTWBExt"/>
        </w:rPr>
        <w:t>&lt;Article&gt;</w:t>
      </w:r>
      <w:r>
        <w:t>Article 1 – alinéa 1 – point 9</w:t>
      </w:r>
      <w:r>
        <w:rPr>
          <w:rStyle w:val="HideTWBExt"/>
        </w:rPr>
        <w:t>&lt;/Article&gt;</w:t>
      </w:r>
    </w:p>
    <w:p w:rsidR="00AA56F9" w:rsidRPr="009A76E7" w:rsidP="00BD2DF0" w14:paraId="68C43B8B" w14:textId="77777777">
      <w:pPr>
        <w:widowControl/>
      </w:pPr>
      <w:r>
        <w:rPr>
          <w:rStyle w:val="HideTWBExt"/>
        </w:rPr>
        <w:t>&lt;DocAmend2&gt;</w:t>
      </w:r>
      <w:r>
        <w:t>Directive (UE) 2015/637</w:t>
      </w:r>
      <w:r>
        <w:rPr>
          <w:rStyle w:val="HideTWBExt"/>
        </w:rPr>
        <w:t>&lt;/DocAmend2&gt;</w:t>
      </w:r>
    </w:p>
    <w:p w:rsidR="00AA56F9" w:rsidRPr="009A76E7" w:rsidP="00BD2DF0" w14:paraId="4B2D2A86" w14:textId="77777777">
      <w:pPr>
        <w:widowControl/>
      </w:pPr>
      <w:r>
        <w:rPr>
          <w:rStyle w:val="HideTWBExt"/>
        </w:rPr>
        <w:t>&lt;Article2&gt;</w:t>
      </w:r>
      <w:r>
        <w:t>Article 16 bis – paragraphe 7 – alinéa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BE028"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1EC52728" w14:textId="77777777">
            <w:pPr>
              <w:widowControl/>
            </w:pPr>
          </w:p>
        </w:tc>
      </w:tr>
      <w:tr w14:paraId="246D4528"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075321F8"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1B4AECDB" w14:textId="77777777">
            <w:pPr>
              <w:pStyle w:val="AmColumnHeading"/>
              <w:widowControl/>
            </w:pPr>
            <w:r>
              <w:t>Amendement</w:t>
            </w:r>
          </w:p>
        </w:tc>
      </w:tr>
      <w:tr w14:paraId="22EEC3EE"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0F02E0D5" w14:textId="77777777">
            <w:pPr>
              <w:pStyle w:val="Normal6a"/>
              <w:widowControl/>
            </w:pPr>
            <w:r>
              <w:t xml:space="preserve">Aux fins de la présente directive, les autorités compétentes des États membres </w:t>
            </w:r>
            <w:r>
              <w:rPr>
                <w:b/>
                <w:i/>
              </w:rPr>
              <w:t>transfèrent</w:t>
            </w:r>
            <w:r>
              <w:t xml:space="preserve"> des données à caractère personnel vers un pays tiers ou à une organisation internationale uniquement pour s’acquitter des tâches visées à l’article 9, à l’article 10 et à l’article 13 bis et conformément au chapitre V du règlement (UE) 2016/679.</w:t>
            </w:r>
          </w:p>
        </w:tc>
        <w:tc>
          <w:tcPr>
            <w:tcW w:w="4876" w:type="dxa"/>
            <w:tcBorders>
              <w:top w:val="nil"/>
              <w:left w:val="nil"/>
              <w:bottom w:val="nil"/>
              <w:right w:val="nil"/>
            </w:tcBorders>
          </w:tcPr>
          <w:p w:rsidR="00AA56F9" w:rsidRPr="00FE0A8B" w:rsidP="00BD2DF0" w14:paraId="7C7801EC" w14:textId="77777777">
            <w:pPr>
              <w:pStyle w:val="Normal6a"/>
              <w:widowControl/>
            </w:pPr>
            <w:r>
              <w:t xml:space="preserve">Aux fins de la présente directive, les autorités compétentes des États membres </w:t>
            </w:r>
            <w:r>
              <w:rPr>
                <w:b/>
                <w:i/>
              </w:rPr>
              <w:t>peuvent transférer</w:t>
            </w:r>
            <w:r>
              <w:t xml:space="preserve"> des données à caractère personnel vers un pays tiers</w:t>
            </w:r>
            <w:r>
              <w:rPr>
                <w:b/>
                <w:i/>
              </w:rPr>
              <w:t>, à condition qu’il offre des garanties de protection et des garanties juridiques suffisantes qui protègent suffisamment le droit au respect de la vie privée et d’autres droits fondamentaux,</w:t>
            </w:r>
            <w:r>
              <w:t xml:space="preserve"> ou à une organisation internationale uniquement pour s’acquitter des tâches visées à l’article 9, à l’article 10 et à l’article 13 bis et conformément au chapitre V du règlement (UE) 2016/679.</w:t>
            </w:r>
          </w:p>
        </w:tc>
      </w:tr>
    </w:tbl>
    <w:p w:rsidR="00AA56F9" w:rsidRPr="00BD2DF0" w:rsidP="00BD2DF0" w14:paraId="3CDF4B6A" w14:textId="77777777">
      <w:pPr>
        <w:widowControl/>
      </w:pPr>
      <w:r w:rsidRPr="00825264">
        <w:rPr>
          <w:rStyle w:val="HideTWBExt"/>
        </w:rPr>
        <w:t>&lt;/Amend&gt;</w:t>
      </w:r>
    </w:p>
    <w:p w:rsidR="00AA56F9" w:rsidRPr="00BD2DF0" w:rsidP="00BD2DF0" w14:paraId="5D5D060F" w14:textId="77777777">
      <w:pPr>
        <w:pStyle w:val="AmNumberTabs"/>
        <w:widowControl/>
      </w:pPr>
      <w:r w:rsidRPr="00825264">
        <w:rPr>
          <w:rStyle w:val="HideTWBExt"/>
        </w:rPr>
        <w:t>&lt;Amend&gt;</w:t>
      </w:r>
      <w:r>
        <w:t>Amendement</w:t>
      </w:r>
      <w:r>
        <w:tab/>
      </w:r>
      <w:r>
        <w:tab/>
      </w:r>
      <w:r w:rsidRPr="00825264">
        <w:rPr>
          <w:rStyle w:val="HideTWBExt"/>
        </w:rPr>
        <w:t>&lt;NumAm&gt;</w:t>
      </w:r>
      <w:r>
        <w:t>26</w:t>
      </w:r>
      <w:r w:rsidRPr="00825264">
        <w:rPr>
          <w:rStyle w:val="HideTWBExt"/>
        </w:rPr>
        <w:t>&lt;/NumAm&gt;</w:t>
      </w:r>
    </w:p>
    <w:p w:rsidR="00AA56F9" w:rsidRPr="00FE0A8B" w:rsidP="00BD2DF0" w14:paraId="54BE6482" w14:textId="77777777">
      <w:pPr>
        <w:pStyle w:val="NormalBold12b"/>
        <w:widowControl/>
      </w:pPr>
      <w:r>
        <w:rPr>
          <w:rStyle w:val="HideTWBExt"/>
          <w:lang w:val="fr-BE"/>
        </w:rPr>
        <w:t>&lt;DocAmend&gt;</w:t>
      </w:r>
      <w:r>
        <w:t>Proposition de directive</w:t>
      </w:r>
      <w:r>
        <w:rPr>
          <w:rStyle w:val="HideTWBExt"/>
          <w:lang w:val="fr-BE"/>
        </w:rPr>
        <w:t>&lt;/DocAmend&gt;</w:t>
      </w:r>
    </w:p>
    <w:p w:rsidR="00AA56F9" w:rsidRPr="009A76E7" w:rsidP="00BD2DF0" w14:paraId="2722C11F" w14:textId="77777777">
      <w:pPr>
        <w:pStyle w:val="NormalBold"/>
        <w:widowControl/>
      </w:pPr>
      <w:r>
        <w:rPr>
          <w:rStyle w:val="HideTWBExt"/>
        </w:rPr>
        <w:t>&lt;Article&gt;</w:t>
      </w:r>
      <w:r>
        <w:t>Article 1 – alinéa 1 – point 10</w:t>
      </w:r>
      <w:r>
        <w:rPr>
          <w:rStyle w:val="HideTWBExt"/>
        </w:rPr>
        <w:t>&lt;/Article&gt;</w:t>
      </w:r>
    </w:p>
    <w:p w:rsidR="00AA56F9" w:rsidRPr="009A76E7" w:rsidP="00BD2DF0" w14:paraId="7B577955" w14:textId="77777777">
      <w:pPr>
        <w:widowControl/>
      </w:pPr>
      <w:r>
        <w:rPr>
          <w:rStyle w:val="HideTWBExt"/>
        </w:rPr>
        <w:t>&lt;DocAmend2&gt;</w:t>
      </w:r>
      <w:r>
        <w:t>Directive (UE) 2015/637</w:t>
      </w:r>
      <w:r>
        <w:rPr>
          <w:rStyle w:val="HideTWBExt"/>
        </w:rPr>
        <w:t>&lt;/DocAmend2&gt;</w:t>
      </w:r>
    </w:p>
    <w:p w:rsidR="00AA56F9" w:rsidRPr="009A76E7" w:rsidP="00BD2DF0" w14:paraId="65D69F1F" w14:textId="77777777">
      <w:pPr>
        <w:widowControl/>
      </w:pPr>
      <w:r>
        <w:rPr>
          <w:rStyle w:val="HideTWBExt"/>
        </w:rPr>
        <w:t>&lt;Article2&gt;</w:t>
      </w:r>
      <w:r>
        <w:t>Article 19 – paragraphe 3 – alinéa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9F9C5" w14:textId="77777777" w:rsidTr="002E2F3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A56F9" w:rsidRPr="009A76E7" w:rsidP="00BD2DF0" w14:paraId="75A3622B" w14:textId="77777777">
            <w:pPr>
              <w:widowControl/>
            </w:pPr>
          </w:p>
        </w:tc>
      </w:tr>
      <w:tr w14:paraId="0BEAA1CA" w14:textId="77777777" w:rsidTr="002E2F3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A56F9" w:rsidRPr="009A76E7" w:rsidP="00BD2DF0" w14:paraId="6BEFAEA4" w14:textId="77777777">
            <w:pPr>
              <w:pStyle w:val="AmColumnHeading"/>
              <w:widowControl/>
            </w:pPr>
            <w:r>
              <w:t>Texte proposé par le Conseil</w:t>
            </w:r>
          </w:p>
        </w:tc>
        <w:tc>
          <w:tcPr>
            <w:tcW w:w="4876" w:type="dxa"/>
            <w:tcBorders>
              <w:top w:val="nil"/>
              <w:left w:val="nil"/>
              <w:bottom w:val="nil"/>
              <w:right w:val="nil"/>
            </w:tcBorders>
          </w:tcPr>
          <w:p w:rsidR="00AA56F9" w:rsidRPr="009A76E7" w:rsidP="00BD2DF0" w14:paraId="650BACA2" w14:textId="77777777">
            <w:pPr>
              <w:pStyle w:val="AmColumnHeading"/>
              <w:widowControl/>
            </w:pPr>
            <w:r>
              <w:t>Amendement</w:t>
            </w:r>
          </w:p>
        </w:tc>
      </w:tr>
      <w:tr w14:paraId="2E54E0D9" w14:textId="77777777" w:rsidTr="002E2F3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A56F9" w:rsidRPr="00FE0A8B" w:rsidP="00BD2DF0" w14:paraId="434D7B2E" w14:textId="77777777">
            <w:pPr>
              <w:pStyle w:val="Normal6a"/>
              <w:widowControl/>
            </w:pPr>
            <w:r>
              <w:t xml:space="preserve">Au plus </w:t>
            </w:r>
            <w:r>
              <w:rPr>
                <w:b/>
                <w:i/>
              </w:rPr>
              <w:t>tôt</w:t>
            </w:r>
            <w:r>
              <w:t xml:space="preserve"> [</w:t>
            </w:r>
            <w:r>
              <w:rPr>
                <w:b/>
                <w:i/>
              </w:rPr>
              <w:t>huit</w:t>
            </w:r>
            <w:r>
              <w:t xml:space="preserve"> ans après le délai de transposition de la directive modificative], la Commission procède à une évaluation de la présente directive et soumet un rapport exposant ses principales conclusions au Parlement européen et au Conseil.</w:t>
            </w:r>
          </w:p>
        </w:tc>
        <w:tc>
          <w:tcPr>
            <w:tcW w:w="4876" w:type="dxa"/>
            <w:tcBorders>
              <w:top w:val="nil"/>
              <w:left w:val="nil"/>
              <w:bottom w:val="nil"/>
              <w:right w:val="nil"/>
            </w:tcBorders>
          </w:tcPr>
          <w:p w:rsidR="00AA56F9" w:rsidRPr="00FE0A8B" w:rsidP="00BD2DF0" w14:paraId="0E7B616A" w14:textId="77777777">
            <w:pPr>
              <w:pStyle w:val="Normal6a"/>
              <w:widowControl/>
            </w:pPr>
            <w:r>
              <w:t xml:space="preserve">Au plus </w:t>
            </w:r>
            <w:r>
              <w:rPr>
                <w:b/>
                <w:i/>
              </w:rPr>
              <w:t>tard</w:t>
            </w:r>
            <w:r>
              <w:t xml:space="preserve"> [</w:t>
            </w:r>
            <w:r>
              <w:rPr>
                <w:b/>
                <w:i/>
              </w:rPr>
              <w:t>cinq</w:t>
            </w:r>
            <w:r>
              <w:t xml:space="preserve"> ans après le délai de transposition de la directive modificative], la Commission procède à une évaluation de la </w:t>
            </w:r>
            <w:r>
              <w:rPr>
                <w:b/>
                <w:i/>
              </w:rPr>
              <w:t>transposition et de l’application de la</w:t>
            </w:r>
            <w:r>
              <w:t xml:space="preserve"> présente directive et soumet un rapport exposant ses principales conclusions au Parlement européen et au Conseil</w:t>
            </w:r>
            <w:r>
              <w:rPr>
                <w:b/>
                <w:i/>
              </w:rPr>
              <w:t>, y compris sur les violations éventuelles des droits prévus par la présente directive</w:t>
            </w:r>
            <w:r>
              <w:t xml:space="preserve">. </w:t>
            </w:r>
            <w:r>
              <w:rPr>
                <w:b/>
                <w:i/>
              </w:rPr>
              <w:t>Par la suite, d’autres évaluations sont effectuées à intervalles appropriés en vue de garantir que la présente directive reste à jour et répond aux b</w:t>
            </w:r>
            <w:r>
              <w:rPr>
                <w:b/>
                <w:i/>
              </w:rPr>
              <w:t>esoins émergents et à l’évolution de la situation.</w:t>
            </w:r>
          </w:p>
        </w:tc>
      </w:tr>
    </w:tbl>
    <w:p w:rsidR="00AA56F9" w:rsidRPr="00FE0A8B" w:rsidP="00BD2DF0" w14:paraId="0942A74C" w14:textId="77777777">
      <w:pPr>
        <w:widowControl/>
        <w:rPr>
          <w:rStyle w:val="HideTWBExt"/>
        </w:rPr>
      </w:pPr>
      <w:r>
        <w:rPr>
          <w:rStyle w:val="HideTWBExt"/>
          <w:lang w:val="fr-BE"/>
        </w:rPr>
        <w:t>&lt;/Amend&gt;</w:t>
      </w:r>
    </w:p>
    <w:p w:rsidR="00AA56F9" w:rsidRPr="00FE0A8B" w:rsidP="00BD2DF0" w14:paraId="5D18C681" w14:textId="77777777">
      <w:pPr>
        <w:widowControl/>
      </w:pPr>
      <w:r>
        <w:rPr>
          <w:rStyle w:val="HideTWBExt"/>
          <w:lang w:val="fr-BE"/>
        </w:rPr>
        <w:t>&lt;/RepeatBlock-Amend&gt;</w:t>
      </w:r>
      <w:bookmarkEnd w:id="7"/>
    </w:p>
    <w:p w:rsidR="00AA56F9" w:rsidRPr="00FE0A8B" w:rsidP="00BD2DF0" w14:paraId="1A843009" w14:textId="77777777">
      <w:pPr>
        <w:widowControl/>
      </w:pPr>
      <w:r>
        <w:br w:type="page"/>
      </w:r>
    </w:p>
    <w:p w:rsidR="00AA56F9" w:rsidRPr="00FE0A8B" w:rsidP="00BD2DF0" w14:paraId="5C3395B2" w14:textId="77777777">
      <w:pPr>
        <w:pStyle w:val="PageHeadingNotTOC"/>
        <w:widowControl/>
      </w:pPr>
      <w:r>
        <w:t>ANNEXE: DÉCLARATION DES CONTRIBUTIONS</w:t>
      </w:r>
    </w:p>
    <w:p w:rsidR="00AA56F9" w:rsidRPr="00FE0A8B" w:rsidP="00BD2DF0" w14:paraId="4202B1FE" w14:textId="77777777">
      <w:pPr>
        <w:pStyle w:val="Normal24a"/>
        <w:widowControl/>
      </w:pPr>
      <w:r>
        <w:rPr>
          <w:rStyle w:val="HideTWBExt"/>
          <w:lang w:val="fr-BE"/>
        </w:rPr>
        <w:t>&lt;FootprintIntro&gt;</w:t>
      </w:r>
      <w:r>
        <w:t xml:space="preserve">Conformément à l’article 8 de l’annexe I du règlement intérieur, le rapporteur pour avis déclare avoir inclus dans son avis des </w:t>
      </w:r>
      <w:r>
        <w:t>contributions sur des questions relatives à l’objet du dossier qu’il a reçues, pour l’élaboration de l’avis, préalablement à son adoption en commission, de la part des représentants d’intérêts relevant du champ d’application de l’accord interinstitutionnel sur un registre de transparence obligatoire</w:t>
      </w:r>
      <w:r>
        <w:rPr>
          <w:rStyle w:val="FootnoteReference"/>
        </w:rPr>
        <w:footnoteReference w:id="4"/>
      </w:r>
      <w:r>
        <w:t xml:space="preserve"> suivants, ou des représentants des autorités publiques de pays tiers, y compris leurs missions diplomatiques et ambassades, suivants:</w:t>
      </w:r>
      <w:r>
        <w:rPr>
          <w:rStyle w:val="HideTWBExt"/>
          <w:lang w:val="fr-BE"/>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6C5536D9" w14:textId="77777777" w:rsidTr="002E2F3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6" w:type="dxa"/>
          </w:tcPr>
          <w:p w:rsidR="00AA56F9" w:rsidRPr="00FE0A8B" w:rsidP="00BD2DF0" w14:paraId="7C733F6D" w14:textId="77777777">
            <w:pPr>
              <w:pStyle w:val="NormalBoldCenter"/>
              <w:widowControl/>
            </w:pPr>
            <w:r>
              <w:t>1. Représentants d’intérêts relevant du champ d’application de l’accord interinstitutionnel sur un registre de transparence obligatoire</w:t>
            </w:r>
          </w:p>
        </w:tc>
      </w:tr>
      <w:tr w14:paraId="7E7C9D9E" w14:textId="77777777" w:rsidTr="002E2F32">
        <w:tblPrEx>
          <w:tblW w:w="0" w:type="auto"/>
          <w:tblLook w:val="04A0"/>
        </w:tblPrEx>
        <w:tc>
          <w:tcPr>
            <w:tcW w:w="9286" w:type="dxa"/>
          </w:tcPr>
          <w:p w:rsidR="00AA56F9" w:rsidRPr="009A76E7" w:rsidP="00BD2DF0" w14:paraId="1C262596" w14:textId="77777777">
            <w:pPr>
              <w:pStyle w:val="NormalSingle"/>
              <w:widowControl/>
            </w:pPr>
            <w:r>
              <w:t>The European External Action Service (EEAS)</w:t>
            </w:r>
          </w:p>
        </w:tc>
      </w:tr>
      <w:tr w14:paraId="591F038F" w14:textId="77777777" w:rsidTr="002E2F32">
        <w:tblPrEx>
          <w:tblW w:w="0" w:type="auto"/>
          <w:tblLook w:val="04A0"/>
        </w:tblPrEx>
        <w:tc>
          <w:tcPr>
            <w:tcW w:w="9286" w:type="dxa"/>
          </w:tcPr>
          <w:p w:rsidR="00AA56F9" w:rsidRPr="009A76E7" w:rsidP="00BD2DF0" w14:paraId="0DB7A419" w14:textId="77777777">
            <w:pPr>
              <w:pStyle w:val="NormalSingle"/>
              <w:widowControl/>
            </w:pPr>
            <w:r>
              <w:t>European Commission – DG JUST</w:t>
            </w:r>
          </w:p>
        </w:tc>
      </w:tr>
      <w:tr w14:paraId="2BB8BA87" w14:textId="77777777" w:rsidTr="002E2F32">
        <w:tblPrEx>
          <w:tblW w:w="0" w:type="auto"/>
          <w:tblLook w:val="04A0"/>
        </w:tblPrEx>
        <w:tc>
          <w:tcPr>
            <w:tcW w:w="9286" w:type="dxa"/>
          </w:tcPr>
          <w:p w:rsidR="00AA56F9" w:rsidRPr="00FE0A8B" w:rsidP="00BD2DF0" w14:paraId="15D872CC" w14:textId="77777777">
            <w:pPr>
              <w:pStyle w:val="NormalBoldCenter"/>
              <w:widowControl/>
            </w:pPr>
            <w:r>
              <w:t xml:space="preserve">2. Représentants des autorités publiques de pays tiers, y compris leurs missions </w:t>
            </w:r>
            <w:r>
              <w:t>diplomatiques et ambassades</w:t>
            </w:r>
          </w:p>
        </w:tc>
      </w:tr>
      <w:tr w14:paraId="568A8BAF" w14:textId="77777777" w:rsidTr="002E2F32">
        <w:tblPrEx>
          <w:tblW w:w="0" w:type="auto"/>
          <w:tblLook w:val="04A0"/>
        </w:tblPrEx>
        <w:tc>
          <w:tcPr>
            <w:tcW w:w="9286" w:type="dxa"/>
          </w:tcPr>
          <w:p w:rsidR="00AA56F9" w:rsidRPr="009A76E7" w:rsidP="00BD2DF0" w14:paraId="68D88C48" w14:textId="77777777">
            <w:pPr>
              <w:pStyle w:val="NormalSingle"/>
              <w:widowControl/>
            </w:pPr>
            <w:r>
              <w:t>Néant</w:t>
            </w:r>
          </w:p>
        </w:tc>
      </w:tr>
    </w:tbl>
    <w:p w:rsidR="00AA56F9" w:rsidRPr="00FE0A8B" w:rsidP="00BD2DF0" w14:paraId="1C1D9723" w14:textId="77777777">
      <w:pPr>
        <w:pStyle w:val="Footprint12b"/>
        <w:widowControl/>
      </w:pPr>
      <w:r>
        <w:t>La liste ci-dessus est établie sous la responsabilité exclusive du rapporteur pour avis.</w:t>
      </w:r>
    </w:p>
    <w:p w:rsidR="00AA56F9" w:rsidRPr="00FE0A8B" w:rsidP="00BD2DF0" w14:paraId="363BD608" w14:textId="77777777">
      <w:pPr>
        <w:pStyle w:val="Footprint12b"/>
        <w:widowControl/>
      </w:pPr>
      <w:r>
        <w:t>Lorsque des personnes physiques sont identifiées dans la liste par leur nom, leur fonction ou les deux, le rapporteur pour avis déclare avoir soumis aux personnes physiques concernées l’avis du Parlement européen relatif à la protection des données nº 484 (</w:t>
      </w:r>
      <w:hyperlink r:id="rId17" w:tooltip="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p w:rsidR="00AA56F9" w:rsidRPr="00E51FD1" w:rsidP="00BD2DF0" w14:paraId="308ED337" w14:textId="77777777">
      <w:pPr>
        <w:widowControl/>
        <w:rPr>
          <w:lang w:val="fr-BE"/>
        </w:rPr>
        <w:sectPr w:rsidSect="004F4F9E">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A56F9" w:rsidP="00BD2DF0" w14:paraId="7249A471" w14:textId="77777777">
      <w:pPr>
        <w:pStyle w:val="PageHeadingNotTOC"/>
        <w:widowControl/>
      </w:pPr>
      <w:r>
        <w:t>PROCÉDURE DE LA COMMISSION SAISIE POUR AVIS</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44DF7E1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56F9" w:rsidP="00BD2DF0" w14:paraId="0E367D7D" w14:textId="77777777">
            <w:pPr>
              <w:widowControl/>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56F9" w:rsidP="00BD2DF0" w14:paraId="5B78D064" w14:textId="77777777">
            <w:pPr>
              <w:widowControl/>
              <w:autoSpaceDE w:val="0"/>
              <w:autoSpaceDN w:val="0"/>
              <w:adjustRightInd w:val="0"/>
              <w:rPr>
                <w:color w:val="000000"/>
                <w:sz w:val="20"/>
              </w:rPr>
            </w:pPr>
            <w:r>
              <w:rPr>
                <w:color w:val="000000"/>
                <w:sz w:val="20"/>
              </w:rPr>
              <w:t>Mesures de coordination et de coopération destinées à faciliter la protection consulaire des citoyens de l’Union non représentés dans des pays tiers</w:t>
            </w:r>
          </w:p>
        </w:tc>
      </w:tr>
      <w:tr w14:paraId="0BE4C320"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A56F9" w:rsidP="00BD2DF0" w14:paraId="4CF4480A" w14:textId="77777777">
            <w:pPr>
              <w:widowControl/>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A56F9" w:rsidP="00BD2DF0" w14:paraId="527C76C2" w14:textId="77777777">
            <w:pPr>
              <w:widowControl/>
              <w:autoSpaceDE w:val="0"/>
              <w:autoSpaceDN w:val="0"/>
              <w:adjustRightInd w:val="0"/>
              <w:rPr>
                <w:color w:val="000000"/>
                <w:sz w:val="20"/>
              </w:rPr>
            </w:pPr>
            <w:r>
              <w:rPr>
                <w:color w:val="000000"/>
                <w:sz w:val="20"/>
              </w:rPr>
              <w:t>05760/2026 – C10-0027/2026 – COM(2023)0930 – C9-0015/2024 – 2023/0441(CNS)</w:t>
            </w:r>
          </w:p>
        </w:tc>
      </w:tr>
      <w:tr w14:paraId="5282008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56F9" w:rsidP="00BD2DF0" w14:paraId="621E6383" w14:textId="77777777">
            <w:pPr>
              <w:widowControl/>
              <w:autoSpaceDE w:val="0"/>
              <w:autoSpaceDN w:val="0"/>
              <w:adjustRightInd w:val="0"/>
              <w:rPr>
                <w:b/>
                <w:bCs/>
                <w:color w:val="000000"/>
                <w:sz w:val="20"/>
              </w:rPr>
            </w:pPr>
            <w:r>
              <w:rPr>
                <w:b/>
                <w:color w:val="000000"/>
                <w:sz w:val="20"/>
              </w:rPr>
              <w:t>Commission(s) compétente(s) au fond</w:t>
            </w:r>
          </w:p>
          <w:p w:rsidR="00AA56F9" w:rsidP="00BD2DF0" w14:paraId="42DC7DF8" w14:textId="77777777">
            <w:pPr>
              <w:widowControl/>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A56F9" w:rsidP="00BD2DF0" w14:paraId="1FD963B8" w14:textId="77777777">
            <w:pPr>
              <w:widowControl/>
              <w:autoSpaceDE w:val="0"/>
              <w:autoSpaceDN w:val="0"/>
              <w:adjustRightInd w:val="0"/>
              <w:rPr>
                <w:color w:val="000000"/>
                <w:sz w:val="20"/>
              </w:rPr>
            </w:pPr>
            <w:r>
              <w:rPr>
                <w:color w:val="000000"/>
                <w:sz w:val="20"/>
              </w:rPr>
              <w:t>LIBE</w:t>
            </w:r>
          </w:p>
          <w:p w:rsidR="00AA56F9" w:rsidP="00BD2DF0" w14:paraId="71D34E67" w14:textId="77777777">
            <w:pPr>
              <w:widowControl/>
              <w:autoSpaceDE w:val="0"/>
              <w:autoSpaceDN w:val="0"/>
              <w:adjustRightInd w:val="0"/>
              <w:rPr>
                <w:color w:val="000000"/>
                <w:sz w:val="20"/>
              </w:rPr>
            </w:pPr>
            <w:r>
              <w:rPr>
                <w:color w:val="000000"/>
                <w:sz w:val="20"/>
              </w:rPr>
              <w:t>9.3.2026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56F9" w:rsidP="00BD2DF0" w14:paraId="5273A6F9"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56F9" w:rsidP="00BD2DF0" w14:paraId="39D98B7A"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56F9" w:rsidP="00BD2DF0" w14:paraId="69C8AC2C" w14:textId="77777777">
            <w:pPr>
              <w:widowControl/>
              <w:autoSpaceDE w:val="0"/>
              <w:autoSpaceDN w:val="0"/>
              <w:adjustRightInd w:val="0"/>
              <w:rPr>
                <w:rFonts w:ascii="sans-serif" w:hAnsi="sans-serif" w:cs="sans-serif"/>
                <w:color w:val="000000"/>
              </w:rPr>
            </w:pPr>
          </w:p>
        </w:tc>
      </w:tr>
      <w:tr w14:paraId="16936BF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56F9" w:rsidP="00BD2DF0" w14:paraId="605C28FE" w14:textId="77777777">
            <w:pPr>
              <w:widowControl/>
              <w:autoSpaceDE w:val="0"/>
              <w:autoSpaceDN w:val="0"/>
              <w:adjustRightInd w:val="0"/>
              <w:rPr>
                <w:b/>
                <w:bCs/>
                <w:color w:val="000000"/>
                <w:sz w:val="20"/>
              </w:rPr>
            </w:pPr>
            <w:r>
              <w:rPr>
                <w:b/>
                <w:color w:val="000000"/>
                <w:sz w:val="20"/>
              </w:rPr>
              <w:t>Avis émis par</w:t>
            </w:r>
          </w:p>
          <w:p w:rsidR="00AA56F9" w:rsidP="00BD2DF0" w14:paraId="4A9D7735" w14:textId="77777777">
            <w:pPr>
              <w:widowControl/>
              <w:autoSpaceDE w:val="0"/>
              <w:autoSpaceDN w:val="0"/>
              <w:adjustRightInd w:val="0"/>
              <w:rPr>
                <w:color w:val="000000"/>
                <w:sz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56F9" w:rsidP="00BD2DF0" w14:paraId="15F30B6A" w14:textId="77777777">
            <w:pPr>
              <w:widowControl/>
              <w:autoSpaceDE w:val="0"/>
              <w:autoSpaceDN w:val="0"/>
              <w:adjustRightInd w:val="0"/>
              <w:rPr>
                <w:color w:val="000000"/>
                <w:sz w:val="20"/>
              </w:rPr>
            </w:pPr>
            <w:r>
              <w:rPr>
                <w:color w:val="000000"/>
                <w:sz w:val="20"/>
              </w:rPr>
              <w:t>AFET</w:t>
            </w:r>
          </w:p>
          <w:p w:rsidR="00AA56F9" w:rsidP="00BD2DF0" w14:paraId="2809AF36" w14:textId="77777777">
            <w:pPr>
              <w:widowControl/>
              <w:autoSpaceDE w:val="0"/>
              <w:autoSpaceDN w:val="0"/>
              <w:adjustRightInd w:val="0"/>
              <w:rPr>
                <w:color w:val="000000"/>
                <w:sz w:val="20"/>
              </w:rPr>
            </w:pPr>
            <w:r>
              <w:rPr>
                <w:color w:val="000000"/>
                <w:sz w:val="20"/>
              </w:rPr>
              <w:t>9.3.2026</w:t>
            </w:r>
          </w:p>
        </w:tc>
      </w:tr>
      <w:tr w14:paraId="5B1A0AE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56F9" w:rsidP="00BD2DF0" w14:paraId="30A15877" w14:textId="77777777">
            <w:pPr>
              <w:widowControl/>
              <w:autoSpaceDE w:val="0"/>
              <w:autoSpaceDN w:val="0"/>
              <w:adjustRightInd w:val="0"/>
              <w:rPr>
                <w:b/>
                <w:bCs/>
                <w:color w:val="000000"/>
                <w:sz w:val="20"/>
              </w:rPr>
            </w:pPr>
            <w:r>
              <w:rPr>
                <w:b/>
                <w:color w:val="000000"/>
                <w:sz w:val="20"/>
              </w:rPr>
              <w:t>Rapporteur(e) pour avis</w:t>
            </w:r>
          </w:p>
          <w:p w:rsidR="00AA56F9" w:rsidP="00BD2DF0" w14:paraId="38CBAB7E" w14:textId="77777777">
            <w:pPr>
              <w:widowControl/>
              <w:autoSpaceDE w:val="0"/>
              <w:autoSpaceDN w:val="0"/>
              <w:adjustRightInd w:val="0"/>
              <w:rPr>
                <w:color w:val="000000"/>
                <w:sz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56F9" w:rsidP="00BD2DF0" w14:paraId="787EC794" w14:textId="77777777">
            <w:pPr>
              <w:widowControl/>
              <w:autoSpaceDE w:val="0"/>
              <w:autoSpaceDN w:val="0"/>
              <w:adjustRightInd w:val="0"/>
              <w:rPr>
                <w:color w:val="000000"/>
                <w:sz w:val="20"/>
              </w:rPr>
            </w:pPr>
            <w:r>
              <w:rPr>
                <w:color w:val="000000"/>
                <w:sz w:val="20"/>
              </w:rPr>
              <w:t>Nacho Sánchez Amor</w:t>
            </w:r>
          </w:p>
          <w:p w:rsidR="00AA56F9" w:rsidP="00BD2DF0" w14:paraId="32BB6B8F" w14:textId="77777777">
            <w:pPr>
              <w:widowControl/>
              <w:autoSpaceDE w:val="0"/>
              <w:autoSpaceDN w:val="0"/>
              <w:adjustRightInd w:val="0"/>
              <w:rPr>
                <w:color w:val="000000"/>
                <w:sz w:val="20"/>
              </w:rPr>
            </w:pPr>
            <w:r>
              <w:rPr>
                <w:color w:val="000000"/>
                <w:sz w:val="20"/>
              </w:rPr>
              <w:t>8.4.2026</w:t>
            </w:r>
          </w:p>
        </w:tc>
      </w:tr>
      <w:tr w14:paraId="15AFB88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56F9" w:rsidP="00BD2DF0" w14:paraId="1121952B" w14:textId="77777777">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A56F9" w:rsidP="00BD2DF0" w14:paraId="50644426" w14:textId="77777777">
            <w:pPr>
              <w:widowControl/>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56F9" w:rsidP="00BD2DF0" w14:paraId="3197421E"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A56F9" w:rsidP="00BD2DF0" w14:paraId="12D04A59"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56F9" w:rsidP="00BD2DF0" w14:paraId="5BC0FCD1" w14:textId="77777777">
            <w:pPr>
              <w:widowControl/>
              <w:autoSpaceDE w:val="0"/>
              <w:autoSpaceDN w:val="0"/>
              <w:adjustRightInd w:val="0"/>
              <w:rPr>
                <w:rFonts w:ascii="sans-serif" w:hAnsi="sans-serif" w:cs="sans-serif"/>
                <w:color w:val="000000"/>
              </w:rPr>
            </w:pPr>
          </w:p>
        </w:tc>
      </w:tr>
      <w:tr w14:paraId="67629089"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A56F9" w:rsidP="00BD2DF0" w14:paraId="11466A96" w14:textId="77777777">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A56F9" w:rsidP="00BD2DF0" w14:paraId="5573ACAC" w14:textId="77777777">
            <w:pPr>
              <w:widowControl/>
              <w:autoSpaceDE w:val="0"/>
              <w:autoSpaceDN w:val="0"/>
              <w:adjustRightInd w:val="0"/>
              <w:rPr>
                <w:color w:val="000000"/>
                <w:sz w:val="20"/>
              </w:rPr>
            </w:pPr>
            <w:r>
              <w:rPr>
                <w:color w:val="000000"/>
                <w:sz w:val="20"/>
              </w:rPr>
              <w:t>+:</w:t>
            </w:r>
          </w:p>
          <w:p w:rsidR="00AA56F9" w:rsidP="00BD2DF0" w14:paraId="51B41475" w14:textId="77777777">
            <w:pPr>
              <w:widowControl/>
              <w:autoSpaceDE w:val="0"/>
              <w:autoSpaceDN w:val="0"/>
              <w:adjustRightInd w:val="0"/>
              <w:rPr>
                <w:color w:val="000000"/>
                <w:sz w:val="20"/>
              </w:rPr>
            </w:pPr>
            <w:r>
              <w:rPr>
                <w:color w:val="000000"/>
                <w:sz w:val="20"/>
              </w:rPr>
              <w:t>–:</w:t>
            </w:r>
          </w:p>
          <w:p w:rsidR="00AA56F9" w:rsidP="00BD2DF0" w14:paraId="04819B68" w14:textId="77777777">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A56F9" w:rsidP="00BD2DF0" w14:paraId="7B33A285" w14:textId="77777777">
            <w:pPr>
              <w:widowControl/>
              <w:autoSpaceDE w:val="0"/>
              <w:autoSpaceDN w:val="0"/>
              <w:adjustRightInd w:val="0"/>
              <w:rPr>
                <w:color w:val="000000"/>
                <w:sz w:val="20"/>
              </w:rPr>
            </w:pPr>
            <w:r>
              <w:rPr>
                <w:color w:val="000000"/>
                <w:sz w:val="20"/>
              </w:rPr>
              <w:t>52</w:t>
            </w:r>
          </w:p>
          <w:p w:rsidR="00AA56F9" w:rsidP="00BD2DF0" w14:paraId="06EEBBEF" w14:textId="77777777">
            <w:pPr>
              <w:widowControl/>
              <w:autoSpaceDE w:val="0"/>
              <w:autoSpaceDN w:val="0"/>
              <w:adjustRightInd w:val="0"/>
              <w:rPr>
                <w:color w:val="000000"/>
                <w:sz w:val="20"/>
              </w:rPr>
            </w:pPr>
            <w:r>
              <w:rPr>
                <w:color w:val="000000"/>
                <w:sz w:val="20"/>
              </w:rPr>
              <w:t>21</w:t>
            </w:r>
          </w:p>
          <w:p w:rsidR="00AA56F9" w:rsidP="00BD2DF0" w14:paraId="0FAC7DCB" w14:textId="77777777">
            <w:pPr>
              <w:widowControl/>
              <w:autoSpaceDE w:val="0"/>
              <w:autoSpaceDN w:val="0"/>
              <w:adjustRightInd w:val="0"/>
              <w:rPr>
                <w:color w:val="000000"/>
                <w:sz w:val="20"/>
              </w:rPr>
            </w:pPr>
            <w:r>
              <w:rPr>
                <w:color w:val="000000"/>
                <w:sz w:val="20"/>
              </w:rPr>
              <w:t>0</w:t>
            </w:r>
          </w:p>
        </w:tc>
      </w:tr>
    </w:tbl>
    <w:p w:rsidR="00AA56F9" w:rsidP="00BD2DF0" w14:paraId="4B4FD606" w14:textId="77777777">
      <w:pPr>
        <w:widowControl/>
      </w:pPr>
    </w:p>
    <w:p w:rsidR="00AA56F9" w:rsidP="00BD2DF0" w14:paraId="50D2807E" w14:textId="77777777">
      <w:pPr>
        <w:widowControl/>
        <w:sectPr w:rsidSect="004F4F9E">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A56F9" w:rsidRPr="0099178F" w:rsidP="00BD2DF0" w14:paraId="36983339" w14:textId="77777777">
      <w:pPr>
        <w:pStyle w:val="PageHeadingNotTOC"/>
        <w:widowControl/>
      </w:pPr>
      <w:r>
        <w:t>VOTE FINAL PAR APPEL NOMINAL</w:t>
      </w:r>
      <w:r>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2BCF6F4" w14:textId="77777777" w:rsidTr="0083156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A56F9" w:rsidRPr="00351264" w:rsidP="00BD2DF0" w14:paraId="07F1D632" w14:textId="77777777">
            <w:pPr>
              <w:pStyle w:val="RollCallVotes"/>
              <w:widowControl/>
            </w:pPr>
            <w:r>
              <w:t>52</w:t>
            </w:r>
          </w:p>
        </w:tc>
        <w:tc>
          <w:tcPr>
            <w:tcW w:w="7371" w:type="dxa"/>
            <w:shd w:val="pct10" w:color="000000" w:fill="FFFFFF"/>
          </w:tcPr>
          <w:p w:rsidR="00AA56F9" w:rsidRPr="00351264" w:rsidP="00BD2DF0" w14:paraId="63B2F063" w14:textId="77777777">
            <w:pPr>
              <w:pStyle w:val="RollCallSymbols14pt"/>
              <w:widowControl/>
            </w:pPr>
            <w:r>
              <w:t>+</w:t>
            </w:r>
          </w:p>
        </w:tc>
      </w:tr>
      <w:tr w14:paraId="6C9D5947"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065AEB8D" w14:textId="77777777">
            <w:pPr>
              <w:pStyle w:val="RollCallTable"/>
              <w:widowControl/>
            </w:pPr>
            <w:r>
              <w:t>PPE</w:t>
            </w:r>
          </w:p>
        </w:tc>
        <w:tc>
          <w:tcPr>
            <w:tcW w:w="7371" w:type="dxa"/>
            <w:shd w:val="clear" w:color="auto" w:fill="FFFFFF"/>
          </w:tcPr>
          <w:p w:rsidR="00AA56F9" w:rsidRPr="00351264" w:rsidP="00BD2DF0" w14:paraId="690B2BD4" w14:textId="77777777">
            <w:pPr>
              <w:pStyle w:val="RollCallTable"/>
              <w:widowControl/>
            </w:pPr>
            <w:r>
              <w:t xml:space="preserve">Mika Aaltola, Wouter Beke, Fredis </w:t>
            </w:r>
            <w:r>
              <w:t>Beleris, Krzysztof Brejza, Sebastião Bugalho, Loucas Fourlas, Michael Gahler, Christophe Gomart, Rasa Juknevičienė, Łukasz Kohut, Ondřej Kolář, Andrey Kovatchev, David McAllister, Francisco José Millán Mon, Davor Ivo Stier, Michał Szczerba, Ingeborg Ter Laak, Riho Terras, Matej Tonin, Loránt Vincze, Isabel Wiseler-Lima</w:t>
            </w:r>
          </w:p>
        </w:tc>
      </w:tr>
      <w:tr w14:paraId="442E332A"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6B76DCE5" w14:textId="77777777">
            <w:pPr>
              <w:pStyle w:val="RollCallTable"/>
              <w:widowControl/>
            </w:pPr>
            <w:r>
              <w:t>Renew</w:t>
            </w:r>
          </w:p>
        </w:tc>
        <w:tc>
          <w:tcPr>
            <w:tcW w:w="7371" w:type="dxa"/>
            <w:shd w:val="clear" w:color="auto" w:fill="FFFFFF"/>
          </w:tcPr>
          <w:p w:rsidR="00AA56F9" w:rsidRPr="00351264" w:rsidP="00BD2DF0" w14:paraId="4A0530CE" w14:textId="77777777">
            <w:pPr>
              <w:pStyle w:val="RollCallTable"/>
              <w:widowControl/>
            </w:pPr>
            <w:r>
              <w:t>Petras Auštrevičius, Dan Barna, Raquel García Hermida-Van Der Walle, Bernard Guetta, Ivars Ijabs, Moritz Körner, Marjan Šarec, Hilde Vautmans</w:t>
            </w:r>
          </w:p>
        </w:tc>
      </w:tr>
      <w:tr w14:paraId="2B2E0B5E"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3B6DB46A" w14:textId="77777777">
            <w:pPr>
              <w:pStyle w:val="RollCallTable"/>
              <w:widowControl/>
            </w:pPr>
            <w:r>
              <w:t>S&amp;D</w:t>
            </w:r>
          </w:p>
        </w:tc>
        <w:tc>
          <w:tcPr>
            <w:tcW w:w="7371" w:type="dxa"/>
            <w:shd w:val="clear" w:color="auto" w:fill="FFFFFF"/>
          </w:tcPr>
          <w:p w:rsidR="00AA56F9" w:rsidRPr="00351264" w:rsidP="00BD2DF0" w14:paraId="7AAF1E65" w14:textId="77777777">
            <w:pPr>
              <w:pStyle w:val="RollCallTable"/>
              <w:widowControl/>
            </w:pPr>
            <w:r>
              <w:t xml:space="preserve">Robert Biedroń, Biljana </w:t>
            </w:r>
            <w:r>
              <w:t>Borzan, Tobias Cremer, Sandra Gómez López, Giorgio Gori, Costas Mavrides, Sven Mikser, Matjaž Nemec, Thijs Reuten, Chloé Ridel, Sandro Ruotolo, Andreas Schieder, Marta Temido, Kathleen Van Brempt, Nicola Zingaretti</w:t>
            </w:r>
          </w:p>
        </w:tc>
      </w:tr>
      <w:tr w14:paraId="229BA6C4"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2076E699" w14:textId="77777777">
            <w:pPr>
              <w:pStyle w:val="RollCallTable"/>
              <w:widowControl/>
            </w:pPr>
            <w:r>
              <w:t>The Left</w:t>
            </w:r>
          </w:p>
        </w:tc>
        <w:tc>
          <w:tcPr>
            <w:tcW w:w="7371" w:type="dxa"/>
            <w:shd w:val="clear" w:color="auto" w:fill="FFFFFF"/>
          </w:tcPr>
          <w:p w:rsidR="00AA56F9" w:rsidRPr="00825264" w:rsidP="00BD2DF0" w14:paraId="0C794012" w14:textId="77777777">
            <w:pPr>
              <w:pStyle w:val="RollCallTable"/>
              <w:widowControl/>
              <w:rPr>
                <w:lang w:val="it-IT"/>
              </w:rPr>
            </w:pPr>
            <w:r w:rsidRPr="00825264">
              <w:rPr>
                <w:lang w:val="it-IT"/>
              </w:rPr>
              <w:t>Marc Botenga, Danilo Della Valle, Giorgos Georgiou</w:t>
            </w:r>
          </w:p>
        </w:tc>
      </w:tr>
      <w:tr w14:paraId="4331BBB5"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485977D5" w14:textId="77777777">
            <w:pPr>
              <w:pStyle w:val="RollCallTable"/>
              <w:widowControl/>
            </w:pPr>
            <w:r>
              <w:t>Verts/ALE</w:t>
            </w:r>
          </w:p>
        </w:tc>
        <w:tc>
          <w:tcPr>
            <w:tcW w:w="7371" w:type="dxa"/>
            <w:shd w:val="clear" w:color="auto" w:fill="FFFFFF"/>
          </w:tcPr>
          <w:p w:rsidR="00AA56F9" w:rsidRPr="00351264" w:rsidP="00BD2DF0" w14:paraId="2B56FCEC" w14:textId="77777777">
            <w:pPr>
              <w:pStyle w:val="RollCallTable"/>
              <w:widowControl/>
            </w:pPr>
            <w:r>
              <w:t>Leoluca Orlando, Vladimir Prebilič, Mounir Satouri, Villy Søvndal, Thomas Waitz</w:t>
            </w:r>
          </w:p>
        </w:tc>
      </w:tr>
    </w:tbl>
    <w:p w:rsidR="00AA56F9" w:rsidRPr="00351264" w:rsidP="00BD2DF0" w14:paraId="65FADDA7"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D8CC8F7" w14:textId="77777777" w:rsidTr="0083156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A56F9" w:rsidRPr="00351264" w:rsidP="00BD2DF0" w14:paraId="641633C5" w14:textId="77777777">
            <w:pPr>
              <w:pStyle w:val="RollCallVotes"/>
              <w:widowControl/>
            </w:pPr>
            <w:r>
              <w:t>21</w:t>
            </w:r>
          </w:p>
        </w:tc>
        <w:tc>
          <w:tcPr>
            <w:tcW w:w="7371" w:type="dxa"/>
            <w:shd w:val="pct10" w:color="000000" w:fill="FFFFFF"/>
          </w:tcPr>
          <w:p w:rsidR="00AA56F9" w:rsidRPr="00351264" w:rsidP="00BD2DF0" w14:paraId="42CD002E" w14:textId="77777777">
            <w:pPr>
              <w:pStyle w:val="RollCallSymbols14pt"/>
              <w:widowControl/>
            </w:pPr>
            <w:r>
              <w:t>-</w:t>
            </w:r>
          </w:p>
        </w:tc>
      </w:tr>
      <w:tr w14:paraId="4371A88A"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2D0686EB" w14:textId="77777777">
            <w:pPr>
              <w:pStyle w:val="RollCallTable"/>
              <w:widowControl/>
            </w:pPr>
            <w:r>
              <w:t>ECR</w:t>
            </w:r>
          </w:p>
        </w:tc>
        <w:tc>
          <w:tcPr>
            <w:tcW w:w="7371" w:type="dxa"/>
            <w:shd w:val="clear" w:color="auto" w:fill="FFFFFF"/>
          </w:tcPr>
          <w:p w:rsidR="00AA56F9" w:rsidRPr="00351264" w:rsidP="00BD2DF0" w14:paraId="6E72C161" w14:textId="77777777">
            <w:pPr>
              <w:pStyle w:val="RollCallTable"/>
              <w:widowControl/>
            </w:pPr>
            <w:r>
              <w:t xml:space="preserve">Adam Bielan, Alberico Gambino, Rihards Kols, Jaak Madison, Arkadiusz Mularczyk, Şerban Dimitrie Sturdza, </w:t>
            </w:r>
            <w:r>
              <w:t>Claudiu-Richard Târziu, Laurence Trochu, Sebastian Tynkkynen</w:t>
            </w:r>
          </w:p>
        </w:tc>
      </w:tr>
      <w:tr w14:paraId="372FF387"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7A5B8B2C" w14:textId="77777777">
            <w:pPr>
              <w:pStyle w:val="RollCallTable"/>
              <w:widowControl/>
            </w:pPr>
            <w:r>
              <w:t>ESN</w:t>
            </w:r>
          </w:p>
        </w:tc>
        <w:tc>
          <w:tcPr>
            <w:tcW w:w="7371" w:type="dxa"/>
            <w:shd w:val="clear" w:color="auto" w:fill="FFFFFF"/>
          </w:tcPr>
          <w:p w:rsidR="00AA56F9" w:rsidRPr="00351264" w:rsidP="00BD2DF0" w14:paraId="24F71D68" w14:textId="77777777">
            <w:pPr>
              <w:pStyle w:val="RollCallTable"/>
              <w:widowControl/>
            </w:pPr>
            <w:r>
              <w:t>Tomasz Froelich, Alexander Sell, Stanislav Stoyanov</w:t>
            </w:r>
          </w:p>
        </w:tc>
      </w:tr>
      <w:tr w14:paraId="632100EA"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459E463A" w14:textId="77777777">
            <w:pPr>
              <w:pStyle w:val="RollCallTable"/>
              <w:widowControl/>
            </w:pPr>
            <w:r>
              <w:t>NI</w:t>
            </w:r>
          </w:p>
        </w:tc>
        <w:tc>
          <w:tcPr>
            <w:tcW w:w="7371" w:type="dxa"/>
            <w:shd w:val="clear" w:color="auto" w:fill="FFFFFF"/>
          </w:tcPr>
          <w:p w:rsidR="00AA56F9" w:rsidRPr="00351264" w:rsidP="00BD2DF0" w14:paraId="63F90426" w14:textId="77777777">
            <w:pPr>
              <w:pStyle w:val="RollCallTable"/>
              <w:widowControl/>
            </w:pPr>
            <w:r>
              <w:t>Grzegorz Braun, Kostas Papadakis</w:t>
            </w:r>
          </w:p>
        </w:tc>
      </w:tr>
      <w:tr w14:paraId="369B7545"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042D0C6B" w14:textId="77777777">
            <w:pPr>
              <w:pStyle w:val="RollCallTable"/>
              <w:widowControl/>
            </w:pPr>
            <w:r>
              <w:t>PfE</w:t>
            </w:r>
          </w:p>
        </w:tc>
        <w:tc>
          <w:tcPr>
            <w:tcW w:w="7371" w:type="dxa"/>
            <w:shd w:val="clear" w:color="auto" w:fill="FFFFFF"/>
          </w:tcPr>
          <w:p w:rsidR="00AA56F9" w:rsidRPr="00351264" w:rsidP="00BD2DF0" w14:paraId="4F421E91" w14:textId="77777777">
            <w:pPr>
              <w:pStyle w:val="RollCallTable"/>
              <w:widowControl/>
            </w:pPr>
            <w:r>
              <w:t xml:space="preserve">Mieke Andriese, Jaroslav Bžoch, Susanna Ceccardi, Julie Rechagneux, Silvia Sardone, </w:t>
            </w:r>
            <w:r>
              <w:t>Pierre-Romain Thionnet, Annamária Vicsek</w:t>
            </w:r>
          </w:p>
        </w:tc>
      </w:tr>
    </w:tbl>
    <w:p w:rsidR="00AA56F9" w:rsidRPr="00351264" w:rsidP="00BD2DF0" w14:paraId="04EEB4AF"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6138CA2" w14:textId="77777777" w:rsidTr="0083156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A56F9" w:rsidRPr="00351264" w:rsidP="00BD2DF0" w14:paraId="54963E2B" w14:textId="77777777">
            <w:pPr>
              <w:pStyle w:val="RollCallVotes"/>
              <w:widowControl/>
            </w:pPr>
            <w:r>
              <w:t>0</w:t>
            </w:r>
          </w:p>
        </w:tc>
        <w:tc>
          <w:tcPr>
            <w:tcW w:w="7371" w:type="dxa"/>
            <w:shd w:val="pct10" w:color="000000" w:fill="FFFFFF"/>
          </w:tcPr>
          <w:p w:rsidR="00AA56F9" w:rsidRPr="00351264" w:rsidP="00BD2DF0" w14:paraId="22DBD1FD" w14:textId="77777777">
            <w:pPr>
              <w:pStyle w:val="RollCallSymbols14pt"/>
              <w:widowControl/>
            </w:pPr>
            <w:r>
              <w:t>0</w:t>
            </w:r>
          </w:p>
        </w:tc>
      </w:tr>
      <w:tr w14:paraId="2F36AD9E" w14:textId="77777777" w:rsidTr="008315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AA56F9" w:rsidRPr="00351264" w:rsidP="00BD2DF0" w14:paraId="170705C2" w14:textId="77777777">
            <w:pPr>
              <w:pStyle w:val="RollCallTable"/>
              <w:widowControl/>
            </w:pPr>
          </w:p>
        </w:tc>
        <w:tc>
          <w:tcPr>
            <w:tcW w:w="7371" w:type="dxa"/>
            <w:shd w:val="clear" w:color="auto" w:fill="FFFFFF"/>
          </w:tcPr>
          <w:p w:rsidR="00AA56F9" w:rsidRPr="00351264" w:rsidP="00BD2DF0" w14:paraId="0374B454" w14:textId="77777777">
            <w:pPr>
              <w:pStyle w:val="RollCallTable"/>
              <w:widowControl/>
            </w:pPr>
          </w:p>
        </w:tc>
      </w:tr>
    </w:tbl>
    <w:p w:rsidR="00AA56F9" w:rsidP="00BD2DF0" w14:paraId="5FAF5B97" w14:textId="77777777">
      <w:pPr>
        <w:pStyle w:val="Normal12a"/>
        <w:widowControl/>
      </w:pPr>
    </w:p>
    <w:p w:rsidR="00AA56F9" w:rsidP="00BD2DF0" w14:paraId="65599DD9" w14:textId="77777777">
      <w:pPr>
        <w:widowControl/>
      </w:pPr>
      <w:r>
        <w:t>Légende des signes utilisés:</w:t>
      </w:r>
    </w:p>
    <w:p w:rsidR="00AA56F9" w:rsidP="00BD2DF0" w14:paraId="3A09808C" w14:textId="77777777">
      <w:pPr>
        <w:pStyle w:val="RollCallTabs"/>
        <w:widowControl/>
      </w:pPr>
      <w:r>
        <w:t>+</w:t>
      </w:r>
      <w:r>
        <w:tab/>
        <w:t>:</w:t>
      </w:r>
      <w:r>
        <w:tab/>
        <w:t>pour</w:t>
      </w:r>
    </w:p>
    <w:p w:rsidR="00AA56F9" w:rsidP="00BD2DF0" w14:paraId="19955839" w14:textId="77777777">
      <w:pPr>
        <w:pStyle w:val="RollCallTabs"/>
        <w:widowControl/>
      </w:pPr>
      <w:r>
        <w:t>-</w:t>
      </w:r>
      <w:r>
        <w:tab/>
        <w:t>:</w:t>
      </w:r>
      <w:r>
        <w:tab/>
        <w:t>contre</w:t>
      </w:r>
    </w:p>
    <w:p w:rsidR="00583562" w:rsidRPr="00BD2DF0" w:rsidP="00BD2DF0" w14:paraId="116642A0" w14:textId="77777777">
      <w:pPr>
        <w:pStyle w:val="RollCallTabs"/>
        <w:widowControl/>
      </w:pPr>
      <w:r>
        <w:t>0</w:t>
      </w:r>
      <w:r>
        <w:tab/>
        <w:t>:</w:t>
      </w:r>
      <w:r>
        <w:tab/>
        <w:t>abstention</w:t>
      </w:r>
    </w:p>
    <w:p w:rsidR="00583562" w:rsidRPr="00BD2DF0" w:rsidP="00BD2DF0" w14:paraId="1B16A548" w14:textId="77777777">
      <w:pPr>
        <w:pStyle w:val="CoverReference"/>
        <w:widowControl/>
        <w:rPr>
          <w:lang w:val="en-GB"/>
        </w:rPr>
      </w:pPr>
    </w:p>
    <w:p w:rsidR="00583562" w:rsidRPr="00BD2DF0" w:rsidP="00BD2DF0" w14:paraId="4ECF74A0" w14:textId="77777777">
      <w:pPr>
        <w:widowControl/>
        <w:rPr>
          <w:lang w:val="en-GB"/>
        </w:rPr>
      </w:pPr>
    </w:p>
    <w:p w:rsidR="00583562" w:rsidRPr="00BD2DF0" w:rsidP="00BD2DF0" w14:paraId="07BA042E" w14:textId="77777777">
      <w:pPr>
        <w:widowControl/>
        <w:rPr>
          <w:lang w:val="en-GB"/>
        </w:rPr>
        <w:sectPr w:rsidSect="004F4F9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3129" w:rsidRPr="00BD2DF0" w:rsidP="00BD2DF0" w14:paraId="063F1B53" w14:textId="77777777">
      <w:pPr>
        <w:pStyle w:val="PageHeadingNotTOC"/>
        <w:widowControl/>
      </w:pPr>
      <w:r>
        <w:t>ANNEXE: DÉCLARATION DES CONTRIBUTIONS</w:t>
      </w:r>
    </w:p>
    <w:p w:rsidR="00833129" w:rsidRPr="00AA56F9" w:rsidP="00BD2DF0" w14:paraId="3E0804FC" w14:textId="77777777">
      <w:pPr>
        <w:pStyle w:val="Normal24a"/>
        <w:widowControl/>
      </w:pPr>
      <w:r w:rsidRPr="00825264">
        <w:rPr>
          <w:rStyle w:val="HideTWBExt"/>
        </w:rPr>
        <w:t>&lt;FootprintIntro&gt;</w:t>
      </w:r>
      <w:r>
        <w:t xml:space="preserve">Conformément à l’article 8 de l’annexe I du </w:t>
      </w:r>
      <w:r>
        <w:t>règlement intérieur, le rapporteur pour avis déclare avoir inclus dans son avis des contributions sur des questions relatives à l’objet du dossier qu’il a reçues, pour l’élaboration de l’avis, préalablement à son adoption en commission, de la part des représentants d’intérêts relevant du champ d’application de l’accord interinstitutionnel sur un registre de transparence obligatoire suivants</w:t>
      </w:r>
      <w:r>
        <w:rPr>
          <w:rStyle w:val="FootnoteReference"/>
        </w:rPr>
        <w:footnoteReference w:id="5"/>
      </w:r>
      <w:r>
        <w:t>, ou des représentants des autorités publiques de pays tiers, y compris leurs missions diplomatiques et ambassades, suivants:</w:t>
      </w:r>
      <w:r w:rsidRPr="0082526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1CB54180" w14:textId="77777777" w:rsidTr="002E2F3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286" w:type="dxa"/>
          </w:tcPr>
          <w:p w:rsidR="00833129" w:rsidRPr="00AA56F9" w:rsidP="00BD2DF0" w14:paraId="54B41C79" w14:textId="77777777">
            <w:pPr>
              <w:pStyle w:val="NormalBoldCenter"/>
              <w:widowControl/>
            </w:pPr>
            <w:r>
              <w:t>1. Représentants d’intérêts relevant du champ d’application de l’accord interinstitutionnel sur un registre de transparence obligatoire</w:t>
            </w:r>
          </w:p>
        </w:tc>
      </w:tr>
      <w:tr w14:paraId="0BFE488C" w14:textId="77777777" w:rsidTr="002E2F32">
        <w:tblPrEx>
          <w:tblW w:w="0" w:type="auto"/>
          <w:tblLook w:val="04A0"/>
        </w:tblPrEx>
        <w:tc>
          <w:tcPr>
            <w:tcW w:w="9286" w:type="dxa"/>
          </w:tcPr>
          <w:p w:rsidR="00833129" w:rsidRPr="00EC1ED7" w:rsidP="00BD2DF0" w14:paraId="709E826B" w14:textId="77777777">
            <w:pPr>
              <w:pStyle w:val="NormalSingle"/>
              <w:widowControl/>
            </w:pPr>
            <w:r>
              <w:t>The European External Action Service (EEAS)</w:t>
            </w:r>
          </w:p>
        </w:tc>
      </w:tr>
      <w:tr w14:paraId="543D6FCF" w14:textId="77777777" w:rsidTr="002E2F32">
        <w:tblPrEx>
          <w:tblW w:w="0" w:type="auto"/>
          <w:tblLook w:val="04A0"/>
        </w:tblPrEx>
        <w:tc>
          <w:tcPr>
            <w:tcW w:w="9286" w:type="dxa"/>
          </w:tcPr>
          <w:p w:rsidR="00833129" w:rsidRPr="00EC1ED7" w:rsidP="00BD2DF0" w14:paraId="3531D822" w14:textId="77777777">
            <w:pPr>
              <w:pStyle w:val="NormalSingle"/>
              <w:widowControl/>
            </w:pPr>
            <w:r>
              <w:t>European Commission – DG JUST</w:t>
            </w:r>
          </w:p>
        </w:tc>
      </w:tr>
      <w:tr w14:paraId="4FA32025" w14:textId="77777777" w:rsidTr="002E2F32">
        <w:tblPrEx>
          <w:tblW w:w="0" w:type="auto"/>
          <w:tblLook w:val="04A0"/>
        </w:tblPrEx>
        <w:tc>
          <w:tcPr>
            <w:tcW w:w="9286" w:type="dxa"/>
          </w:tcPr>
          <w:p w:rsidR="00833129" w:rsidRPr="00AA56F9" w:rsidP="00BD2DF0" w14:paraId="53F741C6" w14:textId="77777777">
            <w:pPr>
              <w:pStyle w:val="NormalBoldCenter"/>
              <w:widowControl/>
            </w:pPr>
            <w:r>
              <w:t xml:space="preserve">2. </w:t>
            </w:r>
            <w:r>
              <w:t>Représentants des autorités publiques de pays tiers, y compris leurs missions diplomatiques et ambassades</w:t>
            </w:r>
          </w:p>
        </w:tc>
      </w:tr>
      <w:tr w14:paraId="03F0D061" w14:textId="77777777" w:rsidTr="002E2F32">
        <w:tblPrEx>
          <w:tblW w:w="0" w:type="auto"/>
          <w:tblLook w:val="04A0"/>
        </w:tblPrEx>
        <w:tc>
          <w:tcPr>
            <w:tcW w:w="9286" w:type="dxa"/>
          </w:tcPr>
          <w:p w:rsidR="00833129" w:rsidRPr="00EC1ED7" w:rsidP="00BD2DF0" w14:paraId="401515C4" w14:textId="77777777">
            <w:pPr>
              <w:pStyle w:val="NormalSingle"/>
              <w:widowControl/>
            </w:pPr>
            <w:r>
              <w:t>Néant</w:t>
            </w:r>
          </w:p>
        </w:tc>
      </w:tr>
    </w:tbl>
    <w:p w:rsidR="00833129" w:rsidRPr="00AA56F9" w:rsidP="00BD2DF0" w14:paraId="4876DA5A" w14:textId="77777777">
      <w:pPr>
        <w:pStyle w:val="Footprint12b"/>
        <w:widowControl/>
      </w:pPr>
      <w:r>
        <w:t>La liste ci-dessus est établie sous la responsabilité exclusive du rapporteur pour avis.</w:t>
      </w:r>
    </w:p>
    <w:p w:rsidR="00833129" w:rsidRPr="00AA56F9" w:rsidP="00BD2DF0" w14:paraId="12A3829E" w14:textId="77777777">
      <w:pPr>
        <w:pStyle w:val="Footprint12b"/>
        <w:widowControl/>
      </w:pPr>
      <w:r>
        <w:t>Lorsque des personnes physiques sont identifiées dans la liste par leur nom, leur fonction ou les deux, le rapporteur pour avis déclare avoir soumis aux personnes physiques concernées l’avis du Parlement européen relatif à la protection des données nº 484 (</w:t>
      </w:r>
      <w:hyperlink r:id="rId17" w:tooltip="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p w:rsidR="00833129" w:rsidRPr="00825264" w:rsidP="00BD2DF0" w14:paraId="25D6ABA9" w14:textId="77777777">
      <w:pPr>
        <w:widowControl/>
      </w:pPr>
    </w:p>
    <w:p w:rsidR="00833129" w:rsidRPr="00825264" w:rsidP="00BD2DF0" w14:paraId="37843814" w14:textId="77777777">
      <w:pPr>
        <w:widowControl/>
        <w:sectPr w:rsidSect="004F4F9E">
          <w:headerReference w:type="even" r:id="rId26"/>
          <w:headerReference w:type="default" r:id="rId27"/>
          <w:headerReference w:type="first" r:id="rId28"/>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3129" w:rsidRPr="00825264" w:rsidP="00BD2DF0" w14:paraId="66682E41" w14:textId="77777777">
      <w:pPr>
        <w:widowControl/>
      </w:pPr>
    </w:p>
    <w:p w:rsidR="00833129" w:rsidRPr="00EC1ED7" w:rsidP="00BD2DF0" w14:paraId="45C36F65" w14:textId="77777777">
      <w:pPr>
        <w:pStyle w:val="PageHeadingNotTOC"/>
        <w:widowControl/>
      </w:pPr>
      <w:r>
        <w:t>PROCÉDURE DE LA COMMISSION SAISIE POUR AVIS</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4264ADE"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EC1ED7" w:rsidP="00BD2DF0" w14:paraId="7595523A" w14:textId="77777777">
            <w:pPr>
              <w:widowControl/>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AA56F9" w:rsidP="00BD2DF0" w14:paraId="7C80616B" w14:textId="77777777">
            <w:pPr>
              <w:widowControl/>
              <w:autoSpaceDE w:val="0"/>
              <w:autoSpaceDN w:val="0"/>
              <w:adjustRightInd w:val="0"/>
              <w:rPr>
                <w:color w:val="000000"/>
                <w:sz w:val="20"/>
              </w:rPr>
            </w:pPr>
            <w:r>
              <w:rPr>
                <w:color w:val="000000"/>
                <w:sz w:val="20"/>
              </w:rPr>
              <w:t xml:space="preserve">Mesures </w:t>
            </w:r>
            <w:r>
              <w:rPr>
                <w:color w:val="000000"/>
                <w:sz w:val="20"/>
              </w:rPr>
              <w:t>nécessaires pour faciliter la protection consulaire des citoyens de l’Union non représentés dans des pays tiers</w:t>
            </w:r>
          </w:p>
        </w:tc>
      </w:tr>
      <w:tr w14:paraId="18AEE8D7" w14:textId="77777777" w:rsidTr="002E2F3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3129" w:rsidRPr="00EC1ED7" w:rsidP="00BD2DF0" w14:paraId="2C131060" w14:textId="77777777">
            <w:pPr>
              <w:widowControl/>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3129" w:rsidRPr="00EC1ED7" w:rsidP="00BD2DF0" w14:paraId="7267F1AA" w14:textId="77777777">
            <w:pPr>
              <w:widowControl/>
              <w:autoSpaceDE w:val="0"/>
              <w:autoSpaceDN w:val="0"/>
              <w:adjustRightInd w:val="0"/>
              <w:rPr>
                <w:color w:val="000000"/>
                <w:sz w:val="20"/>
              </w:rPr>
            </w:pPr>
            <w:r>
              <w:rPr>
                <w:color w:val="000000"/>
                <w:sz w:val="20"/>
              </w:rPr>
              <w:t>05760/2026 – C10-0027/2026 – COM(2023)0930 – C9-0015/2024 – 2023/0441(CNS)</w:t>
            </w:r>
          </w:p>
        </w:tc>
      </w:tr>
      <w:tr w14:paraId="60B28768"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AA56F9" w:rsidP="00BD2DF0" w14:paraId="0927511B" w14:textId="77777777">
            <w:pPr>
              <w:widowControl/>
              <w:autoSpaceDE w:val="0"/>
              <w:autoSpaceDN w:val="0"/>
              <w:adjustRightInd w:val="0"/>
              <w:rPr>
                <w:b/>
                <w:bCs/>
                <w:color w:val="000000"/>
                <w:sz w:val="20"/>
              </w:rPr>
            </w:pPr>
            <w:r>
              <w:rPr>
                <w:b/>
                <w:color w:val="000000"/>
                <w:sz w:val="20"/>
              </w:rPr>
              <w:t>Commission(s) compétente(s) au fond</w:t>
            </w:r>
          </w:p>
          <w:p w:rsidR="00833129" w:rsidRPr="00AA56F9" w:rsidP="00BD2DF0" w14:paraId="445F39D9" w14:textId="77777777">
            <w:pPr>
              <w:widowControl/>
              <w:autoSpaceDE w:val="0"/>
              <w:autoSpaceDN w:val="0"/>
              <w:adjustRightInd w:val="0"/>
              <w:rPr>
                <w:color w:val="000000"/>
                <w:sz w:val="20"/>
              </w:rPr>
            </w:pPr>
            <w:r>
              <w:rPr>
                <w:color w:val="000000"/>
                <w:sz w:val="20"/>
              </w:rPr>
              <w:t xml:space="preserve">       Date de </w:t>
            </w:r>
            <w:r>
              <w:rPr>
                <w:color w:val="000000"/>
                <w:sz w:val="20"/>
              </w:rPr>
              <w:t>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3129" w:rsidRPr="00EC1ED7" w:rsidP="00BD2DF0" w14:paraId="143B06C9" w14:textId="77777777">
            <w:pPr>
              <w:widowControl/>
              <w:autoSpaceDE w:val="0"/>
              <w:autoSpaceDN w:val="0"/>
              <w:adjustRightInd w:val="0"/>
              <w:rPr>
                <w:color w:val="000000"/>
                <w:sz w:val="20"/>
              </w:rPr>
            </w:pPr>
            <w:r>
              <w:rPr>
                <w:color w:val="000000"/>
                <w:sz w:val="20"/>
              </w:rPr>
              <w:t>LIBE</w:t>
            </w:r>
          </w:p>
          <w:p w:rsidR="00833129" w:rsidRPr="00EC1ED7" w:rsidP="00BD2DF0" w14:paraId="37801567" w14:textId="77777777">
            <w:pPr>
              <w:widowControl/>
              <w:autoSpaceDE w:val="0"/>
              <w:autoSpaceDN w:val="0"/>
              <w:adjustRightInd w:val="0"/>
              <w:rPr>
                <w:color w:val="000000"/>
                <w:sz w:val="20"/>
              </w:rPr>
            </w:pPr>
            <w:r>
              <w:rPr>
                <w:color w:val="000000"/>
                <w:sz w:val="20"/>
              </w:rPr>
              <w:t>9.3.2026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EC1ED7" w:rsidP="00BD2DF0" w14:paraId="47C1D5BA"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EC1ED7" w:rsidP="00BD2DF0" w14:paraId="72311B15"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EC1ED7" w:rsidP="00BD2DF0" w14:paraId="60E8DEA7" w14:textId="77777777">
            <w:pPr>
              <w:widowControl/>
              <w:autoSpaceDE w:val="0"/>
              <w:autoSpaceDN w:val="0"/>
              <w:adjustRightInd w:val="0"/>
              <w:rPr>
                <w:rFonts w:ascii="sans-serif" w:hAnsi="sans-serif" w:cs="sans-serif"/>
                <w:color w:val="000000"/>
              </w:rPr>
            </w:pPr>
          </w:p>
        </w:tc>
      </w:tr>
      <w:tr w14:paraId="5091163C"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AA56F9" w:rsidP="00BD2DF0" w14:paraId="3C017959" w14:textId="77777777">
            <w:pPr>
              <w:widowControl/>
              <w:autoSpaceDE w:val="0"/>
              <w:autoSpaceDN w:val="0"/>
              <w:adjustRightInd w:val="0"/>
              <w:rPr>
                <w:b/>
                <w:bCs/>
                <w:color w:val="000000"/>
                <w:sz w:val="20"/>
              </w:rPr>
            </w:pPr>
            <w:r>
              <w:rPr>
                <w:b/>
                <w:color w:val="000000"/>
                <w:sz w:val="20"/>
              </w:rPr>
              <w:t>Avis émis par</w:t>
            </w:r>
          </w:p>
          <w:p w:rsidR="00833129" w:rsidRPr="00AA56F9" w:rsidP="00BD2DF0" w14:paraId="1F9919A2" w14:textId="77777777">
            <w:pPr>
              <w:widowControl/>
              <w:autoSpaceDE w:val="0"/>
              <w:autoSpaceDN w:val="0"/>
              <w:adjustRightInd w:val="0"/>
              <w:rPr>
                <w:color w:val="000000"/>
                <w:sz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EC1ED7" w:rsidP="00BD2DF0" w14:paraId="4F792E92" w14:textId="77777777">
            <w:pPr>
              <w:widowControl/>
              <w:autoSpaceDE w:val="0"/>
              <w:autoSpaceDN w:val="0"/>
              <w:adjustRightInd w:val="0"/>
              <w:rPr>
                <w:color w:val="000000"/>
                <w:sz w:val="20"/>
              </w:rPr>
            </w:pPr>
            <w:r>
              <w:rPr>
                <w:color w:val="000000"/>
                <w:sz w:val="20"/>
              </w:rPr>
              <w:t>AFET</w:t>
            </w:r>
          </w:p>
          <w:p w:rsidR="00833129" w:rsidRPr="00EC1ED7" w:rsidP="00BD2DF0" w14:paraId="76FC8541" w14:textId="77777777">
            <w:pPr>
              <w:widowControl/>
              <w:autoSpaceDE w:val="0"/>
              <w:autoSpaceDN w:val="0"/>
              <w:adjustRightInd w:val="0"/>
              <w:rPr>
                <w:color w:val="000000"/>
                <w:sz w:val="20"/>
              </w:rPr>
            </w:pPr>
            <w:r>
              <w:rPr>
                <w:color w:val="000000"/>
                <w:sz w:val="20"/>
              </w:rPr>
              <w:t>9.3.2026</w:t>
            </w:r>
          </w:p>
        </w:tc>
      </w:tr>
      <w:tr w14:paraId="2A6696D7"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EC1ED7" w:rsidP="00BD2DF0" w14:paraId="690ECCF1" w14:textId="77777777">
            <w:pPr>
              <w:widowControl/>
              <w:autoSpaceDE w:val="0"/>
              <w:autoSpaceDN w:val="0"/>
              <w:adjustRightInd w:val="0"/>
              <w:rPr>
                <w:b/>
                <w:bCs/>
                <w:color w:val="000000"/>
                <w:sz w:val="20"/>
              </w:rPr>
            </w:pPr>
            <w:r>
              <w:rPr>
                <w:b/>
                <w:color w:val="000000"/>
                <w:sz w:val="20"/>
              </w:rPr>
              <w:t>Rapporteur pour avis</w:t>
            </w:r>
          </w:p>
          <w:p w:rsidR="00833129" w:rsidRPr="00EC1ED7" w:rsidP="00BD2DF0" w14:paraId="77D92EE3" w14:textId="77777777">
            <w:pPr>
              <w:widowControl/>
              <w:autoSpaceDE w:val="0"/>
              <w:autoSpaceDN w:val="0"/>
              <w:adjustRightInd w:val="0"/>
              <w:rPr>
                <w:color w:val="000000"/>
                <w:sz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EC1ED7" w:rsidP="00BD2DF0" w14:paraId="61E8A589" w14:textId="77777777">
            <w:pPr>
              <w:widowControl/>
              <w:autoSpaceDE w:val="0"/>
              <w:autoSpaceDN w:val="0"/>
              <w:adjustRightInd w:val="0"/>
              <w:rPr>
                <w:color w:val="000000"/>
                <w:sz w:val="20"/>
              </w:rPr>
            </w:pPr>
            <w:r>
              <w:rPr>
                <w:color w:val="000000"/>
                <w:sz w:val="20"/>
              </w:rPr>
              <w:t>Nacho Sánchez Amor</w:t>
            </w:r>
          </w:p>
          <w:p w:rsidR="00833129" w:rsidRPr="00EC1ED7" w:rsidP="00BD2DF0" w14:paraId="35236857" w14:textId="77777777">
            <w:pPr>
              <w:widowControl/>
              <w:autoSpaceDE w:val="0"/>
              <w:autoSpaceDN w:val="0"/>
              <w:adjustRightInd w:val="0"/>
              <w:rPr>
                <w:color w:val="000000"/>
                <w:sz w:val="20"/>
              </w:rPr>
            </w:pPr>
            <w:r>
              <w:rPr>
                <w:color w:val="000000"/>
                <w:sz w:val="20"/>
              </w:rPr>
              <w:t>8.4.2026</w:t>
            </w:r>
          </w:p>
        </w:tc>
      </w:tr>
      <w:tr w14:paraId="6E15FBE6"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EC1ED7" w:rsidP="00BD2DF0" w14:paraId="3CB589A7" w14:textId="77777777">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3129" w:rsidRPr="00EC1ED7" w:rsidP="00BD2DF0" w14:paraId="1B6E9374" w14:textId="77777777">
            <w:pPr>
              <w:widowControl/>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EC1ED7" w:rsidP="00BD2DF0" w14:paraId="7C1B7D10"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3129" w:rsidRPr="00EC1ED7" w:rsidP="00BD2DF0" w14:paraId="4599CA4B"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EC1ED7" w:rsidP="00BD2DF0" w14:paraId="37F28646" w14:textId="77777777">
            <w:pPr>
              <w:widowControl/>
              <w:autoSpaceDE w:val="0"/>
              <w:autoSpaceDN w:val="0"/>
              <w:adjustRightInd w:val="0"/>
              <w:rPr>
                <w:rFonts w:ascii="sans-serif" w:hAnsi="sans-serif" w:cs="sans-serif"/>
                <w:color w:val="000000"/>
              </w:rPr>
            </w:pPr>
          </w:p>
        </w:tc>
      </w:tr>
      <w:tr w14:paraId="040BD840" w14:textId="77777777" w:rsidTr="002E2F3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3129" w:rsidRPr="00EC1ED7" w:rsidP="00BD2DF0" w14:paraId="5C6DA9E7" w14:textId="77777777">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3129" w:rsidRPr="00EC1ED7" w:rsidP="00BD2DF0" w14:paraId="761BECCA" w14:textId="77777777">
            <w:pPr>
              <w:widowControl/>
              <w:autoSpaceDE w:val="0"/>
              <w:autoSpaceDN w:val="0"/>
              <w:adjustRightInd w:val="0"/>
              <w:rPr>
                <w:color w:val="000000"/>
                <w:sz w:val="20"/>
              </w:rPr>
            </w:pPr>
            <w:r>
              <w:rPr>
                <w:color w:val="000000"/>
                <w:sz w:val="20"/>
              </w:rPr>
              <w:t>+:</w:t>
            </w:r>
          </w:p>
          <w:p w:rsidR="00833129" w:rsidRPr="00EC1ED7" w:rsidP="00BD2DF0" w14:paraId="2857F479" w14:textId="77777777">
            <w:pPr>
              <w:widowControl/>
              <w:autoSpaceDE w:val="0"/>
              <w:autoSpaceDN w:val="0"/>
              <w:adjustRightInd w:val="0"/>
              <w:rPr>
                <w:color w:val="000000"/>
                <w:sz w:val="20"/>
              </w:rPr>
            </w:pPr>
            <w:r>
              <w:rPr>
                <w:color w:val="000000"/>
                <w:sz w:val="20"/>
              </w:rPr>
              <w:t>–:</w:t>
            </w:r>
          </w:p>
          <w:p w:rsidR="00833129" w:rsidRPr="00EC1ED7" w:rsidP="00BD2DF0" w14:paraId="514A9FCC" w14:textId="77777777">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3129" w:rsidRPr="00EC1ED7" w:rsidP="00BD2DF0" w14:paraId="36E126C8" w14:textId="77777777">
            <w:pPr>
              <w:widowControl/>
              <w:autoSpaceDE w:val="0"/>
              <w:autoSpaceDN w:val="0"/>
              <w:adjustRightInd w:val="0"/>
              <w:rPr>
                <w:color w:val="000000"/>
                <w:sz w:val="20"/>
              </w:rPr>
            </w:pPr>
            <w:r>
              <w:rPr>
                <w:color w:val="000000"/>
                <w:sz w:val="20"/>
              </w:rPr>
              <w:t>52</w:t>
            </w:r>
          </w:p>
          <w:p w:rsidR="00833129" w:rsidRPr="00EC1ED7" w:rsidP="00BD2DF0" w14:paraId="7699A00B" w14:textId="77777777">
            <w:pPr>
              <w:widowControl/>
              <w:autoSpaceDE w:val="0"/>
              <w:autoSpaceDN w:val="0"/>
              <w:adjustRightInd w:val="0"/>
              <w:rPr>
                <w:color w:val="000000"/>
                <w:sz w:val="20"/>
              </w:rPr>
            </w:pPr>
            <w:r>
              <w:rPr>
                <w:color w:val="000000"/>
                <w:sz w:val="20"/>
              </w:rPr>
              <w:t>21</w:t>
            </w:r>
          </w:p>
          <w:p w:rsidR="00833129" w:rsidRPr="00EC1ED7" w:rsidP="00BD2DF0" w14:paraId="7E9DBA95" w14:textId="77777777">
            <w:pPr>
              <w:widowControl/>
              <w:autoSpaceDE w:val="0"/>
              <w:autoSpaceDN w:val="0"/>
              <w:adjustRightInd w:val="0"/>
              <w:rPr>
                <w:color w:val="000000"/>
                <w:sz w:val="20"/>
              </w:rPr>
            </w:pPr>
            <w:r>
              <w:rPr>
                <w:color w:val="000000"/>
                <w:sz w:val="20"/>
              </w:rPr>
              <w:t>0</w:t>
            </w:r>
          </w:p>
        </w:tc>
      </w:tr>
    </w:tbl>
    <w:p w:rsidR="00833129" w:rsidRPr="00EC1ED7" w:rsidP="00BD2DF0" w14:paraId="5573B4F0" w14:textId="77777777">
      <w:pPr>
        <w:widowControl/>
      </w:pPr>
    </w:p>
    <w:p w:rsidR="00833129" w:rsidRPr="00EC1ED7" w:rsidP="00BD2DF0" w14:paraId="52F1430A" w14:textId="77777777">
      <w:pPr>
        <w:widowControl/>
        <w:sectPr w:rsidSect="004F4F9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3129" w:rsidRPr="00AA56F9" w:rsidP="00BD2DF0" w14:paraId="0CA5A709" w14:textId="77777777">
      <w:pPr>
        <w:pStyle w:val="PageHeadingNotTOC"/>
        <w:widowControl/>
      </w:pPr>
      <w:r>
        <w:t>VOTE FINAL PAR APPEL NOMINAL</w:t>
      </w:r>
      <w:r>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773BC6B"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33129" w:rsidRPr="00EC1ED7" w:rsidP="00BD2DF0" w14:paraId="4A05B3EC" w14:textId="77777777">
            <w:pPr>
              <w:pStyle w:val="RollCallVotes"/>
              <w:widowControl/>
            </w:pPr>
            <w:r>
              <w:t>52</w:t>
            </w:r>
          </w:p>
        </w:tc>
        <w:tc>
          <w:tcPr>
            <w:tcW w:w="7371" w:type="dxa"/>
            <w:shd w:val="pct10" w:color="000000" w:fill="FFFFFF"/>
          </w:tcPr>
          <w:p w:rsidR="00833129" w:rsidRPr="00EC1ED7" w:rsidP="00BD2DF0" w14:paraId="57D452A7" w14:textId="77777777">
            <w:pPr>
              <w:pStyle w:val="RollCallSymbols14pt"/>
              <w:widowControl/>
            </w:pPr>
            <w:r>
              <w:t>+</w:t>
            </w:r>
          </w:p>
        </w:tc>
      </w:tr>
      <w:tr w14:paraId="0E0A009B"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7E100FFC" w14:textId="77777777">
            <w:pPr>
              <w:pStyle w:val="RollCallTable"/>
              <w:widowControl/>
            </w:pPr>
            <w:r>
              <w:t>PPE</w:t>
            </w:r>
          </w:p>
        </w:tc>
        <w:tc>
          <w:tcPr>
            <w:tcW w:w="7371" w:type="dxa"/>
            <w:shd w:val="clear" w:color="auto" w:fill="FFFFFF"/>
          </w:tcPr>
          <w:p w:rsidR="00833129" w:rsidRPr="00EC1ED7" w:rsidP="00BD2DF0" w14:paraId="494242D0" w14:textId="77777777">
            <w:pPr>
              <w:pStyle w:val="RollCallTable"/>
              <w:widowControl/>
            </w:pPr>
            <w:r>
              <w:t xml:space="preserve">Mika Aaltola, Wouter Beke, Fredis Beleris, Krzysztof Brejza, Sebastião Bugalho, Loucas Fourlas, Michael Gahler, Christophe Gomart, Rasa </w:t>
            </w:r>
            <w:r>
              <w:t>Juknevičienė, Łukasz Kohut, Ondřej Kolář, Andrey Kovatchev, David McAllister, Francisco José Millán Mon, Davor Ivo Stier, Michał Szczerba, Ingeborg Ter Laak, Riho Terras, Matej Tonin, Loránt Vincze, Isabel Wiseler-Lima</w:t>
            </w:r>
          </w:p>
        </w:tc>
      </w:tr>
      <w:tr w14:paraId="7691B3DA"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30C5E206" w14:textId="77777777">
            <w:pPr>
              <w:pStyle w:val="RollCallTable"/>
              <w:widowControl/>
            </w:pPr>
            <w:r>
              <w:t>Renew</w:t>
            </w:r>
          </w:p>
        </w:tc>
        <w:tc>
          <w:tcPr>
            <w:tcW w:w="7371" w:type="dxa"/>
            <w:shd w:val="clear" w:color="auto" w:fill="FFFFFF"/>
          </w:tcPr>
          <w:p w:rsidR="00833129" w:rsidRPr="00EC1ED7" w:rsidP="00BD2DF0" w14:paraId="327CBDFF" w14:textId="77777777">
            <w:pPr>
              <w:pStyle w:val="RollCallTable"/>
              <w:widowControl/>
            </w:pPr>
            <w:r>
              <w:t>Petras Auštrevičius, Dan Barna, Raquel García Hermida-Van Der Walle, Bernard Guetta, Ivars Ijabs, Moritz Körner, Marjan Šarec, Hilde Vautmans</w:t>
            </w:r>
          </w:p>
        </w:tc>
      </w:tr>
      <w:tr w14:paraId="20228BA6"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4EADB8B1" w14:textId="77777777">
            <w:pPr>
              <w:pStyle w:val="RollCallTable"/>
              <w:widowControl/>
            </w:pPr>
            <w:r>
              <w:t>S&amp;D</w:t>
            </w:r>
          </w:p>
        </w:tc>
        <w:tc>
          <w:tcPr>
            <w:tcW w:w="7371" w:type="dxa"/>
            <w:shd w:val="clear" w:color="auto" w:fill="FFFFFF"/>
          </w:tcPr>
          <w:p w:rsidR="00833129" w:rsidRPr="00EC1ED7" w:rsidP="00BD2DF0" w14:paraId="799339EF" w14:textId="77777777">
            <w:pPr>
              <w:pStyle w:val="RollCallTable"/>
              <w:widowControl/>
            </w:pPr>
            <w:r>
              <w:t xml:space="preserve">Robert Biedroń, Biljana Borzan, Tobias Cremer, Sandra Gómez López, Giorgio Gori, Costas Mavrides, Sven Mikser, Matjaž Nemec, Thijs </w:t>
            </w:r>
            <w:r>
              <w:t>Reuten, Chloé Ridel, Sandro Ruotolo, Andreas Schieder, Marta Temido, Kathleen Van Brempt, Nicola Zingaretti</w:t>
            </w:r>
          </w:p>
        </w:tc>
      </w:tr>
      <w:tr w14:paraId="0F3CA4BB"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685422AA" w14:textId="77777777">
            <w:pPr>
              <w:pStyle w:val="RollCallTable"/>
              <w:widowControl/>
            </w:pPr>
            <w:r>
              <w:t>The Left</w:t>
            </w:r>
          </w:p>
        </w:tc>
        <w:tc>
          <w:tcPr>
            <w:tcW w:w="7371" w:type="dxa"/>
            <w:shd w:val="clear" w:color="auto" w:fill="FFFFFF"/>
          </w:tcPr>
          <w:p w:rsidR="00833129" w:rsidRPr="00825264" w:rsidP="00BD2DF0" w14:paraId="7EC2B8E8" w14:textId="77777777">
            <w:pPr>
              <w:pStyle w:val="RollCallTable"/>
              <w:widowControl/>
              <w:rPr>
                <w:lang w:val="it-IT"/>
              </w:rPr>
            </w:pPr>
            <w:r w:rsidRPr="00825264">
              <w:rPr>
                <w:lang w:val="it-IT"/>
              </w:rPr>
              <w:t>Marc Botenga, Danilo Della Valle, Giorgos Georgiou</w:t>
            </w:r>
          </w:p>
        </w:tc>
      </w:tr>
      <w:tr w14:paraId="1FE20A38"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24884492" w14:textId="77777777">
            <w:pPr>
              <w:pStyle w:val="RollCallTable"/>
              <w:widowControl/>
            </w:pPr>
            <w:r>
              <w:t>Verts/ALE</w:t>
            </w:r>
          </w:p>
        </w:tc>
        <w:tc>
          <w:tcPr>
            <w:tcW w:w="7371" w:type="dxa"/>
            <w:shd w:val="clear" w:color="auto" w:fill="FFFFFF"/>
          </w:tcPr>
          <w:p w:rsidR="00833129" w:rsidRPr="00EC1ED7" w:rsidP="00BD2DF0" w14:paraId="1ABB5614" w14:textId="77777777">
            <w:pPr>
              <w:pStyle w:val="RollCallTable"/>
              <w:widowControl/>
            </w:pPr>
            <w:r>
              <w:t>Leoluca Orlando, Vladimir Prebilič, Mounir Satouri, Villy Søvndal, Thomas Waitz</w:t>
            </w:r>
          </w:p>
        </w:tc>
      </w:tr>
    </w:tbl>
    <w:p w:rsidR="00833129" w:rsidRPr="00EC1ED7" w:rsidP="00BD2DF0" w14:paraId="3DAECEBA"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4045547"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33129" w:rsidRPr="00EC1ED7" w:rsidP="00BD2DF0" w14:paraId="763D7AE0" w14:textId="77777777">
            <w:pPr>
              <w:pStyle w:val="RollCallVotes"/>
              <w:widowControl/>
            </w:pPr>
            <w:r>
              <w:t>21</w:t>
            </w:r>
          </w:p>
        </w:tc>
        <w:tc>
          <w:tcPr>
            <w:tcW w:w="7371" w:type="dxa"/>
            <w:shd w:val="pct10" w:color="000000" w:fill="FFFFFF"/>
          </w:tcPr>
          <w:p w:rsidR="00833129" w:rsidRPr="00EC1ED7" w:rsidP="00BD2DF0" w14:paraId="2F9FE441" w14:textId="77777777">
            <w:pPr>
              <w:pStyle w:val="RollCallSymbols14pt"/>
              <w:widowControl/>
            </w:pPr>
            <w:r>
              <w:t>-</w:t>
            </w:r>
          </w:p>
        </w:tc>
      </w:tr>
      <w:tr w14:paraId="2E9538D9"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55483918" w14:textId="77777777">
            <w:pPr>
              <w:pStyle w:val="RollCallTable"/>
              <w:widowControl/>
            </w:pPr>
            <w:r>
              <w:t>ECR</w:t>
            </w:r>
          </w:p>
        </w:tc>
        <w:tc>
          <w:tcPr>
            <w:tcW w:w="7371" w:type="dxa"/>
            <w:shd w:val="clear" w:color="auto" w:fill="FFFFFF"/>
          </w:tcPr>
          <w:p w:rsidR="00833129" w:rsidRPr="00EC1ED7" w:rsidP="00BD2DF0" w14:paraId="4EC31F51" w14:textId="77777777">
            <w:pPr>
              <w:pStyle w:val="RollCallTable"/>
              <w:widowControl/>
            </w:pPr>
            <w:r>
              <w:t>Adam Bielan, Alberico Gambino, Rihards Kols, Jaak Madison, Arkadiusz Mularczyk, Şerban Dimitrie Sturdza, Claudiu-Richard Târziu, Laurence Trochu, Sebastian Tynkkynen</w:t>
            </w:r>
          </w:p>
        </w:tc>
      </w:tr>
      <w:tr w14:paraId="3AD598DB"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2DB2AF2E" w14:textId="77777777">
            <w:pPr>
              <w:pStyle w:val="RollCallTable"/>
              <w:widowControl/>
            </w:pPr>
            <w:r>
              <w:t>ESN</w:t>
            </w:r>
          </w:p>
        </w:tc>
        <w:tc>
          <w:tcPr>
            <w:tcW w:w="7371" w:type="dxa"/>
            <w:shd w:val="clear" w:color="auto" w:fill="FFFFFF"/>
          </w:tcPr>
          <w:p w:rsidR="00833129" w:rsidRPr="00EC1ED7" w:rsidP="00BD2DF0" w14:paraId="3AF74317" w14:textId="77777777">
            <w:pPr>
              <w:pStyle w:val="RollCallTable"/>
              <w:widowControl/>
            </w:pPr>
            <w:r>
              <w:t>Tomasz Froelich, Alexander Sell, Stanislav Stoyanov</w:t>
            </w:r>
          </w:p>
        </w:tc>
      </w:tr>
      <w:tr w14:paraId="76EB3F98"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2F55D8AF" w14:textId="77777777">
            <w:pPr>
              <w:pStyle w:val="RollCallTable"/>
              <w:widowControl/>
            </w:pPr>
            <w:r>
              <w:t>NI</w:t>
            </w:r>
          </w:p>
        </w:tc>
        <w:tc>
          <w:tcPr>
            <w:tcW w:w="7371" w:type="dxa"/>
            <w:shd w:val="clear" w:color="auto" w:fill="FFFFFF"/>
          </w:tcPr>
          <w:p w:rsidR="00833129" w:rsidRPr="00EC1ED7" w:rsidP="00BD2DF0" w14:paraId="0B668439" w14:textId="77777777">
            <w:pPr>
              <w:pStyle w:val="RollCallTable"/>
              <w:widowControl/>
            </w:pPr>
            <w:r>
              <w:t>Grzegorz Braun, Kostas Papadakis</w:t>
            </w:r>
          </w:p>
        </w:tc>
      </w:tr>
      <w:tr w14:paraId="4715E2AF"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39F38F99" w14:textId="77777777">
            <w:pPr>
              <w:pStyle w:val="RollCallTable"/>
              <w:widowControl/>
            </w:pPr>
            <w:r>
              <w:t>PfE</w:t>
            </w:r>
          </w:p>
        </w:tc>
        <w:tc>
          <w:tcPr>
            <w:tcW w:w="7371" w:type="dxa"/>
            <w:shd w:val="clear" w:color="auto" w:fill="FFFFFF"/>
          </w:tcPr>
          <w:p w:rsidR="00833129" w:rsidRPr="00EC1ED7" w:rsidP="00BD2DF0" w14:paraId="4FD8B147" w14:textId="77777777">
            <w:pPr>
              <w:pStyle w:val="RollCallTable"/>
              <w:widowControl/>
            </w:pPr>
            <w:r>
              <w:t>Mieke Andriese, Jaroslav Bžoch, Susanna Ceccardi, Julie Rechagneux, Silvia Sardone, Pierre-Romain Thionnet, Annamária Vicsek</w:t>
            </w:r>
          </w:p>
        </w:tc>
      </w:tr>
    </w:tbl>
    <w:p w:rsidR="00833129" w:rsidRPr="00EC1ED7" w:rsidP="00BD2DF0" w14:paraId="2DA63103"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293F868" w14:textId="77777777" w:rsidTr="002E2F3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33129" w:rsidRPr="00EC1ED7" w:rsidP="00BD2DF0" w14:paraId="5BB306F8" w14:textId="77777777">
            <w:pPr>
              <w:pStyle w:val="RollCallVotes"/>
              <w:widowControl/>
            </w:pPr>
            <w:r>
              <w:t>0</w:t>
            </w:r>
          </w:p>
        </w:tc>
        <w:tc>
          <w:tcPr>
            <w:tcW w:w="7371" w:type="dxa"/>
            <w:shd w:val="pct10" w:color="000000" w:fill="FFFFFF"/>
          </w:tcPr>
          <w:p w:rsidR="00833129" w:rsidRPr="00EC1ED7" w:rsidP="00BD2DF0" w14:paraId="7E1F51D9" w14:textId="77777777">
            <w:pPr>
              <w:pStyle w:val="RollCallSymbols14pt"/>
              <w:widowControl/>
            </w:pPr>
            <w:r>
              <w:t>0</w:t>
            </w:r>
          </w:p>
        </w:tc>
      </w:tr>
      <w:tr w14:paraId="49E99F03" w14:textId="77777777" w:rsidTr="002E2F32">
        <w:tblPrEx>
          <w:tblW w:w="0" w:type="auto"/>
          <w:tblInd w:w="145" w:type="dxa"/>
          <w:tblLayout w:type="fixed"/>
          <w:tblCellMar>
            <w:left w:w="145" w:type="dxa"/>
            <w:right w:w="145" w:type="dxa"/>
          </w:tblCellMar>
          <w:tblLook w:val="0000"/>
        </w:tblPrEx>
        <w:trPr>
          <w:cantSplit/>
        </w:trPr>
        <w:tc>
          <w:tcPr>
            <w:tcW w:w="1701" w:type="dxa"/>
            <w:shd w:val="clear" w:color="auto" w:fill="FFFFFF"/>
          </w:tcPr>
          <w:p w:rsidR="00833129" w:rsidRPr="00EC1ED7" w:rsidP="00BD2DF0" w14:paraId="51AD69F3" w14:textId="77777777">
            <w:pPr>
              <w:pStyle w:val="RollCallTable"/>
              <w:widowControl/>
            </w:pPr>
          </w:p>
        </w:tc>
        <w:tc>
          <w:tcPr>
            <w:tcW w:w="7371" w:type="dxa"/>
            <w:shd w:val="clear" w:color="auto" w:fill="FFFFFF"/>
          </w:tcPr>
          <w:p w:rsidR="00833129" w:rsidRPr="00EC1ED7" w:rsidP="00BD2DF0" w14:paraId="04C663A7" w14:textId="77777777">
            <w:pPr>
              <w:pStyle w:val="RollCallTable"/>
              <w:widowControl/>
            </w:pPr>
          </w:p>
        </w:tc>
      </w:tr>
    </w:tbl>
    <w:p w:rsidR="00833129" w:rsidRPr="00EC1ED7" w:rsidP="00BD2DF0" w14:paraId="2286096A" w14:textId="77777777">
      <w:pPr>
        <w:pStyle w:val="Normal12a"/>
        <w:widowControl/>
      </w:pPr>
    </w:p>
    <w:p w:rsidR="00833129" w:rsidRPr="00EC1ED7" w:rsidP="00BD2DF0" w14:paraId="0B23DA63" w14:textId="77777777">
      <w:pPr>
        <w:widowControl/>
      </w:pPr>
      <w:r>
        <w:t>Légende des signes utilisés:</w:t>
      </w:r>
    </w:p>
    <w:p w:rsidR="00833129" w:rsidRPr="00EC1ED7" w:rsidP="00BD2DF0" w14:paraId="797DC840" w14:textId="77777777">
      <w:pPr>
        <w:pStyle w:val="RollCallTabs"/>
        <w:widowControl/>
      </w:pPr>
      <w:r>
        <w:t>+</w:t>
      </w:r>
      <w:r>
        <w:tab/>
        <w:t>:</w:t>
      </w:r>
      <w:r>
        <w:tab/>
        <w:t>pour</w:t>
      </w:r>
    </w:p>
    <w:p w:rsidR="00833129" w:rsidRPr="00EC1ED7" w:rsidP="00BD2DF0" w14:paraId="6978399B" w14:textId="77777777">
      <w:pPr>
        <w:pStyle w:val="RollCallTabs"/>
        <w:widowControl/>
      </w:pPr>
      <w:r>
        <w:t>-</w:t>
      </w:r>
      <w:r>
        <w:tab/>
        <w:t>:</w:t>
      </w:r>
      <w:r>
        <w:tab/>
        <w:t>contre</w:t>
      </w:r>
    </w:p>
    <w:p w:rsidR="00833129" w:rsidRPr="00EC1ED7" w:rsidP="00BD2DF0" w14:paraId="4446E0FA" w14:textId="77777777">
      <w:pPr>
        <w:pStyle w:val="RollCallTabs"/>
        <w:widowControl/>
      </w:pPr>
      <w:r>
        <w:t>0</w:t>
      </w:r>
      <w:r>
        <w:tab/>
        <w:t>:</w:t>
      </w:r>
      <w:r>
        <w:tab/>
        <w:t>abstention(s)</w:t>
      </w:r>
    </w:p>
    <w:p w:rsidR="00833129" w:rsidRPr="00EC1ED7" w:rsidP="00BD2DF0" w14:paraId="6E319F59" w14:textId="77777777">
      <w:pPr>
        <w:widowControl/>
      </w:pPr>
    </w:p>
    <w:p w:rsidR="00833129" w:rsidRPr="00EC1ED7" w:rsidP="00BD2DF0" w14:paraId="00BB12F2" w14:textId="77777777">
      <w:pPr>
        <w:pStyle w:val="CoverReference"/>
        <w:widowControl/>
      </w:pPr>
    </w:p>
    <w:p w:rsidR="00833129" w:rsidRPr="004F4F9E" w:rsidP="00BD2DF0" w14:paraId="23D279E6" w14:textId="77777777">
      <w:pPr>
        <w:widowControl/>
      </w:pPr>
    </w:p>
    <w:p w:rsidR="0074396A" w:rsidRPr="004F4F9E" w:rsidP="00BD2DF0" w14:paraId="5C9B37EF" w14:textId="77777777">
      <w:pPr>
        <w:widowControl/>
        <w:sectPr w:rsidSect="004F4F9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F4F9E" w:rsidP="00BD2DF0" w14:paraId="49BDA6D3" w14:textId="77777777">
      <w:pPr>
        <w:pStyle w:val="PageHeading"/>
        <w:widowControl/>
      </w:pPr>
      <w:bookmarkStart w:id="8" w:name="ProcPageRR"/>
      <w:bookmarkStart w:id="9" w:name="_Toc242088253"/>
      <w:r>
        <w:t>PROCÉDURE DE LA COMMISSION COMPÉTENTE AU FOND</w:t>
      </w:r>
      <w:bookmarkEnd w:id="9"/>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DAE580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0BB5CA77" w14:textId="77777777">
            <w:pPr>
              <w:widowControl/>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4F9E" w:rsidP="00BD2DF0" w14:paraId="5824FA97" w14:textId="77777777">
            <w:pPr>
              <w:widowControl/>
              <w:autoSpaceDE w:val="0"/>
              <w:autoSpaceDN w:val="0"/>
              <w:adjustRightInd w:val="0"/>
              <w:rPr>
                <w:color w:val="000000"/>
                <w:sz w:val="20"/>
              </w:rPr>
            </w:pPr>
            <w:r>
              <w:rPr>
                <w:color w:val="000000"/>
                <w:sz w:val="20"/>
              </w:rPr>
              <w:t>Mesures de coordination et de coopération destinées à faciliter la protection consulaire des citoyens de l’Union non représentés dans des pays tiers</w:t>
            </w:r>
          </w:p>
        </w:tc>
      </w:tr>
      <w:tr w14:paraId="173919B2"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447326CF" w14:textId="77777777">
            <w:pPr>
              <w:widowControl/>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F4F9E" w:rsidP="00BD2DF0" w14:paraId="10A4A420" w14:textId="77777777">
            <w:pPr>
              <w:widowControl/>
              <w:autoSpaceDE w:val="0"/>
              <w:autoSpaceDN w:val="0"/>
              <w:adjustRightInd w:val="0"/>
              <w:rPr>
                <w:color w:val="000000"/>
                <w:sz w:val="20"/>
              </w:rPr>
            </w:pPr>
            <w:r>
              <w:rPr>
                <w:color w:val="000000"/>
                <w:sz w:val="20"/>
              </w:rPr>
              <w:t>05760/2026 – C10-0027/2026 – COM(2023)0930 – C9-0015/2024 – 2023/0441(CNS)</w:t>
            </w:r>
          </w:p>
        </w:tc>
      </w:tr>
      <w:tr w14:paraId="4391F33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049B92BE" w14:textId="77777777">
            <w:pPr>
              <w:widowControl/>
              <w:autoSpaceDE w:val="0"/>
              <w:autoSpaceDN w:val="0"/>
              <w:adjustRightInd w:val="0"/>
              <w:rPr>
                <w:b/>
                <w:bCs/>
                <w:color w:val="000000"/>
                <w:sz w:val="20"/>
              </w:rPr>
            </w:pPr>
            <w:r>
              <w:rPr>
                <w:b/>
                <w:color w:val="000000"/>
                <w:sz w:val="20"/>
              </w:rPr>
              <w:t>Date de la consultation du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5F5924AA" w14:textId="77777777">
            <w:pPr>
              <w:widowControl/>
              <w:autoSpaceDE w:val="0"/>
              <w:autoSpaceDN w:val="0"/>
              <w:adjustRightInd w:val="0"/>
              <w:rPr>
                <w:color w:val="000000"/>
                <w:sz w:val="20"/>
              </w:rPr>
            </w:pPr>
            <w:r>
              <w:rPr>
                <w:color w:val="000000"/>
                <w:sz w:val="20"/>
              </w:rPr>
              <w:t>26.1.2024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79E07CF3"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34266566"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4F9E" w:rsidP="00BD2DF0" w14:paraId="400CBBEB" w14:textId="77777777">
            <w:pPr>
              <w:widowControl/>
              <w:autoSpaceDE w:val="0"/>
              <w:autoSpaceDN w:val="0"/>
              <w:adjustRightInd w:val="0"/>
              <w:rPr>
                <w:rFonts w:ascii="sans-serif" w:hAnsi="sans-serif" w:cs="sans-serif"/>
                <w:color w:val="000000"/>
              </w:rPr>
            </w:pPr>
          </w:p>
        </w:tc>
      </w:tr>
      <w:tr w14:paraId="43092B5C"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512D9FA9" w14:textId="77777777">
            <w:pPr>
              <w:widowControl/>
              <w:autoSpaceDE w:val="0"/>
              <w:autoSpaceDN w:val="0"/>
              <w:adjustRightInd w:val="0"/>
              <w:rPr>
                <w:b/>
                <w:bCs/>
                <w:color w:val="000000"/>
                <w:sz w:val="20"/>
              </w:rPr>
            </w:pPr>
            <w:r>
              <w:rPr>
                <w:b/>
                <w:color w:val="000000"/>
                <w:sz w:val="20"/>
              </w:rPr>
              <w:t>Commission(s) compétente(s) au fond</w:t>
            </w:r>
          </w:p>
          <w:p w:rsidR="004F4F9E" w:rsidP="00BD2DF0" w14:paraId="5E530630" w14:textId="77777777">
            <w:pPr>
              <w:widowControl/>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4F4F9E" w:rsidP="00BD2DF0" w14:paraId="32213994" w14:textId="77777777">
            <w:pPr>
              <w:widowControl/>
              <w:autoSpaceDE w:val="0"/>
              <w:autoSpaceDN w:val="0"/>
              <w:adjustRightInd w:val="0"/>
              <w:rPr>
                <w:color w:val="000000"/>
                <w:sz w:val="20"/>
              </w:rPr>
            </w:pPr>
            <w:r>
              <w:rPr>
                <w:color w:val="000000"/>
                <w:sz w:val="20"/>
              </w:rPr>
              <w:t>LIBE</w:t>
            </w:r>
          </w:p>
          <w:p w:rsidR="004F4F9E" w:rsidP="00BD2DF0" w14:paraId="3FAAA9F3" w14:textId="77777777">
            <w:pPr>
              <w:widowControl/>
              <w:autoSpaceDE w:val="0"/>
              <w:autoSpaceDN w:val="0"/>
              <w:adjustRightInd w:val="0"/>
              <w:rPr>
                <w:color w:val="000000"/>
                <w:sz w:val="20"/>
              </w:rPr>
            </w:pPr>
            <w:r>
              <w:rPr>
                <w:color w:val="000000"/>
                <w:sz w:val="20"/>
              </w:rPr>
              <w:t>9.3.2026</w:t>
            </w:r>
          </w:p>
        </w:tc>
        <w:tc>
          <w:tcPr>
            <w:tcW w:w="1474" w:type="dxa"/>
            <w:tcBorders>
              <w:top w:val="nil"/>
              <w:left w:val="nil"/>
              <w:bottom w:val="single" w:sz="8" w:space="0" w:color="000000"/>
              <w:right w:val="nil"/>
            </w:tcBorders>
            <w:tcMar>
              <w:top w:w="79" w:type="dxa"/>
              <w:left w:w="79" w:type="dxa"/>
              <w:bottom w:w="79" w:type="dxa"/>
              <w:right w:w="79" w:type="dxa"/>
            </w:tcMar>
          </w:tcPr>
          <w:p w:rsidR="004F4F9E" w:rsidP="00BD2DF0" w14:paraId="11469830" w14:textId="77777777">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F4F9E" w:rsidP="00BD2DF0" w14:paraId="5C4912CC" w14:textId="77777777">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F4F9E" w:rsidP="00BD2DF0" w14:paraId="7A630023" w14:textId="77777777">
            <w:pPr>
              <w:widowControl/>
              <w:autoSpaceDE w:val="0"/>
              <w:autoSpaceDN w:val="0"/>
              <w:adjustRightInd w:val="0"/>
              <w:rPr>
                <w:rFonts w:ascii="sans-serif" w:hAnsi="sans-serif" w:cs="sans-serif"/>
                <w:color w:val="000000"/>
              </w:rPr>
            </w:pPr>
          </w:p>
        </w:tc>
      </w:tr>
      <w:tr w14:paraId="780DAED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51D150F2" w14:textId="77777777">
            <w:pPr>
              <w:widowControl/>
              <w:autoSpaceDE w:val="0"/>
              <w:autoSpaceDN w:val="0"/>
              <w:adjustRightInd w:val="0"/>
              <w:rPr>
                <w:b/>
                <w:bCs/>
                <w:color w:val="000000"/>
                <w:sz w:val="20"/>
              </w:rPr>
            </w:pPr>
            <w:r>
              <w:rPr>
                <w:b/>
                <w:color w:val="000000"/>
                <w:sz w:val="20"/>
              </w:rPr>
              <w:t>Commissions saisies pour avis</w:t>
            </w:r>
          </w:p>
          <w:p w:rsidR="004F4F9E" w:rsidP="00BD2DF0" w14:paraId="661B3CA9" w14:textId="77777777">
            <w:pPr>
              <w:widowControl/>
              <w:autoSpaceDE w:val="0"/>
              <w:autoSpaceDN w:val="0"/>
              <w:adjustRightInd w:val="0"/>
              <w:rPr>
                <w:color w:val="000000"/>
                <w:sz w:val="20"/>
              </w:rPr>
            </w:pPr>
            <w:r>
              <w:rPr>
                <w:color w:val="000000"/>
                <w:sz w:val="20"/>
              </w:rPr>
              <w:t xml:space="preserve">       Date de </w:t>
            </w:r>
            <w:r>
              <w:rPr>
                <w:color w:val="000000"/>
                <w:sz w:val="20"/>
              </w:rPr>
              <w:t>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3DF31D0D" w14:textId="77777777">
            <w:pPr>
              <w:widowControl/>
              <w:autoSpaceDE w:val="0"/>
              <w:autoSpaceDN w:val="0"/>
              <w:adjustRightInd w:val="0"/>
              <w:rPr>
                <w:color w:val="000000"/>
                <w:sz w:val="20"/>
              </w:rPr>
            </w:pPr>
            <w:r>
              <w:rPr>
                <w:color w:val="000000"/>
                <w:sz w:val="20"/>
              </w:rPr>
              <w:t>AFET</w:t>
            </w:r>
          </w:p>
          <w:p w:rsidR="004F4F9E" w:rsidP="00BD2DF0" w14:paraId="32AE46A7" w14:textId="77777777">
            <w:pPr>
              <w:widowControl/>
              <w:autoSpaceDE w:val="0"/>
              <w:autoSpaceDN w:val="0"/>
              <w:adjustRightInd w:val="0"/>
              <w:rPr>
                <w:color w:val="000000"/>
                <w:sz w:val="20"/>
              </w:rPr>
            </w:pPr>
            <w:r>
              <w:rPr>
                <w:color w:val="000000"/>
                <w:sz w:val="20"/>
              </w:rPr>
              <w:t>9.3.2026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62D940B8"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4394BAB2"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4F9E" w:rsidP="00BD2DF0" w14:paraId="3BCB0F10" w14:textId="77777777">
            <w:pPr>
              <w:widowControl/>
              <w:autoSpaceDE w:val="0"/>
              <w:autoSpaceDN w:val="0"/>
              <w:adjustRightInd w:val="0"/>
              <w:rPr>
                <w:rFonts w:ascii="sans-serif" w:hAnsi="sans-serif" w:cs="sans-serif"/>
                <w:color w:val="000000"/>
              </w:rPr>
            </w:pPr>
          </w:p>
        </w:tc>
      </w:tr>
      <w:tr w14:paraId="7309DFD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3FF8E8F0" w14:textId="77777777">
            <w:pPr>
              <w:widowControl/>
              <w:autoSpaceDE w:val="0"/>
              <w:autoSpaceDN w:val="0"/>
              <w:adjustRightInd w:val="0"/>
              <w:rPr>
                <w:b/>
                <w:bCs/>
                <w:color w:val="000000"/>
                <w:sz w:val="20"/>
              </w:rPr>
            </w:pPr>
            <w:r>
              <w:rPr>
                <w:b/>
                <w:color w:val="000000"/>
                <w:sz w:val="20"/>
              </w:rPr>
              <w:t>Rapporteurs</w:t>
            </w:r>
          </w:p>
          <w:p w:rsidR="004F4F9E" w:rsidP="00BD2DF0" w14:paraId="4B0D04A5" w14:textId="77777777">
            <w:pPr>
              <w:widowControl/>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4D781664" w14:textId="77777777">
            <w:pPr>
              <w:widowControl/>
              <w:autoSpaceDE w:val="0"/>
              <w:autoSpaceDN w:val="0"/>
              <w:adjustRightInd w:val="0"/>
              <w:rPr>
                <w:color w:val="000000"/>
                <w:sz w:val="20"/>
              </w:rPr>
            </w:pPr>
            <w:r>
              <w:rPr>
                <w:color w:val="000000"/>
                <w:sz w:val="20"/>
              </w:rPr>
              <w:t>Lena Düpont</w:t>
            </w:r>
          </w:p>
          <w:p w:rsidR="004F4F9E" w:rsidP="00BD2DF0" w14:paraId="12FFDC1D" w14:textId="77777777">
            <w:pPr>
              <w:widowControl/>
              <w:autoSpaceDE w:val="0"/>
              <w:autoSpaceDN w:val="0"/>
              <w:adjustRightInd w:val="0"/>
              <w:rPr>
                <w:color w:val="000000"/>
                <w:sz w:val="20"/>
              </w:rPr>
            </w:pPr>
            <w:r>
              <w:rPr>
                <w:color w:val="000000"/>
                <w:sz w:val="20"/>
              </w:rPr>
              <w:t>18.3.2026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7CABF995"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6C92BA0B"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4F9E" w:rsidP="00BD2DF0" w14:paraId="53F82E02" w14:textId="77777777">
            <w:pPr>
              <w:widowControl/>
              <w:autoSpaceDE w:val="0"/>
              <w:autoSpaceDN w:val="0"/>
              <w:adjustRightInd w:val="0"/>
              <w:rPr>
                <w:rFonts w:ascii="sans-serif" w:hAnsi="sans-serif" w:cs="sans-serif"/>
                <w:color w:val="000000"/>
              </w:rPr>
            </w:pPr>
          </w:p>
        </w:tc>
      </w:tr>
      <w:tr w14:paraId="4329F7E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5CDDF2A8" w14:textId="77777777">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49B2FB0F" w14:textId="77777777">
            <w:pPr>
              <w:widowControl/>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72565B18"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75F19017" w14:textId="77777777">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4F9E" w:rsidP="00BD2DF0" w14:paraId="4F31C39B" w14:textId="77777777">
            <w:pPr>
              <w:widowControl/>
              <w:autoSpaceDE w:val="0"/>
              <w:autoSpaceDN w:val="0"/>
              <w:adjustRightInd w:val="0"/>
              <w:rPr>
                <w:rFonts w:ascii="sans-serif" w:hAnsi="sans-serif" w:cs="sans-serif"/>
                <w:color w:val="000000"/>
              </w:rPr>
            </w:pPr>
          </w:p>
        </w:tc>
      </w:tr>
      <w:tr w14:paraId="1EF7FFB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3C178C7E" w14:textId="77777777">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F4F9E" w:rsidP="00BD2DF0" w14:paraId="6E758D1F" w14:textId="77777777">
            <w:pPr>
              <w:widowControl/>
              <w:autoSpaceDE w:val="0"/>
              <w:autoSpaceDN w:val="0"/>
              <w:adjustRightInd w:val="0"/>
              <w:rPr>
                <w:color w:val="000000"/>
                <w:sz w:val="20"/>
              </w:rPr>
            </w:pPr>
            <w:r>
              <w:rPr>
                <w:color w:val="000000"/>
                <w:sz w:val="20"/>
              </w:rPr>
              <w:t>+:</w:t>
            </w:r>
          </w:p>
          <w:p w:rsidR="004F4F9E" w:rsidP="00BD2DF0" w14:paraId="2EB3C5D0" w14:textId="77777777">
            <w:pPr>
              <w:widowControl/>
              <w:autoSpaceDE w:val="0"/>
              <w:autoSpaceDN w:val="0"/>
              <w:adjustRightInd w:val="0"/>
              <w:rPr>
                <w:color w:val="000000"/>
                <w:sz w:val="20"/>
              </w:rPr>
            </w:pPr>
            <w:r>
              <w:rPr>
                <w:color w:val="000000"/>
                <w:sz w:val="20"/>
              </w:rPr>
              <w:t>–:</w:t>
            </w:r>
          </w:p>
          <w:p w:rsidR="004F4F9E" w:rsidP="00BD2DF0" w14:paraId="41B8979A" w14:textId="77777777">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4F9E" w:rsidP="00BD2DF0" w14:paraId="619CBD05" w14:textId="77777777">
            <w:pPr>
              <w:widowControl/>
              <w:autoSpaceDE w:val="0"/>
              <w:autoSpaceDN w:val="0"/>
              <w:adjustRightInd w:val="0"/>
              <w:rPr>
                <w:color w:val="000000"/>
                <w:sz w:val="20"/>
              </w:rPr>
            </w:pPr>
            <w:r>
              <w:rPr>
                <w:color w:val="000000"/>
                <w:sz w:val="20"/>
              </w:rPr>
              <w:t>42</w:t>
            </w:r>
          </w:p>
          <w:p w:rsidR="004F4F9E" w:rsidP="00BD2DF0" w14:paraId="550C4CFF" w14:textId="77777777">
            <w:pPr>
              <w:widowControl/>
              <w:autoSpaceDE w:val="0"/>
              <w:autoSpaceDN w:val="0"/>
              <w:adjustRightInd w:val="0"/>
              <w:rPr>
                <w:color w:val="000000"/>
                <w:sz w:val="20"/>
              </w:rPr>
            </w:pPr>
            <w:r>
              <w:rPr>
                <w:color w:val="000000"/>
                <w:sz w:val="20"/>
              </w:rPr>
              <w:t>16</w:t>
            </w:r>
          </w:p>
          <w:p w:rsidR="004F4F9E" w:rsidP="00BD2DF0" w14:paraId="53F2A6DB" w14:textId="77777777">
            <w:pPr>
              <w:widowControl/>
              <w:autoSpaceDE w:val="0"/>
              <w:autoSpaceDN w:val="0"/>
              <w:adjustRightInd w:val="0"/>
              <w:rPr>
                <w:color w:val="000000"/>
                <w:sz w:val="20"/>
              </w:rPr>
            </w:pPr>
            <w:r>
              <w:rPr>
                <w:color w:val="000000"/>
                <w:sz w:val="20"/>
              </w:rPr>
              <w:t>1</w:t>
            </w:r>
          </w:p>
        </w:tc>
      </w:tr>
      <w:tr w14:paraId="17F91BA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F4F9E" w:rsidP="00BD2DF0" w14:paraId="2B1904DD" w14:textId="77777777">
            <w:pPr>
              <w:widowControl/>
              <w:autoSpaceDE w:val="0"/>
              <w:autoSpaceDN w:val="0"/>
              <w:adjustRightInd w:val="0"/>
              <w:rPr>
                <w:b/>
                <w:bCs/>
                <w:color w:val="000000"/>
                <w:sz w:val="20"/>
              </w:rPr>
            </w:pPr>
            <w:r>
              <w:rPr>
                <w:b/>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F4F9E" w:rsidP="00BD2DF0" w14:paraId="79DC6AC6" w14:textId="77777777">
            <w:pPr>
              <w:widowControl/>
              <w:autoSpaceDE w:val="0"/>
              <w:autoSpaceDN w:val="0"/>
              <w:adjustRightInd w:val="0"/>
              <w:rPr>
                <w:color w:val="000000"/>
                <w:sz w:val="20"/>
              </w:rPr>
            </w:pPr>
            <w:r>
              <w:rPr>
                <w:color w:val="000000"/>
                <w:sz w:val="20"/>
              </w:rPr>
              <w:t>19.4.2024</w:t>
            </w:r>
          </w:p>
        </w:tc>
      </w:tr>
      <w:bookmarkEnd w:id="8"/>
    </w:tbl>
    <w:p w:rsidR="004F4F9E" w:rsidP="00BD2DF0" w14:paraId="4AA59FF7" w14:textId="77777777">
      <w:pPr>
        <w:widowControl/>
        <w:sectPr w:rsidSect="004F4F9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F4F9E" w:rsidRPr="0099178F" w:rsidP="00BD2DF0" w14:paraId="4EF6B493" w14:textId="77777777">
      <w:pPr>
        <w:pStyle w:val="PageHeading"/>
        <w:widowControl/>
      </w:pPr>
      <w:bookmarkStart w:id="10" w:name="RollCallPageRR"/>
      <w:bookmarkStart w:id="11" w:name="_Toc242088254"/>
      <w:r>
        <w:t xml:space="preserve">VOTE FINAL PAR </w:t>
      </w:r>
      <w:r>
        <w:t>APPEL NOMINAL</w:t>
      </w:r>
      <w:r>
        <w:br/>
        <w:t>PAR LA COMMISSION COMPÉTENTE AU FOND</w:t>
      </w:r>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2F5E1497" w14:textId="77777777" w:rsidTr="00E156E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F4F9E" w:rsidRPr="00EC1ED7" w:rsidP="00BD2DF0" w14:paraId="697A502E" w14:textId="77777777">
            <w:pPr>
              <w:pStyle w:val="RollCallVotes"/>
              <w:widowControl/>
              <w:spacing w:line="256" w:lineRule="auto"/>
            </w:pPr>
            <w:r>
              <w:t>42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F4F9E" w:rsidRPr="00EC1ED7" w:rsidP="00BD2DF0" w14:paraId="1462DA51" w14:textId="77777777">
            <w:pPr>
              <w:pStyle w:val="RollCallSymbols14pt"/>
              <w:widowControl/>
              <w:spacing w:line="256" w:lineRule="auto"/>
            </w:pPr>
            <w:r>
              <w:t>+</w:t>
            </w:r>
          </w:p>
        </w:tc>
      </w:tr>
      <w:tr w14:paraId="66DDBFBE"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F4F9E" w:rsidRPr="00EC1ED7" w:rsidP="00BD2DF0" w14:paraId="4748C36A" w14:textId="77777777">
            <w:pPr>
              <w:pStyle w:val="RollCallTable"/>
              <w:widowControl/>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F4F9E" w:rsidRPr="00EC1ED7" w:rsidP="00BD2DF0" w14:paraId="4D7D9C30" w14:textId="77777777">
            <w:pPr>
              <w:pStyle w:val="RollCallTable"/>
              <w:widowControl/>
              <w:spacing w:line="256" w:lineRule="auto"/>
            </w:pPr>
            <w:r>
              <w:t>Assita Kanko</w:t>
            </w:r>
          </w:p>
        </w:tc>
      </w:tr>
      <w:tr w14:paraId="67E5AEE6"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F4F9E" w:rsidRPr="00EC1ED7" w:rsidP="00BD2DF0" w14:paraId="6411C1D9" w14:textId="77777777">
            <w:pPr>
              <w:pStyle w:val="RollCallTable"/>
              <w:widowControl/>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F4F9E" w:rsidRPr="00EC1ED7" w:rsidP="00BD2DF0" w14:paraId="18469C45" w14:textId="77777777">
            <w:pPr>
              <w:pStyle w:val="RollCallTable"/>
              <w:widowControl/>
              <w:spacing w:line="256" w:lineRule="auto"/>
            </w:pPr>
            <w:r>
              <w:t xml:space="preserve">Magdalena Adamowicz, Ioan-Rareş Bogdan, Krzysztof Brejza, Caterina Chinnici, Marie-Sophie Christ, Lena Düpont, Niels Flemming Hansen, Jeroen Lenaers, Ana Miguel Pedro, </w:t>
            </w:r>
            <w:r>
              <w:t>Alice Teodorescu Måwe, Tomas Tobé, Pekka Toveri, Loránt Vincze, Elissavet Vozemberg-Vrionidi, Isabel Wiseler-Lima, Javier Zarzalejos, Tomáš Zdechovský</w:t>
            </w:r>
          </w:p>
        </w:tc>
      </w:tr>
      <w:tr w14:paraId="7C6F6FB4"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F4F9E" w:rsidRPr="00EC1ED7" w:rsidP="00BD2DF0" w14:paraId="7173915B" w14:textId="77777777">
            <w:pPr>
              <w:pStyle w:val="RollCallTable"/>
              <w:widowControl/>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F4F9E" w:rsidRPr="00EC1ED7" w:rsidP="00BD2DF0" w14:paraId="799C4E29" w14:textId="77777777">
            <w:pPr>
              <w:pStyle w:val="RollCallTable"/>
              <w:widowControl/>
              <w:spacing w:line="256" w:lineRule="auto"/>
            </w:pPr>
            <w:r>
              <w:t>Raquel García Hermida-Van Der Walle, Moritz Körner, Michael McNamara, Nikola Minchev, Pina Picierno, Sophie Wilmès</w:t>
            </w:r>
          </w:p>
        </w:tc>
      </w:tr>
      <w:tr w14:paraId="771AD607"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F4F9E" w:rsidRPr="00EC1ED7" w:rsidP="00BD2DF0" w14:paraId="5A1D537C" w14:textId="77777777">
            <w:pPr>
              <w:pStyle w:val="RollCallTable"/>
              <w:widowControl/>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F4F9E" w:rsidRPr="00EC1ED7" w:rsidP="00BD2DF0" w14:paraId="3218A912" w14:textId="77777777">
            <w:pPr>
              <w:pStyle w:val="RollCallTable"/>
              <w:widowControl/>
              <w:spacing w:line="256" w:lineRule="auto"/>
            </w:pPr>
            <w:r>
              <w:t>Gabriele Bischoff, Vivien Costanzo, Matthias Ecke, Jens Geier, Isilda Gomes, Marina Kaljurand, Bernd Lange, Javier Moreno Sánchez, Emma Rafowicz, Sabrina Repp, Krzysztof Śmiszek</w:t>
            </w:r>
          </w:p>
        </w:tc>
      </w:tr>
      <w:tr w14:paraId="016F405C"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F4F9E" w:rsidRPr="00EC1ED7" w:rsidP="00BD2DF0" w14:paraId="5B91B71D" w14:textId="77777777">
            <w:pPr>
              <w:pStyle w:val="RollCallTable"/>
              <w:widowControl/>
              <w:spacing w:line="256" w:lineRule="auto"/>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F4F9E" w:rsidRPr="00EC1ED7" w:rsidP="00BD2DF0" w14:paraId="002AB505" w14:textId="77777777">
            <w:pPr>
              <w:pStyle w:val="RollCallTable"/>
              <w:widowControl/>
              <w:spacing w:line="256" w:lineRule="auto"/>
            </w:pPr>
            <w:r>
              <w:t>Damien Carême, Ilaria Salis</w:t>
            </w:r>
          </w:p>
        </w:tc>
      </w:tr>
      <w:tr w14:paraId="712AB266"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F4F9E" w:rsidRPr="00EC1ED7" w:rsidP="00BD2DF0" w14:paraId="2404BE1A" w14:textId="77777777">
            <w:pPr>
              <w:pStyle w:val="RollCallTable"/>
              <w:widowControl/>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F4F9E" w:rsidRPr="00EC1ED7" w:rsidP="00BD2DF0" w14:paraId="64FDA187" w14:textId="77777777">
            <w:pPr>
              <w:pStyle w:val="RollCallTable"/>
              <w:widowControl/>
              <w:spacing w:line="256" w:lineRule="auto"/>
            </w:pPr>
            <w:r>
              <w:t>Daniel Freund, Isabella Lövin, Leoluca Orlando, Anna Strolenberg, Thomas Waitz</w:t>
            </w:r>
          </w:p>
        </w:tc>
      </w:tr>
    </w:tbl>
    <w:p w:rsidR="004F4F9E" w:rsidRPr="00EC1ED7" w:rsidP="00BD2DF0" w14:paraId="0E0AE4A6" w14:textId="77777777">
      <w:pPr>
        <w:widowControl/>
        <w:rPr>
          <w:rFonts w:asciiTheme="minorHAnsi" w:hAnsiTheme="minorHAnsi" w:cstheme="minorBidi"/>
          <w:sz w:val="22"/>
          <w:szCs w:val="22"/>
          <w:lang w:eastAsia="en-U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3EB4745A" w14:textId="77777777" w:rsidTr="00E156E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F4F9E" w:rsidRPr="00EC1ED7" w:rsidP="00BD2DF0" w14:paraId="52F275DE" w14:textId="77777777">
            <w:pPr>
              <w:pStyle w:val="RollCallVotes"/>
              <w:widowControl/>
              <w:spacing w:line="256" w:lineRule="auto"/>
            </w:pPr>
            <w:r>
              <w:t>16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F4F9E" w:rsidRPr="00EC1ED7" w:rsidP="00BD2DF0" w14:paraId="3AA09D04" w14:textId="77777777">
            <w:pPr>
              <w:pStyle w:val="RollCallSymbols14pt"/>
              <w:widowControl/>
              <w:spacing w:line="256" w:lineRule="auto"/>
            </w:pPr>
            <w:r>
              <w:t>-</w:t>
            </w:r>
          </w:p>
        </w:tc>
      </w:tr>
      <w:tr w14:paraId="29060B93"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F4F9E" w:rsidRPr="00EC1ED7" w:rsidP="00BD2DF0" w14:paraId="2BE068A1" w14:textId="77777777">
            <w:pPr>
              <w:pStyle w:val="RollCallTable"/>
              <w:widowControl/>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F4F9E" w:rsidRPr="00825264" w:rsidP="00BD2DF0" w14:paraId="5B1AAA59" w14:textId="77777777">
            <w:pPr>
              <w:pStyle w:val="RollCallTable"/>
              <w:widowControl/>
              <w:spacing w:line="256" w:lineRule="auto"/>
              <w:rPr>
                <w:lang w:val="it-IT"/>
              </w:rPr>
            </w:pPr>
            <w:r w:rsidRPr="00825264">
              <w:rPr>
                <w:lang w:val="it-IT"/>
              </w:rPr>
              <w:t>Alessandro Ciriani, Paolo Inselvini, Mariusz Kamiński, Charlie Weimers</w:t>
            </w:r>
          </w:p>
        </w:tc>
      </w:tr>
      <w:tr w14:paraId="50CF8B32"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4F4F9E" w:rsidRPr="00EC1ED7" w:rsidP="00BD2DF0" w14:paraId="67F6C7D0" w14:textId="77777777">
            <w:pPr>
              <w:pStyle w:val="RollCallTable"/>
              <w:widowControl/>
              <w:spacing w:line="256" w:lineRule="auto"/>
            </w:pPr>
            <w: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4F4F9E" w:rsidRPr="00825264" w:rsidP="00BD2DF0" w14:paraId="015C665C" w14:textId="77777777">
            <w:pPr>
              <w:pStyle w:val="RollCallTable"/>
              <w:widowControl/>
              <w:spacing w:line="256" w:lineRule="auto"/>
              <w:rPr>
                <w:lang w:val="it-IT"/>
              </w:rPr>
            </w:pPr>
            <w:r w:rsidRPr="00825264">
              <w:rPr>
                <w:lang w:val="it-IT"/>
              </w:rPr>
              <w:t>Zsuzsanna Borvendég, Milan Uhrík, Roberto Vannacci</w:t>
            </w:r>
          </w:p>
        </w:tc>
      </w:tr>
      <w:tr w14:paraId="6139AF1D"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F4F9E" w:rsidRPr="00EC1ED7" w:rsidP="00BD2DF0" w14:paraId="451BEAB6" w14:textId="77777777">
            <w:pPr>
              <w:pStyle w:val="RollCallTable"/>
              <w:widowControl/>
              <w:spacing w:line="256" w:lineRule="auto"/>
            </w:pPr>
            <w: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F4F9E" w:rsidRPr="00EC1ED7" w:rsidP="00BD2DF0" w14:paraId="5B081C7C" w14:textId="77777777">
            <w:pPr>
              <w:pStyle w:val="RollCallTable"/>
              <w:widowControl/>
              <w:spacing w:line="256" w:lineRule="auto"/>
            </w:pPr>
            <w:r>
              <w:t xml:space="preserve">Mieke </w:t>
            </w:r>
            <w:r>
              <w:t>Andriese, Majbritt Birkholm, Valérie Deloge, Virginie Joron, Fabrice Leggeri, Gilles Pennelle, Tom Vandendriessche, Alexandre Varaut, Ewa Zajączkowska-Hernik</w:t>
            </w:r>
          </w:p>
        </w:tc>
      </w:tr>
    </w:tbl>
    <w:p w:rsidR="004F4F9E" w:rsidRPr="00EC1ED7" w:rsidP="00BD2DF0" w14:paraId="7CFFE537" w14:textId="77777777">
      <w:pPr>
        <w:widowControl/>
        <w:rPr>
          <w:rFonts w:asciiTheme="minorHAnsi" w:hAnsiTheme="minorHAnsi" w:cstheme="minorBidi"/>
          <w:sz w:val="22"/>
          <w:szCs w:val="22"/>
          <w:lang w:eastAsia="en-U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41331C86" w14:textId="77777777" w:rsidTr="00E156E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4F4F9E" w:rsidRPr="00EC1ED7" w:rsidP="00BD2DF0" w14:paraId="00096E96" w14:textId="77777777">
            <w:pPr>
              <w:pStyle w:val="RollCallVotes"/>
              <w:widowControl/>
              <w:spacing w:line="256" w:lineRule="auto"/>
            </w:pPr>
            <w: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4F4F9E" w:rsidRPr="00EC1ED7" w:rsidP="00BD2DF0" w14:paraId="04E430DC" w14:textId="77777777">
            <w:pPr>
              <w:pStyle w:val="RollCallSymbols14pt"/>
              <w:widowControl/>
              <w:spacing w:line="256" w:lineRule="auto"/>
            </w:pPr>
            <w:r>
              <w:t>0</w:t>
            </w:r>
          </w:p>
        </w:tc>
      </w:tr>
      <w:tr w14:paraId="19BF523E" w14:textId="77777777" w:rsidTr="00E156E6">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4F4F9E" w:rsidRPr="00EC1ED7" w:rsidP="00BD2DF0" w14:paraId="60DA1571" w14:textId="77777777">
            <w:pPr>
              <w:pStyle w:val="RollCallTable"/>
              <w:widowControl/>
              <w:spacing w:line="256" w:lineRule="auto"/>
            </w:pPr>
            <w:r>
              <w:t>ECR</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4F4F9E" w:rsidRPr="00EC1ED7" w:rsidP="00BD2DF0" w14:paraId="297572BC" w14:textId="77777777">
            <w:pPr>
              <w:pStyle w:val="RollCallTable"/>
              <w:widowControl/>
              <w:spacing w:line="256" w:lineRule="auto"/>
            </w:pPr>
            <w:r>
              <w:t>Geadis Geadi</w:t>
            </w:r>
          </w:p>
        </w:tc>
      </w:tr>
    </w:tbl>
    <w:p w:rsidR="004F4F9E" w:rsidP="00BD2DF0" w14:paraId="5BC2D3FD" w14:textId="77777777">
      <w:pPr>
        <w:pStyle w:val="Normal12a"/>
        <w:widowControl/>
      </w:pPr>
    </w:p>
    <w:p w:rsidR="004F4F9E" w:rsidP="00BD2DF0" w14:paraId="5C4B64FA" w14:textId="77777777">
      <w:pPr>
        <w:widowControl/>
      </w:pPr>
      <w:r>
        <w:t>Légende des signes utilisés:</w:t>
      </w:r>
    </w:p>
    <w:p w:rsidR="004F4F9E" w:rsidP="00BD2DF0" w14:paraId="536DC361" w14:textId="77777777">
      <w:pPr>
        <w:pStyle w:val="RollCallTabs"/>
        <w:widowControl/>
      </w:pPr>
      <w:r>
        <w:t>+</w:t>
      </w:r>
      <w:r>
        <w:tab/>
        <w:t>:</w:t>
      </w:r>
      <w:r>
        <w:tab/>
        <w:t>pour</w:t>
      </w:r>
    </w:p>
    <w:p w:rsidR="004F4F9E" w:rsidP="00BD2DF0" w14:paraId="34ED440B" w14:textId="77777777">
      <w:pPr>
        <w:pStyle w:val="RollCallTabs"/>
        <w:widowControl/>
      </w:pPr>
      <w:r>
        <w:t>-</w:t>
      </w:r>
      <w:r>
        <w:tab/>
        <w:t>:</w:t>
      </w:r>
      <w:r>
        <w:tab/>
        <w:t>contre</w:t>
      </w:r>
    </w:p>
    <w:p w:rsidR="004F4F9E" w:rsidP="00BD2DF0" w14:paraId="0D5831BE" w14:textId="77777777">
      <w:pPr>
        <w:pStyle w:val="RollCallTabs"/>
        <w:widowControl/>
      </w:pPr>
      <w:r>
        <w:t>0</w:t>
      </w:r>
      <w:r>
        <w:tab/>
        <w:t>:</w:t>
      </w:r>
      <w:r>
        <w:tab/>
      </w:r>
      <w:r>
        <w:t>abstention</w:t>
      </w:r>
    </w:p>
    <w:p w:rsidR="004F4F9E" w:rsidP="00BD2DF0" w14:paraId="0B78EE0A" w14:textId="77777777">
      <w:pPr>
        <w:widowControl/>
      </w:pPr>
    </w:p>
    <w:bookmarkEnd w:id="10"/>
    <w:p w:rsidR="007D3337" w:rsidRPr="004F4F9E" w:rsidP="00BD2DF0" w14:paraId="3950A8F6" w14:textId="77777777">
      <w:pPr>
        <w:widowControl/>
      </w:pPr>
    </w:p>
    <w:sectPr w:rsidSect="004F4F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A3C" w:rsidRPr="00EC1ED7" w:rsidP="00B32A3C" w14:paraId="12D7E67C" w14:textId="77777777">
    <w:pPr>
      <w:pStyle w:val="EPFooter"/>
    </w:pPr>
    <w:r w:rsidRPr="00EC1ED7">
      <w:t>PE</w:t>
    </w:r>
    <w:r w:rsidRPr="00EC1ED7">
      <w:rPr>
        <w:rStyle w:val="HideTWBExt"/>
      </w:rPr>
      <w:t>&lt;NoPE&gt;</w:t>
    </w:r>
    <w:r w:rsidRPr="00EC1ED7">
      <w:t>789.005</w:t>
    </w:r>
    <w:r w:rsidRPr="00EC1ED7">
      <w:rPr>
        <w:rStyle w:val="HideTWBExt"/>
      </w:rPr>
      <w:t>&lt;/NoPE&gt;&lt;Version&gt;</w:t>
    </w:r>
    <w:r w:rsidRPr="00EC1ED7">
      <w:t>v02-00</w:t>
    </w:r>
    <w:r w:rsidRPr="00EC1ED7">
      <w:rPr>
        <w:rStyle w:val="HideTWBExt"/>
      </w:rPr>
      <w:t>&lt;/Version&gt;</w:t>
    </w:r>
    <w:r w:rsidRPr="00EC1ED7">
      <w:tab/>
    </w:r>
    <w:r w:rsidRPr="00EC1ED7">
      <w:fldChar w:fldCharType="begin"/>
    </w:r>
    <w:r w:rsidRPr="00EC1ED7">
      <w:instrText xml:space="preserve"> PAGE  \* MERGEFORMAT </w:instrText>
    </w:r>
    <w:r w:rsidRPr="00EC1ED7">
      <w:fldChar w:fldCharType="separate"/>
    </w:r>
    <w:r w:rsidRPr="00EC1ED7">
      <w:rPr>
        <w:noProof/>
      </w:rPr>
      <w:t>2</w:t>
    </w:r>
    <w:r w:rsidRPr="00EC1ED7">
      <w:fldChar w:fldCharType="end"/>
    </w:r>
    <w:r w:rsidRPr="00EC1ED7">
      <w:t>/</w:t>
    </w:r>
    <w:r w:rsidRPr="00EC1ED7">
      <w:fldChar w:fldCharType="begin"/>
    </w:r>
    <w:r>
      <w:instrText xml:space="preserve"> NUMPAGES  \* MERGEFORMAT </w:instrText>
    </w:r>
    <w:r w:rsidRPr="00EC1ED7">
      <w:fldChar w:fldCharType="separate"/>
    </w:r>
    <w:r w:rsidRPr="00EC1ED7">
      <w:rPr>
        <w:noProof/>
      </w:rPr>
      <w:t>48</w:t>
    </w:r>
    <w:r w:rsidRPr="00EC1ED7">
      <w:rPr>
        <w:noProof/>
      </w:rPr>
      <w:fldChar w:fldCharType="end"/>
    </w:r>
    <w:r w:rsidRPr="00EC1ED7">
      <w:tab/>
    </w:r>
    <w:r w:rsidRPr="00EC1ED7">
      <w:rPr>
        <w:rStyle w:val="HideTWBExt"/>
      </w:rPr>
      <w:t>&lt;PathFdR&gt;</w:t>
    </w:r>
    <w:r w:rsidRPr="00EC1ED7">
      <w:t>RR\1351641FR.docx</w:t>
    </w:r>
    <w:r w:rsidRPr="00EC1ED7">
      <w:rPr>
        <w:rStyle w:val="HideTWBExt"/>
      </w:rPr>
      <w:t>&lt;/PathFdR&gt;</w:t>
    </w:r>
  </w:p>
  <w:p w:rsidR="00C7423A" w:rsidRPr="00EC1ED7" w:rsidP="00B32A3C" w14:paraId="7FB1E32F" w14:textId="77777777">
    <w:pPr>
      <w:pStyle w:val="EPFooter2"/>
    </w:pPr>
    <w:r w:rsidRPr="00EC1ED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A3C" w:rsidRPr="00EC1ED7" w:rsidP="00B32A3C" w14:paraId="5C4CD1AE" w14:textId="77777777">
    <w:pPr>
      <w:pStyle w:val="EPFooter"/>
    </w:pPr>
    <w:r w:rsidRPr="00EC1ED7">
      <w:rPr>
        <w:rStyle w:val="HideTWBExt"/>
      </w:rPr>
      <w:t>&lt;PathFdR&gt;</w:t>
    </w:r>
    <w:r w:rsidRPr="00EC1ED7">
      <w:t>RR\1351641FR.docx</w:t>
    </w:r>
    <w:r w:rsidRPr="00EC1ED7">
      <w:rPr>
        <w:rStyle w:val="HideTWBExt"/>
      </w:rPr>
      <w:t>&lt;/PathFdR&gt;</w:t>
    </w:r>
    <w:r w:rsidRPr="00EC1ED7">
      <w:tab/>
    </w:r>
    <w:r w:rsidRPr="00EC1ED7">
      <w:fldChar w:fldCharType="begin"/>
    </w:r>
    <w:r w:rsidRPr="00EC1ED7">
      <w:instrText xml:space="preserve"> PAGE  \* MERGEFORMAT </w:instrText>
    </w:r>
    <w:r w:rsidRPr="00EC1ED7">
      <w:fldChar w:fldCharType="separate"/>
    </w:r>
    <w:r w:rsidRPr="00EC1ED7">
      <w:rPr>
        <w:noProof/>
      </w:rPr>
      <w:t>3</w:t>
    </w:r>
    <w:r w:rsidRPr="00EC1ED7">
      <w:fldChar w:fldCharType="end"/>
    </w:r>
    <w:r w:rsidRPr="00EC1ED7">
      <w:t>/</w:t>
    </w:r>
    <w:r w:rsidRPr="00EC1ED7">
      <w:fldChar w:fldCharType="begin"/>
    </w:r>
    <w:r>
      <w:instrText xml:space="preserve"> NUMPAGES  \* MERGEFORMAT </w:instrText>
    </w:r>
    <w:r w:rsidRPr="00EC1ED7">
      <w:fldChar w:fldCharType="separate"/>
    </w:r>
    <w:r w:rsidRPr="00EC1ED7">
      <w:rPr>
        <w:noProof/>
      </w:rPr>
      <w:t>48</w:t>
    </w:r>
    <w:r w:rsidRPr="00EC1ED7">
      <w:rPr>
        <w:noProof/>
      </w:rPr>
      <w:fldChar w:fldCharType="end"/>
    </w:r>
    <w:r w:rsidRPr="00EC1ED7">
      <w:tab/>
      <w:t>PE</w:t>
    </w:r>
    <w:r w:rsidRPr="00EC1ED7">
      <w:rPr>
        <w:rStyle w:val="HideTWBExt"/>
      </w:rPr>
      <w:t>&lt;NoPE&gt;</w:t>
    </w:r>
    <w:r w:rsidRPr="00EC1ED7">
      <w:t>789.005</w:t>
    </w:r>
    <w:r w:rsidRPr="00EC1ED7">
      <w:rPr>
        <w:rStyle w:val="HideTWBExt"/>
      </w:rPr>
      <w:t>&lt;/NoPE&gt;&lt;Version&gt;</w:t>
    </w:r>
    <w:r w:rsidRPr="00EC1ED7">
      <w:t>v02-00</w:t>
    </w:r>
    <w:r w:rsidRPr="00EC1ED7">
      <w:rPr>
        <w:rStyle w:val="HideTWBExt"/>
      </w:rPr>
      <w:t>&lt;/Version&gt;</w:t>
    </w:r>
  </w:p>
  <w:p w:rsidR="00C7423A" w:rsidRPr="00EC1ED7" w:rsidP="00B32A3C" w14:paraId="0A14EE5C" w14:textId="77777777">
    <w:pPr>
      <w:pStyle w:val="EPFooter2"/>
    </w:pPr>
    <w:r w:rsidRPr="00EC1ED7">
      <w:tab/>
    </w:r>
    <w:r w:rsidRPr="00EC1ED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A3C" w:rsidRPr="00EC1ED7" w:rsidP="00B32A3C" w14:paraId="43798B4F" w14:textId="77777777">
    <w:pPr>
      <w:pStyle w:val="EPFooter"/>
    </w:pPr>
    <w:r w:rsidRPr="00EC1ED7">
      <w:rPr>
        <w:rStyle w:val="HideTWBExt"/>
      </w:rPr>
      <w:t>&lt;PathFdR&gt;</w:t>
    </w:r>
    <w:r w:rsidRPr="00EC1ED7">
      <w:t>RR\1351641FR.docx</w:t>
    </w:r>
    <w:r w:rsidRPr="00EC1ED7">
      <w:rPr>
        <w:rStyle w:val="HideTWBExt"/>
      </w:rPr>
      <w:t>&lt;/PathFdR&gt;</w:t>
    </w:r>
    <w:r w:rsidRPr="00EC1ED7">
      <w:tab/>
    </w:r>
    <w:r w:rsidRPr="00EC1ED7">
      <w:tab/>
      <w:t>PE</w:t>
    </w:r>
    <w:r w:rsidRPr="00EC1ED7">
      <w:rPr>
        <w:rStyle w:val="HideTWBExt"/>
      </w:rPr>
      <w:t>&lt;NoPE&gt;</w:t>
    </w:r>
    <w:r w:rsidRPr="00EC1ED7">
      <w:t>789.005</w:t>
    </w:r>
    <w:r w:rsidRPr="00EC1ED7">
      <w:rPr>
        <w:rStyle w:val="HideTWBExt"/>
      </w:rPr>
      <w:t>&lt;/NoPE&gt;&lt;Version&gt;</w:t>
    </w:r>
    <w:r w:rsidRPr="00EC1ED7">
      <w:t>v02-00</w:t>
    </w:r>
    <w:r w:rsidRPr="00EC1ED7">
      <w:rPr>
        <w:rStyle w:val="HideTWBExt"/>
      </w:rPr>
      <w:t>&lt;/Version&gt;</w:t>
    </w:r>
  </w:p>
  <w:p w:rsidR="00C7423A" w:rsidRPr="00EC1ED7" w:rsidP="00B32A3C" w14:paraId="28E232B0" w14:textId="77777777">
    <w:pPr>
      <w:pStyle w:val="EPFooter2"/>
    </w:pPr>
    <w:r w:rsidRPr="00EC1ED7">
      <w:t>FR</w:t>
    </w:r>
    <w:r w:rsidRPr="00EC1ED7">
      <w:tab/>
    </w:r>
    <w:r w:rsidRPr="00EC1ED7">
      <w:rPr>
        <w:b w:val="0"/>
        <w:i/>
        <w:color w:val="C0C0C0"/>
        <w:sz w:val="22"/>
      </w:rPr>
      <w:t>Unie dans la diversité</w:t>
    </w:r>
    <w:r w:rsidRPr="00EC1ED7">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825264" w:rsidP="00351264" w14:paraId="389ECDB9" w14:textId="77777777">
    <w:pPr>
      <w:pStyle w:val="EPFooter"/>
      <w:rPr>
        <w:lang w:val="it-IT"/>
      </w:rPr>
    </w:pPr>
    <w:r w:rsidRPr="00825264">
      <w:rPr>
        <w:rStyle w:val="HideTWBExt"/>
        <w:lang w:val="it-IT"/>
      </w:rPr>
      <w:t>&lt;PathFdR&gt;</w:t>
    </w:r>
    <w:r w:rsidRPr="00825264">
      <w:rPr>
        <w:lang w:val="it-IT"/>
      </w:rPr>
      <w:t>AD\1342966EN.docx</w:t>
    </w:r>
    <w:r w:rsidRPr="00825264">
      <w:rPr>
        <w:rStyle w:val="HideTWBExt"/>
        <w:lang w:val="it-IT"/>
      </w:rPr>
      <w:t>&lt;/PathFdR&gt;</w:t>
    </w:r>
    <w:r w:rsidRPr="00825264">
      <w:rPr>
        <w:lang w:val="it-IT"/>
      </w:rPr>
      <w:tab/>
    </w:r>
    <w:r w:rsidRPr="00825264">
      <w:rPr>
        <w:lang w:val="it-IT"/>
      </w:rPr>
      <w:tab/>
      <w:t>PE</w:t>
    </w:r>
    <w:r w:rsidRPr="00825264">
      <w:rPr>
        <w:rStyle w:val="HideTWBExt"/>
        <w:lang w:val="it-IT"/>
      </w:rPr>
      <w:t>&lt;NoPE&gt;</w:t>
    </w:r>
    <w:r w:rsidRPr="00825264">
      <w:rPr>
        <w:lang w:val="it-IT"/>
      </w:rPr>
      <w:t>787.925</w:t>
    </w:r>
    <w:r w:rsidRPr="00825264">
      <w:rPr>
        <w:rStyle w:val="HideTWBExt"/>
        <w:lang w:val="it-IT"/>
      </w:rPr>
      <w:t>&lt;/NoPE&gt;&lt;Version&gt;</w:t>
    </w:r>
    <w:r w:rsidRPr="00825264">
      <w:rPr>
        <w:lang w:val="it-IT"/>
      </w:rPr>
      <w:t>v01-00</w:t>
    </w:r>
    <w:r w:rsidRPr="00825264">
      <w:rPr>
        <w:rStyle w:val="HideTWBExt"/>
        <w:lang w:val="it-IT"/>
      </w:rPr>
      <w:t>&lt;/Version&gt;</w:t>
    </w:r>
  </w:p>
  <w:p w:rsidR="00583562" w:rsidRPr="00EC1ED7" w:rsidP="00351264" w14:paraId="3F470707" w14:textId="77777777">
    <w:pPr>
      <w:pStyle w:val="EPFooter2"/>
    </w:pPr>
    <w:r w:rsidRPr="00EC1ED7">
      <w:t>EN</w:t>
    </w:r>
    <w:r w:rsidRPr="00EC1ED7">
      <w:tab/>
    </w:r>
    <w:r w:rsidRPr="00EC1ED7">
      <w:rPr>
        <w:b w:val="0"/>
        <w:i/>
        <w:color w:val="C0C0C0"/>
        <w:sz w:val="22"/>
      </w:rPr>
      <w:t>United in diversity</w:t>
    </w:r>
    <w:r w:rsidRPr="00EC1ED7">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rsidRPr="009A76E7" w:rsidP="00C223B7" w14:paraId="6FBF5384" w14:textId="77777777">
    <w:pPr>
      <w:pStyle w:val="EPFooter"/>
    </w:pPr>
    <w:r w:rsidRPr="009A76E7">
      <w:rPr>
        <w:rStyle w:val="HideTWBExt"/>
      </w:rPr>
      <w:t>&lt;PathFdR&gt;</w:t>
    </w:r>
    <w:r w:rsidRPr="009A76E7">
      <w:t>AD\1342966FR.docx</w:t>
    </w:r>
    <w:r w:rsidRPr="009A76E7">
      <w:rPr>
        <w:rStyle w:val="HideTWBExt"/>
      </w:rPr>
      <w:t>&lt;/PathFdR&gt;</w:t>
    </w:r>
    <w:r w:rsidRPr="009A76E7">
      <w:tab/>
    </w:r>
    <w:r w:rsidRPr="009A76E7">
      <w:tab/>
      <w:t>PE</w:t>
    </w:r>
    <w:r w:rsidRPr="009A76E7">
      <w:rPr>
        <w:rStyle w:val="HideTWBExt"/>
      </w:rPr>
      <w:t>&lt;NoPE&gt;</w:t>
    </w:r>
    <w:r w:rsidRPr="009A76E7">
      <w:t>787.925</w:t>
    </w:r>
    <w:r w:rsidRPr="009A76E7">
      <w:rPr>
        <w:rStyle w:val="HideTWBExt"/>
      </w:rPr>
      <w:t>&lt;/NoPE&gt;&lt;Version&gt;</w:t>
    </w:r>
    <w:r w:rsidRPr="009A76E7">
      <w:t>v01-00</w:t>
    </w:r>
    <w:r w:rsidRPr="009A76E7">
      <w:rPr>
        <w:rStyle w:val="HideTWBExt"/>
      </w:rPr>
      <w:t>&lt;/Version&gt;</w:t>
    </w:r>
  </w:p>
  <w:p w:rsidR="00AA56F9" w:rsidRPr="009A76E7" w:rsidP="00C223B7" w14:paraId="19F3D2AF" w14:textId="77777777">
    <w:pPr>
      <w:pStyle w:val="EPFooter2"/>
    </w:pPr>
    <w:r w:rsidRPr="009A76E7">
      <w:t>FR</w:t>
    </w:r>
    <w:r w:rsidRPr="009A76E7">
      <w:tab/>
    </w:r>
    <w:r w:rsidRPr="009A76E7">
      <w:rPr>
        <w:b w:val="0"/>
        <w:i/>
        <w:color w:val="C0C0C0"/>
        <w:sz w:val="22"/>
      </w:rPr>
      <w:t>Unie dans la diversité</w:t>
    </w:r>
    <w:r w:rsidRPr="009A76E7">
      <w:tab/>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rsidRPr="00E51FD1" w:rsidP="00317950" w14:paraId="30507E54" w14:textId="77777777">
    <w:pPr>
      <w:pStyle w:val="EPFooter"/>
      <w:rPr>
        <w:lang w:val="en-GB"/>
      </w:rPr>
    </w:pPr>
    <w:r w:rsidRPr="00E51FD1">
      <w:rPr>
        <w:rStyle w:val="HideTWBExt"/>
        <w:lang w:val="en-GB"/>
      </w:rPr>
      <w:t>&lt;PathFdR&gt;</w:t>
    </w:r>
    <w:r w:rsidRPr="00E51FD1">
      <w:rPr>
        <w:lang w:val="en-GB"/>
      </w:rPr>
      <w:t>AD\1342966FR.docx</w:t>
    </w:r>
    <w:r w:rsidRPr="00E51FD1">
      <w:rPr>
        <w:rStyle w:val="HideTWBExt"/>
        <w:lang w:val="en-GB"/>
      </w:rPr>
      <w:t>&lt;/PathFdR&gt;</w:t>
    </w:r>
    <w:r w:rsidRPr="00E51FD1">
      <w:rPr>
        <w:lang w:val="en-GB"/>
      </w:rPr>
      <w:tab/>
    </w:r>
    <w:r w:rsidRPr="00E51FD1">
      <w:rPr>
        <w:lang w:val="en-GB"/>
      </w:rPr>
      <w:tab/>
      <w:t>PE</w:t>
    </w:r>
    <w:r w:rsidRPr="00E51FD1">
      <w:rPr>
        <w:rStyle w:val="HideTWBExt"/>
        <w:lang w:val="en-GB"/>
      </w:rPr>
      <w:t>&lt;NoPE&gt;</w:t>
    </w:r>
    <w:r w:rsidRPr="00E51FD1">
      <w:rPr>
        <w:lang w:val="en-GB"/>
      </w:rPr>
      <w:t>787.925</w:t>
    </w:r>
    <w:r w:rsidRPr="00E51FD1">
      <w:rPr>
        <w:rStyle w:val="HideTWBExt"/>
        <w:lang w:val="en-GB"/>
      </w:rPr>
      <w:t>&lt;/NoPE&gt;&lt;Version&gt;</w:t>
    </w:r>
    <w:r w:rsidRPr="00E51FD1">
      <w:rPr>
        <w:lang w:val="en-GB"/>
      </w:rPr>
      <w:t>v01-00</w:t>
    </w:r>
    <w:r w:rsidRPr="00E51FD1">
      <w:rPr>
        <w:rStyle w:val="HideTWBExt"/>
        <w:lang w:val="en-GB"/>
      </w:rPr>
      <w:t>&lt;/Version&gt;</w:t>
    </w:r>
  </w:p>
  <w:p w:rsidR="00AA56F9" w:rsidRPr="00E51FD1" w:rsidP="00317950" w14:paraId="1B0B3C5A" w14:textId="77777777">
    <w:pPr>
      <w:pStyle w:val="EPFooter2"/>
      <w:rPr>
        <w:lang w:val="en-GB"/>
      </w:rPr>
    </w:pPr>
    <w:r w:rsidRPr="00E51FD1">
      <w:rPr>
        <w:lang w:val="en-GB"/>
      </w:rPr>
      <w:t>EN</w:t>
    </w:r>
    <w:r w:rsidRPr="00E51FD1">
      <w:rPr>
        <w:lang w:val="en-GB"/>
      </w:rPr>
      <w:tab/>
    </w:r>
    <w:r w:rsidRPr="00E51FD1">
      <w:rPr>
        <w:b w:val="0"/>
        <w:i/>
        <w:color w:val="C0C0C0"/>
        <w:sz w:val="22"/>
        <w:lang w:val="en-GB"/>
      </w:rPr>
      <w:t>United in diversity</w:t>
    </w:r>
    <w:r w:rsidRPr="00E51FD1">
      <w:rPr>
        <w:lang w:val="en-GB"/>
      </w:rPr>
      <w:tab/>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825264" w:rsidP="00351264" w14:paraId="6D9F8B7B" w14:textId="77777777">
    <w:pPr>
      <w:pStyle w:val="EPFooter"/>
      <w:rPr>
        <w:lang w:val="it-IT"/>
      </w:rPr>
    </w:pPr>
    <w:r w:rsidRPr="00825264">
      <w:rPr>
        <w:rStyle w:val="HideTWBExt"/>
        <w:lang w:val="it-IT"/>
      </w:rPr>
      <w:t>&lt;PathFdR&gt;</w:t>
    </w:r>
    <w:r w:rsidRPr="00825264">
      <w:rPr>
        <w:lang w:val="it-IT"/>
      </w:rPr>
      <w:t>AD\1342966EN.docx</w:t>
    </w:r>
    <w:r w:rsidRPr="00825264">
      <w:rPr>
        <w:rStyle w:val="HideTWBExt"/>
        <w:lang w:val="it-IT"/>
      </w:rPr>
      <w:t>&lt;/PathFdR&gt;</w:t>
    </w:r>
    <w:r w:rsidRPr="00825264">
      <w:rPr>
        <w:lang w:val="it-IT"/>
      </w:rPr>
      <w:tab/>
    </w:r>
    <w:r w:rsidRPr="00825264">
      <w:rPr>
        <w:lang w:val="it-IT"/>
      </w:rPr>
      <w:tab/>
      <w:t>PE</w:t>
    </w:r>
    <w:r w:rsidRPr="00825264">
      <w:rPr>
        <w:rStyle w:val="HideTWBExt"/>
        <w:lang w:val="it-IT"/>
      </w:rPr>
      <w:t>&lt;NoPE&gt;</w:t>
    </w:r>
    <w:r w:rsidRPr="00825264">
      <w:rPr>
        <w:lang w:val="it-IT"/>
      </w:rPr>
      <w:t>787.925</w:t>
    </w:r>
    <w:r w:rsidRPr="00825264">
      <w:rPr>
        <w:rStyle w:val="HideTWBExt"/>
        <w:lang w:val="it-IT"/>
      </w:rPr>
      <w:t>&lt;/NoPE&gt;&lt;Version&gt;</w:t>
    </w:r>
    <w:r w:rsidRPr="00825264">
      <w:rPr>
        <w:lang w:val="it-IT"/>
      </w:rPr>
      <w:t>v01-00</w:t>
    </w:r>
    <w:r w:rsidRPr="00825264">
      <w:rPr>
        <w:rStyle w:val="HideTWBExt"/>
        <w:lang w:val="it-IT"/>
      </w:rPr>
      <w:t>&lt;/Version&gt;</w:t>
    </w:r>
  </w:p>
  <w:p w:rsidR="00833129" w:rsidRPr="00EC1ED7" w:rsidP="00351264" w14:paraId="1CB6CD25" w14:textId="77777777">
    <w:pPr>
      <w:pStyle w:val="EPFooter2"/>
    </w:pPr>
    <w:r w:rsidRPr="00EC1ED7">
      <w:t>EN</w:t>
    </w:r>
    <w:r w:rsidRPr="00EC1ED7">
      <w:tab/>
    </w:r>
    <w:r w:rsidRPr="00EC1ED7">
      <w:rPr>
        <w:b w:val="0"/>
        <w:i/>
        <w:color w:val="C0C0C0"/>
        <w:sz w:val="22"/>
      </w:rPr>
      <w:t>United in diversity</w:t>
    </w:r>
    <w:r w:rsidRPr="00EC1ED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378F7" w:rsidRPr="00EC1ED7" w14:paraId="2376F3D2" w14:textId="77777777">
      <w:r w:rsidRPr="00EC1ED7">
        <w:separator/>
      </w:r>
    </w:p>
  </w:footnote>
  <w:footnote w:type="continuationSeparator" w:id="1">
    <w:p w:rsidR="004378F7" w:rsidRPr="00EC1ED7" w14:paraId="037CCBAD" w14:textId="77777777">
      <w:r w:rsidRPr="00EC1ED7">
        <w:continuationSeparator/>
      </w:r>
    </w:p>
  </w:footnote>
  <w:footnote w:id="2">
    <w:p w:rsidR="00FE09B9" w:rsidRPr="00BD2DF0" w14:paraId="40FA2435" w14:textId="77777777">
      <w:pPr>
        <w:pStyle w:val="FootnoteText"/>
      </w:pPr>
      <w:r>
        <w:rPr>
          <w:rStyle w:val="FootnoteReference"/>
        </w:rPr>
        <w:footnoteRef/>
      </w:r>
      <w:r>
        <w:t xml:space="preserve"> JO C, C/2025/3762 du 17.9.2025, ELI: </w:t>
      </w:r>
      <w:hyperlink r:id="rId1" w:tgtFrame="_blank" w:tooltip="Permet d’accéder à ce document par l’intermédiaire de son URI ELI." w:history="1">
        <w:r>
          <w:rPr>
            <w:rStyle w:val="Hyperlink"/>
          </w:rPr>
          <w:t>http://data.europa.eu/eli/C/2025/3762/oj</w:t>
        </w:r>
      </w:hyperlink>
    </w:p>
  </w:footnote>
  <w:footnote w:id="3">
    <w:p w:rsidR="0012729D" w:rsidRPr="00EC1ED7" w14:paraId="574BD62D" w14:textId="77777777">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2" w:tooltip="Permet d’accéder à ce document par l’intermédiaire de son URI ELI." w:history="1">
        <w:r>
          <w:rPr>
            <w:rStyle w:val="Hyperlink"/>
          </w:rPr>
          <w:t>http://data.europa.eu/eli/agree_interinstit/2021/611/oj</w:t>
        </w:r>
      </w:hyperlink>
      <w:r>
        <w:t>).</w:t>
      </w:r>
    </w:p>
  </w:footnote>
  <w:footnote w:id="4">
    <w:p w:rsidR="00AA56F9" w:rsidRPr="009A76E7" w:rsidP="006478C4" w14:paraId="13645CC9" w14:textId="77777777">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2" w:tooltip="http://data.europa.eu/eli/agree_interinstit/2021/611/oj" w:history="1">
        <w:r>
          <w:rPr>
            <w:rStyle w:val="Hyperlink"/>
          </w:rPr>
          <w:t>http://data.europa.eu/eli/agree_interinstit/2021/611/oj</w:t>
        </w:r>
      </w:hyperlink>
      <w:r>
        <w:t>).</w:t>
      </w:r>
    </w:p>
  </w:footnote>
  <w:footnote w:id="5">
    <w:p w:rsidR="00833129" w:rsidRPr="00EC1ED7" w:rsidP="006478C4" w14:paraId="0C4835BB" w14:textId="77777777">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2"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DF0" w14:paraId="2741A0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DF0" w14:paraId="61ED47E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DF0" w14:paraId="526C727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351264" w14:paraId="2E0821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351264" w14:paraId="3EC0F9D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3562" w:rsidRPr="00351264" w14:paraId="4CA3533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14:paraId="5508279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14:paraId="4A959AC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14:paraId="2F5AAB1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rsidRPr="00317950" w14:paraId="54418CB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rsidRPr="00317950" w14:paraId="5B404656"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6F9" w:rsidRPr="00317950" w14:paraId="1C56EB5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351264" w14:paraId="23A9809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351264" w14:paraId="4A7D9983"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129" w:rsidRPr="00351264" w14:paraId="23D853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F4A2B96"/>
    <w:multiLevelType w:val="hybridMultilevel"/>
    <w:tmpl w:val="0D0E464C"/>
    <w:lvl w:ilvl="0">
      <w:start w:val="1"/>
      <w:numFmt w:val="bullet"/>
      <w:lvlText w:val="­"/>
      <w:lvlJc w:val="left"/>
      <w:pPr>
        <w:ind w:left="720" w:hanging="360"/>
      </w:pPr>
      <w:rPr>
        <w:rFonts w:ascii="Abadi" w:hAnsi="Aba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F9"/>
    <w:rsid w:val="00001657"/>
    <w:rsid w:val="00004800"/>
    <w:rsid w:val="00012D44"/>
    <w:rsid w:val="000160C8"/>
    <w:rsid w:val="00017134"/>
    <w:rsid w:val="00041F5F"/>
    <w:rsid w:val="0004441C"/>
    <w:rsid w:val="000545E6"/>
    <w:rsid w:val="0006148A"/>
    <w:rsid w:val="00064FF0"/>
    <w:rsid w:val="00082D8F"/>
    <w:rsid w:val="000B0781"/>
    <w:rsid w:val="000B4F66"/>
    <w:rsid w:val="000C3AE7"/>
    <w:rsid w:val="000E6E7C"/>
    <w:rsid w:val="00104A42"/>
    <w:rsid w:val="00111ED2"/>
    <w:rsid w:val="001255AA"/>
    <w:rsid w:val="0012729D"/>
    <w:rsid w:val="00127453"/>
    <w:rsid w:val="00144FDA"/>
    <w:rsid w:val="001667A3"/>
    <w:rsid w:val="00187D09"/>
    <w:rsid w:val="001B71C2"/>
    <w:rsid w:val="001D0944"/>
    <w:rsid w:val="001E2509"/>
    <w:rsid w:val="00201A5F"/>
    <w:rsid w:val="00202FEA"/>
    <w:rsid w:val="00211D76"/>
    <w:rsid w:val="00231EA7"/>
    <w:rsid w:val="002755DC"/>
    <w:rsid w:val="00280E74"/>
    <w:rsid w:val="00281103"/>
    <w:rsid w:val="0029247B"/>
    <w:rsid w:val="00294FD8"/>
    <w:rsid w:val="002A29C9"/>
    <w:rsid w:val="002C0EBF"/>
    <w:rsid w:val="002F70D9"/>
    <w:rsid w:val="00304041"/>
    <w:rsid w:val="00317950"/>
    <w:rsid w:val="00322549"/>
    <w:rsid w:val="00331F0D"/>
    <w:rsid w:val="0033230E"/>
    <w:rsid w:val="00351264"/>
    <w:rsid w:val="0036124C"/>
    <w:rsid w:val="0039667E"/>
    <w:rsid w:val="003A0908"/>
    <w:rsid w:val="003B167A"/>
    <w:rsid w:val="003D7518"/>
    <w:rsid w:val="003E5942"/>
    <w:rsid w:val="003E5E59"/>
    <w:rsid w:val="004045F9"/>
    <w:rsid w:val="00415E55"/>
    <w:rsid w:val="00420FCD"/>
    <w:rsid w:val="00422BB2"/>
    <w:rsid w:val="004267FD"/>
    <w:rsid w:val="004378F7"/>
    <w:rsid w:val="00444799"/>
    <w:rsid w:val="0044613B"/>
    <w:rsid w:val="004463B3"/>
    <w:rsid w:val="00451F3E"/>
    <w:rsid w:val="004A0D3A"/>
    <w:rsid w:val="004D6439"/>
    <w:rsid w:val="004D7DA0"/>
    <w:rsid w:val="004E281B"/>
    <w:rsid w:val="004F4F9E"/>
    <w:rsid w:val="004F6087"/>
    <w:rsid w:val="00522E22"/>
    <w:rsid w:val="0052423B"/>
    <w:rsid w:val="00532972"/>
    <w:rsid w:val="0055121F"/>
    <w:rsid w:val="005536D9"/>
    <w:rsid w:val="005558FF"/>
    <w:rsid w:val="00577F68"/>
    <w:rsid w:val="00583562"/>
    <w:rsid w:val="005A17F6"/>
    <w:rsid w:val="005A376D"/>
    <w:rsid w:val="005B15A7"/>
    <w:rsid w:val="005B550A"/>
    <w:rsid w:val="005D2A31"/>
    <w:rsid w:val="005E2AAB"/>
    <w:rsid w:val="006024AF"/>
    <w:rsid w:val="00604AAB"/>
    <w:rsid w:val="00621CA3"/>
    <w:rsid w:val="00631668"/>
    <w:rsid w:val="006478C4"/>
    <w:rsid w:val="00647A3C"/>
    <w:rsid w:val="006614C5"/>
    <w:rsid w:val="00662DA9"/>
    <w:rsid w:val="006905EA"/>
    <w:rsid w:val="0069161E"/>
    <w:rsid w:val="006A2838"/>
    <w:rsid w:val="006B71FF"/>
    <w:rsid w:val="00705B6B"/>
    <w:rsid w:val="00710CE7"/>
    <w:rsid w:val="007152AF"/>
    <w:rsid w:val="0074396A"/>
    <w:rsid w:val="00756663"/>
    <w:rsid w:val="0076354C"/>
    <w:rsid w:val="0076430D"/>
    <w:rsid w:val="00786740"/>
    <w:rsid w:val="0078703C"/>
    <w:rsid w:val="00795830"/>
    <w:rsid w:val="00796B42"/>
    <w:rsid w:val="007A0D9F"/>
    <w:rsid w:val="007A66E6"/>
    <w:rsid w:val="007B4384"/>
    <w:rsid w:val="007B580B"/>
    <w:rsid w:val="007C041E"/>
    <w:rsid w:val="007D3337"/>
    <w:rsid w:val="007E0E57"/>
    <w:rsid w:val="007E7620"/>
    <w:rsid w:val="00814E87"/>
    <w:rsid w:val="00817C1B"/>
    <w:rsid w:val="00820F5A"/>
    <w:rsid w:val="00825264"/>
    <w:rsid w:val="0082574B"/>
    <w:rsid w:val="008261A3"/>
    <w:rsid w:val="00833129"/>
    <w:rsid w:val="00852493"/>
    <w:rsid w:val="00855AF9"/>
    <w:rsid w:val="00861888"/>
    <w:rsid w:val="00865B7A"/>
    <w:rsid w:val="008707DB"/>
    <w:rsid w:val="0087747F"/>
    <w:rsid w:val="008B06AE"/>
    <w:rsid w:val="008B78C1"/>
    <w:rsid w:val="008E339F"/>
    <w:rsid w:val="008F6E1E"/>
    <w:rsid w:val="009023CF"/>
    <w:rsid w:val="00913305"/>
    <w:rsid w:val="0091771D"/>
    <w:rsid w:val="00925C33"/>
    <w:rsid w:val="00956AEB"/>
    <w:rsid w:val="00964E01"/>
    <w:rsid w:val="0096509B"/>
    <w:rsid w:val="00972165"/>
    <w:rsid w:val="0098143A"/>
    <w:rsid w:val="00984E38"/>
    <w:rsid w:val="0099178F"/>
    <w:rsid w:val="009A76E7"/>
    <w:rsid w:val="009B3063"/>
    <w:rsid w:val="009C4E8D"/>
    <w:rsid w:val="009C6A9F"/>
    <w:rsid w:val="00A324FE"/>
    <w:rsid w:val="00A365AD"/>
    <w:rsid w:val="00A509A8"/>
    <w:rsid w:val="00A5505B"/>
    <w:rsid w:val="00A5739A"/>
    <w:rsid w:val="00A61C62"/>
    <w:rsid w:val="00A63A93"/>
    <w:rsid w:val="00A95D9D"/>
    <w:rsid w:val="00AA2E6C"/>
    <w:rsid w:val="00AA56F9"/>
    <w:rsid w:val="00AD4DC5"/>
    <w:rsid w:val="00AD6272"/>
    <w:rsid w:val="00AE2868"/>
    <w:rsid w:val="00AE7353"/>
    <w:rsid w:val="00AF6562"/>
    <w:rsid w:val="00B32A3C"/>
    <w:rsid w:val="00B35338"/>
    <w:rsid w:val="00B410F4"/>
    <w:rsid w:val="00B57D64"/>
    <w:rsid w:val="00B73F43"/>
    <w:rsid w:val="00B77F8A"/>
    <w:rsid w:val="00B83EF4"/>
    <w:rsid w:val="00B85286"/>
    <w:rsid w:val="00B90B7F"/>
    <w:rsid w:val="00BD0A00"/>
    <w:rsid w:val="00BD2DF0"/>
    <w:rsid w:val="00BE3192"/>
    <w:rsid w:val="00C21D15"/>
    <w:rsid w:val="00C223B7"/>
    <w:rsid w:val="00C31EBA"/>
    <w:rsid w:val="00C5084B"/>
    <w:rsid w:val="00C672DA"/>
    <w:rsid w:val="00C7423A"/>
    <w:rsid w:val="00C817A3"/>
    <w:rsid w:val="00C84779"/>
    <w:rsid w:val="00C86D87"/>
    <w:rsid w:val="00CB1C53"/>
    <w:rsid w:val="00CC12BB"/>
    <w:rsid w:val="00CC6A2B"/>
    <w:rsid w:val="00CE2971"/>
    <w:rsid w:val="00CF457D"/>
    <w:rsid w:val="00D06B0B"/>
    <w:rsid w:val="00D431C0"/>
    <w:rsid w:val="00D44372"/>
    <w:rsid w:val="00D6335B"/>
    <w:rsid w:val="00D77850"/>
    <w:rsid w:val="00D9037E"/>
    <w:rsid w:val="00DA1D49"/>
    <w:rsid w:val="00DB0E0E"/>
    <w:rsid w:val="00DB4DF0"/>
    <w:rsid w:val="00DB535D"/>
    <w:rsid w:val="00DC4160"/>
    <w:rsid w:val="00DE11C9"/>
    <w:rsid w:val="00DF243B"/>
    <w:rsid w:val="00DF63C4"/>
    <w:rsid w:val="00E25AD0"/>
    <w:rsid w:val="00E33A40"/>
    <w:rsid w:val="00E516F6"/>
    <w:rsid w:val="00E51FD1"/>
    <w:rsid w:val="00E57F50"/>
    <w:rsid w:val="00E77EFF"/>
    <w:rsid w:val="00E941BF"/>
    <w:rsid w:val="00E97E7F"/>
    <w:rsid w:val="00EC1ED7"/>
    <w:rsid w:val="00EC6DCB"/>
    <w:rsid w:val="00EF03A3"/>
    <w:rsid w:val="00EF64D5"/>
    <w:rsid w:val="00F00E42"/>
    <w:rsid w:val="00F16FD0"/>
    <w:rsid w:val="00F24C34"/>
    <w:rsid w:val="00F27170"/>
    <w:rsid w:val="00F2779A"/>
    <w:rsid w:val="00F27944"/>
    <w:rsid w:val="00F6461D"/>
    <w:rsid w:val="00F858EB"/>
    <w:rsid w:val="00F95C67"/>
    <w:rsid w:val="00FC5EBC"/>
    <w:rsid w:val="00FD229D"/>
    <w:rsid w:val="00FE03B4"/>
    <w:rsid w:val="00FE09B9"/>
    <w:rsid w:val="00FE0A8B"/>
    <w:rsid w:val="00FF3597"/>
    <w:rsid w:val="00FF5ECD"/>
  </w:rsids>
  <w:docVars>
    <w:docVar w:name="AMACTMNU" w:val=" 2"/>
    <w:docVar w:name="ARTEURATOMMNU" w:val=" 3"/>
    <w:docVar w:name="ARTFEUMNU" w:val=" 1"/>
    <w:docVar w:name="AUTHORMFPMNU" w:val=" 2"/>
    <w:docVar w:name="COMKEY" w:val="LIBE"/>
    <w:docVar w:name="Consolidate" w:val="True"/>
    <w:docVar w:name="CopyToNetwork" w:val="-1"/>
    <w:docVar w:name="CVar" w:val="1"/>
    <w:docVar w:name="DOCDT" w:val="29/09/2026"/>
    <w:docVar w:name="DOCMNU" w:val=" 2"/>
    <w:docVar w:name="EVABUDGMNU" w:val=" 2"/>
    <w:docVar w:name="iNoAmend" w:val="1"/>
    <w:docVar w:name="INSERTOPINKEY" w:val="AFET"/>
    <w:docVar w:name="JURI1MNU" w:val=" 2"/>
    <w:docVar w:name="JURI2MNU" w:val=" 2"/>
    <w:docVar w:name="LastEditedSection" w:val=" 1"/>
    <w:docVar w:name="ORLANGKEY" w:val="EN"/>
    <w:docVar w:name="ORLANGMNU" w:val=" 1"/>
    <w:docVar w:name="PARLIAMENTS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79865 HideTWBExt;}{\*\cs18 \additive \v\f1\fs20\cf15 &#13;_x000a_\spriority0 \styrsid3279865 HideTWBInt;}{\s19\ql \li0\ri0\sa120\nowidctlpar\wrapdefault\aspalpha\aspnum\faauto\adjustright\rin0\lin0\itap0 \rtlch\fcs1 \af0\afs20\alang1025 \ltrch\fcs0 \fs24\lang2057\langfe2057\cgrid\langnp2057\langfenp2057 &#13;_x000a_\sbasedon0 \snext19 \spriority0 \styrsid3279865 Normal6a;}{\s20\ql \li0\ri0\nowidctlpar\wrapdefault\aspalpha\aspnum\faauto\adjustright\rin0\lin0\itap0 \rtlch\fcs1 \af0\afs20\alang1025 \ltrch\fcs0 \b\fs24\lang2057\langfe2057\cgrid\langnp2057\langfenp2057 &#13;_x000a_\sbasedon0 \snext20 \spriority0 \styrsid3279865 NormalBold;}{\s21\ql \li0\ri0\sa240\nowidctlpar\wrapdefault\aspalpha\aspnum\faauto\adjustright\rin0\lin0\itap0 \rtlch\fcs1 \af0\afs20\alang1025 \ltrch\fcs0 &#13;_x000a_\i\fs24\lang2057\langfe2057\cgrid\langnp2057\langfenp2057 \sbasedon0 \snext21 \spriority0 \styrsid3279865 AmJustText;}{\s22\qc \li0\ri0\sb240\sa240\nowidctlpar\wrapdefault\aspalpha\aspnum\faauto\adjustright\rin0\lin0\itap0 \rtlch\fcs1 &#13;_x000a_\af0\afs20\alang1025 \ltrch\fcs0 \i\fs24\lang2057\langfe2057\cgrid\langnp2057\langfenp2057 \sbasedon0 \snext22 \spriority0 \styrsid3279865 AmCrossRef;}{&#13;_x000a_\s23\qc \li0\ri0\sb240\sa240\keepn\nowidctlpar\wrapdefault\aspalpha\aspnum\faauto\adjustright\rin0\lin0\itap0 \rtlch\fcs1 \af0\afs20\alang1025 \ltrch\fcs0 \i\fs24\lang2057\langfe2057\cgrid\langnp2057\langfenp2057 &#13;_x000a_\sbasedon0 \snext21 \spriority0 \styrsid3279865 AmJustTitle;}{\s24\qc \li0\ri0\sa240\nowidctlpar\wrapdefault\aspalpha\aspnum\faauto\adjustright\rin0\lin0\itap0 \rtlch\fcs1 \af0\afs20\alang1025 \ltrch\fcs0 &#13;_x000a_\i\fs24\lang2057\langfe2057\cgrid\langnp2057\langfenp2057 \sbasedon0 \snext24 \spriority0 \styrsid327986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3279865 AmNumberTabs;}{\s26\ql \li0\ri0\sb240\nowidctlpar\wrapdefault\aspalpha\aspnum\faauto\adjustright\rin0\lin0\itap0 \rtlch\fcs1 &#13;_x000a_\af0\afs20\alang1025 \ltrch\fcs0 \b\fs24\lang2057\langfe2057\cgrid\langnp2057\langfenp2057 \sbasedon0 \snext26 \spriority0 \styrsid3279865 NormalBold12b;}}{\*\rsidtbl \rsid24658\rsid223860\rsid735077\rsid1718133\rsid2892074\rsid3279865\rsid3565327&#13;_x000a_\rsid4666813\rsid5441334\rsid6641733\rsid7823322\rsid9636012\rsid10377208\rsid11215221\rsid11549030\rsid12074740\rsid12154954\rsid14382809\rsid14424199\rsid15204470\rsid15285974\rsid15950462\rsid16324206\rsid16662270}{\mmathPr\mmathFont34\mbrkBin0&#13;_x000a_\mbrkBinSub0\msmallFrac0\mdispDef1\mlMargin0\mrMargin0\mdefJc1\mwrapIndent1440\mintLim0\mnaryLim1}{\info{\author MCGAHAN Justine}{\operator MCGAHAN Justine}{\creatim\yr2026\mo9\dy29\hr11}{\revtim\yr2026\mo9\dy29\hr11}{\version1}{\edmins0}{\nofpages1}&#13;_x000a_{\nofwords104}{\nofchars570}{\nofcharsws66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79865\newtblstyruls\nogrowautofit\usenormstyforlist\noindnmbrts\felnbrelev\nocxsptable\indrlsweleven\noafcnsttbl\afelev\utinl\hwelev\spltpgpar\notcvasp\notbrkcnstfrctbl\notvatxbx\krnprsnet\cachedcolbal &#13;_x000a_\nouicompat \fet0{\*\wgrffmtfilter 013f}\nofeaturethrottle1\ilfomacatclnup0{\*\template C:\\Users\\jmcgahan\\AppData\\Local\\Temp\\Blank1.dotx}{\*\ftnsep \ltrpar \pard\plain \ltrpar&#13;_x000a_\ql \li0\ri0\widctlpar\wrapdefault\aspalpha\aspnum\faauto\adjustright\rin0\lin0\itap0 \rtlch\fcs1 \af0\afs20\alang1025 \ltrch\fcs0 \fs24\lang2057\langfe2057\cgrid\langnp2057\langfenp2057 {\rtlch\fcs1 \af0 \ltrch\fcs0 \insrsid5441334 \chftnsep &#13;_x000a_\par }}{\*\ftnsepc \ltrpar \pard\plain \ltrpar\ql \li0\ri0\widctlpar\wrapdefault\aspalpha\aspnum\faauto\adjustright\rin0\lin0\itap0 \rtlch\fcs1 \af0\afs20\alang1025 \ltrch\fcs0 \fs24\lang2057\langfe2057\cgrid\langnp2057\langfenp2057 {\rtlch\fcs1 \af0 &#13;_x000a_\ltrch\fcs0 \insrsid5441334 \chftnsepc &#13;_x000a_\par }}{\*\aftnsep \ltrpar \pard\plain \ltrpar\ql \li0\ri0\widctlpar\wrapdefault\aspalpha\aspnum\faauto\adjustright\rin0\lin0\itap0 \rtlch\fcs1 \af0\afs20\alang1025 \ltrch\fcs0 \fs24\lang2057\langfe2057\cgrid\langnp2057\langfenp2057 {\rtlch\fcs1 \af0 &#13;_x000a_\ltrch\fcs0 \insrsid5441334 \chftnsep &#13;_x000a_\par }}{\*\aftnsepc \ltrpar \pard\plain \ltrpar\ql \li0\ri0\widctlpar\wrapdefault\aspalpha\aspnum\faauto\adjustright\rin0\lin0\itap0 \rtlch\fcs1 \af0\afs20\alang1025 \ltrch\fcs0 \fs24\lang2057\langfe2057\cgrid\langnp2057\langfenp2057 {\rtlch\fcs1 \af0 &#13;_x000a_\ltrch\fcs0 \insrsid544133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13449181 \rtlch\fcs1 &#13;_x000a_\af0\afs20\alang1025 \ltrch\fcs0 \b\fs24\lang2057\langfe2057\cgrid\langnp2057\langfenp2057 {\rtlch\fcs1 \af0 \ltrch\fcs0 \cs17\b0\v\fs20\cf9\lang1024\langfe1024\loch\af1\hich\af1\dbch\af31501\noproof\insrsid3279865\charrsid8739577 {\*\bkmkstart restart}&#13;_x000a_\hich\af1\dbch\af31501\loch\f1 &lt;Amend&gt;}{\rtlch\fcs1 \af0 \ltrch\fcs0 \insrsid3279865\charrsid8739577 Amendment\tab \tab }{\rtlch\fcs1 \af0 \ltrch\fcs0 &#13;_x000a_\cs17\b0\v\fs20\cf9\lang1024\langfe1024\loch\af1\hich\af1\dbch\af31501\noproof\insrsid3279865\charrsid8739577 \hich\af1\dbch\af31501\loch\f1 &lt;NumAm&gt;}{\rtlch\fcs1 \af0 \ltrch\fcs0 \insrsid3279865\charrsid8739577 #}{\rtlch\fcs1 \af1 \ltrch\fcs0 &#13;_x000a_\cs18\v\f1\fs20\cf15\insrsid3279865\charrsid8739577 ENMIENDA@NRAM@}{\rtlch\fcs1 \af0 \ltrch\fcs0 \insrsid3279865\charrsid8739577 #}{\rtlch\fcs1 \af0 \ltrch\fcs0 &#13;_x000a_\cs17\b0\v\fs20\cf9\lang1024\langfe1024\loch\af1\hich\af1\dbch\af31501\noproof\insrsid3279865\charrsid8739577 \hich\af1\dbch\af31501\loch\f1 &lt;/NumAm&gt;}{\rtlch\fcs1 \af0 \ltrch\fcs0 \insrsid3279865\charrsid8739577 &#13;_x000a_\par }\pard\plain \ltrpar\s26\ql \li0\ri0\sb240\keepn\nowidctlpar\wrapdefault\aspalpha\aspnum\faauto\adjustright\rin0\lin0\itap0\pararsid13449181 \rtlch\fcs1 \af0\afs20\alang1025 \ltrch\fcs0 \b\fs24\lang2057\langfe2057\cgrid\langnp2057\langfenp2057 {&#13;_x000a_\rtlch\fcs1 \af0 \ltrch\fcs0 \cs17\b0\v\fs20\cf9\lang1024\langfe1024\loch\af1\hich\af1\dbch\af31501\noproof\insrsid3279865\charrsid8739577 \hich\af1\dbch\af31501\loch\f1 &lt;DocAmend&gt;}{\rtlch\fcs1 \af0 \ltrch\fcs0 \insrsid3279865\charrsid8739577 #}{&#13;_x000a_\rtlch\fcs1 \af1 \ltrch\fcs0 \cs18\v\f1\fs20\cf15\insrsid3279865\charrsid8739577 MNU[PROPCOM][PROPCOUNC][PROPCOUNC]@CHOICE@TITLEMNU}{\rtlch\fcs1 \af0 \ltrch\fcs0 \insrsid3279865\charrsid8739577 # #}{\rtlch\fcs1 \af1 \ltrch\fcs0 &#13;_x000a_\cs18\v\f1\fs20\cf15\insrsid3279865\charrsid8739577 MNU[DOC1][DOC2][DOC3][DOC4]@CHOICE@DOCMNU}{\rtlch\fcs1 \af0 \ltrch\fcs0 \insrsid3279865\charrsid8739577 ##}{\rtlch\fcs1 \af1 \ltrch\fcs0 \cs18\v\f1\fs20\cf15\insrsid3279865\charrsid8739577 &#13;_x000a_MNU[AMACTYES][NOTAPP]@CHOICE@AMACTMNU}{\rtlch\fcs1 \af0 \ltrch\fcs0 \insrsid3279865\charrsid8739577 #}{\rtlch\fcs1 \af0 \ltrch\fcs0 \cs17\b0\v\fs20\cf9\lang1024\langfe1024\loch\af1\hich\af1\dbch\af31501\noproof\insrsid3279865\charrsid8739577 &#13;_x000a_\hich\af1\dbch\af31501\loch\f1 &lt;/DocAmend&gt;}{\rtlch\fcs1 \af0 \ltrch\fcs0 \insrsid3279865\charrsid8739577 &#13;_x000a_\par }\pard\plain \ltrpar\s20\ql \li0\ri0\keepn\nowidctlpar\wrapdefault\aspalpha\aspnum\faauto\adjustright\rin0\lin0\itap0\pararsid13449181 \rtlch\fcs1 \af0\afs20\alang1025 \ltrch\fcs0 \b\fs24\lang2057\langfe2057\cgrid\langnp2057\langfenp2057 {\rtlch\fcs1 &#13;_x000a_\af0 \ltrch\fcs0 \cs17\b0\v\fs20\cf9\lang1024\langfe1024\loch\af1\hich\af1\dbch\af31501\noproof\insrsid3279865\charrsid8739577 \hich\af1\dbch\af31501\loch\f1 &lt;Article&gt;}{\rtlch\fcs1 \af0 \ltrch\fcs0 \insrsid3279865\charrsid8739577 #}{\rtlch\fcs1 \af1 &#13;_x000a_\ltrch\fcs0 \cs18\v\f1\fs20\cf15\insrsid3279865\charrsid8739577 MNU[AMACTPARTYES][AMACTPARTNO]@CHOICE@AMACTMNU}{\rtlch\fcs1 \af0 \ltrch\fcs0 \insrsid3279865\charrsid8739577 #}{\rtlch\fcs1 \af0 \ltrch\fcs0 &#13;_x000a_\cs17\b0\v\fs20\cf9\lang1024\langfe1024\loch\af1\hich\af1\dbch\af31501\noproof\insrsid3279865\charrsid8739577 \hich\af1\dbch\af31501\loch\f1 &lt;/Article&gt;}{\rtlch\fcs1 \af0 \ltrch\fcs0 \insrsid3279865\charrsid8739577 &#13;_x000a_\par }\pard\plain \ltrpar\ql \li0\ri0\keepn\widctlpar\wrapdefault\aspalpha\aspnum\faauto\adjustright\rin0\lin0\itap0\pararsid13449181 \rtlch\fcs1 \af0\afs20\alang1025 \ltrch\fcs0 \fs24\lang2057\langfe2057\cgrid\langnp2057\langfenp2057 {\rtlch\fcs1 \af0 &#13;_x000a_\ltrch\fcs0 \cs17\v\fs20\cf9\lang1024\langfe1024\loch\af1\hich\af1\dbch\af31501\noproof\insrsid3279865\charrsid8739577 \hich\af1\dbch\af31501\loch\f1 &lt;DocAmend2&gt;&lt;OptDel&gt;}{\rtlch\fcs1 \af0 \ltrch\fcs0 \insrsid3279865\charrsid8739577 #}{\rtlch\fcs1 \af1 &#13;_x000a_\ltrch\fcs0 \cs18\v\f1\fs20\cf15\insrsid3279865\charrsid8739577 MNU[OPTNRACTYES][NOTAPP]@CHOICE@AMACTMNU}{\rtlch\fcs1 \af0 \ltrch\fcs0 \insrsid3279865\charrsid8739577 #}{\rtlch\fcs1 \af0 \ltrch\fcs0 &#13;_x000a_\cs17\v\fs20\cf9\lang1024\langfe1024\loch\af1\hich\af1\dbch\af31501\noproof\insrsid3279865\charrsid8739577 \hich\af1\dbch\af31501\loch\f1 &lt;/OptDel&gt;&lt;/DocAmend2&gt;}{\rtlch\fcs1 \af0 \ltrch\fcs0 \insrsid3279865\charrsid8739577 &#13;_x000a_\par }\pard \ltrpar\ql \li0\ri0\widctlpar\wrapdefault\aspalpha\aspnum\faauto\adjustright\rin0\lin0\itap0\pararsid13449181 {\rtlch\fcs1 \af0 \ltrch\fcs0 \cs17\v\fs20\cf9\lang1024\langfe1024\loch\af1\hich\af1\dbch\af31501\noproof\insrsid3279865\charrsid8739577 &#13;_x000a_\hich\af1\dbch\af31501\loch\f1 &lt;Article2&gt;&lt;OptDel&gt;}{\rtlch\fcs1 \af0 \ltrch\fcs0 \insrsid3279865\charrsid8739577 #}{\rtlch\fcs1 \af1 \ltrch\fcs0 \cs18\v\f1\fs20\cf15\insrsid3279865\charrsid8739577 MNU[OPTACTPARTYES][NOTAPP]@CHOICE@AMACTMNU}{\rtlch\fcs1 &#13;_x000a_\af0 \ltrch\fcs0 \insrsid3279865\charrsid8739577 #}{\rtlch\fcs1 \af0 \ltrch\fcs0 \cs17\v\fs20\cf9\lang1024\langfe1024\loch\af1\hich\af1\dbch\af31501\noproof\insrsid3279865\charrsid8739577 \hich\af1\dbch\af31501\loch\f1 &lt;/OptDel&gt;&lt;/Article2&gt;}{\rtlch\fcs1 &#13;_x000a_\af0 \ltrch\fcs0 \insrsid3279865\charrsid8739577 &#13;_x000a_\par \ltrrow}\trowd \ltrrow\ts11\trqc\trgaph340\trleft-340\trftsWidth3\trwWidth9752\trftsWidthB3\trpaddl340\trpaddr340\trpaddfl3\trpaddft3\trpaddfb3\trpaddfr3\tblrsid9850369\tblind0\tblindtype3 \clvertalt\clbrdrt\brdrtbl \clbrdrl\brdrtbl \clbrdrb\brdrtbl &#13;_x000a_\clbrdrr\brdrtbl \cltxlrtb\clftsWidth3\clwWidth9752 \cellx9412\pard \ltrpar\ql \li0\ri0\keepn\widctlpar\intbl\wrapdefault\aspalpha\aspnum\faauto\adjustright\rin0\lin0\pararsid5719 {\rtlch\fcs1 \af0 \ltrch\fcs0 \insrsid3279865\charrsid8739577 \cell &#13;_x000a_}\pard \ltrpar\ql \li0\ri0\widctlpar\intbl\wrapdefault\aspalpha\aspnum\faauto\adjustright\rin0\lin0 {\rtlch\fcs1 \af0 \ltrch\fcs0 \insrsid3279865\charrsid8739577 \trowd \ltrrow&#13;_x000a_\ts11\trqc\trgaph340\trleft-340\trftsWidth3\trwWidth9752\trftsWidthB3\trpaddl340\trpaddr340\trpaddfl3\trpaddft3\trpaddfb3\trpaddfr3\tblrsid9850369\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9850369\tblind0\tblindtype3 \clvertalt&#13;_x000a_\clbrdrt\brdrtbl \clbrdrl\brdrtbl \clbrdrb\brdrtbl \clbrdrr\brdrtbl \cltxlrtb\clftsWidth3\clwWidth4876 \cellx4536\clvertalt\clbrdrt\brdrtbl \clbrdrl\brdrtbl \clbrdrb\brdrtbl \clbrdrr\brdrtbl \cltxlrtb\clftsWidth3\clwWidth4876 \cellx9412\pard\plain \ltrpar&#13;_x000a_\s24\qc \li0\ri0\sa240\keepn\nowidctlpar\intbl\wrapdefault\aspalpha\aspnum\faauto\adjustright\rin0\lin0\pararsid5719 \rtlch\fcs1 \af0\afs20\alang1025 \ltrch\fcs0 \i\fs24\lang2057\langfe2057\cgrid\langnp2057\langfenp2057 {\rtlch\fcs1 \af0 \ltrch\fcs0 &#13;_x000a_\insrsid3279865\charrsid8739577 #}{\rtlch\fcs1 \af1 \ltrch\fcs0 \cs18\v\f1\fs20\cf15\insrsid3279865\charrsid8739577 MNU[OPTLEFTAMACT][LEFTPROP]@CHOICE@AMACTMNU}{\rtlch\fcs1 \af0 \ltrch\fcs0 \insrsid3279865\charrsid8739577 #\cell Amendment\cell &#13;_x000a_}\pard\plain \ltrpar\ql \li0\ri0\widctlpar\intbl\wrapdefault\aspalpha\aspnum\faauto\adjustright\rin0\lin0 \rtlch\fcs1 \af0\afs20\alang1025 \ltrch\fcs0 \fs24\lang2057\langfe2057\cgrid\langnp2057\langfenp2057 {\rtlch\fcs1 \af0 \ltrch\fcs0 &#13;_x000a_\insrsid3279865\charrsid8739577 \trowd \ltrrow\ts11\trqc\trgaph340\trleft-340\trftsWidth3\trwWidth9752\trftsWidthB3\trpaddl340\trpaddr340\trpaddfl3\trpaddft3\trpaddfb3\trpaddfr3\tblrsid9850369\tblind0\tblindtype3 \clvertalt\clbrdrt\brdrtbl \clbrdrl&#13;_x000a_\brdrtbl \clbrdrb\brdrtbl \clbrdrr\brdrtbl \cltxlrtb\clftsWidth3\clwWidth4876 \cellx4536\clvertalt\clbrdrt\brdrtbl \clbrdrl\brdrtbl \clbrdrb\brdrtbl \clbrdrr\brdrtbl \cltxlrtb\clftsWidth3\clwWidth4876 \cellx9412\row \ltrrow}\pard\plain \ltrpar&#13;_x000a_\s19\ql \li0\ri0\sa120\nowidctlpar\intbl\wrapdefault\aspalpha\aspnum\faauto\adjustright\rin0\lin0\pararsid9850369 \rtlch\fcs1 \af0\afs20\alang1025 \ltrch\fcs0 \fs24\lang2057\langfe2057\cgrid\langnp2057\langfenp2057 {\rtlch\fcs1 \af0 \ltrch\fcs0 &#13;_x000a_\insrsid3279865\charrsid8739577 ##\cell ##}{\rtlch\fcs1 \af0\afs24 \ltrch\fcs0 \insrsid3279865\charrsid8739577 \cell }\pard\plain \ltrpar\ql \li0\ri0\widctlpar\intbl\wrapdefault\aspalpha\aspnum\faauto\adjustright\rin0\lin0 \rtlch\fcs1 &#13;_x000a_\af0\afs20\alang1025 \ltrch\fcs0 \fs24\lang2057\langfe2057\cgrid\langnp2057\langfenp2057 {\rtlch\fcs1 \af0 \ltrch\fcs0 \insrsid3279865\charrsid8739577 \trowd \lastrow \ltrrow&#13;_x000a_\ts11\trqc\trgaph340\trleft-340\trftsWidth3\trwWidth9752\trftsWidthB3\trpaddl340\trpaddr340\trpaddfl3\trpaddft3\trpaddfb3\trpaddfr3\tblrsid9850369\tblind0\tblindtype3 \clvertalt\clbrdrt\brdrtbl \clbrdrl\brdrtbl \clbrdrb\brdrtbl \clbrdrr\brdrtbl &#13;_x000a_\cltxlrtb\clftsWidth3\clwWidth4876 \cellx4536\clvertalt\clbrdrt\brdrtbl \clbrdrl\brdrtbl \clbrdrb\brdrtbl \clbrdrr\brdrtbl \cltxlrtb\clftsWidth3\clwWidth4876 \cellx9412\row }\pard\plain \ltrpar&#13;_x000a_\s22\qc \li0\ri0\sb240\sa240\nowidctlpar\wrapdefault\aspalpha\aspnum\faauto\adjustright\rin0\lin0\itap0\pararsid13449181 \rtlch\fcs1 \af0\afs20\alang1025 \ltrch\fcs0 \i\fs24\lang2057\langfe2057\cgrid\langnp2057\langfenp2057 {\rtlch\fcs1 \af0 \ltrch\fcs0 &#13;_x000a_\cs17\i0\v\fs20\cf9\lang1024\langfe1024\loch\af1\hich\af1\dbch\af31501\noproof\insrsid3279865\charrsid8739577 \hich\af1\dbch\af31501\loch\f1 &lt;OptDel&gt;}{\rtlch\fcs1 \af0 \ltrch\fcs0 \insrsid3279865\charrsid8739577 #}{\rtlch\fcs1 \af1 \ltrch\fcs0 &#13;_x000a_\cs18\v\f1\fs20\cf15\insrsid3279865\charrsid8739577 MNU[CROSSREFNO][CROSSREFYES]@CHOICE@}{\rtlch\fcs1 \af0 \ltrch\fcs0 \insrsid3279865\charrsid8739577 #}{\rtlch\fcs1 \af0 \ltrch\fcs0 &#13;_x000a_\cs17\i0\v\fs20\cf9\lang1024\langfe1024\loch\af1\hich\af1\dbch\af31501\noproof\insrsid3279865\charrsid8739577 \hich\af1\dbch\af31501\loch\f1 &lt;/OptDel&gt;}{\rtlch\fcs1 \af0 \ltrch\fcs0 \insrsid3279865\charrsid8739577 &#13;_x000a_\par }\pard\plain \ltrpar\s23\qc \li0\ri0\sb240\sa240\keepn\nowidctlpar\wrapdefault\aspalpha\aspnum\faauto\adjustright\rin0\lin0\itap0\pararsid13449181 \rtlch\fcs1 \af0\afs20\alang1025 \ltrch\fcs0 \i\fs24\lang2057\langfe2057\cgrid\langnp2057\langfenp2057 {&#13;_x000a_\rtlch\fcs1 \af0 \ltrch\fcs0 \cs17\i0\v\fs20\cf9\lang1024\langfe1024\loch\af1\hich\af1\dbch\af31501\noproof\insrsid3279865\charrsid8739577 \hich\af1\dbch\af31501\loch\f1 &lt;TitreJust&gt;}{\rtlch\fcs1 \af0 \ltrch\fcs0 \insrsid3279865\charrsid8739577 &#13;_x000a_Justification}{\rtlch\fcs1 \af0 \ltrch\fcs0 \cs17\i0\v\fs20\cf9\lang1024\langfe1024\loch\af1\hich\af1\dbch\af31501\noproof\insrsid3279865\charrsid8739577 \hich\af1\dbch\af31501\loch\f1 &lt;/TitreJust&gt;}{\rtlch\fcs1 \af0 \ltrch\fcs0 &#13;_x000a_\insrsid3279865\charrsid8739577 &#13;_x000a_\par }\pard\plain \ltrpar\s21\ql \li0\ri0\sa240\nowidctlpar\wrapdefault\aspalpha\aspnum\faauto\adjustright\rin0\lin0\itap0\pararsid13449181 \rtlch\fcs1 \af0\afs20\alang1025 \ltrch\fcs0 \i\fs24\lang2057\langfe2057\cgrid\langnp2057\langfenp2057 {\rtlch\fcs1 &#13;_x000a_\af0 \ltrch\fcs0 \cs17\i0\v\fs20\cf9\lang1024\langfe1024\loch\af1\hich\af1\dbch\af31501\noproof\insrsid3279865\charrsid8739577 \hich\af1\dbch\af31501\loch\f1 &lt;OptDelPrev&gt;}{\rtlch\fcs1 \af0 \ltrch\fcs0 \insrsid3279865\charrsid8739577 #}{\rtlch\fcs1 \af1 &#13;_x000a_\ltrch\fcs0 \cs18\v\f1\fs20\cf15\insrsid3279865\charrsid8739577 MNU[TEXTJUSTYES][TEXTJUSTNO]@CHOICE@}{\rtlch\fcs1 \af0 \ltrch\fcs0 \insrsid3279865\charrsid8739577 #}{\rtlch\fcs1 \af0 \ltrch\fcs0 &#13;_x000a_\cs17\i0\v\fs20\cf9\lang1024\langfe1024\loch\af1\hich\af1\dbch\af31501\noproof\insrsid3279865\charrsid8739577 \hich\af1\dbch\af31501\loch\f1 &lt;/OptDelPrev&gt;}{\rtlch\fcs1 \af0 \ltrch\fcs0 \insrsid3279865\charrsid8739577 &#13;_x000a_\par }\pard\plain \ltrpar\ql \li0\ri0\widctlpar\wrapdefault\aspalpha\aspnum\faauto\adjustright\rin0\lin0\itap0\pararsid13449181 \rtlch\fcs1 \af0\afs20\alang1025 \ltrch\fcs0 \fs24\lang2057\langfe2057\cgrid\langnp2057\langfenp2057 {\rtlch\fcs1 \af0 \ltrch\fcs0 &#13;_x000a_\cs17\v\fs20\cf9\lang1024\langfe1024\loch\af1\hich\af1\dbch\af31501\noproof\insrsid3279865\charrsid8739577 \hich\af1\dbch\af31501\loch\f1 &lt;/Amend&gt;}{\rtlch\fcs1 \af0 \ltrch\fcs0 \insrsid3279865\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49&#13;_x000a_aef8f0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352245 HideTWBExt;}{&#13;_x000a_\s18\ql \li0\ri0\sa120\nowidctlpar\wrapdefault\aspalpha\aspnum\faauto\adjustright\rin0\lin0\itap0 \rtlch\fcs1 \af0\afs20\alang1025 \ltrch\fcs0 \fs24\lang2057\langfe2057\cgrid\langnp2057\langfenp2057 \sbasedon0 \snext18 \spriority0 \styrsid3352245 &#13;_x000a_Normal6a;}{\s19\ql \li0\ri0\nowidctlpar\wrapdefault\aspalpha\aspnum\faauto\adjustright\rin0\lin0\itap0 \rtlch\fcs1 \af0\afs20\alang1025 \ltrch\fcs0 \b\fs24\lang2057\langfe2057\cgrid\langnp2057\langfenp2057 \sbasedon0 \snext19 \spriority0 \styrsid3352245 &#13;_x000a_NormalBold;}{\s20\ql \li0\ri0\sa240\nowidctlpar\wrapdefault\aspalpha\aspnum\faauto\adjustright\rin0\lin0\itap0 \rtlch\fcs1 \af0\afs20\alang1025 \ltrch\fcs0 \i\fs24\lang2057\langfe2057\cgrid\langnp2057\langfenp2057 &#13;_x000a_\sbasedon0 \snext20 \spriority0 \styrsid3352245 AmJustText;}{\s21\qc \li0\ri0\sb240\sa240\nowidctlpar\wrapdefault\aspalpha\aspnum\faauto\adjustright\rin0\lin0\itap0 \rtlch\fcs1 \af0\afs20\alang1025 \ltrch\fcs0 &#13;_x000a_\i\fs24\lang2057\langfe2057\cgrid\langnp2057\langfenp2057 \sbasedon0 \snext21 \spriority0 \styrsid3352245 AmCrossRef;}{\s22\qc \li0\ri0\sb240\sa240\keepn\nowidctlpar\wrapdefault\aspalpha\aspnum\faauto\adjustright\rin0\lin0\itap0 \rtlch\fcs1 &#13;_x000a_\af0\afs20\alang1025 \ltrch\fcs0 \i\fs24\lang2057\langfe2057\cgrid\langnp2057\langfenp2057 \sbasedon0 \snext20 \spriority0 \styrsid3352245 AmJustTitle;}{\s23\qc \li0\ri0\sa240\nowidctlpar\wrapdefault\aspalpha\aspnum\faauto\adjustright\rin0\lin0\itap0 &#13;_x000a_\rtlch\fcs1 \af0\afs20\alang1025 \ltrch\fcs0 \i\fs24\lang2057\langfe2057\cgrid\langnp2057\langfenp2057 \sbasedon0 \snext23 \spriority0 \styrsid335224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3352245 AmNumberTabs;}{\s25\ql \li0\ri0\sb240\nowidctlpar\wrapdefault\aspalpha\aspnum\faauto\adjustright\rin0\lin0\itap0 \rtlch\fcs1 &#13;_x000a_\af0\afs20\alang1025 \ltrch\fcs0 \b\fs24\lang2057\langfe2057\cgrid\langnp2057\langfenp2057 \sbasedon0 \snext25 \spriority0 \styrsid3352245 NormalBold12b;}}{\*\rsidtbl \rsid24658\rsid223860\rsid735077\rsid1718133\rsid2892074\rsid3352245\rsid3565327&#13;_x000a_\rsid4666813\rsid6641733\rsid7823322\rsid9636012\rsid10377208\rsid10770105\rsid11215221\rsid11549030\rsid12074740\rsid12154954\rsid14382809\rsid14424199\rsid15204470\rsid15285974\rsid15950462\rsid16324206\rsid16662270}{\mmathPr\mmathFont34\mbrkBin0&#13;_x000a_\mbrkBinSub0\msmallFrac0\mdispDef1\mlMargin0\mrMargin0\mdefJc1\mwrapIndent1440\mintLim0\mnaryLim1}{\info{\author MCGAHAN Justine}{\operator MCGAHAN Justine}{\creatim\yr2026\mo9\dy29\hr11}{\revtim\yr2026\mo9\dy29\hr11}{\version1}{\edmins0}{\nofpages1}&#13;_x000a_{\nofwords56}{\nofchars311}{\nofcharsws36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352245\newtblstyruls\nogrowautofit\usenormstyforlist\noindnmbrts\felnbrelev\nocxsptable\indrlsweleven\noafcnsttbl\afelev\utinl\hwelev\spltpgpar\notcvasp\notbrkcnstfrctbl\notvatxbx\krnprsnet\cachedcolbal &#13;_x000a_\nouicompat \fet0{\*\wgrffmtfilter 013f}\nofeaturethrottle1\ilfomacatclnup0{\*\template C:\\Users\\jmcgahan\\AppData\\Local\\Temp\\Blank1.dotx}{\*\ftnsep \ltrpar \pard\plain \ltrpar&#13;_x000a_\ql \li0\ri0\widctlpar\wrapdefault\aspalpha\aspnum\faauto\adjustright\rin0\lin0\itap0 \rtlch\fcs1 \af0\afs20\alang1025 \ltrch\fcs0 \fs24\lang2057\langfe2057\cgrid\langnp2057\langfenp2057 {\rtlch\fcs1 \af0 \ltrch\fcs0 \insrsid10770105 \chftnsep &#13;_x000a_\par }}{\*\ftnsepc \ltrpar \pard\plain \ltrpar\ql \li0\ri0\widctlpar\wrapdefault\aspalpha\aspnum\faauto\adjustright\rin0\lin0\itap0 \rtlch\fcs1 \af0\afs20\alang1025 \ltrch\fcs0 \fs24\lang2057\langfe2057\cgrid\langnp2057\langfenp2057 {\rtlch\fcs1 \af0 &#13;_x000a_\ltrch\fcs0 \insrsid10770105 \chftnsepc &#13;_x000a_\par }}{\*\aftnsep \ltrpar \pard\plain \ltrpar\ql \li0\ri0\widctlpar\wrapdefault\aspalpha\aspnum\faauto\adjustright\rin0\lin0\itap0 \rtlch\fcs1 \af0\afs20\alang1025 \ltrch\fcs0 \fs24\lang2057\langfe2057\cgrid\langnp2057\langfenp2057 {\rtlch\fcs1 \af0 &#13;_x000a_\ltrch\fcs0 \insrsid10770105 \chftnsep &#13;_x000a_\par }}{\*\aftnsepc \ltrpar \pard\plain \ltrpar\ql \li0\ri0\widctlpar\wrapdefault\aspalpha\aspnum\faauto\adjustright\rin0\lin0\itap0 \rtlch\fcs1 \af0\afs20\alang1025 \ltrch\fcs0 \fs24\lang2057\langfe2057\cgrid\langnp2057\langfenp2057 {\rtlch\fcs1 \af0 &#13;_x000a_\ltrch\fcs0 \insrsid1077010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6846241 \rtlch\fcs1 &#13;_x000a_\af0\afs20\alang1025 \ltrch\fcs0 \b\fs24\lang2057\langfe2057\cgrid\langnp2057\langfenp2057 {\rtlch\fcs1 \af0 \ltrch\fcs0 \cs17\b0\v\f1\fs20\cf9\insrsid3352245\charrsid11800820 {\*\bkmkstart restart}&lt;Amend&gt;}{\rtlch\fcs1 \af0 \ltrch\fcs0 &#13;_x000a_\insrsid3352245\charrsid11800820 [ZAMENDMENT]\tab \tab }{\rtlch\fcs1 \af0 \ltrch\fcs0 \cs17\b0\v\f1\fs20\cf9\insrsid3352245\charrsid11800820 &lt;NumAm&gt;}{\rtlch\fcs1 \af0 \ltrch\fcs0 \insrsid3352245\charrsid11800820 [ZNRAM]}{\rtlch\fcs1 \af0 \ltrch\fcs0 &#13;_x000a_\cs17\b0\v\f1\fs20\cf9\insrsid3352245\charrsid11800820 &lt;/NumAm&gt;}{\rtlch\fcs1 \af0 \ltrch\fcs0 \insrsid3352245\charrsid11800820 &#13;_x000a_\par }\pard\plain \ltrpar\s25\ql \li0\ri0\sb240\keepn\nowidctlpar\wrapdefault\aspalpha\aspnum\faauto\adjustright\rin0\lin0\itap0\pararsid6846241 \rtlch\fcs1 \af0\afs20\alang1025 \ltrch\fcs0 \b\fs24\lang2057\langfe2057\cgrid\langnp2057\langfenp2057 {&#13;_x000a_\rtlch\fcs1 \af0 \ltrch\fcs0 \cs17\b0\v\f1\fs20\cf9\insrsid3352245\charrsid11800820 &lt;DocAmend&gt;}{\rtlch\fcs1 \af0 \ltrch\fcs0 \insrsid3352245\charrsid11800820 [ZPROPOSAL][ZAMACT]}{\rtlch\fcs1 \af0 \ltrch\fcs0 &#13;_x000a_\cs17\b0\v\f1\fs20\cf9\insrsid3352245\charrsid11800820 &lt;/DocAmend&gt;}{\rtlch\fcs1 \af0 \ltrch\fcs0 \insrsid3352245\charrsid11800820 &#13;_x000a_\par }\pard\plain \ltrpar\s19\ql \li0\ri0\keepn\nowidctlpar\wrapdefault\aspalpha\aspnum\faauto\adjustright\rin0\lin0\itap0\pararsid6846241 \rtlch\fcs1 \af0\afs20\alang1025 \ltrch\fcs0 \b\fs24\lang2057\langfe2057\cgrid\langnp2057\langfenp2057 {\rtlch\fcs1 \af0 &#13;_x000a_\ltrch\fcs0 \cs17\b0\v\f1\fs20\cf9\insrsid3352245\charrsid11800820 &lt;Article&gt;}{\rtlch\fcs1 \af0 \ltrch\fcs0 \insrsid3352245\charrsid11800820 [ZAMPART]}{\rtlch\fcs1 \af0 \ltrch\fcs0 \cs17\b0\v\f1\fs20\cf9\insrsid3352245\charrsid11800820 &lt;/Article&gt;}{&#13;_x000a_\rtlch\fcs1 \af0 \ltrch\fcs0 \insrsid3352245\charrsid11800820 &#13;_x000a_\par }\pard\plain \ltrpar\ql \li0\ri0\keepn\widctlpar\wrapdefault\aspalpha\aspnum\faauto\adjustright\rin0\lin0\itap0\pararsid6846241 \rtlch\fcs1 \af0\afs20\alang1025 \ltrch\fcs0 \fs24\lang2057\langfe2057\cgrid\langnp2057\langfenp2057 {\rtlch\fcs1 \af0 &#13;_x000a_\ltrch\fcs0 \cs17\v\f1\fs20\cf9\lang1043\langfe2057\langnp1043\insrsid3352245\charrsid5912429 &lt;DocAmend2&gt;&lt;OptDel&gt;}{\rtlch\fcs1 \af0 \ltrch\fcs0 \lang1043\langfe2057\langnp1043\insrsid3352245\charrsid5912429 [ZNRACT]}{\rtlch\fcs1 \af0 \ltrch\fcs0 &#13;_x000a_\cs17\v\f1\fs20\cf9\lang1043\langfe2057\langnp1043\insrsid3352245\charrsid5912429 &lt;/OptDel&gt;&lt;/DocAmend2&gt;}{\rtlch\fcs1 \af0 \ltrch\fcs0 \lang1043\langfe2057\langnp1043\insrsid3352245\charrsid5912429 &#13;_x000a_\par }\pard \ltrpar\ql \li0\ri0\widctlpar\wrapdefault\aspalpha\aspnum\faauto\adjustright\rin0\lin0\itap0\pararsid6846241 {\rtlch\fcs1 \af0 \ltrch\fcs0 \cs17\v\f1\fs20\cf9\lang1036\langfe2057\langnp1036\insrsid3352245\charrsid5912429 &lt;Article2&gt;&lt;OptDel&gt;}{&#13;_x000a_\rtlch\fcs1 \af0 \ltrch\fcs0 \lang1036\langfe2057\langnp1036\insrsid3352245\charrsid5912429 [ZACTPART]}{\rtlch\fcs1 \af0 \ltrch\fcs0 \cs17\v\f1\fs20\cf9\lang1036\langfe2057\langnp1036\insrsid3352245\charrsid5912429 &lt;/OptDel&gt;&lt;/Article2&gt;}{\rtlch\fcs1 \af0 &#13;_x000a_\ltrch\fcs0 \lang1036\langfe2057\langnp1036\insrsid3352245\charrsid5912429 &#13;_x000a_\par \ltrrow}\trowd \ltrrow\ts11\trqc\trgaph340\trleft-340\trftsWidth3\trwWidth9752\trftsWidthB3\trpaddl340\trpaddr340\trpaddfl3\trpaddft3\trpaddfb3\trpaddfr3\tblrsid9850369\tblind0\tblindtype3 \clvertalt\clbrdrt\brdrtbl \clbrdrl\brdrtbl \clbrdrb\brdrtbl &#13;_x000a_\clbrdrr\brdrtbl \cltxlrtb\clftsWidth3\clwWidth9752 \cellx9412\pard \ltrpar\ql \li0\ri0\keepn\widctlpar\intbl\wrapdefault\aspalpha\aspnum\faauto\adjustright\rin0\lin0\pararsid5719 {\rtlch\fcs1 \af0 \ltrch\fcs0 &#13;_x000a_\lang1036\langfe2057\langnp1036\insrsid3352245\charrsid5912429 \cell }\pard \ltrpar\ql \li0\ri0\widctlpar\intbl\wrapdefault\aspalpha\aspnum\faauto\adjustright\rin0\lin0 {\rtlch\fcs1 \af0 \ltrch\fcs0 \insrsid3352245\charrsid9904485 \trowd \ltrrow&#13;_x000a_\ts11\trqc\trgaph340\trleft-340\trftsWidth3\trwWidth9752\trftsWidthB3\trpaddl340\trpaddr340\trpaddfl3\trpaddft3\trpaddfb3\trpaddfr3\tblrsid9850369\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9850369\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5719 \rtlch\fcs1 \af0\afs20\alang1025 \ltrch\fcs0 \i\fs24\lang2057\langfe2057\cgrid\langnp2057\langfenp2057 {\rtlch\fcs1 \af0 \ltrch\fcs0 &#13;_x000a_\insrsid3352245\charrsid11800820 [ZLEFT]\cell [ZRIGHT]\cell }\pard\plain \ltrpar\ql \li0\ri0\widctlpar\intbl\wrapdefault\aspalpha\aspnum\faauto\adjustright\rin0\lin0 \rtlch\fcs1 \af0\afs20\alang1025 \ltrch\fcs0 &#13;_x000a_\fs24\lang2057\langfe2057\cgrid\langnp2057\langfenp2057 {\rtlch\fcs1 \af0 \ltrch\fcs0 \insrsid3352245\charrsid11800820 \trowd \ltrrow&#13;_x000a_\ts11\trqc\trgaph340\trleft-340\trftsWidth3\trwWidth9752\trftsWidthB3\trpaddl340\trpaddr340\trpaddfl3\trpaddft3\trpaddfb3\trpaddfr3\tblrsid9850369\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9850369 \rtlch\fcs1 \af0\afs20\alang1025 \ltrch\fcs0 \fs24\lang2057\langfe2057\cgrid\langnp2057\langfenp2057 {\rtlch\fcs1 \af0 \ltrch\fcs0 &#13;_x000a_\insrsid3352245\charrsid11800820 [ZTEXTL]\cell [ZTEXTR]}{\rtlch\fcs1 \af0\afs24 \ltrch\fcs0 \insrsid3352245\charrsid11800820 \cell }\pard\plain \ltrpar\ql \li0\ri0\widctlpar\intbl\wrapdefault\aspalpha\aspnum\faauto\adjustright\rin0\lin0 \rtlch\fcs1 &#13;_x000a_\af0\afs20\alang1025 \ltrch\fcs0 \fs24\lang2057\langfe2057\cgrid\langnp2057\langfenp2057 {\rtlch\fcs1 \af0 \ltrch\fcs0 \insrsid3352245\charrsid11800820 \trowd \lastrow \ltrrow&#13;_x000a_\ts11\trqc\trgaph340\trleft-340\trftsWidth3\trwWidth9752\trftsWidthB3\trpaddl340\trpaddr340\trpaddfl3\trpaddft3\trpaddfb3\trpaddfr3\tblrsid9850369\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6846241 \rtlch\fcs1 \af0\afs20\alang1025 \ltrch\fcs0 \i\fs24\lang2057\langfe2057\cgrid\langnp2057\langfenp2057 {\rtlch\fcs1 \af0 \ltrch\fcs0 &#13;_x000a_\cs17\i0\v\f1\fs20\cf9\insrsid3352245\charrsid11800820 &lt;OptDel&gt;}{\rtlch\fcs1 \af0 \ltrch\fcs0 \insrsid3352245\charrsid11800820 [ZCROSSREF]}{\rtlch\fcs1 \af0 \ltrch\fcs0 \cs17\i0\v\f1\fs20\cf9\insrsid3352245\charrsid11800820 &lt;/OptDel&gt;}{\rtlch\fcs1 \af0 &#13;_x000a_\ltrch\fcs0 \insrsid3352245\charrsid11800820 &#13;_x000a_\par }\pard\plain \ltrpar\s22\qc \li0\ri0\sb240\sa240\keepn\nowidctlpar\wrapdefault\aspalpha\aspnum\faauto\adjustright\rin0\lin0\itap0\pararsid6846241 \rtlch\fcs1 \af0\afs20\alang1025 \ltrch\fcs0 \i\fs24\lang2057\langfe2057\cgrid\langnp2057\langfenp2057 {&#13;_x000a_\rtlch\fcs1 \af0 \ltrch\fcs0 \cs17\i0\v\f1\fs20\cf9\insrsid3352245\charrsid11800820 &lt;TitreJust&gt;}{\rtlch\fcs1 \af0 \ltrch\fcs0 \insrsid3352245\charrsid11800820 [ZJUSTIFICATION]}{\rtlch\fcs1 \af0 \ltrch\fcs0 &#13;_x000a_\cs17\i0\v\f1\fs20\cf9\insrsid3352245\charrsid11800820 &lt;/TitreJust&gt;}{\rtlch\fcs1 \af0 \ltrch\fcs0 \insrsid3352245\charrsid11800820 &#13;_x000a_\par }\pard\plain \ltrpar\s20\ql \li0\ri0\sa240\nowidctlpar\wrapdefault\aspalpha\aspnum\faauto\adjustright\rin0\lin0\itap0\pararsid6846241 \rtlch\fcs1 \af0\afs20\alang1025 \ltrch\fcs0 \i\fs24\lang2057\langfe2057\cgrid\langnp2057\langfenp2057 {\rtlch\fcs1 \af0 &#13;_x000a_\ltrch\fcs0 \cs17\i0\v\f1\fs20\cf9\insrsid3352245\charrsid11800820 &lt;OptDelPrev&gt;}{\rtlch\fcs1 \af0 \ltrch\fcs0 \insrsid3352245\charrsid11800820 [ZTEXTJUST]}{\rtlch\fcs1 \af0 \ltrch\fcs0 \cs17\i0\v\f1\fs20\cf9\insrsid3352245\charrsid11800820 &lt;/OptDelPrev&gt;}{&#13;_x000a_\rtlch\fcs1 \af0 \ltrch\fcs0 \insrsid3352245\charrsid11800820 &#13;_x000a_\par }\pard\plain \ltrpar\ql \li0\ri0\widctlpar\wrapdefault\aspalpha\aspnum\faauto\adjustright\rin0\lin0\itap0\pararsid6846241 \rtlch\fcs1 \af0\afs20\alang1025 \ltrch\fcs0 \fs24\lang2057\langfe2057\cgrid\langnp2057\langfenp2057 {\rtlch\fcs1 \af0 \ltrch\fcs0 &#13;_x000a_\cs17\v\f1\fs20\cf9\insrsid3352245\charrsid11800820 &lt;/Amend&gt;}{\rtlch\fcs1 \af0 \ltrch\fcs0 \insrsid3352245\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b0&#13;_x000a_d2faf0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NS_LegAct_am"/>
    <w:docVar w:name="strSubDir" w:val="1351"/>
    <w:docVar w:name="TITLEMNU" w:val=" 1"/>
    <w:docVar w:name="TVTAMPART" w:val="xx"/>
    <w:docVar w:name="TXTAUTHOR" w:val="Lena Düpont"/>
    <w:docVar w:name="TXTLANGUE" w:val="FR"/>
    <w:docVar w:name="TXTLANGUEMIN" w:val="fr"/>
    <w:docVar w:name="TXTNRC" w:val="0027/2026"/>
    <w:docVar w:name="TXTNRCNS" w:val="2023/0441"/>
    <w:docVar w:name="TXTNRCOM" w:val="(2023)0930"/>
    <w:docVar w:name="TXTNRFIRSTAM" w:val="1"/>
    <w:docVar w:name="TXTNRLASTAM" w:val="1"/>
    <w:docVar w:name="TXTNRPE" w:val="789.005"/>
    <w:docVar w:name="TXTPEorAP" w:val="PE"/>
    <w:docVar w:name="TXTROUTE" w:val="RR\1351641FR.docx"/>
    <w:docVar w:name="TXTTITLE" w:val=" amending Directive (EU) 2015/637 on the coordination and cooperation measures to facilitate consular protection for unrepresented citizens of the Union in third countries and Directive (EU) 2019/997 establishing an EU Emergency Travel Document"/>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9D5766F-EA3D-48C9-B2E9-8ADDE110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link w:val="AmNumberTabsChar"/>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color w:val="010000"/>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4D7DA0"/>
    <w:pPr>
      <w:tabs>
        <w:tab w:val="right" w:pos="454"/>
        <w:tab w:val="left" w:pos="737"/>
      </w:tabs>
      <w:ind w:left="737" w:hanging="737"/>
    </w:pPr>
    <w:rPr>
      <w:snapToGrid w:val="0"/>
      <w:sz w:val="18"/>
      <w:lang w:eastAsia="en-US"/>
    </w:rPr>
  </w:style>
  <w:style w:type="paragraph" w:customStyle="1" w:styleId="Lgendetitre">
    <w:name w:val="Légende titre"/>
    <w:basedOn w:val="Normal"/>
    <w:rsid w:val="004D7DA0"/>
    <w:pPr>
      <w:spacing w:before="240" w:after="240"/>
    </w:pPr>
    <w:rPr>
      <w:b/>
      <w:i/>
      <w:snapToGrid w:val="0"/>
      <w:lang w:eastAsia="en-US"/>
    </w:rPr>
  </w:style>
  <w:style w:type="paragraph" w:customStyle="1" w:styleId="Lgendestandard">
    <w:name w:val="Légende standard"/>
    <w:basedOn w:val="Normal"/>
    <w:rsid w:val="004D7DA0"/>
    <w:rPr>
      <w:sz w:val="18"/>
    </w:rPr>
  </w:style>
  <w:style w:type="character" w:customStyle="1" w:styleId="Normal6Char">
    <w:name w:val="Normal6 Char"/>
    <w:basedOn w:val="DefaultParagraphFont"/>
    <w:link w:val="Normal6"/>
    <w:locked/>
    <w:rsid w:val="008F6E1E"/>
    <w:rPr>
      <w:sz w:val="24"/>
      <w:lang w:val="fr-FR"/>
    </w:rPr>
  </w:style>
  <w:style w:type="paragraph" w:customStyle="1" w:styleId="Normal6">
    <w:name w:val="Normal6"/>
    <w:basedOn w:val="Normal"/>
    <w:link w:val="Normal6Char"/>
    <w:rsid w:val="008F6E1E"/>
    <w:pPr>
      <w:spacing w:after="120"/>
    </w:pPr>
  </w:style>
  <w:style w:type="character" w:customStyle="1" w:styleId="NormalBoldChar">
    <w:name w:val="NormalBold Char"/>
    <w:basedOn w:val="DefaultParagraphFont"/>
    <w:link w:val="NormalBold"/>
    <w:locked/>
    <w:rsid w:val="008F6E1E"/>
    <w:rPr>
      <w:b/>
      <w:sz w:val="24"/>
    </w:rPr>
  </w:style>
  <w:style w:type="paragraph" w:customStyle="1" w:styleId="Normal12Italic">
    <w:name w:val="Normal12Italic"/>
    <w:basedOn w:val="Normal"/>
    <w:rsid w:val="008F6E1E"/>
    <w:pPr>
      <w:spacing w:after="240"/>
    </w:pPr>
    <w:rPr>
      <w:i/>
      <w:noProof/>
    </w:rPr>
  </w:style>
  <w:style w:type="paragraph" w:customStyle="1" w:styleId="JustificationTitle">
    <w:name w:val="JustificationTitle"/>
    <w:basedOn w:val="Normal"/>
    <w:next w:val="Normal"/>
    <w:rsid w:val="008F6E1E"/>
    <w:pPr>
      <w:keepNext/>
      <w:spacing w:before="240" w:after="240"/>
      <w:jc w:val="center"/>
    </w:pPr>
    <w:rPr>
      <w:i/>
      <w:noProof/>
    </w:rPr>
  </w:style>
  <w:style w:type="paragraph" w:customStyle="1" w:styleId="ColumnHeading">
    <w:name w:val="ColumnHeading"/>
    <w:basedOn w:val="Normal"/>
    <w:rsid w:val="008F6E1E"/>
    <w:pPr>
      <w:spacing w:after="240"/>
      <w:jc w:val="center"/>
    </w:pPr>
    <w:rPr>
      <w:i/>
    </w:rPr>
  </w:style>
  <w:style w:type="paragraph" w:customStyle="1" w:styleId="AMNumberTabs0">
    <w:name w:val="AMNumberTabs"/>
    <w:basedOn w:val="Normal"/>
    <w:rsid w:val="008F6E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F6E1E"/>
    <w:pPr>
      <w:jc w:val="right"/>
    </w:pPr>
  </w:style>
  <w:style w:type="character" w:customStyle="1" w:styleId="PageHeadingNotTOCChar">
    <w:name w:val="PageHeadingNotTOC Char"/>
    <w:basedOn w:val="DefaultParagraphFont"/>
    <w:link w:val="PageHeadingNotTOC"/>
    <w:locked/>
    <w:rsid w:val="007D3337"/>
    <w:rPr>
      <w:rFonts w:ascii="Arial" w:hAnsi="Arial" w:cs="Arial"/>
      <w:b/>
      <w:sz w:val="24"/>
    </w:rPr>
  </w:style>
  <w:style w:type="paragraph" w:styleId="Revision">
    <w:name w:val="Revision"/>
    <w:hidden/>
    <w:uiPriority w:val="99"/>
    <w:semiHidden/>
    <w:rsid w:val="007B580B"/>
    <w:rPr>
      <w:sz w:val="24"/>
    </w:rPr>
  </w:style>
  <w:style w:type="character" w:styleId="CommentReference">
    <w:name w:val="annotation reference"/>
    <w:basedOn w:val="DefaultParagraphFont"/>
    <w:rsid w:val="003E5E59"/>
    <w:rPr>
      <w:sz w:val="16"/>
      <w:szCs w:val="16"/>
    </w:rPr>
  </w:style>
  <w:style w:type="paragraph" w:styleId="CommentText">
    <w:name w:val="annotation text"/>
    <w:basedOn w:val="Normal"/>
    <w:link w:val="CommentTextChar"/>
    <w:rsid w:val="003E5E59"/>
    <w:rPr>
      <w:sz w:val="20"/>
    </w:rPr>
  </w:style>
  <w:style w:type="character" w:customStyle="1" w:styleId="CommentTextChar">
    <w:name w:val="Comment Text Char"/>
    <w:basedOn w:val="DefaultParagraphFont"/>
    <w:link w:val="CommentText"/>
    <w:rsid w:val="003E5E59"/>
  </w:style>
  <w:style w:type="paragraph" w:styleId="CommentSubject">
    <w:name w:val="annotation subject"/>
    <w:basedOn w:val="CommentText"/>
    <w:next w:val="CommentText"/>
    <w:link w:val="CommentSubjectChar"/>
    <w:semiHidden/>
    <w:unhideWhenUsed/>
    <w:rsid w:val="003E5E59"/>
    <w:rPr>
      <w:b/>
      <w:bCs/>
    </w:rPr>
  </w:style>
  <w:style w:type="character" w:customStyle="1" w:styleId="CommentSubjectChar">
    <w:name w:val="Comment Subject Char"/>
    <w:basedOn w:val="CommentTextChar"/>
    <w:link w:val="CommentSubject"/>
    <w:semiHidden/>
    <w:rsid w:val="003E5E59"/>
    <w:rPr>
      <w:b/>
      <w:bCs/>
    </w:rPr>
  </w:style>
  <w:style w:type="paragraph" w:styleId="FootnoteText">
    <w:name w:val="footnote text"/>
    <w:basedOn w:val="Normal"/>
    <w:link w:val="FootnoteTextChar"/>
    <w:rsid w:val="00FE09B9"/>
    <w:rPr>
      <w:sz w:val="20"/>
    </w:rPr>
  </w:style>
  <w:style w:type="character" w:customStyle="1" w:styleId="FootnoteTextChar">
    <w:name w:val="Footnote Text Char"/>
    <w:basedOn w:val="DefaultParagraphFont"/>
    <w:link w:val="FootnoteText"/>
    <w:rsid w:val="00FE09B9"/>
  </w:style>
  <w:style w:type="character" w:styleId="FootnoteReference">
    <w:name w:val="footnote reference"/>
    <w:basedOn w:val="DefaultParagraphFont"/>
    <w:rsid w:val="00FE09B9"/>
    <w:rPr>
      <w:vertAlign w:val="superscript"/>
    </w:rPr>
  </w:style>
  <w:style w:type="character" w:styleId="Hyperlink">
    <w:name w:val="Hyperlink"/>
    <w:basedOn w:val="DefaultParagraphFont"/>
    <w:rsid w:val="00FE09B9"/>
    <w:rPr>
      <w:color w:val="0563C1" w:themeColor="hyperlink"/>
      <w:u w:val="single"/>
    </w:rPr>
  </w:style>
  <w:style w:type="character" w:customStyle="1" w:styleId="UnresolvedMention">
    <w:name w:val="Unresolved Mention"/>
    <w:basedOn w:val="DefaultParagraphFont"/>
    <w:uiPriority w:val="99"/>
    <w:semiHidden/>
    <w:unhideWhenUsed/>
    <w:rsid w:val="00FE09B9"/>
    <w:rPr>
      <w:color w:val="605E5C"/>
      <w:shd w:val="clear" w:color="auto" w:fill="E1DFDD"/>
    </w:rPr>
  </w:style>
  <w:style w:type="paragraph" w:customStyle="1" w:styleId="Normal12a">
    <w:name w:val="Normal12a"/>
    <w:basedOn w:val="Normal"/>
    <w:rsid w:val="00833129"/>
    <w:pPr>
      <w:spacing w:after="240"/>
    </w:pPr>
  </w:style>
  <w:style w:type="paragraph" w:customStyle="1" w:styleId="PageHeadingNotTOC">
    <w:name w:val="PageHeadingNotTOC"/>
    <w:basedOn w:val="Normal"/>
    <w:link w:val="PageHeadingNotTOCChar"/>
    <w:rsid w:val="00833129"/>
    <w:pPr>
      <w:keepNext/>
      <w:spacing w:after="480"/>
      <w:jc w:val="center"/>
    </w:pPr>
    <w:rPr>
      <w:rFonts w:ascii="Arial" w:hAnsi="Arial" w:cs="Arial"/>
      <w:b/>
    </w:rPr>
  </w:style>
  <w:style w:type="paragraph" w:customStyle="1" w:styleId="AmHeadingPA">
    <w:name w:val="AmHeadingPA"/>
    <w:basedOn w:val="Normal"/>
    <w:next w:val="Normal"/>
    <w:rsid w:val="0083312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3312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33129"/>
    <w:pPr>
      <w:tabs>
        <w:tab w:val="center" w:pos="284"/>
        <w:tab w:val="left" w:pos="426"/>
      </w:tabs>
    </w:pPr>
    <w:rPr>
      <w:snapToGrid w:val="0"/>
      <w:lang w:eastAsia="en-US"/>
    </w:rPr>
  </w:style>
  <w:style w:type="paragraph" w:customStyle="1" w:styleId="RollCallVotes">
    <w:name w:val="RollCallVotes"/>
    <w:basedOn w:val="Normal"/>
    <w:rsid w:val="00833129"/>
    <w:pPr>
      <w:spacing w:before="120" w:after="120"/>
      <w:jc w:val="center"/>
    </w:pPr>
    <w:rPr>
      <w:b/>
      <w:bCs/>
      <w:snapToGrid w:val="0"/>
      <w:sz w:val="16"/>
      <w:lang w:eastAsia="en-US"/>
    </w:rPr>
  </w:style>
  <w:style w:type="paragraph" w:customStyle="1" w:styleId="RollCallTable">
    <w:name w:val="RollCallTable"/>
    <w:basedOn w:val="Normal"/>
    <w:rsid w:val="00833129"/>
    <w:pPr>
      <w:spacing w:before="120" w:after="120"/>
    </w:pPr>
    <w:rPr>
      <w:snapToGrid w:val="0"/>
      <w:sz w:val="16"/>
      <w:lang w:eastAsia="en-US"/>
    </w:rPr>
  </w:style>
  <w:style w:type="paragraph" w:customStyle="1" w:styleId="Normal24a">
    <w:name w:val="Normal24a"/>
    <w:basedOn w:val="Normal"/>
    <w:rsid w:val="00833129"/>
    <w:pPr>
      <w:spacing w:after="480"/>
    </w:pPr>
    <w:rPr>
      <w:szCs w:val="24"/>
    </w:rPr>
  </w:style>
  <w:style w:type="paragraph" w:customStyle="1" w:styleId="NormalBoldCenter">
    <w:name w:val="NormalBoldCenter"/>
    <w:basedOn w:val="Normal"/>
    <w:rsid w:val="00833129"/>
    <w:pPr>
      <w:jc w:val="center"/>
    </w:pPr>
    <w:rPr>
      <w:b/>
      <w:szCs w:val="24"/>
    </w:rPr>
  </w:style>
  <w:style w:type="paragraph" w:customStyle="1" w:styleId="Footprint12b">
    <w:name w:val="Footprint12b"/>
    <w:basedOn w:val="Normal"/>
    <w:rsid w:val="00833129"/>
    <w:pPr>
      <w:spacing w:before="240"/>
    </w:pPr>
    <w:rPr>
      <w:szCs w:val="24"/>
    </w:rPr>
  </w:style>
  <w:style w:type="paragraph" w:customStyle="1" w:styleId="NormalSingle">
    <w:name w:val="NormalSingle"/>
    <w:basedOn w:val="Normal"/>
    <w:qFormat/>
    <w:rsid w:val="00833129"/>
    <w:rPr>
      <w:szCs w:val="24"/>
    </w:rPr>
  </w:style>
  <w:style w:type="character" w:customStyle="1" w:styleId="AmNumberTabsChar">
    <w:name w:val="AmNumberTabs Char"/>
    <w:basedOn w:val="DefaultParagraphFont"/>
    <w:link w:val="AmNumberTabs"/>
    <w:locked/>
    <w:rsid w:val="00833129"/>
    <w:rPr>
      <w:b/>
      <w:sz w:val="24"/>
    </w:rPr>
  </w:style>
  <w:style w:type="paragraph" w:styleId="Footer">
    <w:name w:val="footer"/>
    <w:basedOn w:val="Normal"/>
    <w:link w:val="FooterChar"/>
    <w:semiHidden/>
    <w:rsid w:val="00BD2DF0"/>
    <w:pPr>
      <w:tabs>
        <w:tab w:val="center" w:pos="4513"/>
        <w:tab w:val="right" w:pos="9026"/>
      </w:tabs>
    </w:pPr>
  </w:style>
  <w:style w:type="character" w:customStyle="1" w:styleId="FooterChar">
    <w:name w:val="Footer Char"/>
    <w:basedOn w:val="DefaultParagraphFont"/>
    <w:link w:val="Footer"/>
    <w:semiHidden/>
    <w:rsid w:val="00BD2DF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yperlink" Target="https://www.europarl.europa.eu/data-protect/index.do" TargetMode="Externa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settings" Target="settings.xml" /><Relationship Id="rId20" Type="http://schemas.openxmlformats.org/officeDocument/2006/relationships/header" Target="header9.xml" /><Relationship Id="rId21" Type="http://schemas.openxmlformats.org/officeDocument/2006/relationships/footer" Target="footer5.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header" Target="header12.xml" /><Relationship Id="rId25" Type="http://schemas.openxmlformats.org/officeDocument/2006/relationships/footer" Target="footer6.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header" Target="header15.xml" /><Relationship Id="rId29" Type="http://schemas.openxmlformats.org/officeDocument/2006/relationships/footer" Target="footer7.xml" /><Relationship Id="rId3" Type="http://schemas.openxmlformats.org/officeDocument/2006/relationships/webSettings" Target="webSettings.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5/3762/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40FB7-2C52-4BA5-9CC8-36CFD71E0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14351</Words>
  <Characters>82237</Characters>
  <Application>Microsoft Office Word</Application>
  <DocSecurity>0</DocSecurity>
  <Lines>3045</Lines>
  <Paragraphs>1006</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95582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European Parliament</dc:creator>
  <cp:lastModifiedBy>European Parliament</cp:lastModifiedBy>
  <cp:revision>2</cp:revision>
  <cp:lastPrinted>2005-10-13T14:57:00Z</cp:lastPrinted>
  <dcterms:created xsi:type="dcterms:W3CDTF">2026-10-05T08:23:00Z</dcterms:created>
  <dcterms:modified xsi:type="dcterms:W3CDTF">2026-10-05T08:23:00Z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1351641</vt:lpwstr>
  </property>
  <property fmtid="{D5CDD505-2E9C-101B-9397-08002B2CF9AE}" pid="4" name="&lt;Model&gt;">
    <vt:lpwstr>PR_CNS_LegAct_am</vt:lpwstr>
  </property>
  <property fmtid="{D5CDD505-2E9C-101B-9397-08002B2CF9AE}" pid="5" name="&lt;ModelCod&gt;">
    <vt:lpwstr>\\eiciBRUpr1\pdocep$\DocEP\DOCS\General\PR\PR_Leg\CNS\CNS_LegAct\PR_CNS_LegAct_am.dotx(24/09/2024 09:47:00)</vt:lpwstr>
  </property>
  <property fmtid="{D5CDD505-2E9C-101B-9397-08002B2CF9AE}" pid="6" name="&lt;ModelTra&gt;">
    <vt:lpwstr>\\eiciBRUpr1\pdocep$\DocEP\TRANSFIL\EN\PR_CNS_LegAct_am.EN(30/09/2024 10:52:01)</vt:lpwstr>
  </property>
  <property fmtid="{D5CDD505-2E9C-101B-9397-08002B2CF9AE}" pid="7" name="&lt;Type&gt;">
    <vt:lpwstr>RR</vt:lpwstr>
  </property>
  <property fmtid="{D5CDD505-2E9C-101B-9397-08002B2CF9AE}" pid="8" name="Bookout">
    <vt:lpwstr>OK - 2026/10/05 10:23</vt:lpwstr>
  </property>
  <property fmtid="{D5CDD505-2E9C-101B-9397-08002B2CF9AE}" pid="9" name="Created with">
    <vt:lpwstr>10.3.0 Build [20260401]</vt:lpwstr>
  </property>
  <property fmtid="{D5CDD505-2E9C-101B-9397-08002B2CF9AE}" pid="10" name="FooterPath">
    <vt:lpwstr>RR\1351641FR.docx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789.005</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