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FDC641C" w14:textId="77777777" w:rsidTr="00536F69">
        <w:tblPrEx>
          <w:tblW w:w="9072" w:type="dxa"/>
          <w:tblCellMar>
            <w:left w:w="0" w:type="dxa"/>
            <w:right w:w="0" w:type="dxa"/>
          </w:tblCellMar>
          <w:tblLook w:val="01E0"/>
        </w:tblPrEx>
        <w:trPr>
          <w:trHeight w:hRule="exact" w:val="1418"/>
          <w:tblHeader/>
        </w:trPr>
        <w:tc>
          <w:tcPr>
            <w:tcW w:w="6804" w:type="dxa"/>
            <w:vAlign w:val="center"/>
          </w:tcPr>
          <w:p w:rsidR="003E37E3" w:rsidRPr="006D43F4" w:rsidP="00C85D0F" w14:paraId="78D41925" w14:textId="77777777">
            <w:pPr>
              <w:pStyle w:val="EPName"/>
            </w:pPr>
            <w:r w:rsidRPr="006D43F4">
              <w:t>European Parliament</w:t>
            </w:r>
          </w:p>
          <w:p w:rsidR="003E37E3" w:rsidRPr="006D43F4" w:rsidP="00C85D0F" w14:paraId="7BD58777" w14:textId="3F016373">
            <w:pPr>
              <w:pStyle w:val="EPTerm"/>
            </w:pPr>
            <w:r w:rsidRPr="006D43F4">
              <w:t>2024-2029</w:t>
            </w:r>
          </w:p>
        </w:tc>
        <w:tc>
          <w:tcPr>
            <w:tcW w:w="2268" w:type="dxa"/>
          </w:tcPr>
          <w:p w:rsidR="003E37E3" w:rsidRPr="006D43F4" w:rsidP="00C85D0F" w14:paraId="49BAD724" w14:textId="77777777">
            <w:pPr>
              <w:pStyle w:val="EPLogo"/>
            </w:pPr>
            <w:r w:rsidRPr="006D43F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4198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40DB0" w:rsidRPr="006D43F4" w:rsidP="00540DB0" w14:paraId="64F94C74" w14:textId="77777777">
      <w:pPr>
        <w:pStyle w:val="LineTop"/>
      </w:pPr>
    </w:p>
    <w:p w:rsidR="00540DB0" w:rsidRPr="006D43F4" w:rsidP="00540DB0" w14:paraId="4AF6E684" w14:textId="5769F0FC">
      <w:pPr>
        <w:pStyle w:val="EPBody"/>
      </w:pPr>
      <w:r w:rsidRPr="006D43F4">
        <w:t>Plenary sitting</w:t>
      </w:r>
    </w:p>
    <w:p w:rsidR="00540DB0" w:rsidRPr="006D43F4" w:rsidP="00540DB0" w14:paraId="7CF630C3" w14:textId="77777777">
      <w:pPr>
        <w:pStyle w:val="LineBottom"/>
      </w:pPr>
    </w:p>
    <w:p w:rsidR="00C1531C" w:rsidRPr="006D43F4" w14:paraId="0BB9AEBD" w14:textId="4582EB08">
      <w:pPr>
        <w:pStyle w:val="CoverReference"/>
      </w:pPr>
      <w:r w:rsidRPr="006D43F4">
        <w:rPr>
          <w:rStyle w:val="HideTWBExt"/>
        </w:rPr>
        <w:t>&lt;NoDocSe&gt;</w:t>
      </w:r>
      <w:r w:rsidR="00823280">
        <w:t>A10-0258/2026</w:t>
      </w:r>
      <w:r w:rsidRPr="006D43F4">
        <w:rPr>
          <w:rStyle w:val="HideTWBExt"/>
        </w:rPr>
        <w:t>&lt;/</w:t>
      </w:r>
      <w:r w:rsidRPr="006D43F4">
        <w:rPr>
          <w:rStyle w:val="HideTWBExt"/>
        </w:rPr>
        <w:t>NoDocSe</w:t>
      </w:r>
      <w:r w:rsidRPr="006D43F4">
        <w:rPr>
          <w:rStyle w:val="HideTWBExt"/>
        </w:rPr>
        <w:t>&gt;</w:t>
      </w:r>
    </w:p>
    <w:p w:rsidR="00C1531C" w:rsidRPr="00165251" w14:paraId="6D7152E9" w14:textId="31ECA2DF">
      <w:pPr>
        <w:pStyle w:val="CoverDate"/>
        <w:rPr>
          <w:lang w:val="fr-BE"/>
        </w:rPr>
      </w:pPr>
      <w:r w:rsidRPr="00165251">
        <w:rPr>
          <w:rStyle w:val="HideTWBExt"/>
          <w:noProof w:val="0"/>
          <w:lang w:val="fr-BE"/>
        </w:rPr>
        <w:t>&lt;Date&gt;</w:t>
      </w:r>
      <w:r w:rsidRPr="00165251" w:rsidR="00FB1DDE">
        <w:rPr>
          <w:rStyle w:val="HideTWBInt"/>
          <w:lang w:val="fr-BE"/>
        </w:rPr>
        <w:t>{06/10/2026}</w:t>
      </w:r>
      <w:r w:rsidRPr="00165251" w:rsidR="00FB1DDE">
        <w:rPr>
          <w:lang w:val="fr-BE"/>
        </w:rPr>
        <w:t>6.10.2026</w:t>
      </w:r>
      <w:r w:rsidRPr="00165251">
        <w:rPr>
          <w:rStyle w:val="HideTWBExt"/>
          <w:noProof w:val="0"/>
          <w:lang w:val="fr-BE"/>
        </w:rPr>
        <w:t>&lt;/Date&gt;</w:t>
      </w:r>
    </w:p>
    <w:p w:rsidR="00C1531C" w:rsidRPr="00165251" w14:paraId="2F86B513" w14:textId="167826F4">
      <w:pPr>
        <w:pStyle w:val="CoverDocType24a"/>
        <w:rPr>
          <w:lang w:val="fr-BE"/>
        </w:rPr>
      </w:pPr>
      <w:r w:rsidRPr="00165251">
        <w:rPr>
          <w:rStyle w:val="HideTWBExt"/>
          <w:b w:val="0"/>
          <w:noProof w:val="0"/>
          <w:lang w:val="fr-BE"/>
        </w:rPr>
        <w:t>&lt;</w:t>
      </w:r>
      <w:r w:rsidRPr="00165251">
        <w:rPr>
          <w:rStyle w:val="HideTWBExt"/>
          <w:b w:val="0"/>
          <w:noProof w:val="0"/>
          <w:lang w:val="fr-BE"/>
        </w:rPr>
        <w:t>TitreType</w:t>
      </w:r>
      <w:r w:rsidRPr="00165251">
        <w:rPr>
          <w:rStyle w:val="HideTWBExt"/>
          <w:b w:val="0"/>
          <w:noProof w:val="0"/>
          <w:lang w:val="fr-BE"/>
        </w:rPr>
        <w:t>&gt;</w:t>
      </w:r>
      <w:r w:rsidRPr="00165251" w:rsidR="00487FD0">
        <w:rPr>
          <w:lang w:val="fr-BE"/>
        </w:rPr>
        <w:t>SECOND REPORT</w:t>
      </w:r>
      <w:r w:rsidRPr="00165251">
        <w:rPr>
          <w:rStyle w:val="HideTWBExt"/>
          <w:b w:val="0"/>
          <w:noProof w:val="0"/>
          <w:lang w:val="fr-BE"/>
        </w:rPr>
        <w:t>&lt;/</w:t>
      </w:r>
      <w:r w:rsidRPr="00165251">
        <w:rPr>
          <w:rStyle w:val="HideTWBExt"/>
          <w:b w:val="0"/>
          <w:noProof w:val="0"/>
          <w:lang w:val="fr-BE"/>
        </w:rPr>
        <w:t>TitreType</w:t>
      </w:r>
      <w:r w:rsidRPr="00165251">
        <w:rPr>
          <w:rStyle w:val="HideTWBExt"/>
          <w:b w:val="0"/>
          <w:noProof w:val="0"/>
          <w:lang w:val="fr-BE"/>
        </w:rPr>
        <w:t>&gt;</w:t>
      </w:r>
    </w:p>
    <w:p w:rsidR="00C1531C" w:rsidRPr="006D43F4" w14:paraId="5DDD5A44" w14:textId="37821396">
      <w:pPr>
        <w:pStyle w:val="CoverNormal"/>
      </w:pPr>
      <w:r w:rsidRPr="006D43F4">
        <w:rPr>
          <w:rStyle w:val="HideTWBExt"/>
          <w:noProof w:val="0"/>
        </w:rPr>
        <w:t>&lt;Titre&gt;</w:t>
      </w:r>
      <w:r w:rsidRPr="006D43F4" w:rsidR="008113B3">
        <w:t xml:space="preserve">on discharge in respect of the implementation of the general budget of the European Union for the financial year </w:t>
      </w:r>
      <w:r w:rsidRPr="006D43F4" w:rsidR="00047838">
        <w:t>2024</w:t>
      </w:r>
      <w:r w:rsidRPr="006D43F4" w:rsidR="008113B3">
        <w:t xml:space="preserve">, Section </w:t>
      </w:r>
      <w:r w:rsidRPr="006D43F4" w:rsidR="00047838">
        <w:t>II – European Council and Council</w:t>
      </w:r>
      <w:r w:rsidRPr="006D43F4">
        <w:rPr>
          <w:rStyle w:val="HideTWBExt"/>
          <w:noProof w:val="0"/>
        </w:rPr>
        <w:t>&lt;/Titre&gt;</w:t>
      </w:r>
    </w:p>
    <w:p w:rsidR="00C1531C" w:rsidRPr="006D43F4" w:rsidP="008A4DC4" w14:paraId="0FDCBDAB" w14:textId="50104AA3">
      <w:pPr>
        <w:pStyle w:val="CoverNormal24a"/>
      </w:pPr>
      <w:r w:rsidRPr="006D43F4">
        <w:rPr>
          <w:rStyle w:val="HideTWBExt"/>
          <w:noProof w:val="0"/>
        </w:rPr>
        <w:t>&lt;</w:t>
      </w:r>
      <w:r w:rsidRPr="006D43F4">
        <w:rPr>
          <w:rStyle w:val="HideTWBExt"/>
          <w:noProof w:val="0"/>
        </w:rPr>
        <w:t>DocRef</w:t>
      </w:r>
      <w:r w:rsidRPr="006D43F4">
        <w:rPr>
          <w:rStyle w:val="HideTWBExt"/>
          <w:noProof w:val="0"/>
        </w:rPr>
        <w:t>&gt;</w:t>
      </w:r>
      <w:r w:rsidRPr="006D43F4" w:rsidR="008113B3">
        <w:t>(</w:t>
      </w:r>
      <w:r w:rsidRPr="006D43F4" w:rsidR="00047838">
        <w:t>2025/2147</w:t>
      </w:r>
      <w:r w:rsidRPr="006D43F4" w:rsidR="008113B3">
        <w:t>(DEC</w:t>
      </w:r>
      <w:r w:rsidRPr="006D43F4" w:rsidR="008113B3">
        <w:t>))</w:t>
      </w:r>
      <w:r w:rsidRPr="006D43F4">
        <w:rPr>
          <w:rStyle w:val="HideTWBExt"/>
          <w:noProof w:val="0"/>
        </w:rPr>
        <w:t>&lt;</w:t>
      </w:r>
      <w:r w:rsidRPr="006D43F4">
        <w:rPr>
          <w:rStyle w:val="HideTWBExt"/>
          <w:noProof w:val="0"/>
        </w:rPr>
        <w:t>/</w:t>
      </w:r>
      <w:r w:rsidRPr="006D43F4">
        <w:rPr>
          <w:rStyle w:val="HideTWBExt"/>
          <w:noProof w:val="0"/>
        </w:rPr>
        <w:t>DocRef</w:t>
      </w:r>
      <w:r w:rsidRPr="006D43F4">
        <w:rPr>
          <w:rStyle w:val="HideTWBExt"/>
          <w:noProof w:val="0"/>
        </w:rPr>
        <w:t>&gt;</w:t>
      </w:r>
    </w:p>
    <w:p w:rsidR="00C1531C" w:rsidRPr="006D43F4" w14:paraId="2265103B" w14:textId="77777777">
      <w:pPr>
        <w:pStyle w:val="CoverNormal24a"/>
      </w:pPr>
      <w:r w:rsidRPr="006D43F4">
        <w:rPr>
          <w:rStyle w:val="HideTWBExt"/>
          <w:noProof w:val="0"/>
        </w:rPr>
        <w:t>&lt;Commission&gt;</w:t>
      </w:r>
      <w:r w:rsidRPr="006D43F4">
        <w:rPr>
          <w:rStyle w:val="HideTWBInt"/>
        </w:rPr>
        <w:t>{CONT}</w:t>
      </w:r>
      <w:r w:rsidRPr="006D43F4" w:rsidR="008113B3">
        <w:t>Committee on Budgetary Control</w:t>
      </w:r>
      <w:r w:rsidRPr="006D43F4">
        <w:rPr>
          <w:rStyle w:val="HideTWBExt"/>
          <w:noProof w:val="0"/>
        </w:rPr>
        <w:t>&lt;/Commission&gt;</w:t>
      </w:r>
    </w:p>
    <w:p w:rsidR="00C1531C" w:rsidRPr="00165251" w14:paraId="1A2C6960" w14:textId="5625CBA8">
      <w:pPr>
        <w:pStyle w:val="CoverNormal24a"/>
        <w:rPr>
          <w:lang w:val="it-IT"/>
        </w:rPr>
      </w:pPr>
      <w:r w:rsidRPr="00165251">
        <w:rPr>
          <w:lang w:val="it-IT"/>
        </w:rPr>
        <w:t>Rapporteur</w:t>
      </w:r>
      <w:r w:rsidRPr="00165251">
        <w:rPr>
          <w:lang w:val="it-IT"/>
        </w:rPr>
        <w:t>:</w:t>
      </w:r>
      <w:r w:rsidRPr="00165251">
        <w:rPr>
          <w:lang w:val="it-IT"/>
        </w:rPr>
        <w:t xml:space="preserve"> </w:t>
      </w:r>
      <w:r w:rsidRPr="00165251">
        <w:rPr>
          <w:rStyle w:val="HideTWBExt"/>
          <w:noProof w:val="0"/>
          <w:lang w:val="it-IT"/>
        </w:rPr>
        <w:t>&lt;</w:t>
      </w:r>
      <w:r w:rsidRPr="00165251">
        <w:rPr>
          <w:rStyle w:val="HideTWBExt"/>
          <w:noProof w:val="0"/>
          <w:lang w:val="it-IT"/>
        </w:rPr>
        <w:t>Depute</w:t>
      </w:r>
      <w:r w:rsidRPr="00165251">
        <w:rPr>
          <w:rStyle w:val="HideTWBExt"/>
          <w:noProof w:val="0"/>
          <w:lang w:val="it-IT"/>
        </w:rPr>
        <w:t>&gt;</w:t>
      </w:r>
      <w:r w:rsidRPr="00165251" w:rsidR="00047838">
        <w:rPr>
          <w:lang w:val="it-IT"/>
        </w:rPr>
        <w:t>Pasquale Tridico</w:t>
      </w:r>
      <w:r w:rsidRPr="00165251">
        <w:rPr>
          <w:rStyle w:val="HideTWBExt"/>
          <w:noProof w:val="0"/>
          <w:lang w:val="it-IT"/>
        </w:rPr>
        <w:t>&lt;/</w:t>
      </w:r>
      <w:r w:rsidRPr="00165251">
        <w:rPr>
          <w:rStyle w:val="HideTWBExt"/>
          <w:noProof w:val="0"/>
          <w:lang w:val="it-IT"/>
        </w:rPr>
        <w:t>Depute</w:t>
      </w:r>
      <w:r w:rsidRPr="00165251">
        <w:rPr>
          <w:rStyle w:val="HideTWBExt"/>
          <w:noProof w:val="0"/>
          <w:lang w:val="it-IT"/>
        </w:rPr>
        <w:t>&gt;</w:t>
      </w:r>
    </w:p>
    <w:p w:rsidR="000C78E0" w:rsidRPr="00165251" w:rsidP="000C78E0" w14:paraId="34D3355C" w14:textId="77777777">
      <w:pPr>
        <w:pStyle w:val="CoverNormal"/>
        <w:rPr>
          <w:lang w:val="it-IT"/>
        </w:rPr>
      </w:pPr>
    </w:p>
    <w:p w:rsidR="00C1531C" w:rsidRPr="00165251" w:rsidP="00961992" w14:paraId="25B2C7B7" w14:textId="77777777">
      <w:pPr>
        <w:widowControl/>
        <w:tabs>
          <w:tab w:val="center" w:pos="4677"/>
        </w:tabs>
      </w:pPr>
      <w:r w:rsidRPr="00165251">
        <w:rPr>
          <w:lang w:val="it-IT"/>
        </w:rPr>
        <w:br w:type="page"/>
      </w:r>
      <w:r w:rsidRPr="00165251" w:rsidR="008113B3">
        <w:t>PR_DEC_Other2</w:t>
      </w:r>
    </w:p>
    <w:p w:rsidR="00C1531C" w:rsidRPr="00165251" w14:paraId="56A48149" w14:textId="77777777">
      <w:pPr>
        <w:pStyle w:val="TOCHeading"/>
      </w:pPr>
      <w:r w:rsidRPr="00165251">
        <w:t>CONTENTS</w:t>
      </w:r>
    </w:p>
    <w:p w:rsidR="00284E12" w:rsidRPr="00165251" w:rsidP="00284E12" w14:paraId="0000A424" w14:textId="77777777">
      <w:pPr>
        <w:pStyle w:val="TOCPage"/>
      </w:pPr>
      <w:r w:rsidRPr="00165251">
        <w:t>Page</w:t>
      </w:r>
    </w:p>
    <w:p w:rsidR="00823280" w14:paraId="79B4A652" w14:textId="03327596">
      <w:pPr>
        <w:pStyle w:val="TOC1"/>
        <w:tabs>
          <w:tab w:val="right" w:leader="dot" w:pos="9060"/>
        </w:tabs>
        <w:rPr>
          <w:rFonts w:asciiTheme="minorHAnsi" w:eastAsiaTheme="minorEastAsia" w:hAnsiTheme="minorHAnsi" w:cstheme="minorBidi"/>
          <w:noProof/>
          <w:kern w:val="2"/>
          <w:szCs w:val="24"/>
          <w14:ligatures w14:val="standardContextual"/>
        </w:rPr>
      </w:pPr>
      <w:r w:rsidRPr="006D43F4">
        <w:rPr>
          <w:b/>
        </w:rPr>
        <w:fldChar w:fldCharType="begin"/>
      </w:r>
      <w:r w:rsidRPr="006D43F4">
        <w:rPr>
          <w:b/>
        </w:rPr>
        <w:instrText xml:space="preserve"> TOC \t "PageHeading</w:instrText>
      </w:r>
      <w:r w:rsidRPr="006D43F4" w:rsidR="00FB1DDE">
        <w:rPr>
          <w:b/>
        </w:rPr>
        <w:instrText>;</w:instrText>
      </w:r>
      <w:r w:rsidRPr="006D43F4">
        <w:rPr>
          <w:b/>
        </w:rPr>
        <w:instrText xml:space="preserve">1" </w:instrText>
      </w:r>
      <w:r w:rsidRPr="006D43F4">
        <w:rPr>
          <w:b/>
        </w:rPr>
        <w:fldChar w:fldCharType="separate"/>
      </w:r>
      <w:r>
        <w:rPr>
          <w:noProof/>
        </w:rPr>
        <w:t>1. PROPOSAL FOR A EUROPEAN PARLIAMENT DECISION</w:t>
      </w:r>
      <w:r>
        <w:rPr>
          <w:noProof/>
        </w:rPr>
        <w:tab/>
      </w:r>
      <w:r>
        <w:rPr>
          <w:noProof/>
        </w:rPr>
        <w:fldChar w:fldCharType="begin"/>
      </w:r>
      <w:r>
        <w:rPr>
          <w:noProof/>
        </w:rPr>
        <w:instrText xml:space="preserve"> PAGEREF _Toc242175345 \h </w:instrText>
      </w:r>
      <w:r>
        <w:rPr>
          <w:noProof/>
        </w:rPr>
        <w:fldChar w:fldCharType="separate"/>
      </w:r>
      <w:r>
        <w:rPr>
          <w:noProof/>
        </w:rPr>
        <w:t>3</w:t>
      </w:r>
      <w:r>
        <w:rPr>
          <w:noProof/>
        </w:rPr>
        <w:fldChar w:fldCharType="end"/>
      </w:r>
    </w:p>
    <w:p w:rsidR="00823280" w14:paraId="225D9AB1" w14:textId="3BA3BFEA">
      <w:pPr>
        <w:pStyle w:val="TOC1"/>
        <w:tabs>
          <w:tab w:val="right" w:leader="dot" w:pos="9060"/>
        </w:tabs>
        <w:rPr>
          <w:rFonts w:asciiTheme="minorHAnsi" w:eastAsiaTheme="minorEastAsia" w:hAnsiTheme="minorHAnsi" w:cstheme="minorBidi"/>
          <w:noProof/>
          <w:kern w:val="2"/>
          <w:szCs w:val="24"/>
          <w14:ligatures w14:val="standardContextual"/>
        </w:rPr>
      </w:pPr>
      <w:r>
        <w:rPr>
          <w:noProof/>
        </w:rPr>
        <w:t>2. MOTION FOR A EUROPEAN PARLIAMENT RESOLUTION</w:t>
      </w:r>
      <w:r>
        <w:rPr>
          <w:noProof/>
        </w:rPr>
        <w:tab/>
      </w:r>
      <w:r>
        <w:rPr>
          <w:noProof/>
        </w:rPr>
        <w:fldChar w:fldCharType="begin"/>
      </w:r>
      <w:r>
        <w:rPr>
          <w:noProof/>
        </w:rPr>
        <w:instrText xml:space="preserve"> PAGEREF _Toc242175346 \h </w:instrText>
      </w:r>
      <w:r>
        <w:rPr>
          <w:noProof/>
        </w:rPr>
        <w:fldChar w:fldCharType="separate"/>
      </w:r>
      <w:r>
        <w:rPr>
          <w:noProof/>
        </w:rPr>
        <w:t>5</w:t>
      </w:r>
      <w:r>
        <w:rPr>
          <w:noProof/>
        </w:rPr>
        <w:fldChar w:fldCharType="end"/>
      </w:r>
    </w:p>
    <w:p w:rsidR="00823280" w14:paraId="7C04385C" w14:textId="4FA35DF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_Toc242175347 \h </w:instrText>
      </w:r>
      <w:r>
        <w:rPr>
          <w:noProof/>
        </w:rPr>
        <w:fldChar w:fldCharType="separate"/>
      </w:r>
      <w:r>
        <w:rPr>
          <w:noProof/>
        </w:rPr>
        <w:t>11</w:t>
      </w:r>
      <w:r>
        <w:rPr>
          <w:noProof/>
        </w:rPr>
        <w:fldChar w:fldCharType="end"/>
      </w:r>
    </w:p>
    <w:p w:rsidR="00823280" w14:paraId="48F32D3D" w14:textId="0B96322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_Toc242175348 \h </w:instrText>
      </w:r>
      <w:r>
        <w:rPr>
          <w:noProof/>
        </w:rPr>
        <w:fldChar w:fldCharType="separate"/>
      </w:r>
      <w:r>
        <w:rPr>
          <w:noProof/>
        </w:rPr>
        <w:t>12</w:t>
      </w:r>
      <w:r>
        <w:rPr>
          <w:noProof/>
        </w:rPr>
        <w:fldChar w:fldCharType="end"/>
      </w:r>
    </w:p>
    <w:p w:rsidR="00823280" w14:paraId="341B54E7" w14:textId="5E1E1D60">
      <w:pPr>
        <w:pStyle w:val="TOC1"/>
        <w:tabs>
          <w:tab w:val="right" w:leader="dot" w:pos="9060"/>
        </w:tabs>
        <w:rPr>
          <w:rFonts w:asciiTheme="minorHAnsi" w:eastAsiaTheme="minorEastAsia" w:hAnsiTheme="minorHAnsi" w:cstheme="minorBidi"/>
          <w:noProof/>
          <w:kern w:val="2"/>
          <w:szCs w:val="24"/>
          <w14:ligatures w14:val="standardContextual"/>
        </w:rPr>
      </w:pPr>
      <w:r>
        <w:rPr>
          <w:noProof/>
        </w:rPr>
        <w:t>FINAL VOTE BY ROLL CALL BY THE COMMITTEE RESPONSIBLE</w:t>
      </w:r>
      <w:r>
        <w:rPr>
          <w:noProof/>
        </w:rPr>
        <w:tab/>
      </w:r>
      <w:r>
        <w:rPr>
          <w:noProof/>
        </w:rPr>
        <w:fldChar w:fldCharType="begin"/>
      </w:r>
      <w:r>
        <w:rPr>
          <w:noProof/>
        </w:rPr>
        <w:instrText xml:space="preserve"> PAGEREF _Toc242175349 \h </w:instrText>
      </w:r>
      <w:r>
        <w:rPr>
          <w:noProof/>
        </w:rPr>
        <w:fldChar w:fldCharType="separate"/>
      </w:r>
      <w:r>
        <w:rPr>
          <w:noProof/>
        </w:rPr>
        <w:t>13</w:t>
      </w:r>
      <w:r>
        <w:rPr>
          <w:noProof/>
        </w:rPr>
        <w:fldChar w:fldCharType="end"/>
      </w:r>
    </w:p>
    <w:p w:rsidR="00C1531C" w:rsidRPr="006D43F4" w:rsidP="00F847DA" w14:paraId="0BF2F578" w14:textId="1794F04C">
      <w:r w:rsidRPr="006D43F4">
        <w:fldChar w:fldCharType="end"/>
      </w:r>
    </w:p>
    <w:p w:rsidR="00C1531C" w:rsidRPr="006D43F4" w:rsidP="004D13BA" w14:paraId="02BFB039" w14:textId="77777777">
      <w:pPr>
        <w:pStyle w:val="PageHeading"/>
      </w:pPr>
      <w:r w:rsidRPr="006D43F4">
        <w:br w:type="page"/>
      </w:r>
      <w:bookmarkStart w:id="0" w:name="_Toc242175345"/>
      <w:bookmarkStart w:id="1" w:name="_Toc26759888"/>
      <w:bookmarkStart w:id="2" w:name="_Toc86200285"/>
      <w:r w:rsidRPr="006D43F4" w:rsidR="008113B3">
        <w:t>1. PROPOSAL FOR A EUROPEAN PARLIAMENT DECISION</w:t>
      </w:r>
      <w:bookmarkEnd w:id="0"/>
    </w:p>
    <w:p w:rsidR="00C1531C" w:rsidRPr="006D43F4" w14:paraId="0ED833F5" w14:textId="063F0FC6">
      <w:pPr>
        <w:pStyle w:val="NormalBold"/>
      </w:pPr>
      <w:r w:rsidRPr="006D43F4">
        <w:t xml:space="preserve">on discharge in respect of the implementation of the general budget of the European Union for the financial year </w:t>
      </w:r>
      <w:r w:rsidRPr="006D43F4" w:rsidR="00047838">
        <w:t>2024</w:t>
      </w:r>
      <w:r w:rsidRPr="006D43F4">
        <w:t xml:space="preserve">, Section </w:t>
      </w:r>
      <w:r w:rsidRPr="006D43F4" w:rsidR="00047838">
        <w:t>II – European Council and Council</w:t>
      </w:r>
    </w:p>
    <w:p w:rsidR="00C1531C" w:rsidRPr="006D43F4" w:rsidP="00811763" w14:paraId="174DE8CB" w14:textId="77E2D158">
      <w:pPr>
        <w:pStyle w:val="NormalBold"/>
      </w:pPr>
      <w:r w:rsidRPr="006D43F4">
        <w:t>(</w:t>
      </w:r>
      <w:r w:rsidRPr="006D43F4" w:rsidR="00047838">
        <w:t>2025/2147</w:t>
      </w:r>
      <w:r w:rsidRPr="006D43F4">
        <w:t>(DEC))</w:t>
      </w:r>
    </w:p>
    <w:p w:rsidR="00C1531C" w:rsidRPr="006D43F4" w14:paraId="22E8735D" w14:textId="77777777">
      <w:pPr>
        <w:pStyle w:val="EPComma"/>
      </w:pPr>
      <w:r w:rsidRPr="006D43F4">
        <w:rPr>
          <w:i/>
        </w:rPr>
        <w:t>The European Parliament</w:t>
      </w:r>
      <w:r w:rsidRPr="006D43F4">
        <w:t>,</w:t>
      </w:r>
    </w:p>
    <w:p w:rsidR="00C1531C" w:rsidRPr="006D43F4" w14:paraId="4A9E726E" w14:textId="5DAD1E7A">
      <w:pPr>
        <w:pStyle w:val="NormalHanging12a"/>
      </w:pPr>
      <w:r w:rsidRPr="006D43F4">
        <w:t>–</w:t>
      </w:r>
      <w:r w:rsidRPr="006D43F4">
        <w:tab/>
      </w:r>
      <w:r w:rsidRPr="006D43F4" w:rsidR="008113B3">
        <w:t xml:space="preserve">having regard to the general budget of the European Union for the financial year </w:t>
      </w:r>
      <w:r w:rsidRPr="006D43F4" w:rsidR="00047838">
        <w:t>2024</w:t>
      </w:r>
      <w:r>
        <w:rPr>
          <w:rStyle w:val="FootnoteReference"/>
        </w:rPr>
        <w:footnoteReference w:id="2"/>
      </w:r>
      <w:r w:rsidRPr="006D43F4" w:rsidR="008113B3">
        <w:t>,</w:t>
      </w:r>
    </w:p>
    <w:p w:rsidR="00C1531C" w:rsidRPr="006D43F4" w14:paraId="3B98AFEA" w14:textId="08D97F2A">
      <w:pPr>
        <w:pStyle w:val="NormalHanging12a"/>
      </w:pPr>
      <w:r w:rsidRPr="006D43F4">
        <w:t>–</w:t>
      </w:r>
      <w:r w:rsidRPr="006D43F4">
        <w:tab/>
      </w:r>
      <w:r w:rsidRPr="006D43F4" w:rsidR="008113B3">
        <w:t xml:space="preserve">having regard to the consolidated annual accounts of the European Union for the financial year </w:t>
      </w:r>
      <w:r w:rsidRPr="006D43F4" w:rsidR="00047838">
        <w:t>2024</w:t>
      </w:r>
      <w:r w:rsidRPr="006D43F4" w:rsidR="008113B3">
        <w:t xml:space="preserve"> (</w:t>
      </w:r>
      <w:r w:rsidRPr="006D43F4" w:rsidR="008113B3">
        <w:t>COM</w:t>
      </w:r>
      <w:r w:rsidRPr="006D43F4" w:rsidR="00047838">
        <w:t>(</w:t>
      </w:r>
      <w:r w:rsidRPr="006D43F4" w:rsidR="00047838">
        <w:t>2025)0359</w:t>
      </w:r>
      <w:r w:rsidRPr="006D43F4" w:rsidR="008113B3">
        <w:t xml:space="preserve"> </w:t>
      </w:r>
      <w:r w:rsidRPr="006D43F4" w:rsidR="00047838">
        <w:t>–</w:t>
      </w:r>
      <w:r w:rsidRPr="006D43F4" w:rsidR="008113B3">
        <w:t xml:space="preserve"> </w:t>
      </w:r>
      <w:r w:rsidRPr="006D43F4" w:rsidR="00047838">
        <w:t>C10</w:t>
      </w:r>
      <w:r w:rsidRPr="006D43F4" w:rsidR="00047838">
        <w:noBreakHyphen/>
        <w:t>0147/2025</w:t>
      </w:r>
      <w:r w:rsidRPr="006D43F4" w:rsidR="008113B3">
        <w:t>)</w:t>
      </w:r>
      <w:r>
        <w:rPr>
          <w:rStyle w:val="FootnoteReference"/>
        </w:rPr>
        <w:footnoteReference w:id="3"/>
      </w:r>
      <w:r w:rsidRPr="006D43F4" w:rsidR="008113B3">
        <w:t>,</w:t>
      </w:r>
    </w:p>
    <w:p w:rsidR="00C1531C" w:rsidRPr="006D43F4" w14:paraId="6BA1888F" w14:textId="217AC947">
      <w:pPr>
        <w:pStyle w:val="NormalHanging12a"/>
      </w:pPr>
      <w:r w:rsidRPr="006D43F4">
        <w:t>–</w:t>
      </w:r>
      <w:r w:rsidRPr="006D43F4">
        <w:tab/>
      </w:r>
      <w:r w:rsidRPr="006D43F4" w:rsidR="00047838">
        <w:t>having regard to the Council’s annual report to the discharge authority on internal audits carried out in 2024,</w:t>
      </w:r>
    </w:p>
    <w:p w:rsidR="00C1531C" w:rsidRPr="006D43F4" w14:paraId="2F00CD03" w14:textId="003A3D9D">
      <w:pPr>
        <w:pStyle w:val="NormalHanging12a"/>
      </w:pPr>
      <w:r w:rsidRPr="006D43F4">
        <w:t>–</w:t>
      </w:r>
      <w:r w:rsidRPr="006D43F4">
        <w:tab/>
      </w:r>
      <w:r w:rsidRPr="006D43F4" w:rsidR="008113B3">
        <w:t xml:space="preserve">having regard to the Court of Auditors’ annual report on the implementation of the budget for the financial year </w:t>
      </w:r>
      <w:r w:rsidRPr="006D43F4" w:rsidR="00047838">
        <w:t>2024</w:t>
      </w:r>
      <w:r w:rsidRPr="006D43F4" w:rsidR="008113B3">
        <w:t>, together with the institutions’ replies</w:t>
      </w:r>
      <w:r>
        <w:rPr>
          <w:rStyle w:val="FootnoteReference"/>
        </w:rPr>
        <w:footnoteReference w:id="4"/>
      </w:r>
      <w:r w:rsidRPr="006D43F4" w:rsidR="008113B3">
        <w:t>,</w:t>
      </w:r>
    </w:p>
    <w:p w:rsidR="00C1531C" w:rsidRPr="006D43F4" w14:paraId="4CC5B7B1" w14:textId="360E95B5">
      <w:pPr>
        <w:pStyle w:val="NormalHanging12a"/>
      </w:pPr>
      <w:r w:rsidRPr="006D43F4">
        <w:t>–</w:t>
      </w:r>
      <w:r w:rsidRPr="006D43F4">
        <w:tab/>
      </w:r>
      <w:r w:rsidRPr="006D43F4" w:rsidR="008113B3">
        <w:t>having regard to the statement of assurance</w:t>
      </w:r>
      <w:r>
        <w:rPr>
          <w:rStyle w:val="FootnoteReference"/>
        </w:rPr>
        <w:footnoteReference w:id="5"/>
      </w:r>
      <w:r w:rsidRPr="006D43F4" w:rsidR="008113B3">
        <w:t xml:space="preserve"> as to the reliability of the accounts and the legality and regularity of the underlying transactions provided by the Court of Auditors for the financial year </w:t>
      </w:r>
      <w:r w:rsidRPr="006D43F4" w:rsidR="00047838">
        <w:t>2024</w:t>
      </w:r>
      <w:r w:rsidRPr="006D43F4" w:rsidR="008113B3">
        <w:t>, pursuant to Article 287 of the Treaty on the Functioning of the European Union,</w:t>
      </w:r>
    </w:p>
    <w:p w:rsidR="005C1C2D" w:rsidRPr="006D43F4" w:rsidP="005C1C2D" w14:paraId="5824E5B4" w14:textId="162E9F17">
      <w:pPr>
        <w:pStyle w:val="NormalHanging12a"/>
      </w:pPr>
      <w:r w:rsidRPr="006D43F4">
        <w:t>–</w:t>
      </w:r>
      <w:r w:rsidRPr="006D43F4">
        <w:tab/>
      </w:r>
      <w:r w:rsidRPr="006D43F4" w:rsidR="008113B3">
        <w:t xml:space="preserve">having regard to its decision of </w:t>
      </w:r>
      <w:r w:rsidRPr="006D43F4" w:rsidR="00047838">
        <w:t>29 April 2026</w:t>
      </w:r>
      <w:r>
        <w:rPr>
          <w:rStyle w:val="FootnoteReference"/>
        </w:rPr>
        <w:footnoteReference w:id="6"/>
      </w:r>
      <w:r w:rsidRPr="006D43F4" w:rsidR="008113B3">
        <w:t xml:space="preserve"> postponing the discharge decision for the financial year </w:t>
      </w:r>
      <w:r w:rsidRPr="006D43F4" w:rsidR="00047838">
        <w:t>2024</w:t>
      </w:r>
      <w:r w:rsidRPr="006D43F4" w:rsidR="008113B3">
        <w:t>, and the accompanying resolution,</w:t>
      </w:r>
    </w:p>
    <w:p w:rsidR="00C1531C" w:rsidRPr="006D43F4" w14:paraId="1A8D1385" w14:textId="77777777">
      <w:pPr>
        <w:pStyle w:val="NormalHanging12a"/>
      </w:pPr>
      <w:r w:rsidRPr="006D43F4">
        <w:t>–</w:t>
      </w:r>
      <w:r w:rsidRPr="006D43F4">
        <w:tab/>
      </w:r>
      <w:r w:rsidRPr="006D43F4" w:rsidR="008113B3">
        <w:t>having regard to Article 314(10) and Articles 317, 318 and 319 of the Treaty on the Functioning of the European Union,</w:t>
      </w:r>
    </w:p>
    <w:p w:rsidR="006B7833" w:rsidRPr="006D43F4" w:rsidP="00A62CDA" w14:paraId="313282B9" w14:textId="1C7FA08A">
      <w:pPr>
        <w:pStyle w:val="NormalHanging12a"/>
      </w:pPr>
      <w:r w:rsidRPr="006D43F4">
        <w:t>–</w:t>
      </w:r>
      <w:r w:rsidRPr="006D43F4">
        <w:tab/>
      </w:r>
      <w:r w:rsidRPr="006D43F4" w:rsidR="008113B3">
        <w:t>having regard to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rStyle w:val="FootnoteReference"/>
        </w:rPr>
        <w:footnoteReference w:id="7"/>
      </w:r>
      <w:r w:rsidRPr="006D43F4" w:rsidR="008113B3">
        <w:t xml:space="preserve">, and in particular </w:t>
      </w:r>
      <w:r w:rsidRPr="006D43F4" w:rsidR="00047838">
        <w:t>Articles 59, 118, 260, 261 and 262</w:t>
      </w:r>
      <w:r w:rsidRPr="006D43F4" w:rsidR="008113B3">
        <w:t xml:space="preserve"> thereof,</w:t>
      </w:r>
    </w:p>
    <w:p w:rsidR="007129DA" w:rsidRPr="006D43F4" w:rsidP="007129DA" w14:paraId="79CDCFE4" w14:textId="0EC4064F">
      <w:pPr>
        <w:pStyle w:val="NormalHanging12a"/>
      </w:pPr>
      <w:r w:rsidRPr="006D43F4">
        <w:t>–</w:t>
      </w:r>
      <w:r w:rsidRPr="006D43F4">
        <w:tab/>
      </w:r>
      <w:r w:rsidRPr="006D43F4" w:rsidR="008113B3">
        <w:t>having regard to Regulation (EU, Euratom) 2024/2509 of the European Parliament and of the Council of 23 September 2024 on the financial rules applicable to the general budget of the Union</w:t>
      </w:r>
      <w:r>
        <w:rPr>
          <w:rStyle w:val="FootnoteReference"/>
        </w:rPr>
        <w:footnoteReference w:id="8"/>
      </w:r>
      <w:r w:rsidRPr="006D43F4" w:rsidR="008113B3">
        <w:t xml:space="preserve">, and </w:t>
      </w:r>
      <w:r w:rsidRPr="006D43F4" w:rsidR="008113B3">
        <w:t xml:space="preserve">in particular </w:t>
      </w:r>
      <w:r w:rsidRPr="006D43F4" w:rsidR="00047838">
        <w:t>Articles</w:t>
      </w:r>
      <w:r w:rsidRPr="006D43F4" w:rsidR="00047838">
        <w:t xml:space="preserve"> 59, 118, 266, 267 and 268</w:t>
      </w:r>
      <w:r w:rsidRPr="006D43F4" w:rsidR="008113B3">
        <w:t xml:space="preserve"> thereof,</w:t>
      </w:r>
    </w:p>
    <w:p w:rsidR="00C1531C" w:rsidRPr="006D43F4" w14:paraId="223881AB" w14:textId="77777777">
      <w:pPr>
        <w:pStyle w:val="NormalHanging12a"/>
      </w:pPr>
      <w:r w:rsidRPr="006D43F4">
        <w:t>–</w:t>
      </w:r>
      <w:r w:rsidRPr="006D43F4">
        <w:tab/>
      </w:r>
      <w:r w:rsidRPr="006D43F4" w:rsidR="008113B3">
        <w:t>having regard to Rule 102 of and Annex V to its Rules of Procedure,</w:t>
      </w:r>
    </w:p>
    <w:p w:rsidR="005C3684" w:rsidRPr="006D43F4" w:rsidP="005C3684" w14:paraId="7704FEF2" w14:textId="1501F3D0">
      <w:pPr>
        <w:pStyle w:val="NormalHanging12a"/>
      </w:pPr>
      <w:r w:rsidRPr="006D43F4">
        <w:t>–</w:t>
      </w:r>
      <w:r w:rsidRPr="006D43F4">
        <w:tab/>
      </w:r>
      <w:r w:rsidRPr="006D43F4" w:rsidR="008113B3">
        <w:t>having regard to the second report of the Committee on Budgetary Control (</w:t>
      </w:r>
      <w:r w:rsidR="00823280">
        <w:t>A10-0258/2026</w:t>
      </w:r>
      <w:r w:rsidRPr="006D43F4" w:rsidR="008113B3">
        <w:t>),</w:t>
      </w:r>
    </w:p>
    <w:p w:rsidR="00C1531C" w:rsidRPr="006D43F4" w14:paraId="6F91EBB0" w14:textId="373E7292">
      <w:pPr>
        <w:pStyle w:val="NormalHanging12a"/>
      </w:pPr>
      <w:r w:rsidRPr="006D43F4">
        <w:t>1.</w:t>
      </w:r>
      <w:r w:rsidRPr="006D43F4">
        <w:tab/>
      </w:r>
      <w:r w:rsidRPr="006D43F4" w:rsidR="00A250BC">
        <w:t>Refuses to grant</w:t>
      </w:r>
      <w:r w:rsidRPr="006D43F4" w:rsidR="008113B3">
        <w:t xml:space="preserve"> the </w:t>
      </w:r>
      <w:r w:rsidRPr="006D43F4" w:rsidR="00047838">
        <w:t>Secretary-General of the Council</w:t>
      </w:r>
      <w:r w:rsidRPr="006D43F4" w:rsidR="008113B3">
        <w:t xml:space="preserve"> discharge in respect of the implementation of the budget</w:t>
      </w:r>
      <w:r w:rsidRPr="006D43F4" w:rsidR="00047838">
        <w:t xml:space="preserve"> of the European Council and of the Council</w:t>
      </w:r>
      <w:r w:rsidRPr="006D43F4" w:rsidR="008113B3">
        <w:t xml:space="preserve"> for the financial year </w:t>
      </w:r>
      <w:r w:rsidRPr="006D43F4" w:rsidR="00047838">
        <w:t>2024</w:t>
      </w:r>
      <w:r w:rsidRPr="006D43F4" w:rsidR="008113B3">
        <w:t>;</w:t>
      </w:r>
    </w:p>
    <w:p w:rsidR="00C1531C" w:rsidRPr="006D43F4" w14:paraId="4C0BB6AC" w14:textId="77777777">
      <w:pPr>
        <w:pStyle w:val="NormalHanging12a"/>
      </w:pPr>
      <w:r w:rsidRPr="006D43F4">
        <w:t>2.</w:t>
      </w:r>
      <w:r w:rsidRPr="006D43F4">
        <w:tab/>
      </w:r>
      <w:r w:rsidRPr="006D43F4" w:rsidR="008113B3">
        <w:t>Sets out its observations in the resolution below;</w:t>
      </w:r>
    </w:p>
    <w:p w:rsidR="00C1531C" w:rsidRPr="006D43F4" w14:paraId="786BC883" w14:textId="6225C951">
      <w:pPr>
        <w:pStyle w:val="NormalHanging12a"/>
      </w:pPr>
      <w:r w:rsidRPr="006D43F4">
        <w:t>3.</w:t>
      </w:r>
      <w:r w:rsidRPr="006D43F4">
        <w:tab/>
      </w:r>
      <w:r w:rsidRPr="006D43F4" w:rsidR="008113B3">
        <w:t>Instructs its President to forward this decision and the resolution forming an integral part of it to</w:t>
      </w:r>
      <w:r w:rsidRPr="006D43F4" w:rsidR="00047838">
        <w:t xml:space="preserve"> the European Council,</w:t>
      </w:r>
      <w:r w:rsidRPr="006D43F4" w:rsidR="008113B3">
        <w:t xml:space="preserve"> the Council, the Commission and the Court of Auditors, and to arrange for their publication in the </w:t>
      </w:r>
      <w:r w:rsidRPr="006D43F4" w:rsidR="008113B3">
        <w:rPr>
          <w:i/>
        </w:rPr>
        <w:t>Official Journal of the European Union</w:t>
      </w:r>
      <w:r w:rsidRPr="006D43F4" w:rsidR="008113B3">
        <w:t xml:space="preserve"> (L series).</w:t>
      </w:r>
    </w:p>
    <w:p w:rsidR="00A5454F" w:rsidRPr="006D43F4" w:rsidP="00275941" w14:paraId="59F8363C" w14:textId="77777777"/>
    <w:p w:rsidR="00A5454F" w:rsidRPr="006D43F4" w:rsidP="004D13BA" w14:paraId="22458453" w14:textId="77777777">
      <w:pPr>
        <w:pStyle w:val="PageHeading"/>
        <w:sectPr w:rsidSect="006D43F4">
          <w:footerReference w:type="even" r:id="rId7"/>
          <w:footerReference w:type="default" r:id="rId8"/>
          <w:footerReference w:type="first" r:id="rId9"/>
          <w:footnotePr>
            <w:numRestart w:val="eachSect"/>
          </w:footnotePr>
          <w:endnotePr>
            <w:numFmt w:val="decimal"/>
          </w:endnotePr>
          <w:pgSz w:w="11906" w:h="16838" w:code="9"/>
          <w:pgMar w:top="1134" w:right="1418" w:bottom="1418" w:left="1418" w:header="1134" w:footer="567" w:gutter="0"/>
          <w:cols w:space="720"/>
          <w:noEndnote/>
          <w:titlePg/>
        </w:sectPr>
      </w:pPr>
    </w:p>
    <w:p w:rsidR="00C1531C" w:rsidRPr="006D43F4" w:rsidP="004D13BA" w14:paraId="5FF2268A" w14:textId="77777777">
      <w:pPr>
        <w:pStyle w:val="PageHeading"/>
      </w:pPr>
      <w:bookmarkStart w:id="3" w:name="_Toc242175346"/>
      <w:bookmarkEnd w:id="1"/>
      <w:bookmarkEnd w:id="2"/>
      <w:r w:rsidRPr="006D43F4">
        <w:t>2. MOTION FOR A EUROPEAN PARLIAMENT RESOLUTION</w:t>
      </w:r>
      <w:bookmarkEnd w:id="3"/>
    </w:p>
    <w:p w:rsidR="00C1531C" w:rsidRPr="006D43F4" w14:paraId="67BD536C" w14:textId="718C3464">
      <w:pPr>
        <w:pStyle w:val="NormalBold"/>
      </w:pPr>
      <w:r w:rsidRPr="006D43F4">
        <w:t xml:space="preserve">with observations forming an integral part of the decision on discharge in respect of the implementation of the general budget of the European Union for the financial year </w:t>
      </w:r>
      <w:r w:rsidRPr="006D43F4" w:rsidR="00047838">
        <w:t>2024</w:t>
      </w:r>
      <w:r w:rsidRPr="006D43F4">
        <w:t xml:space="preserve">, Section </w:t>
      </w:r>
      <w:r w:rsidRPr="006D43F4" w:rsidR="00047838">
        <w:t>II – European Council and Council</w:t>
      </w:r>
    </w:p>
    <w:p w:rsidR="00C1531C" w:rsidRPr="006D43F4" w:rsidP="00811763" w14:paraId="65364786" w14:textId="1897B297">
      <w:pPr>
        <w:pStyle w:val="NormalBold"/>
      </w:pPr>
      <w:r w:rsidRPr="006D43F4">
        <w:t>(</w:t>
      </w:r>
      <w:r w:rsidRPr="006D43F4" w:rsidR="00047838">
        <w:t>2025/2147</w:t>
      </w:r>
      <w:r w:rsidRPr="006D43F4">
        <w:t>(DEC))</w:t>
      </w:r>
    </w:p>
    <w:p w:rsidR="00C1531C" w:rsidRPr="006D43F4" w14:paraId="6E62D218" w14:textId="77777777">
      <w:pPr>
        <w:pStyle w:val="EPComma"/>
      </w:pPr>
      <w:r w:rsidRPr="006D43F4">
        <w:rPr>
          <w:i/>
        </w:rPr>
        <w:t>The European Parliament</w:t>
      </w:r>
      <w:r w:rsidRPr="006D43F4">
        <w:t>,</w:t>
      </w:r>
    </w:p>
    <w:p w:rsidR="008F33CD" w:rsidRPr="006D43F4" w:rsidP="00ED2E3C" w14:paraId="6022CA91" w14:textId="75038370">
      <w:pPr>
        <w:pStyle w:val="NormalHanging12a"/>
      </w:pPr>
      <w:r w:rsidRPr="006D43F4">
        <w:t>–</w:t>
      </w:r>
      <w:r w:rsidRPr="006D43F4">
        <w:tab/>
      </w:r>
      <w:r w:rsidRPr="006D43F4" w:rsidR="008113B3">
        <w:t xml:space="preserve">having regard to its decision on discharge in respect of the implementation of the general budget of the European Union for the financial year </w:t>
      </w:r>
      <w:r w:rsidRPr="006D43F4" w:rsidR="00047838">
        <w:t>2024</w:t>
      </w:r>
      <w:r w:rsidRPr="006D43F4" w:rsidR="008113B3">
        <w:t xml:space="preserve">, Section </w:t>
      </w:r>
      <w:r w:rsidRPr="006D43F4" w:rsidR="00047838">
        <w:t>II – European Council and Council</w:t>
      </w:r>
      <w:r w:rsidRPr="006D43F4" w:rsidR="008113B3">
        <w:t>,</w:t>
      </w:r>
    </w:p>
    <w:p w:rsidR="00C1531C" w:rsidRPr="006D43F4" w14:paraId="7D764571" w14:textId="77777777">
      <w:pPr>
        <w:pStyle w:val="NormalHanging12a"/>
      </w:pPr>
      <w:r w:rsidRPr="006D43F4">
        <w:t>–</w:t>
      </w:r>
      <w:r w:rsidRPr="006D43F4">
        <w:tab/>
      </w:r>
      <w:r w:rsidRPr="006D43F4" w:rsidR="008113B3">
        <w:t>having regard to Rule 102 of and Annex V to its Rules of Procedure,</w:t>
      </w:r>
    </w:p>
    <w:p w:rsidR="005C3684" w:rsidRPr="006D43F4" w:rsidP="005C3684" w14:paraId="4826F781" w14:textId="4FB77F7C">
      <w:pPr>
        <w:pStyle w:val="NormalHanging12a"/>
      </w:pPr>
      <w:r w:rsidRPr="006D43F4">
        <w:t>–</w:t>
      </w:r>
      <w:r w:rsidRPr="006D43F4">
        <w:tab/>
      </w:r>
      <w:r w:rsidRPr="006D43F4" w:rsidR="008113B3">
        <w:t>having regard to the second report of the Committee on Budgetary Control (</w:t>
      </w:r>
      <w:r w:rsidR="00823280">
        <w:t>A10-0258/2026</w:t>
      </w:r>
      <w:r w:rsidRPr="006D43F4" w:rsidR="008113B3">
        <w:t>),</w:t>
      </w:r>
    </w:p>
    <w:p w:rsidR="00FC525D" w:rsidRPr="006D43F4" w:rsidP="00FC525D" w14:paraId="070F9E07" w14:textId="77777777">
      <w:pPr>
        <w:pStyle w:val="NormalHanging12a"/>
      </w:pPr>
      <w:r w:rsidRPr="006D43F4">
        <w:t>A.</w:t>
      </w:r>
      <w:r w:rsidRPr="006D43F4">
        <w:tab/>
        <w:t>whereas in the context of the discharge procedure, the discharge authority wishes to stress the particular importance of further strengthening the democratic legitimacy of the Union institutions by improving transparency and accountability and implementing a good governance of human resources;</w:t>
      </w:r>
    </w:p>
    <w:p w:rsidR="00FC525D" w:rsidRPr="006D43F4" w:rsidP="00FC525D" w14:paraId="7D2E2737" w14:textId="77777777">
      <w:pPr>
        <w:pStyle w:val="NormalHanging12a"/>
      </w:pPr>
      <w:r w:rsidRPr="006D43F4">
        <w:t>B.</w:t>
      </w:r>
      <w:r w:rsidRPr="006D43F4">
        <w:tab/>
        <w:t>whereas, under Article 319 of the Treaty on the Functioning of the European Union (TFEU), the Parliament has the sole responsibility of granting discharge in respect of the implementation of the general budget of the Union, and whereas the budget of the European Council and of the Council is a section of the Union budget;</w:t>
      </w:r>
    </w:p>
    <w:p w:rsidR="00363DE4" w:rsidRPr="006D43F4" w:rsidP="00363DE4" w14:paraId="1867B622" w14:textId="5324E78B">
      <w:pPr>
        <w:pStyle w:val="NormalHanging12a"/>
      </w:pPr>
      <w:r w:rsidRPr="006D43F4">
        <w:t>C.</w:t>
      </w:r>
      <w:r w:rsidRPr="006D43F4">
        <w:tab/>
        <w:t>whereas, pursuant to Article 15(1) of the Treaty on European Union</w:t>
      </w:r>
      <w:r w:rsidRPr="006D43F4" w:rsidR="00B23FC1">
        <w:t xml:space="preserve"> (TEU)</w:t>
      </w:r>
      <w:r w:rsidRPr="006D43F4">
        <w:t>, the European Council has a specific role in providing the Union with the necessary impetus for its development and defining its general political directions and priorities, without exercising legislative functions;</w:t>
      </w:r>
    </w:p>
    <w:p w:rsidR="00FC525D" w:rsidRPr="006D43F4" w:rsidP="00FC525D" w14:paraId="0C43B634" w14:textId="3B74FF8F">
      <w:pPr>
        <w:pStyle w:val="NormalHanging12a"/>
      </w:pPr>
      <w:r w:rsidRPr="006D43F4">
        <w:t>D.</w:t>
      </w:r>
      <w:r w:rsidRPr="006D43F4">
        <w:tab/>
        <w:t>whereas, under Article 317 TFEU, the Commission is to implement the Union budget on its own responsibility, having regard to the principles of sound financial management, and whereas, under the framework in place, the Commission is to confer on the other Union institutions the requisite powers for the implementation of the sections of the budget relating to them;</w:t>
      </w:r>
    </w:p>
    <w:p w:rsidR="00FC525D" w:rsidRPr="006D43F4" w:rsidP="00FC525D" w14:paraId="1CB1A4C3" w14:textId="77777777">
      <w:pPr>
        <w:pStyle w:val="NormalHanging12a"/>
      </w:pPr>
      <w:r w:rsidRPr="006D43F4">
        <w:t>E.</w:t>
      </w:r>
      <w:r w:rsidRPr="006D43F4">
        <w:tab/>
        <w:t xml:space="preserve">whereas, under Articles 235(4) and 240(2) TFEU, the European Council and the Council (the ‘Council’) are assisted by the General Secretariat of the Council, and whereas the Secretary-General of the Council is wholly responsible for the sound </w:t>
      </w:r>
      <w:r w:rsidRPr="006D43F4">
        <w:t>management of the appropriations entered in Section II of the Union budget;</w:t>
      </w:r>
    </w:p>
    <w:p w:rsidR="00FC525D" w:rsidRPr="006D43F4" w:rsidP="00FC525D" w14:paraId="660A8555" w14:textId="7E40DBAF">
      <w:pPr>
        <w:pStyle w:val="NormalHanging12a"/>
      </w:pPr>
      <w:r w:rsidRPr="006D43F4">
        <w:t>F.</w:t>
      </w:r>
      <w:r w:rsidRPr="006D43F4">
        <w:tab/>
        <w:t xml:space="preserve">whereas, over the course of almost </w:t>
      </w:r>
      <w:r w:rsidRPr="006D43F4" w:rsidR="00D33454">
        <w:t xml:space="preserve">20 </w:t>
      </w:r>
      <w:r w:rsidRPr="006D43F4">
        <w:t>years, Parliament has been implementing the well-established and respected practice of granting discharge to all Union institutions, bodies, offices and agencies, and whereas the Commission supports that the practice of giving discharge to each Union institution, body, office and agency for its administrative expenditure should continue to be pursued;</w:t>
      </w:r>
    </w:p>
    <w:p w:rsidR="00FC525D" w:rsidRPr="006D43F4" w:rsidP="00FC525D" w14:paraId="3CAA0C6F" w14:textId="0DADEECB">
      <w:pPr>
        <w:pStyle w:val="NormalHanging12a"/>
      </w:pPr>
      <w:r w:rsidRPr="006D43F4">
        <w:t>G.</w:t>
      </w:r>
      <w:r w:rsidRPr="006D43F4">
        <w:tab/>
        <w:t xml:space="preserve">whereas, according to Article 59(1) of the Financial Regulation, the Commission shall confer on the other Union </w:t>
      </w:r>
      <w:r w:rsidRPr="006D43F4" w:rsidR="00A4566A">
        <w:t>i</w:t>
      </w:r>
      <w:r w:rsidRPr="006D43F4">
        <w:t>nstitutions the requisite powers for the implementation of the sections of the budget relating to them;</w:t>
      </w:r>
    </w:p>
    <w:p w:rsidR="00FC525D" w:rsidRPr="006D43F4" w:rsidP="00FC525D" w14:paraId="62ABD025" w14:textId="77777777">
      <w:pPr>
        <w:pStyle w:val="NormalHanging12a"/>
      </w:pPr>
      <w:r w:rsidRPr="006D43F4">
        <w:t>H.</w:t>
      </w:r>
      <w:r w:rsidRPr="006D43F4">
        <w:tab/>
        <w:t>whereas, since 2009, the Council’s lack of cooperation in the discharge procedure has compelled Parliament to refuse to grant discharge to the Secretary-General of the Council;</w:t>
      </w:r>
    </w:p>
    <w:p w:rsidR="00FC525D" w:rsidRPr="006D43F4" w:rsidP="00FC525D" w14:paraId="745D02C4" w14:textId="77777777">
      <w:pPr>
        <w:pStyle w:val="NormalHanging12a"/>
      </w:pPr>
      <w:r w:rsidRPr="006D43F4">
        <w:t>I.</w:t>
      </w:r>
      <w:r w:rsidRPr="006D43F4">
        <w:tab/>
        <w:t>whereas the European Council and the Council, as Union institutions and as recipients of the general budget of the Union, should be transparent and democratically accountable to the citizens of the Union and subject to democratic scrutiny of the spending of public funds;</w:t>
      </w:r>
    </w:p>
    <w:p w:rsidR="00FC525D" w:rsidRPr="006D43F4" w:rsidP="00FC525D" w14:paraId="2F40058D" w14:textId="77777777">
      <w:pPr>
        <w:pStyle w:val="NormalHanging12a"/>
      </w:pPr>
      <w:r w:rsidRPr="006D43F4">
        <w:t>J.</w:t>
      </w:r>
      <w:r w:rsidRPr="006D43F4">
        <w:tab/>
        <w:t>whereas the recommendation of the European Ombudsman (the ‘Ombudsman’) in strategic inquiry OI/2/2017/TE on the transparency of the Council legislative process indicated that the Council’s practice with regard to transparency in the legislative process constituted maladministration and should be addressed in order to enable citizens to follow the Union legislative process;</w:t>
      </w:r>
    </w:p>
    <w:p w:rsidR="00FC525D" w:rsidRPr="006D43F4" w:rsidP="00FC525D" w14:paraId="4621BEE0" w14:textId="64AEA362">
      <w:pPr>
        <w:pStyle w:val="NormalHanging12a"/>
      </w:pPr>
      <w:r w:rsidRPr="006D43F4">
        <w:t>K.</w:t>
      </w:r>
      <w:r w:rsidRPr="006D43F4">
        <w:tab/>
        <w:t xml:space="preserve">whereas the case law of the Court of Justice of the European Union confirms the right of taxpayers and of the public to be kept informed about the use of public revenue and that the General Court in its judgment of 25 January 2023 in Case T-163/21, </w:t>
      </w:r>
      <w:r w:rsidRPr="006D43F4">
        <w:rPr>
          <w:i/>
          <w:iCs/>
        </w:rPr>
        <w:t>De Capitani v Council</w:t>
      </w:r>
      <w:r w:rsidRPr="006D43F4">
        <w:t>, stated on transparency within the Union legislative process that documents produced by the Council in its working groups are not of technical nature but legislative and are therefore subject to access to documents requests;</w:t>
      </w:r>
    </w:p>
    <w:p w:rsidR="00833FBD" w:rsidRPr="006D43F4" w:rsidP="00363DE4" w14:paraId="16C1210C" w14:textId="2586C1A5">
      <w:pPr>
        <w:pStyle w:val="NormalHanging12a"/>
      </w:pPr>
      <w:r w:rsidRPr="006D43F4">
        <w:t>1.</w:t>
      </w:r>
      <w:r w:rsidRPr="006D43F4">
        <w:tab/>
        <w:t>Deeply regrets that since 2009, and again for the financial year 2024, Council continues to refuse to cooperate with Parliament on the discharge procedure, despite Parliament’s repeated efforts to establish constructive cooperation, preventing Parliament from taking an informed decision based on a serious and thorough scrutiny of the implementation of the Council’s budget and thereby compelling Parliament to refuse discharge;</w:t>
      </w:r>
    </w:p>
    <w:p w:rsidR="00363DE4" w:rsidRPr="006D43F4" w:rsidP="00363DE4" w14:paraId="3FDA2C84" w14:textId="44F57DB4">
      <w:pPr>
        <w:pStyle w:val="NormalHanging12a"/>
        <w:rPr>
          <w:bCs/>
          <w:iCs/>
        </w:rPr>
      </w:pPr>
      <w:r w:rsidRPr="006D43F4">
        <w:rPr>
          <w:bCs/>
          <w:iCs/>
        </w:rPr>
        <w:t>2</w:t>
      </w:r>
      <w:r w:rsidRPr="006D43F4">
        <w:rPr>
          <w:bCs/>
          <w:iCs/>
        </w:rPr>
        <w:t>.</w:t>
      </w:r>
      <w:r w:rsidRPr="006D43F4">
        <w:rPr>
          <w:bCs/>
          <w:iCs/>
        </w:rPr>
        <w:tab/>
        <w:t xml:space="preserve">Stresses that Parliament's power to exercise democratic and political control over the implementation of the Union budget derives from Article 14(1) TEU, and that this control is exercised over the Union budget as a whole pursuant to Article 319 TFEU, as </w:t>
      </w:r>
      <w:r w:rsidRPr="006D43F4">
        <w:rPr>
          <w:bCs/>
          <w:iCs/>
        </w:rPr>
        <w:t xml:space="preserve">extended to all Union institutions through the Financial Regulation and Parliament's consistent practice, upheld for over two decades, of granting discharge individually to every Union institution, body, office and agency; underlines that the discharge procedure, </w:t>
      </w:r>
      <w:r w:rsidRPr="006D43F4" w:rsidR="009229B4">
        <w:rPr>
          <w:bCs/>
          <w:iCs/>
        </w:rPr>
        <w:t xml:space="preserve">as </w:t>
      </w:r>
      <w:r w:rsidRPr="006D43F4">
        <w:rPr>
          <w:bCs/>
          <w:iCs/>
        </w:rPr>
        <w:t xml:space="preserve">understood, is an essential instrument of parliamentary accountability, transparency and democratic control over the use of public funds, and </w:t>
      </w:r>
      <w:r w:rsidRPr="006D43F4" w:rsidR="009229B4">
        <w:rPr>
          <w:bCs/>
          <w:iCs/>
        </w:rPr>
        <w:t xml:space="preserve">that it </w:t>
      </w:r>
      <w:r w:rsidRPr="006D43F4">
        <w:rPr>
          <w:bCs/>
          <w:iCs/>
        </w:rPr>
        <w:t xml:space="preserve">forms part of the system of institutional checks and balances underpinning the rule of law within the Union; emphasises that the Council, as the institution responsible for implementing its own section of the Union budget, must be subject to effective parliamentary scrutiny on the same basis as every other institution, and cannot place itself outside the discharge process by unilaterally contesting an interpretation that Parliament, the Commission and every other institution accept and follow; considers that the Council's full cooperation with Parliament is therefore essential to uphold the institutional balance, sound financial management and the rule of law; stresses that the Council's continued failure to cooperate with Parliament in the discharge procedure </w:t>
      </w:r>
      <w:r w:rsidRPr="006D43F4" w:rsidR="009229B4">
        <w:rPr>
          <w:bCs/>
          <w:iCs/>
        </w:rPr>
        <w:t xml:space="preserve">since 2009 </w:t>
      </w:r>
      <w:r w:rsidRPr="006D43F4">
        <w:rPr>
          <w:bCs/>
          <w:iCs/>
        </w:rPr>
        <w:t>undermines Parliament's budgetary control prerogatives as they have been consistently exercised in practice, and weakens democratic accountability and public trust in the Union institutions;</w:t>
      </w:r>
    </w:p>
    <w:p w:rsidR="00363DE4" w:rsidRPr="006D43F4" w:rsidP="00363DE4" w14:paraId="4EC9B440" w14:textId="18E42DD9">
      <w:pPr>
        <w:pStyle w:val="NormalHanging12a"/>
        <w:rPr>
          <w:bCs/>
          <w:iCs/>
        </w:rPr>
      </w:pPr>
      <w:r w:rsidRPr="006D43F4">
        <w:rPr>
          <w:bCs/>
          <w:iCs/>
        </w:rPr>
        <w:t>3</w:t>
      </w:r>
      <w:r w:rsidRPr="006D43F4">
        <w:rPr>
          <w:bCs/>
          <w:iCs/>
        </w:rPr>
        <w:t>.</w:t>
      </w:r>
      <w:r w:rsidRPr="006D43F4">
        <w:rPr>
          <w:bCs/>
          <w:iCs/>
        </w:rPr>
        <w:tab/>
        <w:t>Reiterates deep regret that the Council continues to evade the standard discharge procedure; insists that the administrative expenditures of the European Council and the Council must be subject to the exact same democratic scrutiny and accountability standards as those of any other Union institution; calls on the Council to resume negotiations with Parliament without delay to establish a binding working arrangement for the discharge procedure;</w:t>
      </w:r>
    </w:p>
    <w:p w:rsidR="00363DE4" w:rsidRPr="006D43F4" w:rsidP="00363DE4" w14:paraId="2A71E784" w14:textId="43B4FB31">
      <w:pPr>
        <w:pStyle w:val="NormalHanging12a"/>
        <w:rPr>
          <w:bCs/>
          <w:iCs/>
        </w:rPr>
      </w:pPr>
      <w:r w:rsidRPr="006D43F4">
        <w:rPr>
          <w:bCs/>
          <w:iCs/>
        </w:rPr>
        <w:t>4</w:t>
      </w:r>
      <w:r w:rsidRPr="006D43F4">
        <w:rPr>
          <w:bCs/>
          <w:iCs/>
        </w:rPr>
        <w:t>.</w:t>
      </w:r>
      <w:r w:rsidRPr="006D43F4">
        <w:rPr>
          <w:bCs/>
          <w:iCs/>
        </w:rPr>
        <w:tab/>
        <w:t>Emphasi</w:t>
      </w:r>
      <w:r w:rsidRPr="006D43F4" w:rsidR="009229B4">
        <w:rPr>
          <w:bCs/>
          <w:iCs/>
        </w:rPr>
        <w:t>s</w:t>
      </w:r>
      <w:r w:rsidRPr="006D43F4">
        <w:rPr>
          <w:bCs/>
          <w:iCs/>
        </w:rPr>
        <w:t>es the growing importance of cybersecurity and digital infrastructure investments within the Council's administrative framework; urges the Council to ensure absolute transparency and rigorous oversight in all public procurement contracts related to IT, cloud migration, and external consultancy services; </w:t>
      </w:r>
    </w:p>
    <w:p w:rsidR="00363DE4" w:rsidRPr="006D43F4" w:rsidP="00363DE4" w14:paraId="459F965A" w14:textId="180361C1">
      <w:pPr>
        <w:pStyle w:val="NormalHanging12a"/>
        <w:rPr>
          <w:bCs/>
          <w:iCs/>
        </w:rPr>
      </w:pPr>
      <w:r w:rsidRPr="006D43F4">
        <w:rPr>
          <w:bCs/>
          <w:iCs/>
        </w:rPr>
        <w:t>5</w:t>
      </w:r>
      <w:r w:rsidRPr="006D43F4">
        <w:rPr>
          <w:bCs/>
          <w:iCs/>
        </w:rPr>
        <w:t>.</w:t>
      </w:r>
      <w:r w:rsidRPr="006D43F4">
        <w:rPr>
          <w:bCs/>
          <w:iCs/>
        </w:rPr>
        <w:tab/>
        <w:t>Notes the data provided on the Council’s establishment plan; calls for continuous improvements in ensuring balanced geographical representation across all administrative levels</w:t>
      </w:r>
      <w:r w:rsidRPr="006D43F4" w:rsidR="009229B4">
        <w:rPr>
          <w:bCs/>
          <w:iCs/>
        </w:rPr>
        <w:t xml:space="preserve">, </w:t>
      </w:r>
      <w:r w:rsidRPr="006D43F4">
        <w:rPr>
          <w:bCs/>
          <w:iCs/>
        </w:rPr>
        <w:t>particularly in management posts</w:t>
      </w:r>
      <w:r w:rsidRPr="006D43F4" w:rsidR="009229B4">
        <w:rPr>
          <w:bCs/>
          <w:iCs/>
        </w:rPr>
        <w:t xml:space="preserve">, </w:t>
      </w:r>
      <w:r w:rsidRPr="006D43F4">
        <w:rPr>
          <w:bCs/>
          <w:iCs/>
        </w:rPr>
        <w:t>and maintaining strict adherence to equal opportunity policies;</w:t>
      </w:r>
    </w:p>
    <w:p w:rsidR="00FC525D" w:rsidRPr="006D43F4" w:rsidP="00FC525D" w14:paraId="198CC8AF" w14:textId="54C9E821">
      <w:pPr>
        <w:pStyle w:val="NormalHanging12a"/>
      </w:pPr>
      <w:r w:rsidRPr="006D43F4">
        <w:t>6</w:t>
      </w:r>
      <w:r w:rsidRPr="006D43F4">
        <w:t>.</w:t>
      </w:r>
      <w:r w:rsidRPr="006D43F4">
        <w:tab/>
        <w:t>Notes that on 22 September 2025, the relevant Parliament services, on behalf of the rapporteur for the discharge procedure, forwarded a questionnaire to the Secretariat of the Council containing 103 important questions from Parliament in order to enable a thorough scrutiny of the implementation of the Council budget and of the management of the Council; further notes that similar questionnaires were sent to all other institutions, all of which have provided Parliament with thorough answers to all questions;</w:t>
      </w:r>
    </w:p>
    <w:p w:rsidR="00FC525D" w:rsidRPr="006D43F4" w:rsidP="00FC525D" w14:paraId="48FB943A" w14:textId="60DB0A9C">
      <w:pPr>
        <w:pStyle w:val="NormalHanging12a"/>
      </w:pPr>
      <w:r w:rsidRPr="006D43F4">
        <w:t>7</w:t>
      </w:r>
      <w:r w:rsidRPr="006D43F4">
        <w:t>.</w:t>
      </w:r>
      <w:r w:rsidRPr="006D43F4">
        <w:tab/>
        <w:t>Regrets that, on 3 October 2025, the General Secretariat of the Council informed Parliament once again that it would not be answering Parliament’s questionnaire and that the Council would not be participating in the hearing which was arranged for 6 November 2025 as part of the discharge procedure and in which all other institutions that were invited participated;</w:t>
      </w:r>
    </w:p>
    <w:p w:rsidR="00FC525D" w:rsidRPr="006D43F4" w:rsidP="00FC525D" w14:paraId="767246D0" w14:textId="4E32ED98">
      <w:pPr>
        <w:pStyle w:val="NormalHanging12a"/>
      </w:pPr>
      <w:r w:rsidRPr="006D43F4">
        <w:t>8</w:t>
      </w:r>
      <w:r w:rsidRPr="006D43F4">
        <w:t>.</w:t>
      </w:r>
      <w:r w:rsidRPr="006D43F4">
        <w:tab/>
        <w:t xml:space="preserve">Emphasises Parliament’s prerogative to grant discharge pursuant to Article 319 TFEU, as well as the applicable provisions of the Financial Regulation and Parliament’s Rules of Procedure, in line with current interpretation and practice, namely the power to grant discharge </w:t>
      </w:r>
      <w:r w:rsidRPr="006D43F4">
        <w:t>in order to</w:t>
      </w:r>
      <w:r w:rsidRPr="006D43F4">
        <w:t xml:space="preserve"> maintain transparency and to ensure democratic accountability towards Union taxpayers;</w:t>
      </w:r>
    </w:p>
    <w:p w:rsidR="00FC525D" w:rsidRPr="006D43F4" w:rsidP="00FC525D" w14:paraId="1913A049" w14:textId="12D1C1C7">
      <w:pPr>
        <w:pStyle w:val="NormalHanging12a"/>
      </w:pPr>
      <w:r w:rsidRPr="006D43F4">
        <w:t>9</w:t>
      </w:r>
      <w:r w:rsidRPr="006D43F4">
        <w:t>.</w:t>
      </w:r>
      <w:r w:rsidRPr="006D43F4">
        <w:tab/>
        <w:t xml:space="preserve">Underlines that Article 59(1) of the Financial Regulation states that the Commission shall confer the requisite powers on the other Union </w:t>
      </w:r>
      <w:r w:rsidRPr="006D43F4" w:rsidR="002A298C">
        <w:t>i</w:t>
      </w:r>
      <w:r w:rsidRPr="006D43F4">
        <w:t>nstitutions for the implementation of the sections of the budget relating to them and, therefore, finds it once again incomprehensible that the Council believes it appropriate that discharge should be granted to the Commission for the implementation of the Council budget;</w:t>
      </w:r>
    </w:p>
    <w:p w:rsidR="00363DE4" w:rsidRPr="006D43F4" w:rsidP="00363DE4" w14:paraId="3674441D" w14:textId="7AE7FD61">
      <w:pPr>
        <w:pStyle w:val="NormalHanging12a"/>
        <w:rPr>
          <w:bCs/>
          <w:iCs/>
        </w:rPr>
      </w:pPr>
      <w:r w:rsidRPr="006D43F4">
        <w:rPr>
          <w:bCs/>
          <w:iCs/>
        </w:rPr>
        <w:t>10</w:t>
      </w:r>
      <w:r w:rsidRPr="006D43F4">
        <w:rPr>
          <w:bCs/>
          <w:iCs/>
        </w:rPr>
        <w:t>.</w:t>
      </w:r>
      <w:r w:rsidRPr="006D43F4">
        <w:rPr>
          <w:bCs/>
          <w:iCs/>
        </w:rPr>
        <w:tab/>
      </w:r>
      <w:r w:rsidRPr="006D43F4" w:rsidR="00DC32D3">
        <w:rPr>
          <w:bCs/>
          <w:iCs/>
        </w:rPr>
        <w:t>Highlights</w:t>
      </w:r>
      <w:r w:rsidRPr="006D43F4">
        <w:rPr>
          <w:bCs/>
          <w:iCs/>
        </w:rPr>
        <w:t xml:space="preserve"> the fact that the General Court's 2023 </w:t>
      </w:r>
      <w:r w:rsidRPr="006D43F4">
        <w:rPr>
          <w:bCs/>
          <w:i/>
        </w:rPr>
        <w:t>De Capitani v Council</w:t>
      </w:r>
      <w:r w:rsidRPr="006D43F4">
        <w:rPr>
          <w:bCs/>
          <w:iCs/>
        </w:rPr>
        <w:t xml:space="preserve"> ruling found that Council working</w:t>
      </w:r>
      <w:r w:rsidRPr="006D43F4" w:rsidR="00FD0F3B">
        <w:rPr>
          <w:bCs/>
          <w:iCs/>
        </w:rPr>
        <w:t xml:space="preserve"> </w:t>
      </w:r>
      <w:r w:rsidRPr="006D43F4">
        <w:rPr>
          <w:bCs/>
          <w:iCs/>
        </w:rPr>
        <w:t>group documents are legislative, not merely technical, and are therefore subject to public access</w:t>
      </w:r>
      <w:r w:rsidRPr="006D43F4" w:rsidR="00906D21">
        <w:rPr>
          <w:bCs/>
          <w:iCs/>
        </w:rPr>
        <w:t xml:space="preserve"> </w:t>
      </w:r>
      <w:r w:rsidRPr="006D43F4">
        <w:rPr>
          <w:bCs/>
          <w:iCs/>
        </w:rPr>
        <w:t>to</w:t>
      </w:r>
      <w:r w:rsidRPr="006D43F4" w:rsidR="00906D21">
        <w:rPr>
          <w:bCs/>
          <w:iCs/>
        </w:rPr>
        <w:t xml:space="preserve"> </w:t>
      </w:r>
      <w:r w:rsidRPr="006D43F4">
        <w:rPr>
          <w:bCs/>
          <w:iCs/>
        </w:rPr>
        <w:t xml:space="preserve">documents rules; calls </w:t>
      </w:r>
      <w:r w:rsidRPr="006D43F4" w:rsidR="00DC32D3">
        <w:rPr>
          <w:bCs/>
          <w:iCs/>
        </w:rPr>
        <w:t xml:space="preserve">on </w:t>
      </w:r>
      <w:r w:rsidRPr="006D43F4">
        <w:rPr>
          <w:bCs/>
          <w:iCs/>
        </w:rPr>
        <w:t xml:space="preserve">the Council to fully implement this ruling </w:t>
      </w:r>
      <w:r>
        <w:rPr>
          <w:bCs/>
          <w:iCs/>
          <w:vertAlign w:val="superscript"/>
        </w:rPr>
        <w:footnoteReference w:id="9"/>
      </w:r>
      <w:r w:rsidRPr="006D43F4">
        <w:rPr>
          <w:bCs/>
          <w:iCs/>
        </w:rPr>
        <w:t>; </w:t>
      </w:r>
    </w:p>
    <w:p w:rsidR="00FC525D" w:rsidRPr="006D43F4" w:rsidP="00FC525D" w14:paraId="20F8DAC7" w14:textId="10720CAF">
      <w:pPr>
        <w:pStyle w:val="NormalHanging12a"/>
      </w:pPr>
      <w:r w:rsidRPr="006D43F4">
        <w:t>11</w:t>
      </w:r>
      <w:r w:rsidRPr="006D43F4">
        <w:t>.</w:t>
      </w:r>
      <w:r w:rsidRPr="006D43F4">
        <w:tab/>
        <w:t xml:space="preserve">Stresses the well-established and respected practice followed by Parliament over the course of almost </w:t>
      </w:r>
      <w:r w:rsidRPr="006D43F4" w:rsidR="00F606A7">
        <w:t>20</w:t>
      </w:r>
      <w:r w:rsidRPr="006D43F4">
        <w:t xml:space="preserve"> years of granting discharge to all Union institutions, bodies, offices and agencies; recalls that the Commission has declared its inability to oversee the implementation of the budgets of the other Union institutions; stresses the reiterated view of the Commission that the practice of giving discharge to each Union institution for their administrative expenditure should continue to be pursued by Parliament;</w:t>
      </w:r>
    </w:p>
    <w:p w:rsidR="00363DE4" w:rsidRPr="006D43F4" w:rsidP="00363DE4" w14:paraId="0B5A8C05" w14:textId="51971493">
      <w:pPr>
        <w:pStyle w:val="NormalHanging12a"/>
      </w:pPr>
      <w:r w:rsidRPr="006D43F4">
        <w:t>12</w:t>
      </w:r>
      <w:r w:rsidRPr="006D43F4">
        <w:t>.</w:t>
      </w:r>
      <w:r w:rsidRPr="006D43F4">
        <w:tab/>
        <w:t>Stresses that</w:t>
      </w:r>
      <w:r w:rsidRPr="006D43F4" w:rsidR="00DC32D3">
        <w:t xml:space="preserve"> because of the Council’s continued lack of cooperation with Parliament,</w:t>
      </w:r>
      <w:r w:rsidRPr="006D43F4">
        <w:t xml:space="preserve"> the current situation allows Parliament to check only the reports of the Court of Auditors and of the Ombudsman as well as the publicly available information on the Council’s website, which makes it difficult for Parliament to carry out its duties properly and make an informed decision on granting discharge;</w:t>
      </w:r>
    </w:p>
    <w:p w:rsidR="00FC525D" w:rsidRPr="006D43F4" w:rsidP="00FC525D" w14:paraId="0BB871DB" w14:textId="2BFD197B">
      <w:pPr>
        <w:pStyle w:val="NormalHanging12a"/>
      </w:pPr>
      <w:r w:rsidRPr="006D43F4">
        <w:t>13</w:t>
      </w:r>
      <w:r w:rsidRPr="006D43F4">
        <w:t>.</w:t>
      </w:r>
      <w:r w:rsidRPr="006D43F4">
        <w:tab/>
        <w:t>Deplores that the Council, for 15 years, has shown a lack of political willingness to collaborate with Parliament in the context of the annual discharge procedure; underlines that this attitude has had a lasting negative effect on both institutions, has discredited the management and democratic scrutiny of the Union budget and has damaged the trust of citizens in the Union as a transparent entity;</w:t>
      </w:r>
    </w:p>
    <w:p w:rsidR="00380FBF" w:rsidRPr="006D43F4" w:rsidP="00FC525D" w14:paraId="56727745" w14:textId="3DB8C419">
      <w:pPr>
        <w:pStyle w:val="NormalHanging12a"/>
      </w:pPr>
      <w:r w:rsidRPr="006D43F4">
        <w:t>14</w:t>
      </w:r>
      <w:r w:rsidRPr="006D43F4">
        <w:t>.</w:t>
      </w:r>
      <w:r w:rsidRPr="006D43F4">
        <w:tab/>
        <w:t>Reaffirms its deep frustration regarding the Council's attitude towards the discharge procedure, which conveys an inappropriate message to Union citizens at a time when greater transparency is essential; underlines the importance of the Council continuing to adhere to the same standards of accountability it expects from other Union institutions;</w:t>
      </w:r>
    </w:p>
    <w:p w:rsidR="00FC525D" w:rsidRPr="006D43F4" w:rsidP="00FC525D" w14:paraId="68A7AB0E" w14:textId="49F53269">
      <w:pPr>
        <w:pStyle w:val="NormalHanging12a"/>
      </w:pPr>
      <w:r w:rsidRPr="006D43F4">
        <w:t>1</w:t>
      </w:r>
      <w:r w:rsidRPr="006D43F4" w:rsidR="005A62EF">
        <w:t>5</w:t>
      </w:r>
      <w:r w:rsidRPr="006D43F4">
        <w:t>.</w:t>
      </w:r>
      <w:r w:rsidRPr="006D43F4">
        <w:tab/>
        <w:t>Emphasises that all other Union institutions acknowledge and comprehend the principle that, given the delegation of power concerning budget implementation, Parliament holds both the right and the obligation to scrutinise their budgets and their execution as part of the discharge procedure; in light of this, expresses its strong disapproval that the Council persists in its refusal to cooperate with Parliament in this regard;</w:t>
      </w:r>
    </w:p>
    <w:p w:rsidR="00FC525D" w:rsidRPr="006D43F4" w:rsidP="00FC525D" w14:paraId="035A1FA4" w14:textId="5E9BC1A1">
      <w:pPr>
        <w:pStyle w:val="NormalHanging12a"/>
      </w:pPr>
      <w:r w:rsidRPr="006D43F4">
        <w:t>1</w:t>
      </w:r>
      <w:r w:rsidRPr="006D43F4" w:rsidR="005A62EF">
        <w:t>6</w:t>
      </w:r>
      <w:r w:rsidRPr="006D43F4">
        <w:t>.</w:t>
      </w:r>
      <w:r w:rsidRPr="006D43F4">
        <w:tab/>
        <w:t>Recalls that the case law of the Court of Justice of the European Union supports the right of taxpayers and the public to be kept informed about the use of public revenues; demands, therefore, full respect for Parliament’s prerogative and role as guarantor of the democratic accountability principle; calls on the Council to duly follow up on the recommendations adopted by Parliament in the context of the discharge procedure;</w:t>
      </w:r>
    </w:p>
    <w:p w:rsidR="00282283" w:rsidRPr="006D43F4" w:rsidP="001B50DF" w14:paraId="5DF79CF9" w14:textId="3277BFFC">
      <w:pPr>
        <w:pStyle w:val="NormalHanging12a"/>
      </w:pPr>
      <w:r w:rsidRPr="006D43F4">
        <w:t>1</w:t>
      </w:r>
      <w:r w:rsidRPr="006D43F4" w:rsidR="005A62EF">
        <w:t>7</w:t>
      </w:r>
      <w:r w:rsidRPr="006D43F4">
        <w:t>.</w:t>
      </w:r>
      <w:r w:rsidRPr="006D43F4">
        <w:tab/>
      </w:r>
      <w:r w:rsidRPr="006D43F4">
        <w:t>Stresses that the current situation must be improved through better interinstitutional cooperation within the existing framework of the Treaties; considers it necessary, as part of future revision of the Treaties, to clarify the discharge procedure and explicitly empower Parliament to grant discharge individually to all Union institutions, bodies, offices and agencies and urges the Council to actively engage with Parliament to address the current situation;</w:t>
      </w:r>
    </w:p>
    <w:p w:rsidR="00363DE4" w:rsidRPr="006D43F4" w:rsidP="00363DE4" w14:paraId="46785965" w14:textId="069B813F">
      <w:pPr>
        <w:pStyle w:val="NormalHanging12a"/>
      </w:pPr>
      <w:r w:rsidRPr="006D43F4">
        <w:t>1</w:t>
      </w:r>
      <w:r w:rsidRPr="006D43F4" w:rsidR="005A62EF">
        <w:t>8</w:t>
      </w:r>
      <w:r w:rsidRPr="006D43F4">
        <w:t>.</w:t>
      </w:r>
      <w:r w:rsidRPr="006D43F4">
        <w:tab/>
        <w:t xml:space="preserve">Recalls that on 6 May 2025, during his intervention in Parliament’s plenary, the Representative of the Presidency of the Council expressed the </w:t>
      </w:r>
      <w:r w:rsidRPr="006D43F4" w:rsidR="00DC32D3">
        <w:t xml:space="preserve">Council’s </w:t>
      </w:r>
      <w:r w:rsidRPr="006D43F4">
        <w:t>willingness ‘to engage in a meaningful and pragmatic cooperation between our institutions’ when it comes to discharge in relation to the European Council and Council section of the Union budget, and reiterates its call for this intention to be translated into concrete steps in due time; calls therefore on the Council to resume negotiations with Parliament at the highest level as soon as possible, involving the Secretary-Generals and the Presidents of both institutions, in order to break the deadlock and find a solution while respecting the respective roles of Parliament and the Council in the discharge procedure and ensuring transparency and robust democratic control of budget implementation; reiterates its request that the Commission and the Council legal services provide an opinion on potential Treaty-based solutions to enforce Council’s accountability in the discharge procedure;</w:t>
      </w:r>
    </w:p>
    <w:p w:rsidR="00FC525D" w:rsidRPr="006D43F4" w:rsidP="00FC525D" w14:paraId="02D51257" w14:textId="16BA0B41">
      <w:pPr>
        <w:pStyle w:val="NormalHanging12a"/>
      </w:pPr>
      <w:r w:rsidRPr="006D43F4">
        <w:t>1</w:t>
      </w:r>
      <w:r w:rsidRPr="006D43F4" w:rsidR="005A62EF">
        <w:t>9</w:t>
      </w:r>
      <w:r w:rsidRPr="006D43F4">
        <w:t>.</w:t>
      </w:r>
      <w:r w:rsidRPr="006D43F4">
        <w:tab/>
        <w:t xml:space="preserve">Stresses that Parliament’s observations concerning budgetary and financial management, internal management, performance and internal control, human resources, equality and well-being, ethical framework and transparency, digitalisation, cybersecurity and data protection, buildings, environment and sustainability, interinstitutional cooperation and communication from its discharge resolution of 29 </w:t>
      </w:r>
      <w:r w:rsidRPr="006D43F4">
        <w:t>April 2026 are still valid;</w:t>
      </w:r>
    </w:p>
    <w:p w:rsidR="00FC525D" w:rsidRPr="006D43F4" w:rsidP="00FC525D" w14:paraId="432D40B6" w14:textId="7A4E8D62">
      <w:pPr>
        <w:pStyle w:val="NormalHanging12a"/>
      </w:pPr>
      <w:r w:rsidRPr="006D43F4">
        <w:t>20</w:t>
      </w:r>
      <w:r w:rsidRPr="006D43F4">
        <w:t>.</w:t>
      </w:r>
      <w:r w:rsidRPr="006D43F4">
        <w:tab/>
        <w:t>Reiterates its regret that the budget of the European Council and the Council has not been divided into two clearly separated budgets as recommended by Parliament in previous discharge resolutions in order to improve transparency and accountability, not least concerning the European Council, given that it is currently impossible to obtain reliable information regarding its costs; stresses the importance of reliable data for objective control; calls for compliance with the recommendation of the discharge authority;</w:t>
      </w:r>
    </w:p>
    <w:p w:rsidR="00E37CAF" w:rsidRPr="006D43F4" w:rsidP="007818C5" w14:paraId="7A4F0FC4" w14:textId="7E81C0D5">
      <w:pPr>
        <w:ind w:left="720" w:hanging="720"/>
      </w:pPr>
      <w:r w:rsidRPr="006D43F4">
        <w:t>21</w:t>
      </w:r>
      <w:r w:rsidRPr="006D43F4" w:rsidR="00343900">
        <w:t xml:space="preserve">. </w:t>
      </w:r>
      <w:r w:rsidRPr="006D43F4" w:rsidR="00343900">
        <w:tab/>
        <w:t xml:space="preserve">Stresses that, while unanimity voting remains a core principle of the Treaties, its application in certain circumstances and in critical policy areas can affect the Union's timelines and effectiveness, including by paralysing the Union’s decision-making process and thereby leaving it vulnerable to being blocked or </w:t>
      </w:r>
      <w:r w:rsidRPr="006D43F4" w:rsidR="0091778B">
        <w:t xml:space="preserve">prone to </w:t>
      </w:r>
      <w:r w:rsidRPr="006D43F4" w:rsidR="00343900">
        <w:t>blackmail by individual Member States, particularly those that fail to respect the rule of law; calls for targeted Treaty reforms or, alternatively, practical improvements within the existing Treaty framework, in order to strengthen transparency, democratic decision-making, accountability and the efficiency of the Council's work; calls on the Council to follow up on previous Parliament resolutions calling for such reforms;</w:t>
      </w:r>
    </w:p>
    <w:p w:rsidR="00824F42" w:rsidRPr="006D43F4" w:rsidP="00824F42" w14:paraId="08A52967" w14:textId="77777777">
      <w:pPr>
        <w:sectPr w:rsidSect="00824F42">
          <w:pgSz w:w="11894" w:h="15840"/>
          <w:pgMar w:top="1700" w:right="1417" w:bottom="1417" w:left="1417" w:header="720" w:footer="720" w:gutter="0"/>
          <w:cols w:space="720"/>
          <w:noEndnote/>
          <w:docGrid w:linePitch="326"/>
        </w:sectPr>
      </w:pPr>
    </w:p>
    <w:p w:rsidR="00824F42" w:rsidRPr="006D43F4" w:rsidP="007041CC" w14:paraId="1EC270D1" w14:textId="647E935D">
      <w:pPr>
        <w:pStyle w:val="PageHeading"/>
        <w:rPr>
          <w:noProof/>
        </w:rPr>
      </w:pPr>
      <w:bookmarkStart w:id="4" w:name="_Toc242175347"/>
      <w:bookmarkStart w:id="5" w:name="FootprintPageRR"/>
      <w:r w:rsidRPr="006D43F4">
        <w:rPr>
          <w:noProof/>
        </w:rPr>
        <w:t>ANNEX: DECLARATION OF INPUT</w:t>
      </w:r>
      <w:bookmarkEnd w:id="4"/>
    </w:p>
    <w:p w:rsidR="00824F42" w:rsidRPr="006D43F4" w:rsidP="00B31C6A" w14:paraId="48376AD0" w14:textId="487E5B11">
      <w:pPr>
        <w:pStyle w:val="Normal24a"/>
        <w:spacing w:after="240"/>
      </w:pPr>
      <w:r w:rsidRPr="006D43F4">
        <w:rPr>
          <w:rStyle w:val="HideTWBExt"/>
        </w:rPr>
        <w:t>&lt;FootprintIntro&gt;</w:t>
      </w:r>
      <w:r w:rsidRPr="006D43F4">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10"/>
      </w:r>
      <w:r w:rsidRPr="006D43F4">
        <w:t xml:space="preserve">, or from representatives of public authorities of third countries, including their diplomatic missions and embassies, to be listed in this Annex pursuant to Article 8 of Annex I to the Rules of </w:t>
      </w:r>
      <w:r w:rsidRPr="006D43F4">
        <w:t>Procedure.</w:t>
      </w:r>
      <w:r w:rsidRPr="006D43F4">
        <w:rPr>
          <w:rStyle w:val="HideTWBExt"/>
        </w:rPr>
        <w:t>&lt;</w:t>
      </w:r>
      <w:r w:rsidRPr="006D43F4">
        <w:rPr>
          <w:rStyle w:val="HideTWBExt"/>
        </w:rPr>
        <w:t>/</w:t>
      </w:r>
      <w:r w:rsidRPr="006D43F4">
        <w:rPr>
          <w:rStyle w:val="HideTWBExt"/>
        </w:rPr>
        <w:t>FootprintIntro</w:t>
      </w:r>
      <w:r w:rsidRPr="006D43F4">
        <w:rPr>
          <w:rStyle w:val="HideTWBExt"/>
        </w:rPr>
        <w:t>&gt;</w:t>
      </w:r>
    </w:p>
    <w:bookmarkEnd w:id="5"/>
    <w:p w:rsidR="00824F42" w:rsidRPr="006D43F4" w:rsidP="00824F42" w14:paraId="299D2F6C" w14:textId="77777777">
      <w:pPr>
        <w:sectPr w:rsidSect="00824F42">
          <w:pgSz w:w="11894" w:h="15840"/>
          <w:pgMar w:top="1700" w:right="1417" w:bottom="1417" w:left="1417" w:header="720" w:footer="720" w:gutter="0"/>
          <w:cols w:space="720"/>
          <w:noEndnote/>
          <w:docGrid w:linePitch="326"/>
        </w:sectPr>
      </w:pPr>
    </w:p>
    <w:p w:rsidR="0041214A" w:rsidRPr="00823280" w:rsidP="00823280" w14:paraId="385FDBDC" w14:textId="0E30FEA1"/>
    <w:p w:rsidR="00487FD0" w:rsidRPr="00823280" w:rsidP="00823280" w14:paraId="36C83A65" w14:textId="77777777"/>
    <w:p w:rsidR="00823280" w:rsidP="00823280" w14:paraId="564C64F5" w14:textId="009550BF">
      <w:pPr>
        <w:pStyle w:val="PageHeading"/>
      </w:pPr>
      <w:bookmarkStart w:id="6" w:name="_Toc242175348"/>
      <w:bookmarkStart w:id="7" w:name="ProcPageRR"/>
      <w:r>
        <w:t>INFORMATION ON ADOPTION</w:t>
      </w:r>
      <w:r>
        <w:br/>
        <w:t>BY THE COMMITTEE RESPONSIBLE</w:t>
      </w:r>
      <w:bookmarkEnd w:id="6"/>
    </w:p>
    <w:tbl>
      <w:tblPr>
        <w:tblW w:w="0" w:type="auto"/>
        <w:tblInd w:w="-10" w:type="dxa"/>
        <w:tblLayout w:type="fixed"/>
        <w:tblCellMar>
          <w:left w:w="0" w:type="dxa"/>
          <w:right w:w="0" w:type="dxa"/>
        </w:tblCellMar>
        <w:tblLook w:val="0000"/>
      </w:tblPr>
      <w:tblGrid>
        <w:gridCol w:w="3685"/>
        <w:gridCol w:w="1530"/>
        <w:gridCol w:w="1474"/>
        <w:gridCol w:w="1474"/>
        <w:gridCol w:w="1474"/>
      </w:tblGrid>
      <w:tr w14:paraId="2CC71030"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23280" w14:paraId="4BC9FB19"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23280" w14:paraId="1EB2BDBC" w14:textId="77777777">
            <w:pPr>
              <w:autoSpaceDE w:val="0"/>
              <w:autoSpaceDN w:val="0"/>
              <w:adjustRightInd w:val="0"/>
              <w:rPr>
                <w:color w:val="000000"/>
                <w:sz w:val="20"/>
              </w:rPr>
            </w:pPr>
            <w:r>
              <w:rPr>
                <w:color w:val="000000"/>
                <w:sz w:val="20"/>
              </w:rPr>
              <w:t>1.10.2026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23280" w14:paraId="4A258BF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23280" w14:paraId="1D78800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23280" w14:paraId="32D4E7A2" w14:textId="77777777">
            <w:pPr>
              <w:autoSpaceDE w:val="0"/>
              <w:autoSpaceDN w:val="0"/>
              <w:adjustRightInd w:val="0"/>
              <w:rPr>
                <w:rFonts w:ascii="sans-serif" w:hAnsi="sans-serif" w:cs="sans-serif"/>
                <w:color w:val="000000"/>
              </w:rPr>
            </w:pPr>
          </w:p>
        </w:tc>
      </w:tr>
      <w:tr w14:paraId="10B8BD1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23280" w14:paraId="6BC4CF36"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23280" w14:paraId="784E3948" w14:textId="77777777">
            <w:pPr>
              <w:autoSpaceDE w:val="0"/>
              <w:autoSpaceDN w:val="0"/>
              <w:adjustRightInd w:val="0"/>
              <w:rPr>
                <w:color w:val="000000"/>
                <w:sz w:val="20"/>
              </w:rPr>
            </w:pPr>
            <w:r>
              <w:rPr>
                <w:color w:val="000000"/>
                <w:sz w:val="20"/>
              </w:rPr>
              <w:t>+:</w:t>
            </w:r>
          </w:p>
          <w:p w:rsidR="00823280" w14:paraId="6BF88A4C" w14:textId="77777777">
            <w:pPr>
              <w:autoSpaceDE w:val="0"/>
              <w:autoSpaceDN w:val="0"/>
              <w:adjustRightInd w:val="0"/>
              <w:rPr>
                <w:color w:val="000000"/>
                <w:sz w:val="20"/>
              </w:rPr>
            </w:pPr>
            <w:r>
              <w:rPr>
                <w:color w:val="000000"/>
                <w:sz w:val="20"/>
              </w:rPr>
              <w:t>–:</w:t>
            </w:r>
          </w:p>
          <w:p w:rsidR="00823280" w14:paraId="38DE6B4A"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23280" w14:paraId="47C6BC17" w14:textId="77777777">
            <w:pPr>
              <w:autoSpaceDE w:val="0"/>
              <w:autoSpaceDN w:val="0"/>
              <w:adjustRightInd w:val="0"/>
              <w:rPr>
                <w:color w:val="000000"/>
                <w:sz w:val="20"/>
              </w:rPr>
            </w:pPr>
            <w:r>
              <w:rPr>
                <w:color w:val="000000"/>
                <w:sz w:val="20"/>
              </w:rPr>
              <w:t>1</w:t>
            </w:r>
          </w:p>
          <w:p w:rsidR="00823280" w14:paraId="2E2A9FC3" w14:textId="77777777">
            <w:pPr>
              <w:autoSpaceDE w:val="0"/>
              <w:autoSpaceDN w:val="0"/>
              <w:adjustRightInd w:val="0"/>
              <w:rPr>
                <w:color w:val="000000"/>
                <w:sz w:val="20"/>
              </w:rPr>
            </w:pPr>
            <w:r>
              <w:rPr>
                <w:color w:val="000000"/>
                <w:sz w:val="20"/>
              </w:rPr>
              <w:t>19</w:t>
            </w:r>
          </w:p>
          <w:p w:rsidR="00823280" w14:paraId="343FDAC6" w14:textId="77777777">
            <w:pPr>
              <w:autoSpaceDE w:val="0"/>
              <w:autoSpaceDN w:val="0"/>
              <w:adjustRightInd w:val="0"/>
              <w:rPr>
                <w:color w:val="000000"/>
                <w:sz w:val="20"/>
              </w:rPr>
            </w:pPr>
            <w:r>
              <w:rPr>
                <w:color w:val="000000"/>
                <w:sz w:val="20"/>
              </w:rPr>
              <w:t>1</w:t>
            </w:r>
          </w:p>
        </w:tc>
      </w:tr>
    </w:tbl>
    <w:p w:rsidR="00823280" w14:paraId="1A3AE90F" w14:textId="77777777"/>
    <w:bookmarkEnd w:id="7"/>
    <w:p w:rsidR="0041214A" w:rsidRPr="00823280" w:rsidP="00823280" w14:paraId="36F2494C" w14:textId="42CE54BB">
      <w:pPr>
        <w:sectPr w:rsidSect="00824F42">
          <w:pgSz w:w="11894" w:h="15840"/>
          <w:pgMar w:top="1700" w:right="1417" w:bottom="1417" w:left="1417" w:header="720" w:footer="720" w:gutter="0"/>
          <w:cols w:space="720"/>
          <w:noEndnote/>
          <w:docGrid w:linePitch="326"/>
        </w:sectPr>
      </w:pPr>
    </w:p>
    <w:p w:rsidR="0041214A" w:rsidRPr="006D43F4" w:rsidP="0041214A" w14:paraId="36231B71" w14:textId="07F2C167"/>
    <w:p w:rsidR="0041214A" w:rsidRPr="006D43F4" w:rsidP="008B71C9" w14:paraId="5C32EA00" w14:textId="1D309FC5">
      <w:pPr>
        <w:pStyle w:val="PageHeading"/>
      </w:pPr>
      <w:bookmarkStart w:id="8" w:name="_Toc242175349"/>
      <w:bookmarkStart w:id="9" w:name="RollCallPageRR"/>
      <w:r w:rsidRPr="006D43F4">
        <w:rPr>
          <w:noProof/>
        </w:rPr>
        <w:t>FINAL VOTE BY ROLL CALL</w:t>
      </w:r>
      <w:r w:rsidRPr="006D43F4">
        <w:rPr>
          <w:noProof/>
        </w:rPr>
        <w:br/>
        <w:t>BY THE COMMITTEE RESPONSIBLE</w:t>
      </w:r>
      <w:bookmarkEnd w:id="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8182F4C"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1214A" w:rsidRPr="006D43F4" w:rsidP="00E268E4" w14:paraId="2847E2F5" w14:textId="030F241F">
            <w:pPr>
              <w:pStyle w:val="RollCallVotes"/>
            </w:pPr>
            <w:r w:rsidRPr="006D43F4">
              <w:t>1</w:t>
            </w:r>
          </w:p>
        </w:tc>
        <w:tc>
          <w:tcPr>
            <w:tcW w:w="7371" w:type="dxa"/>
            <w:shd w:val="pct10" w:color="000000" w:fill="FFFFFF"/>
          </w:tcPr>
          <w:p w:rsidR="0041214A" w:rsidRPr="006D43F4" w:rsidP="00E268E4" w14:paraId="68DAAC7D" w14:textId="77777777">
            <w:pPr>
              <w:pStyle w:val="RollCallSymbols14pt"/>
            </w:pPr>
            <w:r w:rsidRPr="006D43F4">
              <w:t>+</w:t>
            </w:r>
          </w:p>
        </w:tc>
      </w:tr>
      <w:tr w14:paraId="4E69332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42DB4210" w14:textId="3BA9DA22">
            <w:pPr>
              <w:pStyle w:val="RollCallTable"/>
            </w:pPr>
            <w:r w:rsidRPr="006D43F4">
              <w:t>PfE</w:t>
            </w:r>
          </w:p>
        </w:tc>
        <w:tc>
          <w:tcPr>
            <w:tcW w:w="7371" w:type="dxa"/>
            <w:shd w:val="clear" w:color="auto" w:fill="FFFFFF"/>
          </w:tcPr>
          <w:p w:rsidR="0041214A" w:rsidRPr="006D43F4" w:rsidP="00E268E4" w14:paraId="70823647" w14:textId="7EED1C4E">
            <w:pPr>
              <w:pStyle w:val="RollCallTable"/>
            </w:pPr>
            <w:r w:rsidRPr="006D43F4">
              <w:t>Jaroslav Bžoch</w:t>
            </w:r>
          </w:p>
        </w:tc>
      </w:tr>
    </w:tbl>
    <w:p w:rsidR="0041214A" w:rsidRPr="006D43F4" w:rsidP="00147FBF" w14:paraId="34DC7EF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816860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1214A" w:rsidRPr="006D43F4" w:rsidP="00E268E4" w14:paraId="0A009A9D" w14:textId="74032013">
            <w:pPr>
              <w:pStyle w:val="RollCallVotes"/>
            </w:pPr>
            <w:r w:rsidRPr="006D43F4">
              <w:t>19</w:t>
            </w:r>
          </w:p>
        </w:tc>
        <w:tc>
          <w:tcPr>
            <w:tcW w:w="7371" w:type="dxa"/>
            <w:shd w:val="pct10" w:color="000000" w:fill="FFFFFF"/>
          </w:tcPr>
          <w:p w:rsidR="0041214A" w:rsidRPr="006D43F4" w:rsidP="00E268E4" w14:paraId="54381F53" w14:textId="77777777">
            <w:pPr>
              <w:pStyle w:val="RollCallSymbols14pt"/>
            </w:pPr>
            <w:r w:rsidRPr="006D43F4">
              <w:t>-</w:t>
            </w:r>
          </w:p>
        </w:tc>
      </w:tr>
      <w:tr w14:paraId="076549B5"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632069F9" w14:textId="3732EA54">
            <w:pPr>
              <w:pStyle w:val="RollCallTable"/>
            </w:pPr>
            <w:r w:rsidRPr="006D43F4">
              <w:t>ECR</w:t>
            </w:r>
          </w:p>
        </w:tc>
        <w:tc>
          <w:tcPr>
            <w:tcW w:w="7371" w:type="dxa"/>
            <w:shd w:val="clear" w:color="auto" w:fill="FFFFFF"/>
          </w:tcPr>
          <w:p w:rsidR="0041214A" w:rsidRPr="00165251" w:rsidP="00E268E4" w14:paraId="6D8E4E78" w14:textId="3D04869F">
            <w:pPr>
              <w:pStyle w:val="RollCallTable"/>
              <w:rPr>
                <w:lang w:val="nl-NL"/>
              </w:rPr>
            </w:pPr>
            <w:r w:rsidRPr="00165251">
              <w:rPr>
                <w:lang w:val="nl-NL"/>
              </w:rPr>
              <w:t>Rihards Kols, Bert-Jan Ruissen</w:t>
            </w:r>
          </w:p>
        </w:tc>
      </w:tr>
      <w:tr w14:paraId="3797C39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32D4F68F" w14:textId="5437BFC3">
            <w:pPr>
              <w:pStyle w:val="RollCallTable"/>
            </w:pPr>
            <w:r w:rsidRPr="006D43F4">
              <w:t>PPE</w:t>
            </w:r>
          </w:p>
        </w:tc>
        <w:tc>
          <w:tcPr>
            <w:tcW w:w="7371" w:type="dxa"/>
            <w:shd w:val="clear" w:color="auto" w:fill="FFFFFF"/>
          </w:tcPr>
          <w:p w:rsidR="0041214A" w:rsidRPr="006D43F4" w:rsidP="00E268E4" w14:paraId="2F0395D4" w14:textId="79C48D5A">
            <w:pPr>
              <w:pStyle w:val="RollCallTable"/>
            </w:pPr>
            <w:r w:rsidRPr="006D43F4">
              <w:t xml:space="preserve">Georgios </w:t>
            </w:r>
            <w:r w:rsidRPr="006D43F4">
              <w:t>Aftias</w:t>
            </w:r>
            <w:r w:rsidRPr="006D43F4">
              <w:t xml:space="preserve">, Raúl de la Hoz Quintano, Andrey Kovatchev, Tomáš </w:t>
            </w:r>
            <w:r w:rsidRPr="006D43F4">
              <w:t>Zdechovský</w:t>
            </w:r>
          </w:p>
        </w:tc>
      </w:tr>
      <w:tr w14:paraId="6DBFE60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6B9637D0" w14:textId="75E7A5BA">
            <w:pPr>
              <w:pStyle w:val="RollCallTable"/>
            </w:pPr>
            <w:r w:rsidRPr="006D43F4">
              <w:t>PfE</w:t>
            </w:r>
          </w:p>
        </w:tc>
        <w:tc>
          <w:tcPr>
            <w:tcW w:w="7371" w:type="dxa"/>
            <w:shd w:val="clear" w:color="auto" w:fill="FFFFFF"/>
          </w:tcPr>
          <w:p w:rsidR="0041214A" w:rsidRPr="006D43F4" w:rsidP="00E268E4" w14:paraId="7CE81022" w14:textId="52CDCA07">
            <w:pPr>
              <w:pStyle w:val="RollCallTable"/>
            </w:pPr>
            <w:r w:rsidRPr="006D43F4">
              <w:t xml:space="preserve">Virginie Joron, Julie </w:t>
            </w:r>
            <w:r w:rsidRPr="006D43F4">
              <w:t>Rechagneux</w:t>
            </w:r>
          </w:p>
        </w:tc>
      </w:tr>
      <w:tr w14:paraId="6A78F61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5FF1371B" w14:textId="3D860096">
            <w:pPr>
              <w:pStyle w:val="RollCallTable"/>
            </w:pPr>
            <w:r w:rsidRPr="006D43F4">
              <w:t>Renew</w:t>
            </w:r>
          </w:p>
        </w:tc>
        <w:tc>
          <w:tcPr>
            <w:tcW w:w="7371" w:type="dxa"/>
            <w:shd w:val="clear" w:color="auto" w:fill="FFFFFF"/>
          </w:tcPr>
          <w:p w:rsidR="0041214A" w:rsidRPr="006D43F4" w:rsidP="00E268E4" w14:paraId="43DC0357" w14:textId="58D15CB9">
            <w:pPr>
              <w:pStyle w:val="RollCallTable"/>
            </w:pPr>
            <w:r w:rsidRPr="006D43F4">
              <w:t>Gilles Boyer, Olivier Chastel</w:t>
            </w:r>
          </w:p>
        </w:tc>
      </w:tr>
      <w:tr w14:paraId="52E202F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0B98600C" w14:textId="43991FF0">
            <w:pPr>
              <w:pStyle w:val="RollCallTable"/>
            </w:pPr>
            <w:r w:rsidRPr="006D43F4">
              <w:t>S&amp;D</w:t>
            </w:r>
          </w:p>
        </w:tc>
        <w:tc>
          <w:tcPr>
            <w:tcW w:w="7371" w:type="dxa"/>
            <w:shd w:val="clear" w:color="auto" w:fill="FFFFFF"/>
          </w:tcPr>
          <w:p w:rsidR="0041214A" w:rsidRPr="006D43F4" w:rsidP="00E268E4" w14:paraId="6FA9745D" w14:textId="646B2256">
            <w:pPr>
              <w:pStyle w:val="RollCallTable"/>
            </w:pPr>
            <w:r w:rsidRPr="006D43F4">
              <w:t xml:space="preserve">José Cepeda, Jens Geier, Giuseppe Lupo, Marit </w:t>
            </w:r>
            <w:r w:rsidRPr="006D43F4">
              <w:t>Maij</w:t>
            </w:r>
            <w:r w:rsidRPr="006D43F4">
              <w:t>, Carla Tavares</w:t>
            </w:r>
          </w:p>
        </w:tc>
      </w:tr>
      <w:tr w14:paraId="5F408E9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3F9EEE77" w14:textId="4AAC0A6E">
            <w:pPr>
              <w:pStyle w:val="RollCallTable"/>
            </w:pPr>
            <w:r w:rsidRPr="006D43F4">
              <w:t>The Left</w:t>
            </w:r>
          </w:p>
        </w:tc>
        <w:tc>
          <w:tcPr>
            <w:tcW w:w="7371" w:type="dxa"/>
            <w:shd w:val="clear" w:color="auto" w:fill="FFFFFF"/>
          </w:tcPr>
          <w:p w:rsidR="0041214A" w:rsidRPr="006D43F4" w:rsidP="00E268E4" w14:paraId="4F2F28E4" w14:textId="4518FF4B">
            <w:pPr>
              <w:pStyle w:val="RollCallTable"/>
            </w:pPr>
            <w:r w:rsidRPr="006D43F4">
              <w:t>Valentina Palmisano, Pasquale Tridico</w:t>
            </w:r>
          </w:p>
        </w:tc>
      </w:tr>
      <w:tr w14:paraId="5C05563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55088EF4" w14:textId="53C894CE">
            <w:pPr>
              <w:pStyle w:val="RollCallTable"/>
            </w:pPr>
            <w:r w:rsidRPr="006D43F4">
              <w:t>Verts/ALE</w:t>
            </w:r>
          </w:p>
        </w:tc>
        <w:tc>
          <w:tcPr>
            <w:tcW w:w="7371" w:type="dxa"/>
            <w:shd w:val="clear" w:color="auto" w:fill="FFFFFF"/>
          </w:tcPr>
          <w:p w:rsidR="0041214A" w:rsidRPr="006D43F4" w:rsidP="00E268E4" w14:paraId="446118E8" w14:textId="5101781B">
            <w:pPr>
              <w:pStyle w:val="RollCallTable"/>
            </w:pPr>
            <w:r w:rsidRPr="006D43F4">
              <w:t>Erik Marquardt, Rasmus Nordqvist</w:t>
            </w:r>
          </w:p>
        </w:tc>
      </w:tr>
    </w:tbl>
    <w:p w:rsidR="0041214A" w:rsidRPr="006D43F4" w:rsidP="00147FBF" w14:paraId="53C95ED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4E69EAB"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1214A" w:rsidRPr="006D43F4" w:rsidP="00E268E4" w14:paraId="6F4795B9" w14:textId="0B84FBF1">
            <w:pPr>
              <w:pStyle w:val="RollCallVotes"/>
            </w:pPr>
            <w:r w:rsidRPr="006D43F4">
              <w:t>1</w:t>
            </w:r>
          </w:p>
        </w:tc>
        <w:tc>
          <w:tcPr>
            <w:tcW w:w="7371" w:type="dxa"/>
            <w:shd w:val="pct10" w:color="000000" w:fill="FFFFFF"/>
          </w:tcPr>
          <w:p w:rsidR="0041214A" w:rsidRPr="006D43F4" w:rsidP="00E268E4" w14:paraId="2847C894" w14:textId="77777777">
            <w:pPr>
              <w:pStyle w:val="RollCallSymbols14pt"/>
            </w:pPr>
            <w:r w:rsidRPr="006D43F4">
              <w:t>0</w:t>
            </w:r>
          </w:p>
        </w:tc>
      </w:tr>
      <w:tr w14:paraId="1F41F3E1"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41214A" w:rsidRPr="006D43F4" w:rsidP="00E268E4" w14:paraId="7E61FC34" w14:textId="2856EE61">
            <w:pPr>
              <w:pStyle w:val="RollCallTable"/>
            </w:pPr>
            <w:r w:rsidRPr="006D43F4">
              <w:t>PPE</w:t>
            </w:r>
          </w:p>
        </w:tc>
        <w:tc>
          <w:tcPr>
            <w:tcW w:w="7371" w:type="dxa"/>
            <w:shd w:val="clear" w:color="auto" w:fill="FFFFFF"/>
          </w:tcPr>
          <w:p w:rsidR="0041214A" w:rsidRPr="006D43F4" w:rsidP="00E268E4" w14:paraId="10156149" w14:textId="6B81616D">
            <w:pPr>
              <w:pStyle w:val="RollCallTable"/>
            </w:pPr>
            <w:r w:rsidRPr="006D43F4">
              <w:t>Andreas Schwab</w:t>
            </w:r>
          </w:p>
        </w:tc>
      </w:tr>
    </w:tbl>
    <w:p w:rsidR="0041214A" w:rsidRPr="006D43F4" w:rsidP="00147FBF" w14:paraId="4035C7B8" w14:textId="77777777">
      <w:pPr>
        <w:pStyle w:val="Normal12a"/>
      </w:pPr>
    </w:p>
    <w:p w:rsidR="0041214A" w:rsidRPr="006D43F4" w:rsidP="00B735E3" w14:paraId="6A3BB489" w14:textId="056A3E79">
      <w:r w:rsidRPr="006D43F4">
        <w:t>Key to symbols:</w:t>
      </w:r>
    </w:p>
    <w:p w:rsidR="0041214A" w:rsidRPr="006D43F4" w:rsidP="001C6342" w14:paraId="0F89CBAE" w14:textId="7B5EC026">
      <w:pPr>
        <w:pStyle w:val="RollCallTabs"/>
      </w:pPr>
      <w:r w:rsidRPr="006D43F4">
        <w:t>+</w:t>
      </w:r>
      <w:r w:rsidRPr="006D43F4">
        <w:tab/>
        <w:t>:</w:t>
      </w:r>
      <w:r w:rsidRPr="006D43F4">
        <w:tab/>
        <w:t>in favour</w:t>
      </w:r>
    </w:p>
    <w:p w:rsidR="0041214A" w:rsidRPr="006D43F4" w:rsidP="001C6342" w14:paraId="345798DF" w14:textId="4640A14E">
      <w:pPr>
        <w:pStyle w:val="RollCallTabs"/>
      </w:pPr>
      <w:r w:rsidRPr="006D43F4">
        <w:t>-</w:t>
      </w:r>
      <w:r w:rsidRPr="006D43F4">
        <w:tab/>
        <w:t>:</w:t>
      </w:r>
      <w:r w:rsidRPr="006D43F4">
        <w:tab/>
        <w:t>against</w:t>
      </w:r>
    </w:p>
    <w:p w:rsidR="0041214A" w:rsidRPr="006D43F4" w:rsidP="001C6342" w14:paraId="1F906181" w14:textId="14EA2879">
      <w:pPr>
        <w:pStyle w:val="RollCallTabs"/>
      </w:pPr>
      <w:r w:rsidRPr="006D43F4">
        <w:t>0</w:t>
      </w:r>
      <w:r w:rsidRPr="006D43F4">
        <w:tab/>
        <w:t>:</w:t>
      </w:r>
      <w:r w:rsidRPr="006D43F4">
        <w:tab/>
        <w:t>abstention</w:t>
      </w:r>
    </w:p>
    <w:bookmarkEnd w:id="9"/>
    <w:p w:rsidR="0041214A" w:rsidRPr="006D43F4" w:rsidP="0041214A" w14:paraId="353114A8" w14:textId="77777777"/>
    <w:sectPr w:rsidSect="00824F42">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280" w:rsidP="00823280" w14:paraId="1FF12C44" w14:textId="77777777">
    <w:pPr>
      <w:pStyle w:val="EPFooter"/>
    </w:pPr>
    <w:r>
      <w:t>PE</w:t>
    </w:r>
    <w:r w:rsidRPr="00823280">
      <w:rPr>
        <w:rStyle w:val="HideTWBExt"/>
      </w:rPr>
      <w:t>&lt;</w:t>
    </w:r>
    <w:r w:rsidRPr="00823280">
      <w:rPr>
        <w:rStyle w:val="HideTWBExt"/>
      </w:rPr>
      <w:t>NoPE</w:t>
    </w:r>
    <w:r w:rsidRPr="00823280">
      <w:rPr>
        <w:rStyle w:val="HideTWBExt"/>
      </w:rPr>
      <w:t>&gt;</w:t>
    </w:r>
    <w:r>
      <w:t>790743</w:t>
    </w:r>
    <w:r w:rsidRPr="00823280">
      <w:rPr>
        <w:rStyle w:val="HideTWBExt"/>
      </w:rPr>
      <w:t>&lt;/</w:t>
    </w:r>
    <w:r w:rsidRPr="00823280">
      <w:rPr>
        <w:rStyle w:val="HideTWBExt"/>
      </w:rPr>
      <w:t>NoPE</w:t>
    </w:r>
    <w:r w:rsidRPr="00823280">
      <w:rPr>
        <w:rStyle w:val="HideTWBExt"/>
      </w:rPr>
      <w:t>&gt;&lt;Version&gt;</w:t>
    </w:r>
    <w:r>
      <w:t>v02-00</w:t>
    </w:r>
    <w:r w:rsidRPr="00823280">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823280">
      <w:rPr>
        <w:rStyle w:val="HideTWBExt"/>
      </w:rPr>
      <w:t>&lt;PathFdR&gt;</w:t>
    </w:r>
    <w:r>
      <w:t>RR\1352075EN.docx</w:t>
    </w:r>
    <w:r w:rsidRPr="00823280">
      <w:rPr>
        <w:rStyle w:val="HideTWBExt"/>
      </w:rPr>
      <w:t>&lt;/</w:t>
    </w:r>
    <w:r w:rsidRPr="00823280">
      <w:rPr>
        <w:rStyle w:val="HideTWBExt"/>
      </w:rPr>
      <w:t>PathFdR</w:t>
    </w:r>
    <w:r w:rsidRPr="00823280">
      <w:rPr>
        <w:rStyle w:val="HideTWBExt"/>
      </w:rPr>
      <w:t>&gt;</w:t>
    </w:r>
  </w:p>
  <w:p w:rsidR="00F9137D" w:rsidRPr="006D43F4" w:rsidP="00823280" w14:paraId="376E957B" w14:textId="51E104A0">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280" w:rsidP="00823280" w14:paraId="44DEBAA0" w14:textId="77777777">
    <w:pPr>
      <w:pStyle w:val="EPFooter"/>
    </w:pPr>
    <w:r w:rsidRPr="00823280">
      <w:rPr>
        <w:rStyle w:val="HideTWBExt"/>
      </w:rPr>
      <w:t>&lt;PathFdR&gt;</w:t>
    </w:r>
    <w:r>
      <w:t>RR\1352075EN.docx</w:t>
    </w:r>
    <w:r w:rsidRPr="00823280">
      <w:rPr>
        <w:rStyle w:val="HideTWBExt"/>
      </w:rPr>
      <w:t>&lt;/</w:t>
    </w:r>
    <w:r w:rsidRPr="00823280">
      <w:rPr>
        <w:rStyle w:val="HideTWBExt"/>
      </w:rPr>
      <w:t>PathFdR</w:t>
    </w:r>
    <w:r w:rsidRPr="00823280">
      <w:rPr>
        <w:rStyle w:val="HideTWBExt"/>
      </w:rPr>
      <w:t>&gt;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823280">
      <w:rPr>
        <w:rStyle w:val="HideTWBExt"/>
      </w:rPr>
      <w:t>&lt;</w:t>
    </w:r>
    <w:r w:rsidRPr="00823280">
      <w:rPr>
        <w:rStyle w:val="HideTWBExt"/>
      </w:rPr>
      <w:t>NoPE</w:t>
    </w:r>
    <w:r w:rsidRPr="00823280">
      <w:rPr>
        <w:rStyle w:val="HideTWBExt"/>
      </w:rPr>
      <w:t>&gt;</w:t>
    </w:r>
    <w:r>
      <w:t>790743</w:t>
    </w:r>
    <w:r w:rsidRPr="00823280">
      <w:rPr>
        <w:rStyle w:val="HideTWBExt"/>
      </w:rPr>
      <w:t>&lt;/</w:t>
    </w:r>
    <w:r w:rsidRPr="00823280">
      <w:rPr>
        <w:rStyle w:val="HideTWBExt"/>
      </w:rPr>
      <w:t>NoPE</w:t>
    </w:r>
    <w:r w:rsidRPr="00823280">
      <w:rPr>
        <w:rStyle w:val="HideTWBExt"/>
      </w:rPr>
      <w:t>&gt;&lt;Version&gt;</w:t>
    </w:r>
    <w:r>
      <w:t>v02-00</w:t>
    </w:r>
    <w:r w:rsidRPr="00823280">
      <w:rPr>
        <w:rStyle w:val="HideTWBExt"/>
      </w:rPr>
      <w:t>&lt;/Version&gt;</w:t>
    </w:r>
  </w:p>
  <w:p w:rsidR="00F9137D" w:rsidRPr="006D43F4" w:rsidP="00823280" w14:paraId="5407B47E" w14:textId="3985C15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3280" w:rsidP="00823280" w14:paraId="4CF9BFA6" w14:textId="3854D02E">
    <w:pPr>
      <w:pStyle w:val="EPFooter"/>
    </w:pPr>
    <w:r w:rsidRPr="00823280">
      <w:rPr>
        <w:rStyle w:val="HideTWBExt"/>
      </w:rPr>
      <w:t>&lt;PathFdR&gt;</w:t>
    </w:r>
    <w:r>
      <w:t>RR\1352075EN.docx</w:t>
    </w:r>
    <w:r w:rsidRPr="00823280">
      <w:rPr>
        <w:rStyle w:val="HideTWBExt"/>
      </w:rPr>
      <w:t>&lt;/</w:t>
    </w:r>
    <w:r w:rsidRPr="00823280">
      <w:rPr>
        <w:rStyle w:val="HideTWBExt"/>
      </w:rPr>
      <w:t>PathFdR</w:t>
    </w:r>
    <w:r w:rsidRPr="00823280">
      <w:rPr>
        <w:rStyle w:val="HideTWBExt"/>
      </w:rPr>
      <w:t>&gt;</w:t>
    </w:r>
    <w:r>
      <w:tab/>
    </w:r>
    <w:r>
      <w:tab/>
      <w:t>PE</w:t>
    </w:r>
    <w:r w:rsidRPr="00823280">
      <w:rPr>
        <w:rStyle w:val="HideTWBExt"/>
      </w:rPr>
      <w:t>&lt;</w:t>
    </w:r>
    <w:r w:rsidRPr="00823280">
      <w:rPr>
        <w:rStyle w:val="HideTWBExt"/>
      </w:rPr>
      <w:t>NoPE</w:t>
    </w:r>
    <w:r w:rsidRPr="00823280">
      <w:rPr>
        <w:rStyle w:val="HideTWBExt"/>
      </w:rPr>
      <w:t>&gt;</w:t>
    </w:r>
    <w:r>
      <w:t>790</w:t>
    </w:r>
    <w:r w:rsidR="00165251">
      <w:t>.</w:t>
    </w:r>
    <w:r>
      <w:t>743</w:t>
    </w:r>
    <w:r w:rsidRPr="00823280">
      <w:rPr>
        <w:rStyle w:val="HideTWBExt"/>
      </w:rPr>
      <w:t>&lt;/</w:t>
    </w:r>
    <w:r w:rsidRPr="00823280">
      <w:rPr>
        <w:rStyle w:val="HideTWBExt"/>
      </w:rPr>
      <w:t>NoPE</w:t>
    </w:r>
    <w:r w:rsidRPr="00823280">
      <w:rPr>
        <w:rStyle w:val="HideTWBExt"/>
      </w:rPr>
      <w:t>&gt;&lt;Version&gt;</w:t>
    </w:r>
    <w:r>
      <w:t>v02-00</w:t>
    </w:r>
    <w:r w:rsidRPr="00823280">
      <w:rPr>
        <w:rStyle w:val="HideTWBExt"/>
      </w:rPr>
      <w:t>&lt;/Version&gt;</w:t>
    </w:r>
  </w:p>
  <w:p w:rsidR="00F9137D" w:rsidRPr="006D43F4" w:rsidP="00823280" w14:paraId="3E927205" w14:textId="607FA858">
    <w:pPr>
      <w:pStyle w:val="EPFooter2"/>
    </w:pPr>
    <w:r>
      <w:t>EN</w:t>
    </w:r>
    <w:r>
      <w:tab/>
    </w:r>
    <w:r w:rsidRPr="00823280">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F708B" w:rsidRPr="006D43F4" w14:paraId="64B0AA5A" w14:textId="77777777">
      <w:r w:rsidRPr="006D43F4">
        <w:separator/>
      </w:r>
    </w:p>
  </w:footnote>
  <w:footnote w:type="continuationSeparator" w:id="1">
    <w:p w:rsidR="00DF708B" w:rsidRPr="006D43F4" w14:paraId="3387D993" w14:textId="77777777">
      <w:r w:rsidRPr="006D43F4">
        <w:continuationSeparator/>
      </w:r>
    </w:p>
  </w:footnote>
  <w:footnote w:id="2">
    <w:p w:rsidR="00047838" w:rsidRPr="00165251" w14:paraId="55770649" w14:textId="036B204D">
      <w:pPr>
        <w:pStyle w:val="FootnoteText"/>
        <w:rPr>
          <w:lang w:val="fi-FI"/>
        </w:rPr>
      </w:pPr>
      <w:r w:rsidRPr="006D43F4">
        <w:rPr>
          <w:rStyle w:val="FootnoteReference"/>
        </w:rPr>
        <w:footnoteRef/>
      </w:r>
      <w:r w:rsidRPr="00165251">
        <w:rPr>
          <w:lang w:val="fi-FI"/>
        </w:rPr>
        <w:t xml:space="preserve"> OJ L, 2024/207, 22.2.2024, ELI: </w:t>
      </w:r>
      <w:hyperlink r:id="rId1" w:history="1">
        <w:r w:rsidRPr="00165251" w:rsidR="00A250BC">
          <w:rPr>
            <w:rStyle w:val="Hyperlink"/>
            <w:lang w:val="fi-FI"/>
          </w:rPr>
          <w:t>http://data.europa.eu/eli/budget/2024/207/oj</w:t>
        </w:r>
      </w:hyperlink>
      <w:r w:rsidRPr="00165251">
        <w:rPr>
          <w:lang w:val="fi-FI"/>
        </w:rPr>
        <w:t>.</w:t>
      </w:r>
    </w:p>
  </w:footnote>
  <w:footnote w:id="3">
    <w:p w:rsidR="00047838" w:rsidRPr="00165251" w14:paraId="1AF0307F" w14:textId="3376C247">
      <w:pPr>
        <w:pStyle w:val="FootnoteText"/>
        <w:rPr>
          <w:lang w:val="fi-FI"/>
        </w:rPr>
      </w:pPr>
      <w:r w:rsidRPr="006D43F4">
        <w:rPr>
          <w:rStyle w:val="FootnoteReference"/>
        </w:rPr>
        <w:footnoteRef/>
      </w:r>
      <w:r w:rsidRPr="00165251">
        <w:rPr>
          <w:lang w:val="fi-FI"/>
        </w:rPr>
        <w:t xml:space="preserve"> OJ C, C/2025/4944, 13.10.2025, ELI: </w:t>
      </w:r>
      <w:hyperlink r:id="rId2" w:history="1">
        <w:r w:rsidRPr="00165251" w:rsidR="00A250BC">
          <w:rPr>
            <w:rStyle w:val="Hyperlink"/>
            <w:lang w:val="fi-FI"/>
          </w:rPr>
          <w:t>http://data.europa.eu/eli/C/2025/4944/oj</w:t>
        </w:r>
      </w:hyperlink>
      <w:r w:rsidRPr="00165251">
        <w:rPr>
          <w:lang w:val="fi-FI"/>
        </w:rPr>
        <w:t>.</w:t>
      </w:r>
    </w:p>
  </w:footnote>
  <w:footnote w:id="4">
    <w:p w:rsidR="00047838" w:rsidRPr="00165251" w14:paraId="555A7232" w14:textId="3E47467A">
      <w:pPr>
        <w:pStyle w:val="FootnoteText"/>
        <w:rPr>
          <w:lang w:val="fi-FI"/>
        </w:rPr>
      </w:pPr>
      <w:r w:rsidRPr="006D43F4">
        <w:rPr>
          <w:rStyle w:val="FootnoteReference"/>
        </w:rPr>
        <w:footnoteRef/>
      </w:r>
      <w:r w:rsidRPr="00165251">
        <w:rPr>
          <w:lang w:val="fi-FI"/>
        </w:rPr>
        <w:t xml:space="preserve"> OJ C, C/2025/5409, 8.10.2025, ELI </w:t>
      </w:r>
      <w:hyperlink r:id="rId3" w:history="1">
        <w:r w:rsidRPr="00165251" w:rsidR="00A250BC">
          <w:rPr>
            <w:rStyle w:val="Hyperlink"/>
            <w:lang w:val="fi-FI"/>
          </w:rPr>
          <w:t>http://data.europa.eu/eli/C/2025/5409/oj</w:t>
        </w:r>
      </w:hyperlink>
      <w:r w:rsidRPr="00165251" w:rsidR="00A250BC">
        <w:rPr>
          <w:lang w:val="fi-FI"/>
        </w:rPr>
        <w:t xml:space="preserve">. </w:t>
      </w:r>
    </w:p>
  </w:footnote>
  <w:footnote w:id="5">
    <w:p w:rsidR="00047838" w:rsidRPr="00165251" w14:paraId="00B6FCD6" w14:textId="54DE31E0">
      <w:pPr>
        <w:pStyle w:val="FootnoteText"/>
        <w:rPr>
          <w:lang w:val="fi-FI"/>
        </w:rPr>
      </w:pPr>
      <w:r w:rsidRPr="006D43F4">
        <w:rPr>
          <w:rStyle w:val="FootnoteReference"/>
        </w:rPr>
        <w:footnoteRef/>
      </w:r>
      <w:r w:rsidRPr="00165251">
        <w:rPr>
          <w:lang w:val="fi-FI"/>
        </w:rPr>
        <w:t xml:space="preserve"> OJ C, C/2025/5407, 13.10.2025, ELI: </w:t>
      </w:r>
      <w:hyperlink r:id="rId4" w:history="1">
        <w:r w:rsidRPr="00165251" w:rsidR="00A250BC">
          <w:rPr>
            <w:rStyle w:val="Hyperlink"/>
            <w:lang w:val="fi-FI"/>
          </w:rPr>
          <w:t>http://data.europa.eu/eli/C/2025/5407/oj</w:t>
        </w:r>
      </w:hyperlink>
      <w:r w:rsidRPr="00165251" w:rsidR="00A250BC">
        <w:rPr>
          <w:lang w:val="fi-FI"/>
        </w:rPr>
        <w:t xml:space="preserve">. </w:t>
      </w:r>
    </w:p>
  </w:footnote>
  <w:footnote w:id="6">
    <w:p w:rsidR="00047838" w:rsidRPr="006D43F4" w14:paraId="2EF4B15E" w14:textId="706D3305">
      <w:pPr>
        <w:pStyle w:val="FootnoteText"/>
      </w:pPr>
      <w:r w:rsidRPr="006D43F4">
        <w:rPr>
          <w:rStyle w:val="FootnoteReference"/>
        </w:rPr>
        <w:footnoteRef/>
      </w:r>
      <w:r w:rsidRPr="006D43F4">
        <w:t xml:space="preserve"> </w:t>
      </w:r>
      <w:r w:rsidRPr="006D43F4" w:rsidR="005E2B08">
        <w:t>Text adopted, P10_TA(2026)0127</w:t>
      </w:r>
    </w:p>
  </w:footnote>
  <w:footnote w:id="7">
    <w:p w:rsidR="00047838" w:rsidRPr="006D43F4" w14:paraId="2AF2A468" w14:textId="195034D9">
      <w:pPr>
        <w:pStyle w:val="FootnoteText"/>
      </w:pPr>
      <w:r w:rsidRPr="006D43F4">
        <w:rPr>
          <w:rStyle w:val="FootnoteReference"/>
        </w:rPr>
        <w:footnoteRef/>
      </w:r>
      <w:r w:rsidRPr="006D43F4">
        <w:t xml:space="preserve"> OJ L 193, 30.7.2018, p. 1, ELI: </w:t>
      </w:r>
      <w:hyperlink r:id="rId5" w:tooltip="http://data.europa.eu/eli/reg/2018/1046/oj" w:history="1">
        <w:r w:rsidRPr="006D43F4">
          <w:rPr>
            <w:rStyle w:val="Hyperlink"/>
          </w:rPr>
          <w:t>http://data.europa.eu/eli/reg/2018/1046/oj</w:t>
        </w:r>
      </w:hyperlink>
      <w:r w:rsidRPr="006D43F4">
        <w:t>.</w:t>
      </w:r>
    </w:p>
  </w:footnote>
  <w:footnote w:id="8">
    <w:p w:rsidR="00047838" w:rsidRPr="00165251" w14:paraId="670584DD" w14:textId="12E257FF">
      <w:pPr>
        <w:pStyle w:val="FootnoteText"/>
        <w:rPr>
          <w:lang w:val="fi-FI"/>
        </w:rPr>
      </w:pPr>
      <w:r w:rsidRPr="006D43F4">
        <w:rPr>
          <w:rStyle w:val="FootnoteReference"/>
        </w:rPr>
        <w:footnoteRef/>
      </w:r>
      <w:r w:rsidRPr="00165251">
        <w:rPr>
          <w:lang w:val="fi-FI"/>
        </w:rPr>
        <w:t xml:space="preserve"> OJ L, 2024/2509, 26.9.2024, ELI: </w:t>
      </w:r>
      <w:hyperlink r:id="rId6" w:tooltip="http://data.europa.eu/eli/reg/2024/2509/oj" w:history="1">
        <w:r w:rsidRPr="00165251">
          <w:rPr>
            <w:rStyle w:val="Hyperlink"/>
            <w:lang w:val="fi-FI"/>
          </w:rPr>
          <w:t>http://data.europa.eu/eli/reg/2024/2509/oj</w:t>
        </w:r>
      </w:hyperlink>
      <w:r w:rsidRPr="00165251">
        <w:rPr>
          <w:lang w:val="fi-FI"/>
        </w:rPr>
        <w:t>.</w:t>
      </w:r>
    </w:p>
  </w:footnote>
  <w:footnote w:id="9">
    <w:p w:rsidR="00363DE4" w:rsidRPr="00165251" w:rsidP="00363DE4" w14:paraId="2565D957" w14:textId="77777777">
      <w:pPr>
        <w:pStyle w:val="FootnoteText"/>
        <w:rPr>
          <w:lang w:val="fi-FI"/>
        </w:rPr>
      </w:pPr>
      <w:r w:rsidRPr="006D43F4">
        <w:rPr>
          <w:rStyle w:val="FootnoteReference"/>
        </w:rPr>
        <w:footnoteRef/>
      </w:r>
      <w:r w:rsidRPr="00165251">
        <w:rPr>
          <w:lang w:val="fi-FI"/>
        </w:rPr>
        <w:t xml:space="preserve"> </w:t>
      </w:r>
      <w:r w:rsidRPr="00165251">
        <w:rPr>
          <w:b/>
          <w:i/>
          <w:lang w:val="fi-FI"/>
        </w:rPr>
        <w:t xml:space="preserve"> https://eur-lex.europa.eu/legal-content/EN/TXT/?uri=celex:62021TJ0163</w:t>
      </w:r>
    </w:p>
  </w:footnote>
  <w:footnote w:id="10">
    <w:p w:rsidR="00824F42" w:rsidRPr="006D43F4" w14:paraId="32786C2D" w14:textId="6BF451E5">
      <w:pPr>
        <w:pStyle w:val="FootnoteText"/>
      </w:pPr>
      <w:r w:rsidRPr="006D43F4">
        <w:rPr>
          <w:rStyle w:val="FootnoteReference"/>
        </w:rPr>
        <w:footnoteRef/>
      </w:r>
      <w:r w:rsidRPr="006D43F4">
        <w:t xml:space="preserve"> Interinstitutional Agreement of 20 May 2021 between the European Parliament, the Council of the European Union and the European Commission on a mandatory transparency register (OJ L 207, 11.6.2021, p. 1, ELI: </w:t>
      </w:r>
      <w:hyperlink r:id="rId7" w:tooltip="http://data.europa.eu/eli/agree_interinstit/2021/611/oj" w:history="1">
        <w:r w:rsidRPr="006D43F4">
          <w:rPr>
            <w:rStyle w:val="Hyperlink"/>
          </w:rPr>
          <w:t>http://data.europa.eu/eli/agree_interinstit/2021/611/oj</w:t>
        </w:r>
      </w:hyperlink>
      <w:r w:rsidRPr="006D43F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9091318"/>
    <w:multiLevelType w:val="hybridMultilevel"/>
    <w:tmpl w:val="143224D2"/>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
    <w:nsid w:val="462D6E49"/>
    <w:multiLevelType w:val="hybridMultilevel"/>
    <w:tmpl w:val="78B8CEF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3B3"/>
    <w:rsid w:val="00007D9D"/>
    <w:rsid w:val="000146B6"/>
    <w:rsid w:val="00022FCD"/>
    <w:rsid w:val="00036B57"/>
    <w:rsid w:val="00037410"/>
    <w:rsid w:val="000422D0"/>
    <w:rsid w:val="000423BF"/>
    <w:rsid w:val="00042884"/>
    <w:rsid w:val="00047838"/>
    <w:rsid w:val="00065488"/>
    <w:rsid w:val="00085E74"/>
    <w:rsid w:val="00090E0B"/>
    <w:rsid w:val="00094151"/>
    <w:rsid w:val="000B47E5"/>
    <w:rsid w:val="000C78E0"/>
    <w:rsid w:val="000D0384"/>
    <w:rsid w:val="000E02BC"/>
    <w:rsid w:val="000E2D33"/>
    <w:rsid w:val="000F7F47"/>
    <w:rsid w:val="001007BC"/>
    <w:rsid w:val="0010265A"/>
    <w:rsid w:val="00112332"/>
    <w:rsid w:val="0011285D"/>
    <w:rsid w:val="001131F4"/>
    <w:rsid w:val="0012398B"/>
    <w:rsid w:val="0013079A"/>
    <w:rsid w:val="00147FBF"/>
    <w:rsid w:val="00164216"/>
    <w:rsid w:val="00165251"/>
    <w:rsid w:val="00176191"/>
    <w:rsid w:val="0019147C"/>
    <w:rsid w:val="001A791E"/>
    <w:rsid w:val="001A7BCF"/>
    <w:rsid w:val="001B4494"/>
    <w:rsid w:val="001B50DF"/>
    <w:rsid w:val="001C6342"/>
    <w:rsid w:val="001D308F"/>
    <w:rsid w:val="001E1DBF"/>
    <w:rsid w:val="001F353F"/>
    <w:rsid w:val="00211D2B"/>
    <w:rsid w:val="00216504"/>
    <w:rsid w:val="00226499"/>
    <w:rsid w:val="00253EFF"/>
    <w:rsid w:val="00260C63"/>
    <w:rsid w:val="00260DC9"/>
    <w:rsid w:val="00275941"/>
    <w:rsid w:val="00275BFA"/>
    <w:rsid w:val="00276756"/>
    <w:rsid w:val="00282283"/>
    <w:rsid w:val="00284E12"/>
    <w:rsid w:val="0028673A"/>
    <w:rsid w:val="002914BE"/>
    <w:rsid w:val="002A298C"/>
    <w:rsid w:val="002B55B8"/>
    <w:rsid w:val="002B6872"/>
    <w:rsid w:val="002B7609"/>
    <w:rsid w:val="002E534D"/>
    <w:rsid w:val="003023A8"/>
    <w:rsid w:val="00316CFC"/>
    <w:rsid w:val="003404FB"/>
    <w:rsid w:val="00343900"/>
    <w:rsid w:val="00345374"/>
    <w:rsid w:val="00353007"/>
    <w:rsid w:val="00363DE4"/>
    <w:rsid w:val="00380FBF"/>
    <w:rsid w:val="00386231"/>
    <w:rsid w:val="00391570"/>
    <w:rsid w:val="00391EED"/>
    <w:rsid w:val="003B78DF"/>
    <w:rsid w:val="003D025F"/>
    <w:rsid w:val="003E37E3"/>
    <w:rsid w:val="003E70D0"/>
    <w:rsid w:val="003F0E64"/>
    <w:rsid w:val="0041214A"/>
    <w:rsid w:val="004167DE"/>
    <w:rsid w:val="0046114E"/>
    <w:rsid w:val="0047164A"/>
    <w:rsid w:val="00487FD0"/>
    <w:rsid w:val="004D13BA"/>
    <w:rsid w:val="004F4644"/>
    <w:rsid w:val="00511EBC"/>
    <w:rsid w:val="0051208E"/>
    <w:rsid w:val="00512C34"/>
    <w:rsid w:val="00536896"/>
    <w:rsid w:val="00536F69"/>
    <w:rsid w:val="00540DB0"/>
    <w:rsid w:val="005424C0"/>
    <w:rsid w:val="00583F5B"/>
    <w:rsid w:val="005A3200"/>
    <w:rsid w:val="005A62EF"/>
    <w:rsid w:val="005B2950"/>
    <w:rsid w:val="005C1C2D"/>
    <w:rsid w:val="005C3684"/>
    <w:rsid w:val="005D034C"/>
    <w:rsid w:val="005E2B08"/>
    <w:rsid w:val="005E3E84"/>
    <w:rsid w:val="005F1AC9"/>
    <w:rsid w:val="005F7B1E"/>
    <w:rsid w:val="00605C28"/>
    <w:rsid w:val="00613328"/>
    <w:rsid w:val="00622EAA"/>
    <w:rsid w:val="0063324A"/>
    <w:rsid w:val="0065240F"/>
    <w:rsid w:val="00655E8E"/>
    <w:rsid w:val="00670BAC"/>
    <w:rsid w:val="006B0ED0"/>
    <w:rsid w:val="006B7833"/>
    <w:rsid w:val="006C29E9"/>
    <w:rsid w:val="006C639D"/>
    <w:rsid w:val="006D43F4"/>
    <w:rsid w:val="006D458A"/>
    <w:rsid w:val="006F3199"/>
    <w:rsid w:val="006F7B5A"/>
    <w:rsid w:val="007041CC"/>
    <w:rsid w:val="007129DA"/>
    <w:rsid w:val="00715380"/>
    <w:rsid w:val="00734088"/>
    <w:rsid w:val="007601C9"/>
    <w:rsid w:val="007707A8"/>
    <w:rsid w:val="00771BB9"/>
    <w:rsid w:val="007818C5"/>
    <w:rsid w:val="007929B1"/>
    <w:rsid w:val="007C182C"/>
    <w:rsid w:val="007D1AE3"/>
    <w:rsid w:val="007E14DA"/>
    <w:rsid w:val="007F4040"/>
    <w:rsid w:val="008071C5"/>
    <w:rsid w:val="008113B3"/>
    <w:rsid w:val="00811763"/>
    <w:rsid w:val="008122F4"/>
    <w:rsid w:val="008148EC"/>
    <w:rsid w:val="00823280"/>
    <w:rsid w:val="00824F42"/>
    <w:rsid w:val="00830FB8"/>
    <w:rsid w:val="00833FBD"/>
    <w:rsid w:val="00840EEC"/>
    <w:rsid w:val="00843439"/>
    <w:rsid w:val="008455AD"/>
    <w:rsid w:val="00851476"/>
    <w:rsid w:val="008679DF"/>
    <w:rsid w:val="008917D8"/>
    <w:rsid w:val="00895F7F"/>
    <w:rsid w:val="008A287D"/>
    <w:rsid w:val="008A4DC4"/>
    <w:rsid w:val="008A4DE5"/>
    <w:rsid w:val="008B71C9"/>
    <w:rsid w:val="008C64A3"/>
    <w:rsid w:val="008C7DD5"/>
    <w:rsid w:val="008D79E6"/>
    <w:rsid w:val="008F33CD"/>
    <w:rsid w:val="00906D21"/>
    <w:rsid w:val="00911D90"/>
    <w:rsid w:val="00913F10"/>
    <w:rsid w:val="0091778B"/>
    <w:rsid w:val="009229B4"/>
    <w:rsid w:val="0093075C"/>
    <w:rsid w:val="00935A5A"/>
    <w:rsid w:val="009473BA"/>
    <w:rsid w:val="00961992"/>
    <w:rsid w:val="009807D1"/>
    <w:rsid w:val="00996924"/>
    <w:rsid w:val="009A286E"/>
    <w:rsid w:val="009A6CA3"/>
    <w:rsid w:val="009B13F8"/>
    <w:rsid w:val="00A07C3E"/>
    <w:rsid w:val="00A11C09"/>
    <w:rsid w:val="00A174F9"/>
    <w:rsid w:val="00A250BC"/>
    <w:rsid w:val="00A4566A"/>
    <w:rsid w:val="00A5454F"/>
    <w:rsid w:val="00A56A6E"/>
    <w:rsid w:val="00A62CDA"/>
    <w:rsid w:val="00A66C68"/>
    <w:rsid w:val="00A70679"/>
    <w:rsid w:val="00A93A57"/>
    <w:rsid w:val="00AA1895"/>
    <w:rsid w:val="00AB2D42"/>
    <w:rsid w:val="00AB4789"/>
    <w:rsid w:val="00AD4FD5"/>
    <w:rsid w:val="00AE3FB5"/>
    <w:rsid w:val="00AE593B"/>
    <w:rsid w:val="00AF3EB1"/>
    <w:rsid w:val="00B016CA"/>
    <w:rsid w:val="00B23FC1"/>
    <w:rsid w:val="00B31C6A"/>
    <w:rsid w:val="00B41AC0"/>
    <w:rsid w:val="00B623C9"/>
    <w:rsid w:val="00B735E3"/>
    <w:rsid w:val="00B7718B"/>
    <w:rsid w:val="00B8488D"/>
    <w:rsid w:val="00BA79AF"/>
    <w:rsid w:val="00BC1206"/>
    <w:rsid w:val="00BD13C4"/>
    <w:rsid w:val="00BE1AB0"/>
    <w:rsid w:val="00BF0771"/>
    <w:rsid w:val="00C04D50"/>
    <w:rsid w:val="00C1531C"/>
    <w:rsid w:val="00C40993"/>
    <w:rsid w:val="00C41BF0"/>
    <w:rsid w:val="00C56953"/>
    <w:rsid w:val="00C607B5"/>
    <w:rsid w:val="00C63401"/>
    <w:rsid w:val="00C65EF7"/>
    <w:rsid w:val="00C67B7E"/>
    <w:rsid w:val="00C81871"/>
    <w:rsid w:val="00C84AC1"/>
    <w:rsid w:val="00C85D0F"/>
    <w:rsid w:val="00C8760D"/>
    <w:rsid w:val="00CA71BA"/>
    <w:rsid w:val="00CA7465"/>
    <w:rsid w:val="00CB1B7A"/>
    <w:rsid w:val="00D05CBA"/>
    <w:rsid w:val="00D3244A"/>
    <w:rsid w:val="00D33454"/>
    <w:rsid w:val="00D33840"/>
    <w:rsid w:val="00D3662E"/>
    <w:rsid w:val="00D457C9"/>
    <w:rsid w:val="00D464C6"/>
    <w:rsid w:val="00D56923"/>
    <w:rsid w:val="00D64B87"/>
    <w:rsid w:val="00D74CC3"/>
    <w:rsid w:val="00D84404"/>
    <w:rsid w:val="00DA7EEF"/>
    <w:rsid w:val="00DB5623"/>
    <w:rsid w:val="00DC21CE"/>
    <w:rsid w:val="00DC32D3"/>
    <w:rsid w:val="00DF708B"/>
    <w:rsid w:val="00E0098B"/>
    <w:rsid w:val="00E1197F"/>
    <w:rsid w:val="00E2282B"/>
    <w:rsid w:val="00E25C7D"/>
    <w:rsid w:val="00E268E4"/>
    <w:rsid w:val="00E26EC3"/>
    <w:rsid w:val="00E37CAF"/>
    <w:rsid w:val="00E40B53"/>
    <w:rsid w:val="00E72252"/>
    <w:rsid w:val="00E80B81"/>
    <w:rsid w:val="00EA6134"/>
    <w:rsid w:val="00EA6191"/>
    <w:rsid w:val="00EA73D7"/>
    <w:rsid w:val="00EC09BD"/>
    <w:rsid w:val="00EC6977"/>
    <w:rsid w:val="00EC6BA2"/>
    <w:rsid w:val="00ED038E"/>
    <w:rsid w:val="00ED2E3C"/>
    <w:rsid w:val="00EE3694"/>
    <w:rsid w:val="00F02D1B"/>
    <w:rsid w:val="00F21C7F"/>
    <w:rsid w:val="00F21CC1"/>
    <w:rsid w:val="00F30BBE"/>
    <w:rsid w:val="00F45B9D"/>
    <w:rsid w:val="00F54B15"/>
    <w:rsid w:val="00F606A7"/>
    <w:rsid w:val="00F70D99"/>
    <w:rsid w:val="00F7640F"/>
    <w:rsid w:val="00F765E4"/>
    <w:rsid w:val="00F847DA"/>
    <w:rsid w:val="00F9137D"/>
    <w:rsid w:val="00F9531F"/>
    <w:rsid w:val="00FA4F70"/>
    <w:rsid w:val="00FB1DDE"/>
    <w:rsid w:val="00FC525D"/>
    <w:rsid w:val="00FC75D2"/>
    <w:rsid w:val="00FD0F3B"/>
    <w:rsid w:val="00FD18F9"/>
    <w:rsid w:val="00FD741E"/>
  </w:rsids>
  <w:docVars>
    <w:docVar w:name="AUDITSMNU" w:val=" 1"/>
    <w:docVar w:name="AUTHORMFPMNU" w:val=" 1"/>
    <w:docVar w:name="CITMNU" w:val=" 2"/>
    <w:docVar w:name="CONTRIBUTIONMNU" w:val=" 2"/>
    <w:docVar w:name="CopyToNetwork" w:val="-1"/>
    <w:docVar w:name="DOCDT" w:val="06/10/2026"/>
    <w:docVar w:name="FN1DT" w:val="22/02/2024"/>
    <w:docVar w:name="FN2DT" w:val="13/10/2025"/>
    <w:docVar w:name="FN3DT" w:val="08/10/2025"/>
    <w:docVar w:name="FN4DT" w:val="13/10/2025"/>
    <w:docVar w:name="FN5DT" w:val="..."/>
    <w:docVar w:name="FN5MNU" w:val=" 1"/>
    <w:docVar w:name="FNACCMNU" w:val=" 1"/>
    <w:docVar w:name="FNANNREPMNU" w:val=" 1"/>
    <w:docVar w:name="FNSTATMNU" w:val=" 1"/>
    <w:docVar w:name="LastAMInserted" w:val="9"/>
    <w:docVar w:name="LastEditedSection" w:val=" 1"/>
    <w:docVar w:name="LETTERSMNU" w:val=" 3"/>
    <w:docVar w:name="NRAUDITSMNU" w:val=" 2"/>
    <w:docVar w:name="NumberAMInserted" w:val="9"/>
    <w:docVar w:name="NVAR1" w:val="0"/>
    <w:docVar w:name="OPINIONSMNU" w:val=" 3"/>
    <w:docVar w:name="STOREDT" w:val="29/04/2026"/>
    <w:docVar w:name="strSubDir" w:val="790"/>
    <w:docVar w:name="TITLEMNU" w:val=" 1"/>
    <w:docVar w:name="TXTAUTHOR" w:val="tPasquale Tridico"/>
    <w:docVar w:name="TXTBUDYEAR" w:val="2024"/>
    <w:docVar w:name="TXTFN1" w:val="2024/207"/>
    <w:docVar w:name="TXTFN2" w:val="2025/4944"/>
    <w:docVar w:name="TXTFN3" w:val="2025/5409"/>
    <w:docVar w:name="TXTFN4" w:val="2025/5407"/>
    <w:docVar w:name="TXTFN5" w:val="x"/>
    <w:docVar w:name="TXTFNELI1" w:val="http://data.europa.eu/eli/budget/2024/207/oj"/>
    <w:docVar w:name="TXTFNELI2" w:val="http://data.europa.eu/eli/C/2025/4944/oj"/>
    <w:docVar w:name="TXTFNELI3" w:val="http://data.europa.eu/eli/C/2025/5409/oj."/>
    <w:docVar w:name="TXTFNELI4" w:val="http://data.europa.eu/eli/C/2025/5407/oj"/>
    <w:docVar w:name="TXTFNELI5" w:val="x"/>
    <w:docVar w:name="TXTLANGUE" w:val="EN"/>
    <w:docVar w:name="TXTLANGUEMIN" w:val="en"/>
    <w:docVar w:name="TXTNRCACCOUNTS" w:val="0147/2025"/>
    <w:docVar w:name="TXTNRCOMACCOUNTS" w:val="(2025)0359"/>
    <w:docVar w:name="TXTNRDEC" w:val="2025/2147"/>
    <w:docVar w:name="TXTNRPE" w:val="790743"/>
    <w:docVar w:name="TXTPEorAP" w:val="PE"/>
    <w:docVar w:name="TXTROUTE" w:val="RR\790743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E92D3FB-5752-4487-ABDC-0A25C7128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9E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1763"/>
    <w:pPr>
      <w:spacing w:before="480" w:after="240"/>
    </w:pPr>
  </w:style>
  <w:style w:type="paragraph" w:styleId="TOC1">
    <w:name w:val="toc 1"/>
    <w:basedOn w:val="Normal"/>
    <w:next w:val="Normal"/>
    <w:uiPriority w:val="39"/>
    <w:rsid w:val="00F847DA"/>
    <w:pPr>
      <w:spacing w:after="240"/>
    </w:pPr>
  </w:style>
  <w:style w:type="paragraph" w:styleId="TOCHeading">
    <w:name w:val="TOC Heading"/>
    <w:basedOn w:val="Normal"/>
    <w:next w:val="TOCPage"/>
    <w:rsid w:val="00284E12"/>
    <w:pPr>
      <w:keepNext/>
      <w:spacing w:before="240" w:after="240"/>
      <w:jc w:val="center"/>
    </w:pPr>
    <w:rPr>
      <w:rFonts w:ascii="Arial" w:hAnsi="Arial"/>
      <w:b/>
    </w:rPr>
  </w:style>
  <w:style w:type="paragraph" w:customStyle="1" w:styleId="TOCPage">
    <w:name w:val="TOC Page"/>
    <w:basedOn w:val="Normal"/>
    <w:next w:val="TOC1"/>
    <w:rsid w:val="00284E12"/>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61992"/>
    <w:pPr>
      <w:spacing w:before="80" w:after="80"/>
    </w:pPr>
    <w:rPr>
      <w:rFonts w:ascii="Arial Narrow" w:hAnsi="Arial Narrow" w:cs="Arial"/>
      <w:b/>
      <w:sz w:val="32"/>
      <w:szCs w:val="22"/>
    </w:rPr>
  </w:style>
  <w:style w:type="paragraph" w:customStyle="1" w:styleId="CoverNormal24a">
    <w:name w:val="CoverNormal24a"/>
    <w:basedOn w:val="Normal"/>
    <w:rsid w:val="00036B5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176191"/>
    <w:pPr>
      <w:spacing w:before="1080"/>
      <w:jc w:val="right"/>
    </w:pPr>
    <w:rPr>
      <w:rFonts w:ascii="Arial" w:hAnsi="Arial" w:cs="Arial"/>
      <w:b/>
    </w:rPr>
  </w:style>
  <w:style w:type="paragraph" w:customStyle="1" w:styleId="CoverDocType24a">
    <w:name w:val="CoverDocType24a"/>
    <w:basedOn w:val="Normal"/>
    <w:rsid w:val="00C8187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E534D"/>
    <w:pPr>
      <w:tabs>
        <w:tab w:val="center" w:pos="4513"/>
        <w:tab w:val="right" w:pos="9026"/>
      </w:tabs>
    </w:pPr>
  </w:style>
  <w:style w:type="paragraph" w:customStyle="1" w:styleId="EPTerm">
    <w:name w:val="EPTerm"/>
    <w:basedOn w:val="Normal"/>
    <w:next w:val="Normal"/>
    <w:rsid w:val="00961992"/>
    <w:pPr>
      <w:spacing w:after="80"/>
    </w:pPr>
    <w:rPr>
      <w:rFonts w:ascii="Arial" w:hAnsi="Arial" w:cs="Arial"/>
      <w:sz w:val="20"/>
      <w:szCs w:val="22"/>
    </w:rPr>
  </w:style>
  <w:style w:type="paragraph" w:styleId="TOC2">
    <w:name w:val="toc 2"/>
    <w:basedOn w:val="Normal"/>
    <w:next w:val="Normal"/>
    <w:semiHidden/>
    <w:pPr>
      <w:ind w:left="227"/>
    </w:pPr>
    <w:rPr>
      <w:lang w:val="fr-FR"/>
    </w:r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961992"/>
    <w:pPr>
      <w:jc w:val="right"/>
    </w:pPr>
  </w:style>
  <w:style w:type="paragraph" w:customStyle="1" w:styleId="EPFooter">
    <w:name w:val="EPFooter"/>
    <w:basedOn w:val="Normal"/>
    <w:rsid w:val="00036B5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E534D"/>
    <w:rPr>
      <w:sz w:val="24"/>
    </w:rPr>
  </w:style>
  <w:style w:type="paragraph" w:styleId="FootnoteText">
    <w:name w:val="footnote text"/>
    <w:basedOn w:val="Normal"/>
    <w:link w:val="FootnoteTextChar"/>
    <w:rsid w:val="00047838"/>
    <w:rPr>
      <w:sz w:val="20"/>
    </w:rPr>
  </w:style>
  <w:style w:type="character" w:customStyle="1" w:styleId="FootnoteTextChar">
    <w:name w:val="Footnote Text Char"/>
    <w:basedOn w:val="DefaultParagraphFont"/>
    <w:link w:val="FootnoteText"/>
    <w:rsid w:val="00047838"/>
  </w:style>
  <w:style w:type="character" w:styleId="FootnoteReference">
    <w:name w:val="footnote reference"/>
    <w:basedOn w:val="DefaultParagraphFont"/>
    <w:rsid w:val="00047838"/>
    <w:rPr>
      <w:vertAlign w:val="superscript"/>
    </w:rPr>
  </w:style>
  <w:style w:type="character" w:styleId="Hyperlink">
    <w:name w:val="Hyperlink"/>
    <w:basedOn w:val="DefaultParagraphFont"/>
    <w:rsid w:val="00047838"/>
    <w:rPr>
      <w:color w:val="0563C1" w:themeColor="hyperlink"/>
      <w:u w:val="single"/>
    </w:rPr>
  </w:style>
  <w:style w:type="character" w:customStyle="1" w:styleId="UnresolvedMention">
    <w:name w:val="Unresolved Mention"/>
    <w:basedOn w:val="DefaultParagraphFont"/>
    <w:uiPriority w:val="99"/>
    <w:semiHidden/>
    <w:unhideWhenUsed/>
    <w:rsid w:val="00047838"/>
    <w:rPr>
      <w:color w:val="605E5C"/>
      <w:shd w:val="clear" w:color="auto" w:fill="E1DFDD"/>
    </w:rPr>
  </w:style>
  <w:style w:type="paragraph" w:styleId="Footer">
    <w:name w:val="footer"/>
    <w:basedOn w:val="Normal"/>
    <w:link w:val="FooterChar"/>
    <w:semiHidden/>
    <w:rsid w:val="00A11C09"/>
    <w:pPr>
      <w:tabs>
        <w:tab w:val="center" w:pos="4513"/>
        <w:tab w:val="right" w:pos="9026"/>
      </w:tabs>
    </w:pPr>
  </w:style>
  <w:style w:type="character" w:customStyle="1" w:styleId="FooterChar">
    <w:name w:val="Footer Char"/>
    <w:basedOn w:val="DefaultParagraphFont"/>
    <w:link w:val="Footer"/>
    <w:semiHidden/>
    <w:rsid w:val="00A11C09"/>
    <w:rPr>
      <w:sz w:val="24"/>
    </w:rPr>
  </w:style>
  <w:style w:type="paragraph" w:styleId="Revision">
    <w:name w:val="Revision"/>
    <w:hidden/>
    <w:uiPriority w:val="99"/>
    <w:semiHidden/>
    <w:rsid w:val="00B623C9"/>
    <w:rPr>
      <w:sz w:val="24"/>
    </w:rPr>
  </w:style>
  <w:style w:type="character" w:customStyle="1" w:styleId="NormalHanging12aChar">
    <w:name w:val="NormalHanging12a Char"/>
    <w:basedOn w:val="DefaultParagraphFont"/>
    <w:link w:val="NormalHanging12a"/>
    <w:rsid w:val="00363DE4"/>
    <w:rPr>
      <w:sz w:val="24"/>
    </w:rPr>
  </w:style>
  <w:style w:type="paragraph" w:customStyle="1" w:styleId="Normal12a">
    <w:name w:val="Normal12a"/>
    <w:basedOn w:val="Normal"/>
    <w:rsid w:val="0041214A"/>
    <w:pPr>
      <w:spacing w:after="240"/>
    </w:pPr>
  </w:style>
  <w:style w:type="paragraph" w:customStyle="1" w:styleId="RollCallVotes">
    <w:name w:val="RollCallVotes"/>
    <w:basedOn w:val="Normal"/>
    <w:rsid w:val="0041214A"/>
    <w:pPr>
      <w:spacing w:before="120" w:after="120"/>
      <w:jc w:val="center"/>
    </w:pPr>
    <w:rPr>
      <w:b/>
      <w:bCs/>
      <w:snapToGrid w:val="0"/>
      <w:sz w:val="16"/>
      <w:lang w:eastAsia="en-US"/>
    </w:rPr>
  </w:style>
  <w:style w:type="paragraph" w:customStyle="1" w:styleId="RollCallTabs">
    <w:name w:val="RollCallTabs"/>
    <w:basedOn w:val="Normal"/>
    <w:qFormat/>
    <w:rsid w:val="0041214A"/>
    <w:pPr>
      <w:tabs>
        <w:tab w:val="center" w:pos="284"/>
        <w:tab w:val="left" w:pos="426"/>
      </w:tabs>
    </w:pPr>
    <w:rPr>
      <w:snapToGrid w:val="0"/>
      <w:lang w:eastAsia="en-US"/>
    </w:rPr>
  </w:style>
  <w:style w:type="paragraph" w:customStyle="1" w:styleId="RollCallSymbols14pt">
    <w:name w:val="RollCallSymbols14pt"/>
    <w:basedOn w:val="Normal"/>
    <w:rsid w:val="0041214A"/>
    <w:pPr>
      <w:spacing w:before="120" w:after="120"/>
      <w:jc w:val="center"/>
    </w:pPr>
    <w:rPr>
      <w:rFonts w:ascii="Arial" w:hAnsi="Arial"/>
      <w:b/>
      <w:bCs/>
      <w:snapToGrid w:val="0"/>
      <w:sz w:val="28"/>
      <w:lang w:eastAsia="en-US"/>
    </w:rPr>
  </w:style>
  <w:style w:type="paragraph" w:customStyle="1" w:styleId="RollCallTable">
    <w:name w:val="RollCallTable"/>
    <w:basedOn w:val="Normal"/>
    <w:rsid w:val="0041214A"/>
    <w:pPr>
      <w:spacing w:before="120" w:after="120"/>
    </w:pPr>
    <w:rPr>
      <w:snapToGrid w:val="0"/>
      <w:sz w:val="16"/>
      <w:lang w:eastAsia="en-US"/>
    </w:rPr>
  </w:style>
  <w:style w:type="character" w:styleId="CommentReference">
    <w:name w:val="annotation reference"/>
    <w:basedOn w:val="DefaultParagraphFont"/>
    <w:rsid w:val="00536F69"/>
    <w:rPr>
      <w:sz w:val="16"/>
      <w:szCs w:val="16"/>
    </w:rPr>
  </w:style>
  <w:style w:type="paragraph" w:styleId="CommentText">
    <w:name w:val="annotation text"/>
    <w:basedOn w:val="Normal"/>
    <w:link w:val="CommentTextChar"/>
    <w:rsid w:val="00536F69"/>
    <w:rPr>
      <w:sz w:val="20"/>
    </w:rPr>
  </w:style>
  <w:style w:type="character" w:customStyle="1" w:styleId="CommentTextChar">
    <w:name w:val="Comment Text Char"/>
    <w:basedOn w:val="DefaultParagraphFont"/>
    <w:link w:val="CommentText"/>
    <w:rsid w:val="00536F69"/>
  </w:style>
  <w:style w:type="paragraph" w:styleId="CommentSubject">
    <w:name w:val="annotation subject"/>
    <w:basedOn w:val="CommentText"/>
    <w:next w:val="CommentText"/>
    <w:link w:val="CommentSubjectChar"/>
    <w:semiHidden/>
    <w:unhideWhenUsed/>
    <w:rsid w:val="00536F69"/>
    <w:rPr>
      <w:b/>
      <w:bCs/>
    </w:rPr>
  </w:style>
  <w:style w:type="character" w:customStyle="1" w:styleId="CommentSubjectChar">
    <w:name w:val="Comment Subject Char"/>
    <w:basedOn w:val="CommentTextChar"/>
    <w:link w:val="CommentSubject"/>
    <w:semiHidden/>
    <w:rsid w:val="00536F69"/>
    <w:rPr>
      <w:b/>
      <w:bCs/>
    </w:rPr>
  </w:style>
  <w:style w:type="paragraph" w:customStyle="1" w:styleId="Normal24a">
    <w:name w:val="Normal24a"/>
    <w:basedOn w:val="Normal"/>
    <w:rsid w:val="00824F42"/>
    <w:pPr>
      <w:spacing w:after="480"/>
    </w:pPr>
  </w:style>
  <w:style w:type="paragraph" w:customStyle="1" w:styleId="NormalBoldCenter">
    <w:name w:val="NormalBoldCenter"/>
    <w:basedOn w:val="Normal"/>
    <w:rsid w:val="00824F42"/>
    <w:pPr>
      <w:jc w:val="center"/>
    </w:pPr>
    <w:rPr>
      <w:b/>
    </w:rPr>
  </w:style>
  <w:style w:type="paragraph" w:customStyle="1" w:styleId="Footprint12b">
    <w:name w:val="Footprint12b"/>
    <w:basedOn w:val="Normal"/>
    <w:rsid w:val="00824F42"/>
    <w:pPr>
      <w:spacing w:before="240"/>
    </w:pPr>
    <w:rPr>
      <w:szCs w:val="24"/>
    </w:rPr>
  </w:style>
  <w:style w:type="paragraph" w:customStyle="1" w:styleId="NormalSingle">
    <w:name w:val="NormalSingle"/>
    <w:basedOn w:val="Normal"/>
    <w:qFormat/>
    <w:rsid w:val="00824F4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budget/2024/207/oj" TargetMode="External" /><Relationship Id="rId2" Type="http://schemas.openxmlformats.org/officeDocument/2006/relationships/hyperlink" Target="http://data.europa.eu/eli/C/2025/4944/oj" TargetMode="External" /><Relationship Id="rId3" Type="http://schemas.openxmlformats.org/officeDocument/2006/relationships/hyperlink" Target="http://data.europa.eu/eli/C/2025/5409/oj" TargetMode="External" /><Relationship Id="rId4" Type="http://schemas.openxmlformats.org/officeDocument/2006/relationships/hyperlink" Target="http://data.europa.eu/eli/C/2025/5407/oj" TargetMode="External" /><Relationship Id="rId5" Type="http://schemas.openxmlformats.org/officeDocument/2006/relationships/hyperlink" Target="http://data.europa.eu/eli/reg/2018/1046/oj" TargetMode="External" /><Relationship Id="rId6" Type="http://schemas.openxmlformats.org/officeDocument/2006/relationships/hyperlink" Target="http://data.europa.eu/eli/reg/2024/2509/oj"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E5B1D-1716-467A-92AC-5451912BE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3001</Words>
  <Characters>16896</Characters>
  <Application>Microsoft Office Word</Application>
  <DocSecurity>0</DocSecurity>
  <Lines>337</Lines>
  <Paragraphs>139</Paragraphs>
  <ScaleCrop>false</ScaleCrop>
  <HeadingPairs>
    <vt:vector size="2" baseType="variant">
      <vt:variant>
        <vt:lpstr>Title</vt:lpstr>
      </vt:variant>
      <vt:variant>
        <vt:i4>1</vt:i4>
      </vt:variant>
    </vt:vector>
  </HeadingPairs>
  <TitlesOfParts>
    <vt:vector size="1" baseType="lpstr">
      <vt:lpstr>PR_Dec_Other2</vt:lpstr>
    </vt:vector>
  </TitlesOfParts>
  <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PR_Dec_Other2</dc:title>
  <dc:creator>European Parliament</dc:creator>
  <cp:lastModifiedBy>European Parliament</cp:lastModifiedBy>
  <cp:revision>2</cp:revision>
  <cp:lastPrinted>2004-12-08T15:27:00Z</cp:lastPrinted>
  <dcterms:created xsi:type="dcterms:W3CDTF">2026-10-15T11:47:00Z</dcterms:created>
  <dcterms:modified xsi:type="dcterms:W3CDTF">2026-10-15T11:47:00Z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1352075</vt:lpwstr>
  </property>
  <property fmtid="{D5CDD505-2E9C-101B-9397-08002B2CF9AE}" pid="4" name="&lt;Model&gt;">
    <vt:lpwstr>PR_DEC_Other2</vt:lpwstr>
  </property>
  <property fmtid="{D5CDD505-2E9C-101B-9397-08002B2CF9AE}" pid="5" name="&lt;ModelCod&gt;">
    <vt:lpwstr>\\eiciBRUpr1\pdocep$\DocEP\DOCS\General\PR\PR_BUD\DEC\PR_DEC_Other2.dotx(10/02/2025 09:43:01)</vt:lpwstr>
  </property>
  <property fmtid="{D5CDD505-2E9C-101B-9397-08002B2CF9AE}" pid="6" name="&lt;ModelTra&gt;">
    <vt:lpwstr>\\eiciBRUpr1\pdocep$\DocEP\TRANSFIL\EN\PR_DEC_Other2.EN(04/03/2026 07:55:04)</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RR\790743EN.docx</vt:lpwstr>
  </property>
  <property fmtid="{D5CDD505-2E9C-101B-9397-08002B2CF9AE}" pid="10" name="LastEdited with">
    <vt:lpwstr>10.3.1 Build [20260902]</vt:lpwstr>
  </property>
  <property fmtid="{D5CDD505-2E9C-101B-9397-08002B2CF9AE}" pid="11" name="PE number">
    <vt:lpwstr>790743</vt:lpwstr>
  </property>
  <property fmtid="{D5CDD505-2E9C-101B-9397-08002B2CF9AE}" pid="12" name="RegistreCheck">
    <vt:lpwstr>OK</vt:lpwstr>
  </property>
  <property fmtid="{D5CDD505-2E9C-101B-9397-08002B2CF9AE}" pid="13" name="SendToEpades">
    <vt:lpwstr/>
  </property>
</Properties>
</file>