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D14116A" w14:textId="77777777" w:rsidTr="00BA4EAC">
        <w:tblPrEx>
          <w:tblW w:w="9072" w:type="dxa"/>
          <w:tblCellMar>
            <w:left w:w="0" w:type="dxa"/>
            <w:right w:w="0" w:type="dxa"/>
          </w:tblCellMar>
          <w:tblLook w:val="01E0"/>
        </w:tblPrEx>
        <w:trPr>
          <w:trHeight w:hRule="exact" w:val="1418"/>
        </w:trPr>
        <w:tc>
          <w:tcPr>
            <w:tcW w:w="6804" w:type="dxa"/>
            <w:vAlign w:val="center"/>
          </w:tcPr>
          <w:p w:rsidR="00E96B4F" w:rsidRPr="008C19AA" w:rsidP="00BA4EAC" w14:paraId="03B8C3B2" w14:textId="77777777">
            <w:pPr>
              <w:pStyle w:val="EPName"/>
            </w:pPr>
            <w:r w:rsidRPr="008C19AA">
              <w:t>European Parliament</w:t>
            </w:r>
          </w:p>
          <w:p w:rsidR="00E96B4F" w:rsidRPr="008C19AA" w:rsidP="00BA4EAC" w14:paraId="62382B4D" w14:textId="28F1FDA9">
            <w:pPr>
              <w:pStyle w:val="EPTerm"/>
            </w:pPr>
            <w:r w:rsidRPr="008C19AA">
              <w:t>2024-2029</w:t>
            </w:r>
          </w:p>
        </w:tc>
        <w:tc>
          <w:tcPr>
            <w:tcW w:w="2268" w:type="dxa"/>
          </w:tcPr>
          <w:p w:rsidR="00E96B4F" w:rsidRPr="008C19AA" w:rsidP="00BA4EAC" w14:paraId="1FE20630" w14:textId="77777777">
            <w:pPr>
              <w:pStyle w:val="EPLogo"/>
            </w:pPr>
            <w:r w:rsidRPr="008C19A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18647"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461B7" w:rsidRPr="008C19AA" w:rsidP="00D461B7" w14:paraId="45ECEF44" w14:textId="77777777">
      <w:pPr>
        <w:pStyle w:val="LineTop"/>
      </w:pPr>
    </w:p>
    <w:p w:rsidR="00D461B7" w:rsidRPr="008C19AA" w:rsidP="00D461B7" w14:paraId="2DA3E2CA" w14:textId="101002D0">
      <w:pPr>
        <w:pStyle w:val="EPBody"/>
      </w:pPr>
      <w:r w:rsidRPr="008C19AA">
        <w:t>Plenary sitting</w:t>
      </w:r>
    </w:p>
    <w:p w:rsidR="00D461B7" w:rsidRPr="008C19AA" w:rsidP="00D461B7" w14:paraId="0340261F" w14:textId="77777777">
      <w:pPr>
        <w:pStyle w:val="LineBottom"/>
      </w:pPr>
    </w:p>
    <w:p w:rsidR="004D2440" w:rsidRPr="008C19AA" w14:paraId="4F03125B" w14:textId="08105DBB">
      <w:pPr>
        <w:pStyle w:val="CoverReference"/>
        <w:rPr>
          <w:noProof/>
        </w:rPr>
      </w:pPr>
      <w:r w:rsidRPr="008C19AA">
        <w:rPr>
          <w:rStyle w:val="HideTWBExt"/>
        </w:rPr>
        <w:t>&lt;NoDocSe&gt;</w:t>
      </w:r>
      <w:r w:rsidR="00A17A06">
        <w:t>A10-0273/2026</w:t>
      </w:r>
      <w:r w:rsidRPr="008C19AA">
        <w:rPr>
          <w:rStyle w:val="HideTWBExt"/>
        </w:rPr>
        <w:t>&lt;/NoDocSe&gt;</w:t>
      </w:r>
    </w:p>
    <w:p w:rsidR="004D2440" w:rsidRPr="0041368B" w14:paraId="43E41583" w14:textId="02C130AA">
      <w:pPr>
        <w:pStyle w:val="CoverDate"/>
        <w:rPr>
          <w:noProof/>
          <w:lang w:val="fr-BE"/>
        </w:rPr>
      </w:pPr>
      <w:r w:rsidRPr="0041368B">
        <w:rPr>
          <w:rStyle w:val="HideTWBExt"/>
          <w:lang w:val="fr-BE"/>
        </w:rPr>
        <w:t>&lt;Date&gt;</w:t>
      </w:r>
      <w:r w:rsidRPr="0041368B" w:rsidR="00E11A70">
        <w:rPr>
          <w:rStyle w:val="HideTWBInt"/>
          <w:lang w:val="fr-BE"/>
        </w:rPr>
        <w:t>{13/10/2026}</w:t>
      </w:r>
      <w:r w:rsidRPr="0041368B" w:rsidR="00E11A70">
        <w:rPr>
          <w:lang w:val="fr-BE"/>
        </w:rPr>
        <w:t>13.10.2026</w:t>
      </w:r>
      <w:r w:rsidRPr="0041368B">
        <w:rPr>
          <w:rStyle w:val="HideTWBExt"/>
          <w:lang w:val="fr-BE"/>
        </w:rPr>
        <w:t>&lt;/Date&gt;</w:t>
      </w:r>
    </w:p>
    <w:p w:rsidR="004D2440" w:rsidRPr="0041368B" w14:paraId="201A1503" w14:textId="2F81F7BE">
      <w:pPr>
        <w:pStyle w:val="CoverDocType24a"/>
        <w:rPr>
          <w:noProof/>
          <w:lang w:val="fr-BE"/>
        </w:rPr>
      </w:pPr>
      <w:r w:rsidRPr="0041368B">
        <w:rPr>
          <w:rStyle w:val="HideTWBExt"/>
          <w:b w:val="0"/>
          <w:lang w:val="fr-BE"/>
        </w:rPr>
        <w:t>&lt;TitreType&gt;</w:t>
      </w:r>
      <w:r w:rsidRPr="0041368B" w:rsidR="009119DA">
        <w:rPr>
          <w:lang w:val="fr-BE"/>
        </w:rPr>
        <w:t>REPORT</w:t>
      </w:r>
      <w:r w:rsidRPr="0041368B">
        <w:rPr>
          <w:rStyle w:val="HideTWBExt"/>
          <w:b w:val="0"/>
          <w:lang w:val="fr-BE"/>
        </w:rPr>
        <w:t>&lt;/TitreType&gt;</w:t>
      </w:r>
    </w:p>
    <w:p w:rsidR="004D2440" w:rsidRPr="008C19AA" w:rsidP="009F075E" w14:paraId="23A4E670" w14:textId="2B4BC74C">
      <w:pPr>
        <w:pStyle w:val="CoverNormal"/>
        <w:rPr>
          <w:b/>
          <w:bCs/>
        </w:rPr>
      </w:pPr>
      <w:r w:rsidRPr="008C19AA">
        <w:rPr>
          <w:rStyle w:val="HideTWBExt"/>
        </w:rPr>
        <w:t>&lt;Titre&gt;</w:t>
      </w:r>
      <w:r w:rsidRPr="008C19AA" w:rsidR="002B52E8">
        <w:rPr>
          <w:noProof/>
        </w:rPr>
        <w:t xml:space="preserve">on the proposal for a decision of the European Parliament and of the Council </w:t>
      </w:r>
      <w:r w:rsidRPr="008C19AA" w:rsidR="00445718">
        <w:t xml:space="preserve">on the mobilisation of the European Globalisation Adjustment Fund </w:t>
      </w:r>
      <w:r w:rsidRPr="008C19AA" w:rsidR="009F075E">
        <w:t xml:space="preserve">for Displaced Workers following an </w:t>
      </w:r>
      <w:r w:rsidRPr="008C19AA" w:rsidR="00445718">
        <w:t>application from Finland – EGF/2026</w:t>
      </w:r>
      <w:r w:rsidRPr="008C19AA" w:rsidR="009F075E">
        <w:t>/004 FI/Etelä-Suomi and Helsinki-Uusimaa paper</w:t>
      </w:r>
      <w:r w:rsidRPr="008C19AA">
        <w:rPr>
          <w:rStyle w:val="HideTWBExt"/>
        </w:rPr>
        <w:t>&lt;/Titre&gt;</w:t>
      </w:r>
    </w:p>
    <w:p w:rsidR="004D2440" w:rsidRPr="008C19AA" w14:paraId="08292212" w14:textId="3278BC68">
      <w:pPr>
        <w:pStyle w:val="CoverNormal24a"/>
        <w:rPr>
          <w:noProof/>
        </w:rPr>
      </w:pPr>
      <w:r w:rsidRPr="008C19AA">
        <w:rPr>
          <w:rStyle w:val="HideTWBExt"/>
        </w:rPr>
        <w:t>&lt;DocRef&gt;</w:t>
      </w:r>
      <w:r w:rsidRPr="008C19AA" w:rsidR="002B52E8">
        <w:rPr>
          <w:noProof/>
        </w:rPr>
        <w:t>(COM</w:t>
      </w:r>
      <w:r w:rsidRPr="008C19AA" w:rsidR="00445718">
        <w:t>(2026)0555</w:t>
      </w:r>
      <w:r w:rsidRPr="008C19AA" w:rsidR="002B52E8">
        <w:rPr>
          <w:noProof/>
        </w:rPr>
        <w:t xml:space="preserve"> </w:t>
      </w:r>
      <w:r w:rsidRPr="008C19AA" w:rsidR="00445718">
        <w:t>–</w:t>
      </w:r>
      <w:r w:rsidRPr="008C19AA" w:rsidR="002B52E8">
        <w:rPr>
          <w:noProof/>
        </w:rPr>
        <w:t xml:space="preserve"> </w:t>
      </w:r>
      <w:r w:rsidRPr="008C19AA" w:rsidR="00445718">
        <w:t>C10</w:t>
      </w:r>
      <w:r w:rsidRPr="008C19AA" w:rsidR="00445718">
        <w:noBreakHyphen/>
        <w:t>0209/2026</w:t>
      </w:r>
      <w:r w:rsidRPr="008C19AA" w:rsidR="002B52E8">
        <w:rPr>
          <w:noProof/>
        </w:rPr>
        <w:t xml:space="preserve"> </w:t>
      </w:r>
      <w:r w:rsidRPr="008C19AA" w:rsidR="00445718">
        <w:t>–</w:t>
      </w:r>
      <w:r w:rsidRPr="008C19AA" w:rsidR="002B52E8">
        <w:rPr>
          <w:noProof/>
        </w:rPr>
        <w:t xml:space="preserve"> </w:t>
      </w:r>
      <w:r w:rsidRPr="008C19AA" w:rsidR="00445718">
        <w:t>2026/0254</w:t>
      </w:r>
      <w:r w:rsidRPr="008C19AA" w:rsidR="002B52E8">
        <w:rPr>
          <w:noProof/>
        </w:rPr>
        <w:t>(BUD))</w:t>
      </w:r>
      <w:r w:rsidRPr="008C19AA">
        <w:rPr>
          <w:rStyle w:val="HideTWBExt"/>
        </w:rPr>
        <w:t>&lt;/DocRef&gt;</w:t>
      </w:r>
    </w:p>
    <w:p w:rsidR="004D2440" w:rsidRPr="008C19AA" w14:paraId="2D0CB5AD" w14:textId="77777777">
      <w:pPr>
        <w:pStyle w:val="CoverNormal24a"/>
        <w:rPr>
          <w:noProof/>
        </w:rPr>
      </w:pPr>
      <w:r w:rsidRPr="008C19AA">
        <w:rPr>
          <w:rStyle w:val="HideTWBExt"/>
        </w:rPr>
        <w:t>&lt;Commission&gt;</w:t>
      </w:r>
      <w:r w:rsidRPr="008C19AA">
        <w:rPr>
          <w:rStyle w:val="HideTWBInt"/>
          <w:noProof/>
        </w:rPr>
        <w:t>{BUDG}</w:t>
      </w:r>
      <w:r w:rsidRPr="008C19AA" w:rsidR="002B52E8">
        <w:rPr>
          <w:noProof/>
        </w:rPr>
        <w:t>Committee on Budgets</w:t>
      </w:r>
      <w:r w:rsidRPr="008C19AA">
        <w:rPr>
          <w:rStyle w:val="HideTWBExt"/>
        </w:rPr>
        <w:t>&lt;/Commission&gt;</w:t>
      </w:r>
    </w:p>
    <w:p w:rsidR="004D2440" w:rsidRPr="0041368B" w14:paraId="5BA27CF8" w14:textId="30C7C860">
      <w:pPr>
        <w:pStyle w:val="CoverNormal24a"/>
        <w:rPr>
          <w:noProof/>
          <w:lang w:val="fr-BE"/>
        </w:rPr>
      </w:pPr>
      <w:r w:rsidRPr="0041368B">
        <w:rPr>
          <w:noProof/>
          <w:lang w:val="fr-BE"/>
        </w:rPr>
        <w:t>Rapporteur:</w:t>
      </w:r>
      <w:r w:rsidRPr="0041368B">
        <w:rPr>
          <w:noProof/>
          <w:lang w:val="fr-BE"/>
        </w:rPr>
        <w:t xml:space="preserve"> </w:t>
      </w:r>
      <w:r w:rsidRPr="0041368B">
        <w:rPr>
          <w:rStyle w:val="HideTWBExt"/>
          <w:lang w:val="fr-BE"/>
        </w:rPr>
        <w:t>&lt;Depute&gt;</w:t>
      </w:r>
      <w:r w:rsidRPr="0041368B" w:rsidR="00445718">
        <w:rPr>
          <w:lang w:val="fr-BE"/>
        </w:rPr>
        <w:t>Aura Salla</w:t>
      </w:r>
      <w:r w:rsidRPr="0041368B">
        <w:rPr>
          <w:rStyle w:val="HideTWBExt"/>
          <w:lang w:val="fr-BE"/>
        </w:rPr>
        <w:t>&lt;/Depute&gt;</w:t>
      </w:r>
    </w:p>
    <w:p w:rsidR="0058028A" w:rsidRPr="0041368B" w:rsidP="0058028A" w14:paraId="03A12F1B" w14:textId="77777777">
      <w:pPr>
        <w:pStyle w:val="CoverNormal"/>
        <w:rPr>
          <w:noProof/>
          <w:lang w:val="fr-BE"/>
        </w:rPr>
      </w:pPr>
    </w:p>
    <w:p w:rsidR="004D2440" w:rsidRPr="008C19AA" w:rsidP="00300158" w14:paraId="5998DFB2" w14:textId="77777777">
      <w:pPr>
        <w:widowControl/>
        <w:tabs>
          <w:tab w:val="center" w:pos="4677"/>
        </w:tabs>
        <w:rPr>
          <w:noProof/>
        </w:rPr>
      </w:pPr>
      <w:r w:rsidRPr="0041368B">
        <w:rPr>
          <w:noProof/>
        </w:rPr>
        <w:br w:type="page"/>
      </w:r>
      <w:r w:rsidRPr="008C19AA" w:rsidR="002B52E8">
        <w:rPr>
          <w:noProof/>
        </w:rPr>
        <w:t>PR_BUD_Funds</w:t>
      </w:r>
    </w:p>
    <w:p w:rsidR="004D2440" w:rsidRPr="008C19AA" w14:paraId="58CA950A" w14:textId="77777777">
      <w:pPr>
        <w:pStyle w:val="TOCHeading"/>
        <w:rPr>
          <w:noProof/>
        </w:rPr>
      </w:pPr>
      <w:r w:rsidRPr="008C19AA">
        <w:rPr>
          <w:noProof/>
        </w:rPr>
        <w:t>CONTENTS</w:t>
      </w:r>
    </w:p>
    <w:p w:rsidR="004D2440" w:rsidRPr="008C19AA" w14:paraId="6EC4979E" w14:textId="77777777">
      <w:pPr>
        <w:pStyle w:val="TOCPage"/>
        <w:rPr>
          <w:noProof/>
        </w:rPr>
      </w:pPr>
      <w:r w:rsidRPr="008C19AA">
        <w:rPr>
          <w:noProof/>
        </w:rPr>
        <w:t>Page</w:t>
      </w:r>
    </w:p>
    <w:p w:rsidR="00A17A06" w14:paraId="14B4E637" w14:textId="3817C731">
      <w:pPr>
        <w:pStyle w:val="TOC1"/>
        <w:tabs>
          <w:tab w:val="right" w:leader="dot" w:pos="9060"/>
        </w:tabs>
        <w:rPr>
          <w:rFonts w:asciiTheme="minorHAnsi" w:eastAsiaTheme="minorEastAsia" w:hAnsiTheme="minorHAnsi" w:cstheme="minorBidi"/>
          <w:noProof/>
          <w:kern w:val="2"/>
          <w:szCs w:val="21"/>
          <w:lang w:bidi="ne-NP"/>
          <w14:ligatures w14:val="standardContextual"/>
        </w:rPr>
      </w:pPr>
      <w:r w:rsidRPr="008C19AA">
        <w:rPr>
          <w:noProof/>
        </w:rPr>
        <w:fldChar w:fldCharType="begin"/>
      </w:r>
      <w:r w:rsidRPr="008C19AA">
        <w:rPr>
          <w:noProof/>
        </w:rPr>
        <w:instrText xml:space="preserve"> TOC \t "PageHeading</w:instrText>
      </w:r>
      <w:r w:rsidRPr="008C19AA" w:rsidR="00E11A70">
        <w:rPr>
          <w:noProof/>
        </w:rPr>
        <w:instrText>;</w:instrText>
      </w:r>
      <w:r w:rsidRPr="008C19AA">
        <w:rPr>
          <w:noProof/>
        </w:rPr>
        <w:instrText xml:space="preserve">1" </w:instrText>
      </w:r>
      <w:r w:rsidRPr="008C19AA">
        <w:rPr>
          <w:noProof/>
        </w:rPr>
        <w:fldChar w:fldCharType="separate"/>
      </w:r>
      <w:r>
        <w:rPr>
          <w:noProof/>
        </w:rPr>
        <w:t>MOTION FOR A EUROPEAN PARLIAMENT RESOLUTION</w:t>
      </w:r>
      <w:r>
        <w:rPr>
          <w:noProof/>
        </w:rPr>
        <w:tab/>
      </w:r>
      <w:r>
        <w:rPr>
          <w:noProof/>
        </w:rPr>
        <w:fldChar w:fldCharType="begin"/>
      </w:r>
      <w:r>
        <w:rPr>
          <w:noProof/>
        </w:rPr>
        <w:instrText xml:space="preserve"> PAGEREF _Toc242797988 \h </w:instrText>
      </w:r>
      <w:r>
        <w:rPr>
          <w:noProof/>
        </w:rPr>
        <w:fldChar w:fldCharType="separate"/>
      </w:r>
      <w:r>
        <w:rPr>
          <w:noProof/>
        </w:rPr>
        <w:t>3</w:t>
      </w:r>
      <w:r>
        <w:rPr>
          <w:noProof/>
        </w:rPr>
        <w:fldChar w:fldCharType="end"/>
      </w:r>
    </w:p>
    <w:p w:rsidR="00A17A06" w14:paraId="7AF08F7D" w14:textId="7EDF3935">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DECISION OF THE EUROPEAN PARLIAMENT AND OF THE COUNCIL</w:t>
      </w:r>
      <w:r>
        <w:rPr>
          <w:noProof/>
        </w:rPr>
        <w:tab/>
      </w:r>
      <w:r>
        <w:rPr>
          <w:noProof/>
        </w:rPr>
        <w:fldChar w:fldCharType="begin"/>
      </w:r>
      <w:r>
        <w:rPr>
          <w:noProof/>
        </w:rPr>
        <w:instrText xml:space="preserve"> PAGEREF _Toc242797989 \h </w:instrText>
      </w:r>
      <w:r>
        <w:rPr>
          <w:noProof/>
        </w:rPr>
        <w:fldChar w:fldCharType="separate"/>
      </w:r>
      <w:r>
        <w:rPr>
          <w:noProof/>
        </w:rPr>
        <w:t>7</w:t>
      </w:r>
      <w:r>
        <w:rPr>
          <w:noProof/>
        </w:rPr>
        <w:fldChar w:fldCharType="end"/>
      </w:r>
    </w:p>
    <w:p w:rsidR="00A17A06" w14:paraId="79BDA17F" w14:textId="7FE41339">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EXPLANATORY STATEMENT</w:t>
      </w:r>
      <w:r>
        <w:rPr>
          <w:noProof/>
        </w:rPr>
        <w:tab/>
      </w:r>
      <w:r>
        <w:rPr>
          <w:noProof/>
        </w:rPr>
        <w:fldChar w:fldCharType="begin"/>
      </w:r>
      <w:r>
        <w:rPr>
          <w:noProof/>
        </w:rPr>
        <w:instrText xml:space="preserve"> PAGEREF _Toc242797990 \h </w:instrText>
      </w:r>
      <w:r>
        <w:rPr>
          <w:noProof/>
        </w:rPr>
        <w:fldChar w:fldCharType="separate"/>
      </w:r>
      <w:r>
        <w:rPr>
          <w:noProof/>
        </w:rPr>
        <w:t>9</w:t>
      </w:r>
      <w:r>
        <w:rPr>
          <w:noProof/>
        </w:rPr>
        <w:fldChar w:fldCharType="end"/>
      </w:r>
    </w:p>
    <w:p w:rsidR="00A17A06" w14:paraId="7AE98556" w14:textId="1D456D38">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DECLARATION OF INPUT</w:t>
      </w:r>
      <w:r>
        <w:rPr>
          <w:noProof/>
        </w:rPr>
        <w:tab/>
      </w:r>
      <w:r>
        <w:rPr>
          <w:noProof/>
        </w:rPr>
        <w:fldChar w:fldCharType="begin"/>
      </w:r>
      <w:r>
        <w:rPr>
          <w:noProof/>
        </w:rPr>
        <w:instrText xml:space="preserve"> PAGEREF _Toc242797991 \h </w:instrText>
      </w:r>
      <w:r>
        <w:rPr>
          <w:noProof/>
        </w:rPr>
        <w:fldChar w:fldCharType="separate"/>
      </w:r>
      <w:r>
        <w:rPr>
          <w:noProof/>
        </w:rPr>
        <w:t>11</w:t>
      </w:r>
      <w:r>
        <w:rPr>
          <w:noProof/>
        </w:rPr>
        <w:fldChar w:fldCharType="end"/>
      </w:r>
    </w:p>
    <w:p w:rsidR="00A17A06" w14:paraId="6BAD2C5A" w14:textId="25ED1AE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LETTER OF THE COMMITTEE ON EMPLOYMENT AND SOCIAL AFFAIRS</w:t>
      </w:r>
      <w:r>
        <w:rPr>
          <w:noProof/>
        </w:rPr>
        <w:tab/>
      </w:r>
      <w:r>
        <w:rPr>
          <w:noProof/>
        </w:rPr>
        <w:fldChar w:fldCharType="begin"/>
      </w:r>
      <w:r>
        <w:rPr>
          <w:noProof/>
        </w:rPr>
        <w:instrText xml:space="preserve"> PAGEREF _Toc242797992 \h </w:instrText>
      </w:r>
      <w:r>
        <w:rPr>
          <w:noProof/>
        </w:rPr>
        <w:fldChar w:fldCharType="separate"/>
      </w:r>
      <w:r>
        <w:rPr>
          <w:noProof/>
        </w:rPr>
        <w:t>12</w:t>
      </w:r>
      <w:r>
        <w:rPr>
          <w:noProof/>
        </w:rPr>
        <w:fldChar w:fldCharType="end"/>
      </w:r>
    </w:p>
    <w:p w:rsidR="00A17A06" w14:paraId="6D8B5920" w14:textId="5E5CF05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ANNEX: DECLARATION OF INPUT</w:t>
      </w:r>
      <w:r>
        <w:rPr>
          <w:noProof/>
        </w:rPr>
        <w:tab/>
      </w:r>
      <w:r>
        <w:rPr>
          <w:noProof/>
        </w:rPr>
        <w:fldChar w:fldCharType="begin"/>
      </w:r>
      <w:r>
        <w:rPr>
          <w:noProof/>
        </w:rPr>
        <w:instrText xml:space="preserve"> PAGEREF _Toc242797993 \h </w:instrText>
      </w:r>
      <w:r>
        <w:rPr>
          <w:noProof/>
        </w:rPr>
        <w:fldChar w:fldCharType="separate"/>
      </w:r>
      <w:r>
        <w:rPr>
          <w:noProof/>
        </w:rPr>
        <w:t>16</w:t>
      </w:r>
      <w:r>
        <w:rPr>
          <w:noProof/>
        </w:rPr>
        <w:fldChar w:fldCharType="end"/>
      </w:r>
    </w:p>
    <w:p w:rsidR="00A17A06" w14:paraId="15E71823" w14:textId="355398F7">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INFORMATION ON ADOPTION BY THE COMMITTEE RESPONSIBLE</w:t>
      </w:r>
      <w:r>
        <w:rPr>
          <w:noProof/>
        </w:rPr>
        <w:tab/>
      </w:r>
      <w:r>
        <w:rPr>
          <w:noProof/>
        </w:rPr>
        <w:fldChar w:fldCharType="begin"/>
      </w:r>
      <w:r>
        <w:rPr>
          <w:noProof/>
        </w:rPr>
        <w:instrText xml:space="preserve"> PAGEREF _Toc242797994 \h </w:instrText>
      </w:r>
      <w:r>
        <w:rPr>
          <w:noProof/>
        </w:rPr>
        <w:fldChar w:fldCharType="separate"/>
      </w:r>
      <w:r>
        <w:rPr>
          <w:noProof/>
        </w:rPr>
        <w:t>17</w:t>
      </w:r>
      <w:r>
        <w:rPr>
          <w:noProof/>
        </w:rPr>
        <w:fldChar w:fldCharType="end"/>
      </w:r>
    </w:p>
    <w:p w:rsidR="00A17A06" w14:paraId="5D95C5C3" w14:textId="60589A2D">
      <w:pPr>
        <w:pStyle w:val="TOC1"/>
        <w:tabs>
          <w:tab w:val="right" w:leader="dot" w:pos="9060"/>
        </w:tabs>
        <w:rPr>
          <w:rFonts w:asciiTheme="minorHAnsi" w:eastAsiaTheme="minorEastAsia" w:hAnsiTheme="minorHAnsi" w:cstheme="minorBidi"/>
          <w:noProof/>
          <w:kern w:val="2"/>
          <w:szCs w:val="21"/>
          <w:lang w:bidi="ne-NP"/>
          <w14:ligatures w14:val="standardContextual"/>
        </w:rPr>
      </w:pPr>
      <w:r>
        <w:rPr>
          <w:noProof/>
        </w:rPr>
        <w:t>FINAL VOTE BY ROLL CALL BY THE COMMITTEE RESPONSIBLE</w:t>
      </w:r>
      <w:r>
        <w:rPr>
          <w:noProof/>
        </w:rPr>
        <w:tab/>
      </w:r>
      <w:r>
        <w:rPr>
          <w:noProof/>
        </w:rPr>
        <w:fldChar w:fldCharType="begin"/>
      </w:r>
      <w:r>
        <w:rPr>
          <w:noProof/>
        </w:rPr>
        <w:instrText xml:space="preserve"> PAGEREF _Toc242797995 \h </w:instrText>
      </w:r>
      <w:r>
        <w:rPr>
          <w:noProof/>
        </w:rPr>
        <w:fldChar w:fldCharType="separate"/>
      </w:r>
      <w:r>
        <w:rPr>
          <w:noProof/>
        </w:rPr>
        <w:t>18</w:t>
      </w:r>
      <w:r>
        <w:rPr>
          <w:noProof/>
        </w:rPr>
        <w:fldChar w:fldCharType="end"/>
      </w:r>
    </w:p>
    <w:p w:rsidR="004D2440" w:rsidRPr="008C19AA" w:rsidP="006E4E08" w14:paraId="2065E6B6" w14:textId="55D0BBE1">
      <w:pPr>
        <w:rPr>
          <w:noProof/>
        </w:rPr>
      </w:pPr>
      <w:r w:rsidRPr="008C19AA">
        <w:rPr>
          <w:noProof/>
        </w:rPr>
        <w:fldChar w:fldCharType="end"/>
      </w:r>
    </w:p>
    <w:p w:rsidR="004D2440" w:rsidRPr="008C19AA" w14:paraId="0050A6EB" w14:textId="77777777">
      <w:pPr>
        <w:pStyle w:val="PageHeading"/>
        <w:rPr>
          <w:noProof/>
        </w:rPr>
      </w:pPr>
      <w:r w:rsidRPr="008C19AA">
        <w:rPr>
          <w:noProof/>
        </w:rPr>
        <w:br w:type="page"/>
      </w:r>
      <w:bookmarkStart w:id="0" w:name="_Toc242797988"/>
      <w:r w:rsidRPr="008C19AA" w:rsidR="002B52E8">
        <w:rPr>
          <w:noProof/>
        </w:rPr>
        <w:t>MOTION FOR A EUROPEAN PARLIAMENT RESOLUTION</w:t>
      </w:r>
      <w:bookmarkEnd w:id="0"/>
    </w:p>
    <w:p w:rsidR="004D2440" w:rsidRPr="008C19AA" w14:paraId="31202DD5" w14:textId="7431F08D">
      <w:pPr>
        <w:pStyle w:val="NormalBold"/>
        <w:rPr>
          <w:noProof/>
        </w:rPr>
      </w:pPr>
      <w:r w:rsidRPr="008C19AA">
        <w:rPr>
          <w:noProof/>
        </w:rPr>
        <w:t xml:space="preserve">on the proposal for a decision of the European Parliament and of the Council </w:t>
      </w:r>
      <w:r w:rsidRPr="008C19AA" w:rsidR="00445718">
        <w:t xml:space="preserve">on the mobilisation of the European Globalisation Adjustment Fund </w:t>
      </w:r>
      <w:r w:rsidRPr="008C19AA" w:rsidR="00661388">
        <w:t xml:space="preserve">for Displace Workers following an </w:t>
      </w:r>
      <w:r w:rsidRPr="008C19AA" w:rsidR="00445718">
        <w:t xml:space="preserve">application from Finland – </w:t>
      </w:r>
      <w:r w:rsidRPr="008C19AA" w:rsidR="00661388">
        <w:t>EGF/2026/004 FI/Etelä-Suomi and Helsinki-Uusimaa paper</w:t>
      </w:r>
    </w:p>
    <w:p w:rsidR="004D2440" w:rsidRPr="008C19AA" w:rsidP="006E4E08" w14:paraId="3A8B2184" w14:textId="567BCC5D">
      <w:pPr>
        <w:pStyle w:val="NormalBold"/>
        <w:rPr>
          <w:noProof/>
        </w:rPr>
      </w:pPr>
      <w:r w:rsidRPr="008C19AA">
        <w:rPr>
          <w:noProof/>
        </w:rPr>
        <w:t>(COM</w:t>
      </w:r>
      <w:r w:rsidRPr="008C19AA" w:rsidR="00445718">
        <w:t>(2026)0555</w:t>
      </w:r>
      <w:r w:rsidRPr="008C19AA">
        <w:rPr>
          <w:noProof/>
        </w:rPr>
        <w:t xml:space="preserve"> </w:t>
      </w:r>
      <w:r w:rsidRPr="008C19AA" w:rsidR="00445718">
        <w:t>–</w:t>
      </w:r>
      <w:r w:rsidRPr="008C19AA">
        <w:rPr>
          <w:noProof/>
        </w:rPr>
        <w:t xml:space="preserve"> </w:t>
      </w:r>
      <w:r w:rsidRPr="008C19AA" w:rsidR="00445718">
        <w:t>C10</w:t>
      </w:r>
      <w:r w:rsidRPr="008C19AA" w:rsidR="00445718">
        <w:noBreakHyphen/>
        <w:t>0209/2026</w:t>
      </w:r>
      <w:r w:rsidRPr="008C19AA">
        <w:rPr>
          <w:noProof/>
        </w:rPr>
        <w:t xml:space="preserve"> </w:t>
      </w:r>
      <w:r w:rsidRPr="008C19AA" w:rsidR="00445718">
        <w:t>–</w:t>
      </w:r>
      <w:r w:rsidRPr="008C19AA">
        <w:rPr>
          <w:noProof/>
        </w:rPr>
        <w:t xml:space="preserve"> </w:t>
      </w:r>
      <w:r w:rsidRPr="008C19AA" w:rsidR="00445718">
        <w:t>2026/0254</w:t>
      </w:r>
      <w:r w:rsidRPr="008C19AA">
        <w:rPr>
          <w:noProof/>
        </w:rPr>
        <w:t>(BUD))</w:t>
      </w:r>
    </w:p>
    <w:p w:rsidR="004D2440" w:rsidRPr="008C19AA" w:rsidP="006E4E08" w14:paraId="0691A4B7" w14:textId="77777777">
      <w:pPr>
        <w:pStyle w:val="EPComma"/>
        <w:rPr>
          <w:noProof/>
        </w:rPr>
      </w:pPr>
      <w:r w:rsidRPr="008C19AA">
        <w:rPr>
          <w:i/>
          <w:noProof/>
        </w:rPr>
        <w:t>The European Parliament</w:t>
      </w:r>
      <w:r w:rsidRPr="008C19AA">
        <w:rPr>
          <w:noProof/>
        </w:rPr>
        <w:t>,</w:t>
      </w:r>
    </w:p>
    <w:p w:rsidR="00A86236" w:rsidRPr="008C19AA" w:rsidP="00A86236" w14:paraId="699449A0" w14:textId="77777777">
      <w:pPr>
        <w:pStyle w:val="NormalHanging12a"/>
        <w:rPr>
          <w:noProof/>
        </w:rPr>
      </w:pPr>
      <w:r w:rsidRPr="008C19AA">
        <w:rPr>
          <w:noProof/>
        </w:rPr>
        <w:t>–</w:t>
      </w:r>
      <w:r w:rsidRPr="008C19AA">
        <w:rPr>
          <w:noProof/>
        </w:rPr>
        <w:tab/>
        <w:t>having regard to the Commission proposal to the European Parliament and the Council (COM(2026)0555 – C10</w:t>
      </w:r>
      <w:r w:rsidRPr="008C19AA">
        <w:rPr>
          <w:noProof/>
        </w:rPr>
        <w:noBreakHyphen/>
        <w:t>0209/2026),</w:t>
      </w:r>
    </w:p>
    <w:p w:rsidR="00A86236" w:rsidRPr="008C19AA" w:rsidP="00A86236" w14:paraId="78D97822" w14:textId="77777777">
      <w:pPr>
        <w:pStyle w:val="NormalHanging12a"/>
        <w:rPr>
          <w:noProof/>
        </w:rPr>
      </w:pPr>
      <w:r w:rsidRPr="008C19AA">
        <w:rPr>
          <w:noProof/>
        </w:rPr>
        <w:t>–</w:t>
      </w:r>
      <w:r w:rsidRPr="008C19AA">
        <w:rPr>
          <w:noProof/>
        </w:rPr>
        <w:tab/>
        <w:t>having regard to Regulation (EU) 2021/691 of the European Parliament and of the Council of 28 April 2021 on the European Globalisation Adjustment Fund for Displaced Workers (EGF) and repealing Regulation (EU) No 1309/2013</w:t>
      </w:r>
      <w:r>
        <w:rPr>
          <w:noProof/>
          <w:vertAlign w:val="superscript"/>
        </w:rPr>
        <w:footnoteReference w:id="2"/>
      </w:r>
      <w:r w:rsidRPr="008C19AA">
        <w:rPr>
          <w:noProof/>
        </w:rPr>
        <w:t xml:space="preserve"> ("EGF Regulation"), as amended by Regulation (EU) 2026/1139</w:t>
      </w:r>
      <w:r>
        <w:rPr>
          <w:noProof/>
          <w:vertAlign w:val="superscript"/>
        </w:rPr>
        <w:footnoteReference w:id="3"/>
      </w:r>
      <w:r w:rsidRPr="008C19AA">
        <w:rPr>
          <w:noProof/>
        </w:rPr>
        <w:t>,</w:t>
      </w:r>
    </w:p>
    <w:p w:rsidR="00A86236" w:rsidRPr="008C19AA" w:rsidP="00A86236" w14:paraId="49E2979A" w14:textId="77777777">
      <w:pPr>
        <w:pStyle w:val="NormalHanging12a"/>
        <w:rPr>
          <w:noProof/>
        </w:rPr>
      </w:pPr>
      <w:r w:rsidRPr="008C19AA">
        <w:rPr>
          <w:noProof/>
        </w:rPr>
        <w:t>–</w:t>
      </w:r>
      <w:r w:rsidRPr="008C19AA">
        <w:rPr>
          <w:noProof/>
        </w:rPr>
        <w:tab/>
        <w:t>having regard to Council Regulation (EU, Euratom) 2020/2093 of 17 December 2020 laying down the multiannual financial framework for the years 2021-2027</w:t>
      </w:r>
      <w:r>
        <w:rPr>
          <w:noProof/>
          <w:vertAlign w:val="superscript"/>
        </w:rPr>
        <w:footnoteReference w:id="4"/>
      </w:r>
      <w:r w:rsidRPr="008C19AA">
        <w:rPr>
          <w:noProof/>
        </w:rPr>
        <w:t>, as amended by Regulation (EU, Euratom) 2024/765</w:t>
      </w:r>
      <w:r>
        <w:rPr>
          <w:noProof/>
          <w:vertAlign w:val="superscript"/>
        </w:rPr>
        <w:footnoteReference w:id="5"/>
      </w:r>
      <w:r w:rsidRPr="008C19AA">
        <w:rPr>
          <w:noProof/>
        </w:rPr>
        <w:t>, and in particular Article 8 thereof,</w:t>
      </w:r>
    </w:p>
    <w:p w:rsidR="00A86236" w:rsidRPr="008C19AA" w:rsidP="00A86236" w14:paraId="14DED47A" w14:textId="77777777">
      <w:pPr>
        <w:pStyle w:val="NormalHanging12a"/>
        <w:rPr>
          <w:noProof/>
        </w:rPr>
      </w:pPr>
      <w:r w:rsidRPr="008C19AA">
        <w:rPr>
          <w:noProof/>
        </w:rPr>
        <w:t>–</w:t>
      </w:r>
      <w:r w:rsidRPr="008C19AA">
        <w:rPr>
          <w:noProof/>
        </w:rPr>
        <w:tab/>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noProof/>
          <w:vertAlign w:val="superscript"/>
        </w:rPr>
        <w:footnoteReference w:id="6"/>
      </w:r>
      <w:r w:rsidRPr="008C19AA">
        <w:rPr>
          <w:noProof/>
        </w:rPr>
        <w:t>, and in particular point 9 thereof,</w:t>
      </w:r>
    </w:p>
    <w:p w:rsidR="00A86236" w:rsidRPr="008C19AA" w:rsidP="00A86236" w14:paraId="438A0484" w14:textId="77777777">
      <w:pPr>
        <w:pStyle w:val="NormalHanging12a"/>
        <w:rPr>
          <w:noProof/>
        </w:rPr>
      </w:pPr>
      <w:r w:rsidRPr="008C19AA">
        <w:rPr>
          <w:noProof/>
        </w:rPr>
        <w:t>–</w:t>
      </w:r>
      <w:r w:rsidRPr="008C19AA">
        <w:rPr>
          <w:noProof/>
        </w:rPr>
        <w:tab/>
        <w:t>having regard to the European Pillar of Social Rights,</w:t>
      </w:r>
    </w:p>
    <w:p w:rsidR="00A86236" w:rsidRPr="008C19AA" w:rsidP="00A86236" w14:paraId="20DC1EA3" w14:textId="77777777">
      <w:pPr>
        <w:pStyle w:val="NormalHanging12a"/>
        <w:rPr>
          <w:noProof/>
        </w:rPr>
      </w:pPr>
      <w:r w:rsidRPr="008C19AA">
        <w:rPr>
          <w:noProof/>
        </w:rPr>
        <w:t>–</w:t>
      </w:r>
      <w:r w:rsidRPr="008C19AA">
        <w:rPr>
          <w:noProof/>
        </w:rPr>
        <w:tab/>
        <w:t>having regard to the letter from the Committee on Employment and Social Affairs,</w:t>
      </w:r>
    </w:p>
    <w:p w:rsidR="00A86236" w:rsidRPr="008C19AA" w:rsidP="00A86236" w14:paraId="37900F29" w14:textId="50C5E8FB">
      <w:pPr>
        <w:pStyle w:val="NormalHanging12a"/>
        <w:rPr>
          <w:noProof/>
        </w:rPr>
      </w:pPr>
      <w:r w:rsidRPr="008C19AA">
        <w:rPr>
          <w:noProof/>
        </w:rPr>
        <w:t>–</w:t>
      </w:r>
      <w:r w:rsidRPr="008C19AA">
        <w:rPr>
          <w:noProof/>
        </w:rPr>
        <w:tab/>
        <w:t>having regard to the report of the Committee on Budgets (</w:t>
      </w:r>
      <w:r w:rsidR="00A17A06">
        <w:rPr>
          <w:noProof/>
        </w:rPr>
        <w:t>A10-0273/2026</w:t>
      </w:r>
      <w:r w:rsidRPr="008C19AA">
        <w:rPr>
          <w:noProof/>
        </w:rPr>
        <w:t>),</w:t>
      </w:r>
    </w:p>
    <w:p w:rsidR="00A86236" w:rsidRPr="008C19AA" w:rsidP="00A86236" w14:paraId="77338343" w14:textId="5FD5201C">
      <w:pPr>
        <w:pStyle w:val="NormalHanging12a"/>
      </w:pPr>
      <w:r w:rsidRPr="008C19AA">
        <w:t>A.</w:t>
      </w:r>
      <w:r w:rsidRPr="008C19AA">
        <w:tab/>
        <w:t>whereas the Union has set up legislative and budgetary instruments to provide additional support to workers who are suffering from the consequences of major structural events and changes in world trade patterns or who are affected by imminent job displacement in enterprises undergoing restructuring, to assist their rapid reintegration into the labour market or their career transitions and to provide training to better equip workers with skills aligned to the labour market needs; whereas this assistance is made through a financial support given to workers;</w:t>
      </w:r>
    </w:p>
    <w:p w:rsidR="00A86236" w:rsidRPr="008C19AA" w:rsidP="00A86236" w14:paraId="0E3F8E24" w14:textId="77777777">
      <w:pPr>
        <w:pStyle w:val="NormalHanging12a"/>
      </w:pPr>
      <w:r w:rsidRPr="008C19AA">
        <w:t>B.</w:t>
      </w:r>
      <w:r w:rsidRPr="008C19AA">
        <w:tab/>
        <w:t>whereas Finland submitted application EGF/2026/0004 FI/Etelä-Suomi and Helsinki-</w:t>
      </w:r>
      <w:r w:rsidRPr="008C19AA">
        <w:t>Uusimaa paper for a financial contribution from the EGF following 351 displacements</w:t>
      </w:r>
      <w:r>
        <w:rPr>
          <w:vertAlign w:val="superscript"/>
        </w:rPr>
        <w:footnoteReference w:id="7"/>
      </w:r>
      <w:r w:rsidRPr="008C19AA">
        <w:t xml:space="preserve"> in the economic sector classified under the NACE Revision 2 division 17 (Manufacture of paper and paper products), in the regions of Etelä-Suomi (FI1C) and Helsinki-Uusimaa (FI1B), with 346 displacements within a reference period from 1 October 2025 to 1 April 2026, and 5 displacements outside the reference period, coming from 4 different enterprises operating in the paper manufacturing sector;</w:t>
      </w:r>
    </w:p>
    <w:p w:rsidR="00A86236" w:rsidRPr="008C19AA" w:rsidP="00A86236" w14:paraId="373CA4AA" w14:textId="77777777">
      <w:pPr>
        <w:pStyle w:val="NormalHanging12a"/>
      </w:pPr>
      <w:r w:rsidRPr="008C19AA">
        <w:t>C.</w:t>
      </w:r>
      <w:r w:rsidRPr="008C19AA">
        <w:tab/>
        <w:t xml:space="preserve">whereas the application is based on the intervention criteria of Article 4(2), point (b), of the EGF Regulation; whereas for the 5 displacements whose activity ceased before or after the four-month reference period, a clear causal link can be established with the event that triggered the cessation of activity for the displaced workers during the reference period, in accordance with Article 6 of the EGF Regulation; </w:t>
      </w:r>
    </w:p>
    <w:p w:rsidR="00D86B36" w:rsidRPr="008C19AA" w:rsidP="00D86B36" w14:paraId="3C086405" w14:textId="17C07251">
      <w:pPr>
        <w:pStyle w:val="NormalHanging12a"/>
      </w:pPr>
      <w:r w:rsidRPr="008C19AA">
        <w:t>D.</w:t>
      </w:r>
      <w:r w:rsidRPr="008C19AA">
        <w:tab/>
        <w:t>whereas the operational costs of the Finnish paper industry have been rising for the past years due to geopolitical and economic challenges in raw material supply, high energy and manufacturing costs compared with global competitors, growing trade tensions and lower demand due to digitalisation; whereas, the closing of the border and sanctions against Russia due to its war of aggression against Ukraine resulted in the cessation of imports of Russian wood , which had a significant impact on the region of South Karelia, pushing sourcing of raw materials f</w:t>
      </w:r>
      <w:r w:rsidRPr="008C19AA" w:rsidR="002F7146">
        <w:t>a</w:t>
      </w:r>
      <w:r w:rsidRPr="008C19AA">
        <w:t>rther and at higher cost; whereas this led to significant waves of job displacements in the past two years;</w:t>
      </w:r>
      <w:r w:rsidRPr="008C19AA">
        <w:t xml:space="preserve"> whereas these structural pressures call for a coordinated Union industrial policy response, including support for the diversification of raw material sourcing, rather than relying on</w:t>
      </w:r>
      <w:r w:rsidRPr="008C19AA" w:rsidR="00482C5C">
        <w:t xml:space="preserve"> the</w:t>
      </w:r>
      <w:r w:rsidRPr="008C19AA">
        <w:t xml:space="preserve"> EGF as a stand-alone remedy;</w:t>
      </w:r>
    </w:p>
    <w:p w:rsidR="00A86236" w:rsidRPr="008C19AA" w:rsidP="00A86236" w14:paraId="26FBD6CD" w14:textId="77777777">
      <w:pPr>
        <w:pStyle w:val="NormalHanging12a"/>
      </w:pPr>
      <w:r w:rsidRPr="008C19AA">
        <w:t>E.</w:t>
      </w:r>
      <w:r w:rsidRPr="008C19AA">
        <w:tab/>
        <w:t>whereas South Karelia and Lohja-Karkkila Employment Areas are providing the national pre-financing and co-funding of the measures;</w:t>
      </w:r>
    </w:p>
    <w:p w:rsidR="00A86236" w:rsidRPr="008C19AA" w:rsidP="00A86236" w14:paraId="266C399C" w14:textId="77777777">
      <w:pPr>
        <w:pStyle w:val="NormalHanging12a"/>
      </w:pPr>
      <w:r w:rsidRPr="008C19AA">
        <w:t>F.</w:t>
      </w:r>
      <w:r w:rsidRPr="008C19AA">
        <w:tab/>
        <w:t>whereas the requirements laid down in Union and national legislation concerning collective redundancies have been met;</w:t>
      </w:r>
    </w:p>
    <w:p w:rsidR="00A86236" w:rsidRPr="008C19AA" w:rsidP="00A86236" w14:paraId="20EAE5EC" w14:textId="4CEE55E2">
      <w:pPr>
        <w:pStyle w:val="NormalHanging12a"/>
      </w:pPr>
      <w:r w:rsidRPr="008C19AA">
        <w:t>G.</w:t>
      </w:r>
      <w:r w:rsidRPr="008C19AA">
        <w:tab/>
        <w:t>whereas financial contributions from the EGF should be primarily directed at active labour market policy measures and personalised services that aim to reintegrate beneficiaries rapidly into the labour market</w:t>
      </w:r>
      <w:r w:rsidRPr="008C19AA" w:rsidR="00D86B36">
        <w:t>, through access to decent, secure and sustainable employment</w:t>
      </w:r>
      <w:r w:rsidRPr="008C19AA">
        <w:t xml:space="preserve"> or support their career transitions while offering them skills training to facilitate their reintegration and develop and strengthen digital skills;</w:t>
      </w:r>
    </w:p>
    <w:p w:rsidR="00D86B36" w:rsidRPr="008C19AA" w:rsidP="00D86B36" w14:paraId="7D7955CD" w14:textId="6E618B60">
      <w:pPr>
        <w:pStyle w:val="NormalHanging12a"/>
      </w:pPr>
      <w:r w:rsidRPr="008C19AA">
        <w:t>H.</w:t>
      </w:r>
      <w:r w:rsidRPr="008C19AA">
        <w:tab/>
        <w:t xml:space="preserve">whereas the use of the EGF remains geographically unevenly distributed across the Union with several Member States having never submitted applications for the use of the </w:t>
      </w:r>
      <w:r w:rsidRPr="008C19AA" w:rsidR="00482C5C">
        <w:t>EGF</w:t>
      </w:r>
      <w:r w:rsidRPr="008C19AA">
        <w:t>;</w:t>
      </w:r>
    </w:p>
    <w:p w:rsidR="00A86236" w:rsidRPr="008C19AA" w:rsidP="00A86236" w14:paraId="6E8356D0" w14:textId="2F2CDEA2">
      <w:pPr>
        <w:pStyle w:val="NormalHanging12a"/>
      </w:pPr>
      <w:r w:rsidRPr="008C19AA">
        <w:t>I</w:t>
      </w:r>
      <w:r w:rsidRPr="008C19AA">
        <w:t>.</w:t>
      </w:r>
      <w:r w:rsidRPr="008C19AA">
        <w:tab/>
        <w:t>whereas the EGF shall not exceed a maximum annual amount of EUR 30 million (in 2018 prices)</w:t>
      </w:r>
      <w:r>
        <w:rPr>
          <w:vertAlign w:val="superscript"/>
        </w:rPr>
        <w:footnoteReference w:id="8"/>
      </w:r>
      <w:r w:rsidRPr="008C19AA">
        <w:t xml:space="preserve">; </w:t>
      </w:r>
    </w:p>
    <w:p w:rsidR="00A86236" w:rsidRPr="008C19AA" w:rsidP="00A86236" w14:paraId="212E6F47" w14:textId="77777777">
      <w:pPr>
        <w:pStyle w:val="NormalHanging12a"/>
      </w:pPr>
      <w:r w:rsidRPr="008C19AA">
        <w:t>1.</w:t>
      </w:r>
      <w:r w:rsidRPr="008C19AA">
        <w:tab/>
        <w:t>Agrees with the Commission that the conditions set out in the EGF Regulation and in particular in Article 4(2), point (b), thereof are met and that Finland is entitled to a financial contribution of EUR 1 102 560 under that Regulation, which represents 60 % of the total cost of EUR 1 837 600, comprising expenditure for personalised services of EUR 1 769 600 and expenditure for preparatory, management, information and publicity, control and reporting activities of EUR 68 000;</w:t>
      </w:r>
    </w:p>
    <w:p w:rsidR="00A86236" w:rsidRPr="008C19AA" w:rsidP="00A86236" w14:paraId="0D6FBB6E" w14:textId="77777777">
      <w:pPr>
        <w:pStyle w:val="NormalHanging12a"/>
      </w:pPr>
      <w:r w:rsidRPr="008C19AA">
        <w:t>2.</w:t>
      </w:r>
      <w:r w:rsidRPr="008C19AA">
        <w:tab/>
        <w:t xml:space="preserve">Notes that the Finnish authorities submitted the application on 19 May 2026, and that, following the receipt of additional information from Finland, the Commission finalised its assessment on 8 September 2026 and notified it to Parliament on the same day; </w:t>
      </w:r>
    </w:p>
    <w:p w:rsidR="00A86236" w:rsidRPr="008C19AA" w:rsidP="00A86236" w14:paraId="12762D20" w14:textId="77777777">
      <w:pPr>
        <w:pStyle w:val="NormalHanging12a"/>
      </w:pPr>
      <w:r w:rsidRPr="008C19AA">
        <w:t>3.</w:t>
      </w:r>
      <w:r w:rsidRPr="008C19AA">
        <w:tab/>
        <w:t>Recalls that the application relates to 351 targeted beneficiaries, who were made redundant in the paper manufacturing sector;</w:t>
      </w:r>
    </w:p>
    <w:p w:rsidR="00A86236" w:rsidRPr="008C19AA" w:rsidP="00A86236" w14:paraId="5AADE703" w14:textId="39351461">
      <w:pPr>
        <w:pStyle w:val="NormalHanging12a"/>
      </w:pPr>
      <w:bookmarkStart w:id="1" w:name="_Hlk240969532"/>
      <w:r w:rsidRPr="008C19AA">
        <w:t>4.</w:t>
      </w:r>
      <w:r w:rsidRPr="008C19AA">
        <w:tab/>
      </w:r>
      <w:bookmarkStart w:id="2" w:name="_Hlk240969153"/>
      <w:r w:rsidRPr="008C19AA">
        <w:t xml:space="preserve">Draws attention to the strong manufacturing base of the South Karelia region and the significant focus on the forest industry </w:t>
      </w:r>
      <w:bookmarkEnd w:id="2"/>
      <w:r w:rsidRPr="008C19AA">
        <w:t>and its spillover effects on supply and service chains; highlights that the job displacements related to the paper manufa</w:t>
      </w:r>
      <w:r w:rsidRPr="008C19AA" w:rsidR="002F7146">
        <w:t>c</w:t>
      </w:r>
      <w:r w:rsidRPr="008C19AA">
        <w:t>turing sector risk worsening a situation of structural and prolonged unemployment, above all for workers with manufacturing background; stresses, in this context, the importance of maintaining a strong and competitive European manufacturing base</w:t>
      </w:r>
      <w:r w:rsidRPr="008C19AA" w:rsidR="00CB3BD2">
        <w:t xml:space="preserve"> that safeguards and creates quality, sustainable jobs,</w:t>
      </w:r>
      <w:r w:rsidRPr="008C19AA">
        <w:t xml:space="preserve"> and creating the conditions for companies to adapt to structural change, invest and remain competitive; recognises the need for considerable reskilling and retraining, in region of South Karelia where the unemployment rate is already above national average;</w:t>
      </w:r>
      <w:r w:rsidRPr="008C19AA" w:rsidR="00CB3BD2">
        <w:t xml:space="preserve"> highlights that the Union’s dependency on imported fossil fuels and lack of energy sovereignty contributed to energy-price shocks, with high energy costs weighing on the Union competitiveness; calls, therefore, for deployment of cheaper Union</w:t>
      </w:r>
      <w:r w:rsidRPr="008C19AA" w:rsidR="00CB3BD2">
        <w:t xml:space="preserve"> </w:t>
      </w:r>
      <w:r w:rsidRPr="008C19AA" w:rsidR="00CB3BD2">
        <w:t>energy sources;</w:t>
      </w:r>
    </w:p>
    <w:bookmarkEnd w:id="1"/>
    <w:p w:rsidR="00A86236" w:rsidRPr="008C19AA" w:rsidP="00A86236" w14:paraId="5C843561" w14:textId="19CC2EB5">
      <w:pPr>
        <w:pStyle w:val="NormalHanging12a"/>
      </w:pPr>
      <w:r w:rsidRPr="008C19AA">
        <w:t>5.</w:t>
      </w:r>
      <w:r w:rsidRPr="008C19AA">
        <w:tab/>
      </w:r>
      <w:bookmarkStart w:id="3" w:name="_Hlk240969551"/>
      <w:r w:rsidRPr="008C19AA">
        <w:t>Notes that short of 90</w:t>
      </w:r>
      <w:r w:rsidRPr="008C19AA" w:rsidR="001D3A25">
        <w:t xml:space="preserve"> </w:t>
      </w:r>
      <w:r w:rsidRPr="008C19AA">
        <w:t xml:space="preserve">% of the displaced workers are men and half are aged over 54, hence facing greater barriers to re-entering the labour market; </w:t>
      </w:r>
      <w:r w:rsidRPr="008C19AA" w:rsidR="00CB3BD2">
        <w:t>calls on the Finnish authorities to take measures to address social disparities and structural barriers leading to exclusion of work force and to provide support tailored to the specific needs and profiles of the workers concerned, such as age gender and educational background;</w:t>
      </w:r>
      <w:r w:rsidRPr="008C19AA" w:rsidR="000227E9">
        <w:t xml:space="preserve"> </w:t>
      </w:r>
      <w:r w:rsidRPr="008C19AA">
        <w:t>calls for these measures to be tailored to the specific needs of older workers and workers with a manufacturing background, in order to support their rapid reintegration into decent</w:t>
      </w:r>
      <w:r w:rsidRPr="008C19AA" w:rsidR="000227E9">
        <w:t>, secure</w:t>
      </w:r>
      <w:r w:rsidRPr="008C19AA">
        <w:t xml:space="preserve"> and sustainable employment within or outside their initial sector of activity;</w:t>
      </w:r>
    </w:p>
    <w:bookmarkEnd w:id="3"/>
    <w:p w:rsidR="000227E9" w:rsidRPr="008C19AA" w:rsidP="000227E9" w14:paraId="374B7539" w14:textId="4DFAD7BE">
      <w:pPr>
        <w:pStyle w:val="NormalHanging12a"/>
      </w:pPr>
      <w:r w:rsidRPr="008C19AA">
        <w:t>6.</w:t>
      </w:r>
      <w:r w:rsidRPr="008C19AA">
        <w:tab/>
        <w:t xml:space="preserve">Recalls that, in </w:t>
      </w:r>
      <w:r w:rsidRPr="008C19AA">
        <w:t>consultation</w:t>
      </w:r>
      <w:r w:rsidRPr="008C19AA">
        <w:t xml:space="preserve"> with experts, regional stakeholders and social partners, </w:t>
      </w:r>
      <w:r w:rsidRPr="008C19AA">
        <w:t xml:space="preserve">the co-ordinated package of </w:t>
      </w:r>
      <w:r w:rsidRPr="008C19AA">
        <w:t>personalised services to be provided to the displaced workers consist of the following measures</w:t>
      </w:r>
      <w:r w:rsidRPr="008C19AA">
        <w:t xml:space="preserve"> in order to prevent long-term unemployment including for older workers</w:t>
      </w:r>
      <w:r w:rsidRPr="008C19AA">
        <w:t>: job-search training and career coaching</w:t>
      </w:r>
      <w:r w:rsidRPr="008C19AA">
        <w:t>,</w:t>
      </w:r>
      <w:r w:rsidRPr="008C19AA">
        <w:t xml:space="preserve"> vocational training</w:t>
      </w:r>
      <w:r w:rsidRPr="008C19AA">
        <w:t>,</w:t>
      </w:r>
      <w:r w:rsidRPr="008C19AA">
        <w:t xml:space="preserve"> self-employment grants and allowances</w:t>
      </w:r>
      <w:r w:rsidRPr="008C19AA">
        <w:t>,</w:t>
      </w:r>
      <w:r w:rsidRPr="008C19AA">
        <w:t xml:space="preserve"> AI-based pilot project on recruitment needs</w:t>
      </w:r>
      <w:r w:rsidRPr="008C19AA">
        <w:t>,</w:t>
      </w:r>
      <w:r w:rsidRPr="008C19AA">
        <w:t xml:space="preserve"> pay subsidies</w:t>
      </w:r>
      <w:r w:rsidRPr="008C19AA">
        <w:t>,</w:t>
      </w:r>
      <w:r w:rsidRPr="008C19AA">
        <w:t xml:space="preserve"> mobility allowance;</w:t>
      </w:r>
      <w:r w:rsidRPr="008C19AA">
        <w:t xml:space="preserve"> stresses that social partners should be involved throughout the entire implementation of the EGF measures, including the monitoring phase, to ensure the quality and relevance of the support offered to beneficiaries;</w:t>
      </w:r>
    </w:p>
    <w:p w:rsidR="00A86236" w:rsidRPr="008C19AA" w:rsidP="00A86236" w14:paraId="52271C75" w14:textId="2C49FCA9">
      <w:pPr>
        <w:pStyle w:val="NormalHanging12a"/>
        <w:rPr>
          <w:bCs/>
          <w:iCs/>
        </w:rPr>
      </w:pPr>
      <w:r w:rsidRPr="008C19AA">
        <w:t>7.</w:t>
      </w:r>
      <w:r w:rsidRPr="008C19AA">
        <w:tab/>
      </w:r>
      <w:r w:rsidRPr="008C19AA">
        <w:rPr>
          <w:bCs/>
          <w:iCs/>
        </w:rPr>
        <w:t>Stresses that the Finnish and regional authorities shall ensure the visibility of the Union funding and highlight its added value by providing effective</w:t>
      </w:r>
      <w:r w:rsidRPr="008C19AA" w:rsidR="000227E9">
        <w:rPr>
          <w:bCs/>
          <w:iCs/>
        </w:rPr>
        <w:t>, clear, timely</w:t>
      </w:r>
      <w:r w:rsidRPr="008C19AA">
        <w:rPr>
          <w:bCs/>
          <w:iCs/>
        </w:rPr>
        <w:t xml:space="preserve"> and targeted information to </w:t>
      </w:r>
      <w:r w:rsidRPr="008C19AA">
        <w:t>beneficiaries, regional and local authorities, social partners, and the wider public</w:t>
      </w:r>
      <w:r w:rsidRPr="008C19AA" w:rsidR="000227E9">
        <w:t xml:space="preserve"> </w:t>
      </w:r>
      <w:r w:rsidRPr="008C19AA" w:rsidR="000227E9">
        <w:rPr>
          <w:bCs/>
          <w:iCs/>
        </w:rPr>
        <w:t>to strengthen citizens’ confidence in the European project and in the Union’s capacity to protect workers during economic transitions</w:t>
      </w:r>
      <w:r w:rsidRPr="008C19AA">
        <w:rPr>
          <w:bCs/>
          <w:iCs/>
        </w:rPr>
        <w:t>;</w:t>
      </w:r>
    </w:p>
    <w:p w:rsidR="000227E9" w:rsidRPr="008C19AA" w:rsidP="000227E9" w14:paraId="18159CE4" w14:textId="2B336685">
      <w:pPr>
        <w:pStyle w:val="NormalHanging12a"/>
        <w:rPr>
          <w:bCs/>
          <w:iCs/>
        </w:rPr>
      </w:pPr>
      <w:r w:rsidRPr="008C19AA">
        <w:rPr>
          <w:bCs/>
          <w:iCs/>
        </w:rPr>
        <w:t>8.</w:t>
      </w:r>
      <w:r w:rsidRPr="008C19AA">
        <w:rPr>
          <w:bCs/>
          <w:iCs/>
        </w:rPr>
        <w:tab/>
        <w:t>Recalls that the EGF is an instrument of solidarity and just transition, and while it provides support following job losses, demonstrating that the Union stands with workers and communities affected by major economic and structural change, it cannot replace a proactive industrial policy; considers that the mobilisation of the EGF needs to be embedded in a larger policy response on all political levels to ensure that the workers affected find adequate opportunities in line with their qualifications and skills; underlines the need to provide specific support tailored to the needs and profiles of workers with lower levels of education, while taking measures to reduce bankruptcies and address social disparities leading to exclusion from the workforce;</w:t>
      </w:r>
    </w:p>
    <w:p w:rsidR="00A86236" w:rsidRPr="008C19AA" w:rsidP="00A86236" w14:paraId="417B9C5B" w14:textId="6DF0D5A1">
      <w:pPr>
        <w:pStyle w:val="NormalHanging12a"/>
      </w:pPr>
      <w:r w:rsidRPr="008C19AA">
        <w:t>9</w:t>
      </w:r>
      <w:r w:rsidRPr="008C19AA">
        <w:t>.</w:t>
      </w:r>
      <w:r w:rsidRPr="008C19AA">
        <w:tab/>
        <w:t>Calls for thorough final evaluations of the measures implemented, including how the funds were used, the reintegration of workers into the labour market, and whether the EGF objectives were achieved;</w:t>
      </w:r>
    </w:p>
    <w:p w:rsidR="00A86236" w:rsidRPr="008C19AA" w:rsidP="00A86236" w14:paraId="3E2A1F75" w14:textId="4B406F1C">
      <w:pPr>
        <w:pStyle w:val="NormalHanging12a"/>
      </w:pPr>
      <w:r w:rsidRPr="008C19AA">
        <w:t>10</w:t>
      </w:r>
      <w:r w:rsidRPr="008C19AA">
        <w:t>.</w:t>
      </w:r>
      <w:r w:rsidRPr="008C19AA">
        <w:tab/>
        <w:t>Notes that Finland started providing both personalised services to the targeted beneficiaries and incurring administrative expenditure to implement the EGF on 1 January 2026 and that the period of eligibility for a financial contribution from the EGF will therefore be from that date until 24 months and until 31 months after the date of the entry into force of the financing decision, respectively;</w:t>
      </w:r>
    </w:p>
    <w:p w:rsidR="000227E9" w:rsidRPr="008C19AA" w:rsidP="000227E9" w14:paraId="5FBD7C80" w14:textId="037C5804">
      <w:pPr>
        <w:pStyle w:val="NormalHanging12a"/>
      </w:pPr>
      <w:r w:rsidRPr="008C19AA">
        <w:t>11.</w:t>
      </w:r>
      <w:r w:rsidRPr="008C19AA">
        <w:tab/>
        <w:t xml:space="preserve">Notes that the Finnish authorities provided assurance that the principles of equality of treatment and non-discrimination will be respected in the proposed actions and their implementation, and that any double financing will be prevented; </w:t>
      </w:r>
    </w:p>
    <w:p w:rsidR="00A86236" w:rsidRPr="008C19AA" w:rsidP="00A86236" w14:paraId="7105A185" w14:textId="20FDC3AB">
      <w:pPr>
        <w:pStyle w:val="NormalHanging12a"/>
      </w:pPr>
      <w:r w:rsidRPr="008C19AA">
        <w:t>12</w:t>
      </w:r>
      <w:r w:rsidRPr="008C19AA">
        <w:t>.</w:t>
      </w:r>
      <w:r w:rsidRPr="008C19AA">
        <w:tab/>
        <w:t xml:space="preserve">Reiterates that assistance from the EGF must not replace actions that are the responsibility of public authorities or companies under national law or collective agreements; recalls that the EGF is a limited, targeted and complementary mechanism and cannot replace structural economic </w:t>
      </w:r>
      <w:r w:rsidRPr="008C19AA">
        <w:t xml:space="preserve">and social </w:t>
      </w:r>
      <w:r w:rsidRPr="008C19AA">
        <w:t xml:space="preserve">policies that </w:t>
      </w:r>
      <w:r w:rsidRPr="008C19AA">
        <w:t>contribute to a sustainable</w:t>
      </w:r>
      <w:r w:rsidRPr="008C19AA">
        <w:t xml:space="preserve"> economic growth, </w:t>
      </w:r>
      <w:r w:rsidRPr="008C19AA">
        <w:t xml:space="preserve">that </w:t>
      </w:r>
      <w:r w:rsidRPr="008C19AA">
        <w:t xml:space="preserve">promote a </w:t>
      </w:r>
      <w:r w:rsidRPr="008C19AA">
        <w:t>stable, predictable and innovation-friendly business</w:t>
      </w:r>
      <w:r w:rsidRPr="008C19AA">
        <w:t xml:space="preserve"> environment, and protect U</w:t>
      </w:r>
      <w:r w:rsidRPr="008C19AA" w:rsidR="001D3A25">
        <w:t>nion</w:t>
      </w:r>
      <w:r w:rsidRPr="008C19AA">
        <w:t xml:space="preserve"> enterprises, economic operators and their workers;</w:t>
      </w:r>
    </w:p>
    <w:p w:rsidR="000227E9" w:rsidRPr="008C19AA" w:rsidP="000227E9" w14:paraId="7E9998F5" w14:textId="30AA00F2">
      <w:pPr>
        <w:pStyle w:val="NormalHanging12a"/>
      </w:pPr>
      <w:r w:rsidRPr="008C19AA">
        <w:t>13.</w:t>
      </w:r>
      <w:r w:rsidRPr="008C19AA">
        <w:tab/>
        <w:t>Underlines that traditional industrial sectors continue to play an important role in the Union’s industrial base and provide employment to a significant number of workers across Member States, despite increasing pressure from structural transformation, technological developments and global competition; stresses the importance of accompanying these changes with investment in workers’ skills; calls on the Commission to ensure that existing and future Union instruments, including the EGF, are used in a targeted and complementary manner to support workers affected by restructuring and transitions across industrial value chains;</w:t>
      </w:r>
    </w:p>
    <w:p w:rsidR="00A86236" w:rsidRPr="008C19AA" w:rsidP="00A86236" w14:paraId="0012593E" w14:textId="42482AE6">
      <w:pPr>
        <w:pStyle w:val="NormalHanging12a"/>
      </w:pPr>
      <w:r w:rsidRPr="008C19AA">
        <w:t>14</w:t>
      </w:r>
      <w:r w:rsidRPr="008C19AA">
        <w:t>.</w:t>
      </w:r>
      <w:r w:rsidRPr="008C19AA">
        <w:tab/>
        <w:t>Approves the decision annexed to this resolution;</w:t>
      </w:r>
    </w:p>
    <w:p w:rsidR="00A86236" w:rsidRPr="008C19AA" w:rsidP="00A86236" w14:paraId="5AF63E9E" w14:textId="65A280BC">
      <w:pPr>
        <w:pStyle w:val="NormalHanging12a"/>
      </w:pPr>
      <w:r w:rsidRPr="008C19AA">
        <w:t>15</w:t>
      </w:r>
      <w:r w:rsidRPr="008C19AA">
        <w:t>.</w:t>
      </w:r>
      <w:r w:rsidRPr="008C19AA">
        <w:tab/>
        <w:t xml:space="preserve">Instructs its President to sign the decision with the President of the Council and arrange for its publication in the </w:t>
      </w:r>
      <w:r w:rsidRPr="008C19AA">
        <w:rPr>
          <w:i/>
        </w:rPr>
        <w:t>Official Journal of the European Union</w:t>
      </w:r>
      <w:r w:rsidRPr="008C19AA">
        <w:t>;</w:t>
      </w:r>
    </w:p>
    <w:p w:rsidR="00A86236" w:rsidRPr="008C19AA" w:rsidP="00A86236" w14:paraId="33CD1BDA" w14:textId="26319B91">
      <w:pPr>
        <w:pStyle w:val="NormalHanging12a"/>
      </w:pPr>
      <w:r w:rsidRPr="008C19AA">
        <w:t>16</w:t>
      </w:r>
      <w:r w:rsidRPr="008C19AA">
        <w:t>.</w:t>
      </w:r>
      <w:r w:rsidRPr="008C19AA">
        <w:tab/>
        <w:t>Instructs its President to forward this resolution, including its annex, to the Council and the Commission.</w:t>
      </w:r>
    </w:p>
    <w:p w:rsidR="00616E75" w:rsidRPr="008C19AA" w:rsidP="0052720D" w14:paraId="70D60746" w14:textId="77777777">
      <w:pPr>
        <w:rPr>
          <w:noProof/>
        </w:rPr>
      </w:pPr>
    </w:p>
    <w:p w:rsidR="00616E75" w:rsidRPr="008C19AA" w14:paraId="5DE1FCF1" w14:textId="77777777">
      <w:pPr>
        <w:pStyle w:val="PageHeading"/>
        <w:rPr>
          <w:noProof/>
        </w:rPr>
        <w:sectPr w:rsidSect="008C19A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sectPr>
      </w:pPr>
    </w:p>
    <w:p w:rsidR="004D2440" w:rsidRPr="008C19AA" w14:paraId="41B194C6" w14:textId="77777777">
      <w:pPr>
        <w:pStyle w:val="PageHeading"/>
        <w:rPr>
          <w:noProof/>
        </w:rPr>
      </w:pPr>
      <w:bookmarkStart w:id="4" w:name="_Toc242797989"/>
      <w:r w:rsidRPr="008C19AA">
        <w:rPr>
          <w:noProof/>
        </w:rPr>
        <w:t>ANNEX: DECISION OF THE EUROPEAN PARLIAMENT AND OF THE COUNCIL</w:t>
      </w:r>
      <w:bookmarkEnd w:id="4"/>
    </w:p>
    <w:p w:rsidR="00474070" w:rsidRPr="008C19AA" w:rsidP="00474070" w14:paraId="2190AF25" w14:textId="77777777">
      <w:pPr>
        <w:rPr>
          <w:b/>
          <w:bCs/>
        </w:rPr>
      </w:pPr>
      <w:r w:rsidRPr="008C19AA">
        <w:rPr>
          <w:b/>
          <w:bCs/>
        </w:rPr>
        <w:t xml:space="preserve">on the mobilisation of the European Globalisation Adjustment Fund for Displaced Workers following an application from Finland – EGF/2026/004 FI/Etelä-Suomi and Helsinki-Uusimaa paper </w:t>
      </w:r>
    </w:p>
    <w:p w:rsidR="00474070" w:rsidRPr="008C19AA" w:rsidP="00474070" w14:paraId="6B03AA99" w14:textId="77777777">
      <w:pPr>
        <w:rPr>
          <w:b/>
          <w:bCs/>
        </w:rPr>
      </w:pPr>
    </w:p>
    <w:p w:rsidR="00474070" w:rsidRPr="008C19AA" w:rsidP="00474070" w14:paraId="469BE553" w14:textId="77777777">
      <w:r w:rsidRPr="008C19AA">
        <w:t>THE EUROPEAN PARLIAMENT AND THE COUNCIL OF THE EUROPEAN UNION,</w:t>
      </w:r>
    </w:p>
    <w:p w:rsidR="00474070" w:rsidRPr="008C19AA" w:rsidP="00474070" w14:paraId="65B9748C" w14:textId="77777777"/>
    <w:p w:rsidR="00474070" w:rsidRPr="008C19AA" w:rsidP="00474070" w14:paraId="16B8FF12" w14:textId="77777777">
      <w:r w:rsidRPr="008C19AA">
        <w:t>Having regard to the Treaty on the Functioning of the European Union,</w:t>
      </w:r>
    </w:p>
    <w:p w:rsidR="00474070" w:rsidRPr="008C19AA" w:rsidP="00474070" w14:paraId="521E11B5" w14:textId="77777777"/>
    <w:p w:rsidR="00474070" w:rsidRPr="008C19AA" w:rsidP="00474070" w14:paraId="669A211F" w14:textId="77777777">
      <w:r w:rsidRPr="008C19AA">
        <w:t>Having regard to Regulation (EU) 2021/691 of the European Parliament and of the Council of 28 April 2021 on the European Globalisation Adjustment Fund for Displaced Workers (EGF) and repealing Regulation (EU) No 1309/2013</w:t>
      </w:r>
      <w:r>
        <w:rPr>
          <w:vertAlign w:val="superscript"/>
        </w:rPr>
        <w:footnoteReference w:id="9"/>
      </w:r>
      <w:r w:rsidRPr="008C19AA">
        <w:t>, and in particular Article 15(1), first subparagraph, thereof,</w:t>
      </w:r>
    </w:p>
    <w:p w:rsidR="00474070" w:rsidRPr="008C19AA" w:rsidP="00474070" w14:paraId="41F59055" w14:textId="77777777"/>
    <w:p w:rsidR="00474070" w:rsidRPr="008C19AA" w:rsidP="00474070" w14:paraId="04AEE034" w14:textId="77777777">
      <w:r w:rsidRPr="008C19AA">
        <w:t>Having regard to the 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vertAlign w:val="superscript"/>
        </w:rPr>
        <w:footnoteReference w:id="10"/>
      </w:r>
      <w:r w:rsidRPr="008C19AA">
        <w:t>, and in particular point 9 thereof,</w:t>
      </w:r>
    </w:p>
    <w:p w:rsidR="00474070" w:rsidRPr="008C19AA" w:rsidP="00474070" w14:paraId="43DBDDC4" w14:textId="77777777"/>
    <w:p w:rsidR="00474070" w:rsidRPr="008C19AA" w:rsidP="00474070" w14:paraId="64D78EDA" w14:textId="77777777">
      <w:r w:rsidRPr="008C19AA">
        <w:t>Having regard to the proposal from the European Commission,</w:t>
      </w:r>
    </w:p>
    <w:p w:rsidR="00474070" w:rsidRPr="008C19AA" w:rsidP="00474070" w14:paraId="3C903B8E" w14:textId="77777777"/>
    <w:p w:rsidR="00474070" w:rsidRPr="008C19AA" w:rsidP="00474070" w14:paraId="044981D1" w14:textId="77777777">
      <w:r w:rsidRPr="008C19AA">
        <w:t>Whereas:</w:t>
      </w:r>
    </w:p>
    <w:p w:rsidR="00474070" w:rsidRPr="008C19AA" w:rsidP="00474070" w14:paraId="1305F07E" w14:textId="77777777"/>
    <w:p w:rsidR="00474070" w:rsidRPr="008C19AA" w:rsidP="00474070" w14:paraId="65E7C2C6" w14:textId="77777777">
      <w:pPr>
        <w:ind w:left="720" w:hanging="720"/>
      </w:pPr>
      <w:r w:rsidRPr="008C19AA">
        <w:t>(1)</w:t>
      </w:r>
      <w:r w:rsidRPr="008C19AA">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474070" w:rsidRPr="008C19AA" w:rsidP="00474070" w14:paraId="58985414" w14:textId="77777777">
      <w:pPr>
        <w:ind w:left="720" w:hanging="720"/>
      </w:pPr>
    </w:p>
    <w:p w:rsidR="00474070" w:rsidRPr="008C19AA" w:rsidP="00D01BA1" w14:paraId="07281E32" w14:textId="77777777">
      <w:pPr>
        <w:ind w:left="720" w:hanging="720"/>
      </w:pPr>
      <w:r w:rsidRPr="008C19AA">
        <w:t>(2)</w:t>
      </w:r>
      <w:r w:rsidRPr="008C19AA">
        <w:tab/>
        <w:t>The EGF is not to exceed a maximum annual amount of EUR 30 million (in 2018 prices), as laid down in Article 8 of Council Regulation (EU, Euratom) 2020/2093</w:t>
      </w:r>
      <w:r>
        <w:rPr>
          <w:vertAlign w:val="superscript"/>
        </w:rPr>
        <w:footnoteReference w:id="11"/>
      </w:r>
      <w:r w:rsidRPr="008C19AA">
        <w:t xml:space="preserve"> amended by Council Regulation (EU, Euratom) 2024/765</w:t>
      </w:r>
      <w:r>
        <w:rPr>
          <w:vertAlign w:val="superscript"/>
        </w:rPr>
        <w:footnoteReference w:id="12"/>
      </w:r>
      <w:r w:rsidRPr="008C19AA">
        <w:t>, and Article 16 of Regulation (EU) 2021/691.</w:t>
      </w:r>
    </w:p>
    <w:p w:rsidR="00D01BA1" w:rsidRPr="008C19AA" w:rsidP="00D01BA1" w14:paraId="4D4F9E56" w14:textId="77777777">
      <w:pPr>
        <w:ind w:left="720" w:hanging="720"/>
      </w:pPr>
    </w:p>
    <w:p w:rsidR="00474070" w:rsidRPr="008C19AA" w:rsidP="00D01BA1" w14:paraId="291B05BC" w14:textId="77777777">
      <w:pPr>
        <w:ind w:left="720" w:hanging="720"/>
        <w:rPr>
          <w:iCs/>
        </w:rPr>
      </w:pPr>
      <w:r w:rsidRPr="008C19AA">
        <w:t>(3)</w:t>
      </w:r>
      <w:r w:rsidRPr="008C19AA">
        <w:tab/>
        <w:t>On 19 May 2026, Finland submitted an application to mobilise the EGF in accordance with Article 8(1) of Regulation (EU) 2021/691, in respect of workers’ displacements in the economic sector classified under the Statistical classification of economic activities in the European Community ('NACE')</w:t>
      </w:r>
      <w:r>
        <w:rPr>
          <w:vertAlign w:val="superscript"/>
        </w:rPr>
        <w:footnoteReference w:id="13"/>
      </w:r>
      <w:r w:rsidRPr="008C19AA">
        <w:t xml:space="preserve"> Revision 2 Division 17 (Manufacture of paper and paper products) in the Nomenclature of Territorial Units for Statistics ('NUTS')</w:t>
      </w:r>
      <w:r>
        <w:rPr>
          <w:vertAlign w:val="superscript"/>
        </w:rPr>
        <w:footnoteReference w:id="14"/>
      </w:r>
      <w:r w:rsidRPr="008C19AA">
        <w:t xml:space="preserve"> level 2 regions of Etelä-Suomi (FI1C) and Helsinki-Uusimaa (FI1B)</w:t>
      </w:r>
      <w:r w:rsidRPr="008C19AA">
        <w:rPr>
          <w:u w:val="single"/>
        </w:rPr>
        <w:t xml:space="preserve"> </w:t>
      </w:r>
      <w:r w:rsidRPr="008C19AA">
        <w:t xml:space="preserve">in Finland. It was supplemented by additional information provided in accordance with Article 8(5) of Regulation (EU) 2021/691. That application </w:t>
      </w:r>
      <w:r w:rsidRPr="008C19AA">
        <w:rPr>
          <w:iCs/>
        </w:rPr>
        <w:t xml:space="preserve">is considered to comply </w:t>
      </w:r>
      <w:r w:rsidRPr="008C19AA">
        <w:t xml:space="preserve">with the conditions for </w:t>
      </w:r>
      <w:r w:rsidRPr="008C19AA">
        <w:rPr>
          <w:iCs/>
        </w:rPr>
        <w:t xml:space="preserve">providing </w:t>
      </w:r>
      <w:r w:rsidRPr="008C19AA">
        <w:t xml:space="preserve">a financial contribution from the EGF as laid down in Article 13 of Regulation (EU) 2021/691, </w:t>
      </w:r>
      <w:r w:rsidRPr="008C19AA">
        <w:rPr>
          <w:iCs/>
        </w:rPr>
        <w:t>on the basis of the assessment made by the Commission in the Proposal for a mobilisation decision of the European Parliament and of the Council</w:t>
      </w:r>
      <w:r>
        <w:rPr>
          <w:iCs/>
          <w:vertAlign w:val="superscript"/>
        </w:rPr>
        <w:footnoteReference w:id="15"/>
      </w:r>
      <w:r w:rsidRPr="008C19AA">
        <w:rPr>
          <w:iCs/>
        </w:rPr>
        <w:t>.</w:t>
      </w:r>
    </w:p>
    <w:p w:rsidR="00D01BA1" w:rsidRPr="008C19AA" w:rsidP="00D01BA1" w14:paraId="262745B2" w14:textId="77777777">
      <w:pPr>
        <w:ind w:left="720" w:hanging="720"/>
      </w:pPr>
    </w:p>
    <w:p w:rsidR="00474070" w:rsidRPr="008C19AA" w:rsidP="00D01BA1" w14:paraId="0CB7BF2A" w14:textId="77777777">
      <w:pPr>
        <w:ind w:left="720" w:hanging="720"/>
      </w:pPr>
      <w:r w:rsidRPr="008C19AA">
        <w:t>(4)</w:t>
      </w:r>
      <w:r w:rsidRPr="008C19AA">
        <w:tab/>
        <w:t>The EGF should, therefore, be mobilised in order to provide a financial contribution of EUR 1 102 560 in respect of the application submitted by Finland.</w:t>
      </w:r>
    </w:p>
    <w:p w:rsidR="00D01BA1" w:rsidRPr="008C19AA" w:rsidP="00D01BA1" w14:paraId="3FE1C9AF" w14:textId="77777777">
      <w:pPr>
        <w:ind w:left="720" w:hanging="720"/>
      </w:pPr>
    </w:p>
    <w:p w:rsidR="00474070" w:rsidRPr="008C19AA" w:rsidP="00D01BA1" w14:paraId="002D54C6" w14:textId="77777777">
      <w:pPr>
        <w:ind w:left="720" w:hanging="720"/>
      </w:pPr>
      <w:r w:rsidRPr="008C19AA">
        <w:t>(5)</w:t>
      </w:r>
      <w:r w:rsidRPr="008C19AA">
        <w:tab/>
        <w:t>In order to minimise the time taken to mobilise the EGF, this Decision should apply from the date of its adoption,</w:t>
      </w:r>
    </w:p>
    <w:p w:rsidR="00474070" w:rsidRPr="008C19AA" w:rsidP="00474070" w14:paraId="6619F157" w14:textId="77777777"/>
    <w:p w:rsidR="00474070" w:rsidRPr="008C19AA" w:rsidP="00474070" w14:paraId="0C4C8667" w14:textId="77777777">
      <w:r w:rsidRPr="008C19AA">
        <w:t xml:space="preserve">HAVE ADOPTED THIS DECISION: </w:t>
      </w:r>
    </w:p>
    <w:p w:rsidR="00D01BA1" w:rsidRPr="008C19AA" w:rsidP="00474070" w14:paraId="1356E881" w14:textId="77777777"/>
    <w:p w:rsidR="00474070" w:rsidRPr="008C19AA" w:rsidP="00D01BA1" w14:paraId="6ECCDF94" w14:textId="77777777">
      <w:pPr>
        <w:jc w:val="center"/>
        <w:rPr>
          <w:i/>
        </w:rPr>
      </w:pPr>
      <w:r w:rsidRPr="008C19AA">
        <w:rPr>
          <w:i/>
        </w:rPr>
        <w:t>Article 1</w:t>
      </w:r>
    </w:p>
    <w:p w:rsidR="00D01BA1" w:rsidRPr="008C19AA" w:rsidP="00D01BA1" w14:paraId="74C4F787" w14:textId="77777777">
      <w:pPr>
        <w:ind w:firstLine="720"/>
        <w:jc w:val="center"/>
        <w:rPr>
          <w:i/>
        </w:rPr>
      </w:pPr>
    </w:p>
    <w:p w:rsidR="00474070" w:rsidRPr="008C19AA" w:rsidP="00474070" w14:paraId="44AA1984" w14:textId="77777777">
      <w:r w:rsidRPr="008C19AA">
        <w:t>For the general budget of the Union for the financial year 2026, the European Globalisation Adjustment Fund for Displaced Workers shall be mobilised to provide the amount of EUR 1 102 560 in commitment and payment appropriations.</w:t>
      </w:r>
    </w:p>
    <w:p w:rsidR="00D01BA1" w:rsidRPr="008C19AA" w:rsidP="00474070" w14:paraId="5C636506" w14:textId="77777777"/>
    <w:p w:rsidR="00474070" w:rsidRPr="008C19AA" w:rsidP="00D01BA1" w14:paraId="4CA1B465" w14:textId="77777777">
      <w:pPr>
        <w:jc w:val="center"/>
        <w:rPr>
          <w:i/>
        </w:rPr>
      </w:pPr>
      <w:r w:rsidRPr="008C19AA">
        <w:rPr>
          <w:i/>
        </w:rPr>
        <w:t>Article 2</w:t>
      </w:r>
    </w:p>
    <w:p w:rsidR="00D01BA1" w:rsidRPr="008C19AA" w:rsidP="00D01BA1" w14:paraId="45FA2B7F" w14:textId="77777777">
      <w:pPr>
        <w:jc w:val="center"/>
        <w:rPr>
          <w:i/>
        </w:rPr>
      </w:pPr>
    </w:p>
    <w:p w:rsidR="00474070" w:rsidRPr="008C19AA" w:rsidP="00474070" w14:paraId="72925F8E" w14:textId="77777777">
      <w:r w:rsidRPr="008C19AA">
        <w:t xml:space="preserve">This Decision shall enter into force on the day of its publication in the </w:t>
      </w:r>
      <w:r w:rsidRPr="008C19AA">
        <w:rPr>
          <w:i/>
          <w:iCs/>
        </w:rPr>
        <w:t>Official Journal of the European Union</w:t>
      </w:r>
      <w:r w:rsidRPr="008C19AA">
        <w:t>. It shall apply from [</w:t>
      </w:r>
      <w:r w:rsidRPr="008C19AA">
        <w:rPr>
          <w:i/>
        </w:rPr>
        <w:t>the date of its adoption</w:t>
      </w:r>
      <w:r w:rsidRPr="008C19AA">
        <w:t>]</w:t>
      </w:r>
      <w:r>
        <w:rPr>
          <w:vertAlign w:val="superscript"/>
        </w:rPr>
        <w:footnoteReference w:customMarkFollows="1" w:id="16"/>
        <w:t xml:space="preserve">*</w:t>
      </w:r>
      <w:r w:rsidRPr="008C19AA">
        <w:t xml:space="preserve"> .</w:t>
      </w:r>
    </w:p>
    <w:p w:rsidR="00474070" w:rsidRPr="008C19AA" w:rsidP="00474070" w14:paraId="7468B4C2" w14:textId="77777777"/>
    <w:p w:rsidR="00474070" w:rsidRPr="008C19AA" w:rsidP="00474070" w14:paraId="6FEB5F26" w14:textId="77777777"/>
    <w:p w:rsidR="00474070" w:rsidRPr="008C19AA" w:rsidP="00474070" w14:paraId="33AE2B91" w14:textId="77777777"/>
    <w:p w:rsidR="00474070" w:rsidRPr="008C19AA" w:rsidP="00474070" w14:paraId="3BCA2FC5" w14:textId="77777777">
      <w:r w:rsidRPr="008C19AA">
        <w:t>Done at Brussels,</w:t>
      </w:r>
    </w:p>
    <w:p w:rsidR="00474070" w:rsidRPr="008C19AA" w:rsidP="00474070" w14:paraId="56976717" w14:textId="77777777"/>
    <w:p w:rsidR="00474070" w:rsidRPr="008C19AA" w:rsidP="00474070" w14:paraId="095AC4FC" w14:textId="77777777"/>
    <w:p w:rsidR="00474070" w:rsidRPr="008C19AA" w:rsidP="00474070" w14:paraId="7A43B309" w14:textId="77777777">
      <w:pPr>
        <w:rPr>
          <w:i/>
        </w:rPr>
      </w:pPr>
      <w:r w:rsidRPr="008C19AA">
        <w:rPr>
          <w:i/>
        </w:rPr>
        <w:t>For the European Parliament</w:t>
      </w:r>
      <w:r w:rsidRPr="008C19AA">
        <w:rPr>
          <w:i/>
        </w:rPr>
        <w:tab/>
      </w:r>
      <w:r w:rsidRPr="008C19AA">
        <w:rPr>
          <w:i/>
        </w:rPr>
        <w:tab/>
      </w:r>
      <w:r w:rsidRPr="008C19AA">
        <w:rPr>
          <w:i/>
        </w:rPr>
        <w:tab/>
        <w:t>For the Council</w:t>
      </w:r>
    </w:p>
    <w:p w:rsidR="00D01BA1" w:rsidRPr="008C19AA" w:rsidP="00474070" w14:paraId="3627589A" w14:textId="77777777">
      <w:pPr>
        <w:rPr>
          <w:i/>
        </w:rPr>
      </w:pPr>
    </w:p>
    <w:p w:rsidR="00474070" w:rsidRPr="008C19AA" w:rsidP="00474070" w14:paraId="12386904" w14:textId="77777777">
      <w:r w:rsidRPr="008C19AA">
        <w:rPr>
          <w:i/>
        </w:rPr>
        <w:t>The President</w:t>
      </w:r>
      <w:r w:rsidRPr="008C19AA">
        <w:rPr>
          <w:i/>
        </w:rPr>
        <w:tab/>
      </w:r>
      <w:r w:rsidRPr="008C19AA">
        <w:rPr>
          <w:i/>
        </w:rPr>
        <w:tab/>
      </w:r>
      <w:r w:rsidRPr="008C19AA">
        <w:rPr>
          <w:i/>
        </w:rPr>
        <w:tab/>
      </w:r>
      <w:r w:rsidRPr="008C19AA">
        <w:rPr>
          <w:i/>
        </w:rPr>
        <w:tab/>
      </w:r>
      <w:r w:rsidRPr="008C19AA">
        <w:rPr>
          <w:i/>
        </w:rPr>
        <w:tab/>
        <w:t>The President</w:t>
      </w:r>
      <w:r w:rsidRPr="008C19AA">
        <w:rPr>
          <w:i/>
        </w:rPr>
        <w:br/>
      </w:r>
    </w:p>
    <w:p w:rsidR="00AA05F4" w:rsidRPr="008C19AA" w:rsidP="0058028A" w14:paraId="3C2A0987" w14:textId="77777777">
      <w:pPr>
        <w:sectPr w:rsidSect="00AB3EA2">
          <w:footnotePr>
            <w:numRestart w:val="eachSect"/>
          </w:footnotePr>
          <w:endnotePr>
            <w:numFmt w:val="decimal"/>
          </w:endnotePr>
          <w:pgSz w:w="11906" w:h="16838" w:code="9"/>
          <w:pgMar w:top="1134" w:right="1418" w:bottom="1418" w:left="1418" w:header="567" w:footer="567" w:gutter="0"/>
          <w:cols w:space="720"/>
          <w:noEndnote/>
          <w:docGrid w:linePitch="326"/>
        </w:sectPr>
      </w:pPr>
    </w:p>
    <w:p w:rsidR="0058028A" w:rsidRPr="008C19AA" w:rsidP="00AA05F4" w14:paraId="45DF9B98" w14:textId="70FDF278">
      <w:pPr>
        <w:pStyle w:val="PageHeading"/>
      </w:pPr>
      <w:bookmarkStart w:id="5" w:name="_Toc242797990"/>
      <w:r w:rsidRPr="008C19AA">
        <w:t>EXPLANATORY STATEMENT</w:t>
      </w:r>
      <w:bookmarkEnd w:id="5"/>
    </w:p>
    <w:p w:rsidR="00AA05F4" w:rsidRPr="008C19AA" w:rsidP="00AA05F4" w14:paraId="49F61B84" w14:textId="77777777">
      <w:pPr>
        <w:rPr>
          <w:b/>
        </w:rPr>
      </w:pPr>
      <w:r w:rsidRPr="008C19AA">
        <w:rPr>
          <w:b/>
        </w:rPr>
        <w:t>I. Background</w:t>
      </w:r>
    </w:p>
    <w:p w:rsidR="00AA05F4" w:rsidRPr="008C19AA" w:rsidP="00AA05F4" w14:paraId="018A6329" w14:textId="77777777">
      <w:pPr>
        <w:rPr>
          <w:b/>
        </w:rPr>
      </w:pPr>
    </w:p>
    <w:p w:rsidR="00AA05F4" w:rsidRPr="008C19AA" w:rsidP="00AA05F4" w14:paraId="350AC4F5" w14:textId="77777777">
      <w:r w:rsidRPr="008C19AA">
        <w:t xml:space="preserve">The European Globalisation Adjustment Fund (EGF) was created to provide additional assistance to workers suffering from the consequences of major structural changes in world trade patterns. </w:t>
      </w:r>
    </w:p>
    <w:p w:rsidR="00AA05F4" w:rsidRPr="008C19AA" w:rsidP="00AA05F4" w14:paraId="464ADC37" w14:textId="77777777"/>
    <w:p w:rsidR="00AA05F4" w:rsidRPr="008C19AA" w:rsidP="00AA05F4" w14:paraId="7932B328" w14:textId="77777777">
      <w:r w:rsidRPr="008C19AA">
        <w:t>In accordance with point 9 of the Interinstitutional Agreement of 16 December 2020</w:t>
      </w:r>
      <w:r>
        <w:rPr>
          <w:vertAlign w:val="superscript"/>
        </w:rPr>
        <w:footnoteReference w:id="17"/>
      </w:r>
      <w:r w:rsidRPr="008C19AA">
        <w:t>, the Commission is required, following the positive assessment of an application, to submit a proposal to mobilise the Fund to the budgetary authority and to complement it with a corresponding request for transfer to the relevant budget lines.</w:t>
      </w:r>
    </w:p>
    <w:p w:rsidR="00AA05F4" w:rsidRPr="008C19AA" w:rsidP="00AA05F4" w14:paraId="29100E2A" w14:textId="77777777"/>
    <w:p w:rsidR="00AA05F4" w:rsidRPr="008C19AA" w:rsidP="00AA05F4" w14:paraId="67FC3074" w14:textId="77777777">
      <w:pPr>
        <w:rPr>
          <w:b/>
        </w:rPr>
      </w:pPr>
      <w:r w:rsidRPr="008C19AA">
        <w:rPr>
          <w:b/>
        </w:rPr>
        <w:t xml:space="preserve">II. Finland’s application and the Commission's proposal </w:t>
      </w:r>
    </w:p>
    <w:p w:rsidR="00AA05F4" w:rsidRPr="008C19AA" w:rsidP="00AA05F4" w14:paraId="50DBD21E" w14:textId="77777777">
      <w:pPr>
        <w:rPr>
          <w:b/>
        </w:rPr>
      </w:pPr>
    </w:p>
    <w:p w:rsidR="00AA05F4" w:rsidRPr="008C19AA" w:rsidP="00AA05F4" w14:paraId="1C18AC08" w14:textId="77777777">
      <w:r w:rsidRPr="008C19AA">
        <w:t>On 19 May 2026 Finland submitted an application EGF/2026/004 FI/Etelä-Suomi and Helsinki-Uusimaa paper for a financial contribution from the EGF, following 351 redundancies</w:t>
      </w:r>
      <w:r>
        <w:rPr>
          <w:vertAlign w:val="superscript"/>
        </w:rPr>
        <w:footnoteReference w:id="18"/>
      </w:r>
      <w:r w:rsidRPr="008C19AA">
        <w:rPr>
          <w:vertAlign w:val="superscript"/>
        </w:rPr>
        <w:t xml:space="preserve"> </w:t>
      </w:r>
      <w:r w:rsidRPr="008C19AA">
        <w:t xml:space="preserve">in the paper manufacturing sector in the regions of Etelä-Suomi and Helsinki-Uusimaa. </w:t>
      </w:r>
      <w:bookmarkStart w:id="6" w:name="_Hlk236304525"/>
      <w:r w:rsidRPr="008C19AA">
        <w:t>This is the fourth such application of 2026, and the tenth to be examined under the 2026 budget.</w:t>
      </w:r>
      <w:bookmarkEnd w:id="6"/>
    </w:p>
    <w:p w:rsidR="00AA05F4" w:rsidRPr="008C19AA" w:rsidP="00AA05F4" w14:paraId="2A673880" w14:textId="77777777"/>
    <w:p w:rsidR="00AA05F4" w:rsidRPr="008C19AA" w:rsidP="00AA05F4" w14:paraId="798C6E4B" w14:textId="77777777">
      <w:r w:rsidRPr="008C19AA">
        <w:t xml:space="preserve">Following the assessment of this application, the Commission has concluded, in accordance with all applicable provisions of the EGF Regulation, that the conditions for awarding a financial contribution from the EGF are met. </w:t>
      </w:r>
    </w:p>
    <w:p w:rsidR="00AA05F4" w:rsidRPr="008C19AA" w:rsidP="00AA05F4" w14:paraId="7BA959CB" w14:textId="77777777"/>
    <w:p w:rsidR="00AA05F4" w:rsidRPr="008C19AA" w:rsidP="00AA05F4" w14:paraId="1B7026B7" w14:textId="77777777">
      <w:r w:rsidRPr="008C19AA">
        <w:t>On 8 September 2026, the Commission adopted a proposal for a decision on the mobilisation of the EGF in favour of Finland for tailored measures to support the reintegration in the labour market of 351 targeted beneficiaries, i.e. workers in the paper manufacturing sector in the regions of Etelä-Suomi and Helsinki-Uusimaa made redundant. In total, EUR 1 102 560 will be mobilised from the EGF, representing 60 % of the total costs of the proposed actions.</w:t>
      </w:r>
    </w:p>
    <w:p w:rsidR="00AA05F4" w:rsidRPr="008C19AA" w:rsidP="00AA05F4" w14:paraId="73792585" w14:textId="77777777"/>
    <w:p w:rsidR="00AA05F4" w:rsidRPr="008C19AA" w:rsidP="00AA05F4" w14:paraId="3889EA83" w14:textId="77777777">
      <w:r w:rsidRPr="008C19AA">
        <w:t>The Commission deemed the Finnish application admissible under the intervention criteria of Article 4(2) (b) of the EGF Regulation, which requires the cessation of activity of at least 200 workers to be displaced over a reference period of six months in enterprises operating in the same economic sector defined at NACE Revision 2 division level and located in one region or two contiguous regions defined at NUTS 2 level in a Member State.</w:t>
      </w:r>
    </w:p>
    <w:p w:rsidR="00AA05F4" w:rsidRPr="008C19AA" w:rsidP="00AA05F4" w14:paraId="0BDAC586" w14:textId="77777777"/>
    <w:p w:rsidR="00AA05F4" w:rsidRPr="008C19AA" w:rsidP="00AA05F4" w14:paraId="1DF667A1" w14:textId="77777777">
      <w:r w:rsidRPr="008C19AA">
        <w:t xml:space="preserve">EGF co-funding has been requested for the following seven types of actions, to be provided to redundant workers: </w:t>
      </w:r>
    </w:p>
    <w:p w:rsidR="00AA05F4" w:rsidRPr="008C19AA" w:rsidP="00AA05F4" w14:paraId="1EFB5B10" w14:textId="77777777"/>
    <w:p w:rsidR="00AA05F4" w:rsidRPr="008C19AA" w:rsidP="00EC3EA3" w14:paraId="10F23C45" w14:textId="65FA5CB6">
      <w:pPr>
        <w:ind w:left="720" w:hanging="360"/>
      </w:pPr>
      <w:r w:rsidRPr="008C19AA">
        <w:t>a.</w:t>
      </w:r>
      <w:r w:rsidRPr="008C19AA">
        <w:tab/>
      </w:r>
      <w:r w:rsidRPr="008C19AA">
        <w:rPr>
          <w:u w:val="single"/>
        </w:rPr>
        <w:t>Job search training and career coaching</w:t>
      </w:r>
      <w:r w:rsidRPr="008C19AA">
        <w:t>: The participants receive information about the support services available for jobseekers, and training to strengthen their pathway into the labour market. Their skills will be assessed by experts, with particular focus on digital skills. Job search activities and job coaching measures will be provided to identify new employment opportunities. The service is provided by both PES and external experts, and includes individual and group</w:t>
      </w:r>
      <w:r w:rsidRPr="008C19AA" w:rsidR="002F7146">
        <w:t>-</w:t>
      </w:r>
      <w:r w:rsidRPr="008C19AA">
        <w:t>based activities.</w:t>
      </w:r>
    </w:p>
    <w:p w:rsidR="00AA05F4" w:rsidRPr="008C19AA" w:rsidP="00AA05F4" w14:paraId="2FE602BB" w14:textId="77777777">
      <w:pPr>
        <w:ind w:left="720"/>
      </w:pPr>
    </w:p>
    <w:p w:rsidR="00AA05F4" w:rsidRPr="008C19AA" w:rsidP="00EC3EA3" w14:paraId="37FEE00F" w14:textId="69416CD7">
      <w:pPr>
        <w:ind w:left="720" w:hanging="360"/>
      </w:pPr>
      <w:r w:rsidRPr="008C19AA">
        <w:t>b.</w:t>
      </w:r>
      <w:r w:rsidRPr="008C19AA">
        <w:tab/>
      </w:r>
      <w:r w:rsidRPr="008C19AA">
        <w:rPr>
          <w:u w:val="single"/>
        </w:rPr>
        <w:t>Vocational training</w:t>
      </w:r>
      <w:r w:rsidRPr="008C19AA">
        <w:t xml:space="preserve">: The training is either group-based or individual, based on the needs of the participant and the regional labour market. Each participant is provided with a personal competence development plan, so that the training can be tailored according to existing skills-sets and individual goals. It is also possible to obtain various certificates and licenses, such as the occupational safety card, hot work card, etc. </w:t>
      </w:r>
    </w:p>
    <w:p w:rsidR="00AA05F4" w:rsidRPr="008C19AA" w:rsidP="00AA05F4" w14:paraId="70EA83BA" w14:textId="77777777"/>
    <w:p w:rsidR="00AA05F4" w:rsidRPr="008C19AA" w:rsidP="00EC3EA3" w14:paraId="47E673BE" w14:textId="085613C7">
      <w:pPr>
        <w:ind w:left="720" w:hanging="360"/>
      </w:pPr>
      <w:r w:rsidRPr="008C19AA">
        <w:t>c.</w:t>
      </w:r>
      <w:r w:rsidRPr="008C19AA">
        <w:tab/>
      </w:r>
      <w:r w:rsidRPr="008C19AA">
        <w:rPr>
          <w:u w:val="single"/>
        </w:rPr>
        <w:t>Start-up grant:</w:t>
      </w:r>
      <w:r w:rsidRPr="008C19AA">
        <w:t xml:space="preserve"> The grant is intended for start-up and early-stage development costs to support workers who start a business or a self-employed activity. It is paid based on the actual costs incurred and cannot be allocated to salary expenses or personal livelihood of the individual. This measure is applied only in South Karelia.</w:t>
      </w:r>
    </w:p>
    <w:p w:rsidR="00AA05F4" w:rsidRPr="008C19AA" w:rsidP="00AA05F4" w14:paraId="142C7AE3" w14:textId="77777777">
      <w:pPr>
        <w:ind w:left="720"/>
      </w:pPr>
    </w:p>
    <w:p w:rsidR="00AA05F4" w:rsidRPr="008C19AA" w:rsidP="00EC3EA3" w14:paraId="6EF3271F" w14:textId="522C4B6A">
      <w:pPr>
        <w:ind w:left="720" w:hanging="360"/>
      </w:pPr>
      <w:r w:rsidRPr="008C19AA">
        <w:t>d.</w:t>
      </w:r>
      <w:r w:rsidRPr="008C19AA">
        <w:tab/>
      </w:r>
      <w:r w:rsidRPr="008C19AA">
        <w:rPr>
          <w:u w:val="single"/>
        </w:rPr>
        <w:t>Survey and AI solution for recruitment and skills needs:</w:t>
      </w:r>
      <w:r w:rsidRPr="008C19AA">
        <w:t xml:space="preserve"> The South Karelia Employment Area will carry out an AI-based pilot to identify recruitment needs and skills demands in the regional labour market, enabling the matching of the target group with these needs, and finding skills gaps that can be addressed through training. </w:t>
      </w:r>
    </w:p>
    <w:p w:rsidR="00AA05F4" w:rsidRPr="008C19AA" w:rsidP="00AA05F4" w14:paraId="1DD6DE36" w14:textId="77777777"/>
    <w:p w:rsidR="00AA05F4" w:rsidRPr="008C19AA" w:rsidP="00EC3EA3" w14:paraId="0130CE12" w14:textId="219AFEC3">
      <w:pPr>
        <w:ind w:left="720" w:hanging="360"/>
      </w:pPr>
      <w:r w:rsidRPr="008C19AA">
        <w:t>e.</w:t>
      </w:r>
      <w:r w:rsidRPr="008C19AA">
        <w:tab/>
      </w:r>
      <w:r w:rsidRPr="008C19AA">
        <w:rPr>
          <w:u w:val="single"/>
        </w:rPr>
        <w:t>Pay subsidy:</w:t>
      </w:r>
      <w:r w:rsidRPr="008C19AA">
        <w:t xml:space="preserve"> Pay subsidies lower the recruitment threshold by reducing the new employer’s payroll costs. The aim is to help the jobseekers find employment in the open labour market and to improve their professional skills. The amount of pay subsidy is generally 50 % of the payroll costs; the length of the subsidised period depends on the employment contract and the duration of the preceding unemployment period.</w:t>
      </w:r>
    </w:p>
    <w:p w:rsidR="00AA05F4" w:rsidRPr="008C19AA" w:rsidP="00AA05F4" w14:paraId="23168226" w14:textId="77777777"/>
    <w:p w:rsidR="00AA05F4" w:rsidRPr="008C19AA" w:rsidP="00EC3EA3" w14:paraId="485E3B1E" w14:textId="1C311262">
      <w:pPr>
        <w:ind w:left="720" w:hanging="360"/>
      </w:pPr>
      <w:r w:rsidRPr="008C19AA">
        <w:t>f.</w:t>
      </w:r>
      <w:r w:rsidRPr="008C19AA">
        <w:tab/>
      </w:r>
      <w:r w:rsidRPr="008C19AA">
        <w:rPr>
          <w:u w:val="single"/>
        </w:rPr>
        <w:t>Mobility allowance:</w:t>
      </w:r>
      <w:r w:rsidRPr="008C19AA">
        <w:t xml:space="preserve"> The allowance is intended to encourage taking-up work further away from home, by compensating for commuting and moving expenses.</w:t>
      </w:r>
    </w:p>
    <w:p w:rsidR="00AA05F4" w:rsidRPr="008C19AA" w:rsidP="00AA05F4" w14:paraId="55F06E33" w14:textId="77777777"/>
    <w:p w:rsidR="00AA05F4" w:rsidRPr="008C19AA" w:rsidP="00EC3EA3" w14:paraId="620EB8AD" w14:textId="2F48F022">
      <w:pPr>
        <w:ind w:left="720" w:hanging="360"/>
      </w:pPr>
      <w:r w:rsidRPr="008C19AA">
        <w:t>g.</w:t>
      </w:r>
      <w:r w:rsidRPr="008C19AA">
        <w:tab/>
      </w:r>
      <w:r w:rsidRPr="008C19AA">
        <w:rPr>
          <w:u w:val="single"/>
        </w:rPr>
        <w:t>Allowance towards business creation:</w:t>
      </w:r>
      <w:r w:rsidRPr="008C19AA">
        <w:t xml:space="preserve"> To secure the livelihood of the workers during setting up business, a daily allowance of EUR 37,21, paid five days a week, will be granted for a maximum of 12 months. This measure is applied only in Lohja.</w:t>
      </w:r>
    </w:p>
    <w:p w:rsidR="00AA05F4" w:rsidRPr="008C19AA" w:rsidP="00AA05F4" w14:paraId="69CFB4CA" w14:textId="77777777"/>
    <w:p w:rsidR="00AA05F4" w:rsidRPr="008C19AA" w:rsidP="00AA05F4" w14:paraId="60579175" w14:textId="77777777">
      <w:pPr>
        <w:rPr>
          <w:b/>
        </w:rPr>
      </w:pPr>
      <w:r w:rsidRPr="008C19AA">
        <w:rPr>
          <w:b/>
        </w:rPr>
        <w:t>III. Procedure</w:t>
      </w:r>
    </w:p>
    <w:p w:rsidR="00AA05F4" w:rsidRPr="008C19AA" w:rsidP="00AA05F4" w14:paraId="1A741ACF" w14:textId="77777777">
      <w:pPr>
        <w:rPr>
          <w:b/>
        </w:rPr>
      </w:pPr>
    </w:p>
    <w:p w:rsidR="00AA05F4" w:rsidRPr="008C19AA" w:rsidP="00AA05F4" w14:paraId="733540DA" w14:textId="77777777">
      <w:r w:rsidRPr="008C19AA">
        <w:t>In order to mobilise the Fund, the Commission has submitted to the Budgetary Authority a request to transfer a global amount of EUR 1 102 560 from the EGF reserve (budget line 30 04 02; commitment appropriations) to the EGF (budget line 16 02 02; commitment appropriations).</w:t>
      </w:r>
    </w:p>
    <w:p w:rsidR="00AA05F4" w:rsidRPr="008C19AA" w:rsidP="00AA05F4" w14:paraId="79B82C8B" w14:textId="77777777"/>
    <w:p w:rsidR="00AA05F4" w:rsidRPr="008C19AA" w:rsidP="00AA05F4" w14:paraId="5D05DA3D" w14:textId="77777777">
      <w:r w:rsidRPr="008C19AA">
        <w:t>According to an internal agreement within the Parliament, the Employment and Social Affairs Committee and the Committee on Regional Development should be associated to the process, in order to provide constructive support and contribute to the assessment of the applications from the Fund.</w:t>
      </w:r>
    </w:p>
    <w:p w:rsidR="00AA05F4" w:rsidRPr="008C19AA" w:rsidP="00AA05F4" w14:paraId="27F805A9" w14:textId="77777777"/>
    <w:p w:rsidR="009B66A5" w:rsidRPr="008C19AA" w14:paraId="0F6BA72C" w14:textId="77777777">
      <w:pPr>
        <w:widowControl/>
        <w:sectPr w:rsidSect="00AB3EA2">
          <w:footnotePr>
            <w:numRestart w:val="eachSect"/>
          </w:footnotePr>
          <w:endnotePr>
            <w:numFmt w:val="decimal"/>
          </w:endnotePr>
          <w:pgSz w:w="11906" w:h="16838" w:code="9"/>
          <w:pgMar w:top="1134" w:right="1418" w:bottom="1418" w:left="1418" w:header="567" w:footer="567" w:gutter="0"/>
          <w:cols w:space="720"/>
          <w:noEndnote/>
          <w:docGrid w:linePitch="326"/>
        </w:sectPr>
      </w:pPr>
    </w:p>
    <w:p w:rsidR="009B66A5" w:rsidRPr="008C19AA" w14:paraId="58C04814" w14:textId="2FF8F470">
      <w:pPr>
        <w:widowControl/>
      </w:pPr>
    </w:p>
    <w:p w:rsidR="009B66A5" w:rsidRPr="008C19AA" w:rsidP="009B66A5" w14:paraId="2C3F31F1" w14:textId="77777777"/>
    <w:p w:rsidR="009B66A5" w:rsidRPr="008C19AA" w:rsidP="007041CC" w14:paraId="79A1E391" w14:textId="679FDADE">
      <w:pPr>
        <w:pStyle w:val="PageHeading"/>
        <w:rPr>
          <w:noProof/>
        </w:rPr>
      </w:pPr>
      <w:bookmarkStart w:id="7" w:name="FootprintPageRR"/>
      <w:bookmarkStart w:id="8" w:name="_Toc242797991"/>
      <w:r w:rsidRPr="008C19AA">
        <w:rPr>
          <w:noProof/>
        </w:rPr>
        <w:t>ANNEX: DECLARATION OF INPUT</w:t>
      </w:r>
      <w:bookmarkEnd w:id="8"/>
    </w:p>
    <w:p w:rsidR="009B66A5" w:rsidRPr="008C19AA" w:rsidP="00B31C6A" w14:paraId="7C2F23B1" w14:textId="1A75C153">
      <w:pPr>
        <w:pStyle w:val="Normal24a"/>
        <w:spacing w:after="240"/>
      </w:pPr>
      <w:r w:rsidRPr="008C19AA">
        <w:rPr>
          <w:rStyle w:val="HideTWBExt"/>
        </w:rPr>
        <w:t>&lt;FootprintIntro&gt;</w:t>
      </w:r>
      <w:r w:rsidRPr="008C19AA">
        <w:t>The rapporteur declares under her exclusive responsibility that she did not include in her report input from interest representatives falling within the scope of the Interinstitutional Agreement on a mandatory transparency register</w:t>
      </w:r>
      <w:r>
        <w:rPr>
          <w:rStyle w:val="FootnoteReference"/>
        </w:rPr>
        <w:footnoteReference w:id="19"/>
      </w:r>
      <w:r w:rsidRPr="008C19AA">
        <w:t>, or from representatives of public authorities of third countries, including their diplomatic missions and embassies, to be listed in this Annex pursuant to Article 8 of Annex I to the Rules of Procedure.</w:t>
      </w:r>
      <w:r w:rsidRPr="008C19AA">
        <w:rPr>
          <w:rStyle w:val="HideTWBExt"/>
        </w:rPr>
        <w:t>&lt;/FootprintIntro&gt;</w:t>
      </w:r>
    </w:p>
    <w:p w:rsidR="009B66A5" w:rsidRPr="008C19AA" w:rsidP="00646AD2" w14:paraId="27DED051" w14:textId="77777777">
      <w:pPr>
        <w:pStyle w:val="Footprint12b"/>
        <w:sectPr w:rsidSect="00AB3EA2">
          <w:footnotePr>
            <w:numRestart w:val="eachSect"/>
          </w:footnotePr>
          <w:endnotePr>
            <w:numFmt w:val="decimal"/>
          </w:endnotePr>
          <w:pgSz w:w="11906" w:h="16838" w:code="9"/>
          <w:pgMar w:top="1134" w:right="1418" w:bottom="1418" w:left="1418" w:header="567" w:footer="567" w:gutter="0"/>
          <w:cols w:space="720"/>
          <w:noEndnote/>
          <w:docGrid w:linePitch="326"/>
        </w:sectPr>
      </w:pPr>
    </w:p>
    <w:p w:rsidR="009B66A5" w:rsidRPr="008C19AA" w:rsidP="009B66A5" w14:paraId="491A2B23" w14:textId="77777777">
      <w:pPr>
        <w:pStyle w:val="Normal24a"/>
      </w:pPr>
      <w:r w:rsidRPr="008C19AA">
        <w:rPr>
          <w:rStyle w:val="HideTWBExt"/>
          <w:noProof w:val="0"/>
        </w:rPr>
        <w:t>&lt;</w:t>
      </w:r>
      <w:r w:rsidRPr="008C19AA">
        <w:rPr>
          <w:rStyle w:val="HideTWBExt"/>
        </w:rPr>
        <w:t>Date</w:t>
      </w:r>
      <w:r w:rsidRPr="008C19AA">
        <w:rPr>
          <w:rStyle w:val="HideTWBExt"/>
          <w:noProof w:val="0"/>
        </w:rPr>
        <w:t>&gt;&lt;</w:t>
      </w:r>
      <w:r w:rsidRPr="008C19AA">
        <w:rPr>
          <w:rStyle w:val="HideTWBExt"/>
        </w:rPr>
        <w:t>/Date</w:t>
      </w:r>
      <w:r w:rsidRPr="008C19AA">
        <w:rPr>
          <w:rStyle w:val="HideTWBExt"/>
          <w:noProof w:val="0"/>
        </w:rPr>
        <w:t>&gt;</w:t>
      </w:r>
    </w:p>
    <w:p w:rsidR="009B66A5" w:rsidRPr="008C19AA" w:rsidP="009B66A5" w14:paraId="5012D067" w14:textId="0DEECDD6">
      <w:pPr>
        <w:pStyle w:val="PageHeading"/>
      </w:pPr>
      <w:bookmarkStart w:id="9" w:name="OpinionToc_1"/>
      <w:bookmarkStart w:id="10" w:name="_Toc242797992"/>
      <w:r w:rsidRPr="008C19AA">
        <w:t>LETTER OF THE COMMITTEE ON EMPLOYMENT AND SOCIAL AFFAIRS</w:t>
      </w:r>
      <w:bookmarkEnd w:id="9"/>
      <w:bookmarkEnd w:id="10"/>
    </w:p>
    <w:p w:rsidR="009B66A5" w:rsidRPr="008C19AA" w14:paraId="7CD1EADD" w14:textId="77777777">
      <w:r w:rsidRPr="008C19AA">
        <w:t>Mr Johan Van Overtveldt</w:t>
      </w:r>
    </w:p>
    <w:p w:rsidR="009B66A5" w:rsidRPr="008C19AA" w14:paraId="1C2C0C42" w14:textId="77777777">
      <w:r w:rsidRPr="008C19AA">
        <w:t>Chair</w:t>
      </w:r>
    </w:p>
    <w:p w:rsidR="009B66A5" w:rsidRPr="008C19AA" w14:paraId="60DF1013" w14:textId="77777777">
      <w:r w:rsidRPr="008C19AA">
        <w:t>Committee on Budgets</w:t>
      </w:r>
    </w:p>
    <w:p w:rsidR="009B66A5" w:rsidRPr="008C19AA" w14:paraId="68788968" w14:textId="77777777">
      <w:r w:rsidRPr="008C19AA">
        <w:t>BRUSSELS</w:t>
      </w:r>
    </w:p>
    <w:p w:rsidR="009B66A5" w:rsidRPr="008C19AA" w:rsidP="00BC0E06" w14:paraId="733C592F" w14:textId="77777777">
      <w:pPr>
        <w:pStyle w:val="LetterSubject"/>
        <w:rPr>
          <w:b/>
          <w:bCs/>
        </w:rPr>
      </w:pPr>
      <w:r w:rsidRPr="008C19AA">
        <w:t>Subject:</w:t>
      </w:r>
      <w:r w:rsidRPr="008C19AA">
        <w:tab/>
      </w:r>
      <w:r w:rsidRPr="008C19AA">
        <w:rPr>
          <w:rStyle w:val="HideTWBExt"/>
          <w:noProof w:val="0"/>
        </w:rPr>
        <w:t>&lt;Titre&gt;</w:t>
      </w:r>
      <w:r w:rsidRPr="008C19AA">
        <w:t>Opinion on Mobilisation of the European Globalisation Adjustment Fund for Displaced Workers following an application from Finland — EGF/2026/004 FI/Etelä-Suomi and Helsinki-Uusimaa paper</w:t>
      </w:r>
      <w:r w:rsidRPr="008C19AA">
        <w:rPr>
          <w:rStyle w:val="HideTWBExt"/>
          <w:noProof w:val="0"/>
        </w:rPr>
        <w:t>&lt;/Titre&gt;&lt;DocRef&gt;</w:t>
      </w:r>
      <w:r w:rsidRPr="008C19AA">
        <w:t xml:space="preserve"> (2026/0254(BUD))</w:t>
      </w:r>
      <w:r w:rsidRPr="008C19AA">
        <w:rPr>
          <w:rStyle w:val="HideTWBExt"/>
          <w:noProof w:val="0"/>
        </w:rPr>
        <w:t>&lt;/DocRef&gt;</w:t>
      </w:r>
    </w:p>
    <w:p w:rsidR="009B66A5" w:rsidRPr="008C19AA" w:rsidP="007C3F41" w14:paraId="6D364A52" w14:textId="77777777">
      <w:pPr>
        <w:pStyle w:val="LetterSalutation"/>
      </w:pPr>
      <w:r w:rsidRPr="008C19AA">
        <w:t>Dear Mr Chair,</w:t>
      </w:r>
    </w:p>
    <w:p w:rsidR="009B66A5" w:rsidRPr="008C19AA" w:rsidP="00971C3E" w14:paraId="56CE1B82" w14:textId="77777777">
      <w:pPr>
        <w:pStyle w:val="Normal12a"/>
      </w:pPr>
      <w:r w:rsidRPr="008C19AA">
        <w:t xml:space="preserve">Under the procedure referred to above, the Committee on Employment and Social Affairs has been asked to submit an opinion to your committee and decided to send the opinion in the form of a letter. </w:t>
      </w:r>
    </w:p>
    <w:p w:rsidR="009B66A5" w:rsidRPr="008C19AA" w:rsidP="00971C3E" w14:paraId="3C021D79" w14:textId="77777777">
      <w:pPr>
        <w:pStyle w:val="Normal12a"/>
      </w:pPr>
      <w:r w:rsidRPr="008C19AA">
        <w:t>The Committee on Employment and Social Affairs considered the matter, and, at its meeting of 1 October 2026, it decided to submit the opinion set out below to the Committee on Budgets, as the committee responsible.</w:t>
      </w:r>
    </w:p>
    <w:p w:rsidR="009B66A5" w:rsidRPr="008C19AA" w:rsidP="00C233BB" w14:paraId="38317D3B" w14:textId="77777777">
      <w:pPr>
        <w:pStyle w:val="Normal12a"/>
      </w:pPr>
    </w:p>
    <w:p w:rsidR="009B66A5" w:rsidRPr="008C19AA" w:rsidP="007C3F41" w14:paraId="5D9E04D7" w14:textId="77777777">
      <w:pPr>
        <w:pStyle w:val="Normal12a"/>
      </w:pPr>
      <w:r w:rsidRPr="008C19AA">
        <w:t>Yours sincerely,</w:t>
      </w:r>
    </w:p>
    <w:p w:rsidR="009B66A5" w:rsidRPr="008C19AA" w:rsidP="00085831" w14:paraId="122CA618" w14:textId="77777777">
      <w:pPr>
        <w:pStyle w:val="LetterSignature66b"/>
      </w:pPr>
      <w:r w:rsidRPr="008C19AA">
        <w:t>Li Andersson</w:t>
      </w:r>
    </w:p>
    <w:p w:rsidR="009B66A5" w:rsidRPr="008C19AA" w14:paraId="55EC8F1B" w14:textId="77777777">
      <w:pPr>
        <w:widowControl/>
      </w:pPr>
      <w:r w:rsidRPr="008C19AA">
        <w:br w:type="page"/>
      </w:r>
    </w:p>
    <w:p w:rsidR="009B66A5" w:rsidRPr="008C19AA" w:rsidP="00603481" w14:paraId="6F3AD4F9" w14:textId="77777777">
      <w:pPr>
        <w:pStyle w:val="PageHeadingNotTOC"/>
      </w:pPr>
      <w:r w:rsidRPr="008C19AA">
        <w:t>OPINION</w:t>
      </w:r>
    </w:p>
    <w:p w:rsidR="009B66A5" w:rsidRPr="008C19AA" w:rsidP="00193182" w14:paraId="3F095050" w14:textId="77777777">
      <w:pPr>
        <w:pStyle w:val="NormalHanging12a"/>
      </w:pPr>
      <w:r w:rsidRPr="008C19AA">
        <w:t>A.</w:t>
      </w:r>
      <w:r w:rsidRPr="008C19AA">
        <w:tab/>
        <w:t>Whereas, on 19 May 2026, Finland submitted an application EGF/2026/004 FI/ Etelä-Suomi and Helsinki-Uusimaa paper for a financial contribution from the European Globalisation Adjustment Fund for Displaced Workers (EGF), following displacements in the paper industry in the NUTS 2 regions of Etelä-Suomi (FI1C) and Helsinki-Uusimaa (FI1B) in Finland; whereas the affected enterprises operate in the economic sector classified under the NACE Revision 2 Division 17 (Manufacture of paper and paper products),where the redundancies are located in the NUTS 2 regions of Etelä-Suomi (FI1C) and Helsinki-Uusimaa (FI1B);</w:t>
      </w:r>
    </w:p>
    <w:p w:rsidR="009B66A5" w:rsidRPr="008C19AA" w:rsidP="00193182" w14:paraId="635AF0A4" w14:textId="77777777">
      <w:pPr>
        <w:pStyle w:val="NormalHanging12a"/>
      </w:pPr>
      <w:r w:rsidRPr="008C19AA">
        <w:t>B.</w:t>
      </w:r>
      <w:r w:rsidRPr="008C19AA">
        <w:tab/>
        <w:t xml:space="preserve">Whereas Finland submitted the application under the intervention criteria of Article 4(2)(b) of Regulation (EU) 2021/691, which requires at least 200 workers to be displaced over a reference period of six months (in this case, from </w:t>
      </w:r>
      <w:r w:rsidRPr="008C19AA">
        <w:rPr>
          <w:noProof/>
        </w:rPr>
        <w:t>1 October 2025 to 1 April 2026</w:t>
      </w:r>
      <w:r w:rsidRPr="008C19AA">
        <w:t>) in enterprises operating in the same economic sector defined at NACE Revision 2 division level and located in one region or two contiguous regions defined at NUTS 2 level in a Member State; whereas, following its assessment of this application, the Commission has concluded, in accordance with all applicable provisions of the EGF Regulation, that the conditions for awarding a financial contribution from the EGF are met;</w:t>
      </w:r>
    </w:p>
    <w:p w:rsidR="009B66A5" w:rsidRPr="008C19AA" w:rsidP="00193182" w14:paraId="32CEACC7" w14:textId="77777777">
      <w:pPr>
        <w:pStyle w:val="NormalHanging12a"/>
      </w:pPr>
      <w:r w:rsidRPr="008C19AA">
        <w:t>C.</w:t>
      </w:r>
      <w:r w:rsidRPr="008C19AA">
        <w:tab/>
        <w:t xml:space="preserve">Whereas the total number of eligible beneficiaries is </w:t>
      </w:r>
      <w:r w:rsidRPr="008C19AA">
        <w:rPr>
          <w:noProof/>
        </w:rPr>
        <w:t>351</w:t>
      </w:r>
      <w:r w:rsidRPr="008C19AA">
        <w:t>, whose activity has ceased in the economic sectors indicated above in the enterprises Metsä Group Oyj, Stora Enso Oyj, UPM Communication Papers Oy and SAPPI Finland Operations Oy;</w:t>
      </w:r>
    </w:p>
    <w:p w:rsidR="009B66A5" w:rsidRPr="008C19AA" w:rsidP="00193182" w14:paraId="3DC72908" w14:textId="77777777">
      <w:pPr>
        <w:pStyle w:val="NormalHanging12a"/>
      </w:pPr>
      <w:r w:rsidRPr="008C19AA">
        <w:t>D.</w:t>
      </w:r>
      <w:r w:rsidRPr="008C19AA">
        <w:tab/>
        <w:t>Whereas on 8 September 2026 the Commission adopted a proposal for a decision on the mobilisation of the EGF in favour of Finland to support the reintegration in the labour market of 351 targeted beneficiaries;</w:t>
      </w:r>
    </w:p>
    <w:p w:rsidR="009B66A5" w:rsidRPr="008C19AA" w:rsidP="00193182" w14:paraId="1C7DF079" w14:textId="77777777">
      <w:pPr>
        <w:pStyle w:val="NormalHanging12a"/>
      </w:pPr>
      <w:r w:rsidRPr="008C19AA">
        <w:t>E.</w:t>
      </w:r>
      <w:r w:rsidRPr="008C19AA">
        <w:tab/>
        <w:t>Whereas the forest industry in South Karelia, a sub-region of Etelä-Suomi located next to the Russian border, has experienced significant geopolitical and economic challenges leading to broad structural changes and substantial staff reductions; whereas, as the forest industry is vertically linked to the paper industry, by being its primary supplier of raw material, the same challenges spill-over to the intertwined paper industry; whereas, the paper industry itself has been experiencing severe challenges over the past years, mainly due to lower demand as digitalisation is replacing demand for print products; whereas, as the industry is energy-intensive, rising energy costs also pose a significant challenge; whereas on top of the general structural challenges the paper industry is facing, the closure of the border with Russia in 2023 had a major impact on the cost structure of paper factories operating in South Karelia; whereas the region had been particularly dependent on cross-border procurement chains, especially on wood imported from Russia; whereas, because of the geopolitical situation following Russia’s war of aggression against Ukraine, wood imports from Russia were sanctioned and imports thus ceased; whereas, as wood now had to be sourced from farther away and at a higher price, production costs in the pulp and paper industry rose sharply;</w:t>
      </w:r>
    </w:p>
    <w:p w:rsidR="009B66A5" w:rsidRPr="008C19AA" w:rsidP="00193182" w14:paraId="267F2042" w14:textId="77777777">
      <w:pPr>
        <w:pStyle w:val="NormalHanging12a"/>
      </w:pPr>
      <w:r w:rsidRPr="008C19AA">
        <w:t>F.</w:t>
      </w:r>
      <w:r w:rsidRPr="008C19AA">
        <w:tab/>
        <w:t>Whereas the paper companies responded to the situation by initiating so-called change negotiations, which are a statutory obligation in Finland for enterprises planning lay-offs or restructuring; whereas this led to temporary layoffs of up to 90 days in all major paper mills; whereas in autumn 2024, the first major wave of job displacements occurred when 100 jobs were cut at Stora Enso paper mill, in the city of Imatra;</w:t>
      </w:r>
    </w:p>
    <w:p w:rsidR="009B66A5" w:rsidRPr="008C19AA" w:rsidP="00193182" w14:paraId="760556B2" w14:textId="77777777">
      <w:pPr>
        <w:pStyle w:val="NormalHanging12a"/>
      </w:pPr>
      <w:r w:rsidRPr="008C19AA">
        <w:t>G.</w:t>
      </w:r>
      <w:r w:rsidRPr="008C19AA">
        <w:tab/>
        <w:t>Whereas the situation escalated in 2025, when import tariffs imposed by the United States not only resulted in a decline in competitiveness but also reshaped global value chains; whereas, in 2025, change negotiations in the paper producing companies continued, leading not only to temporary layoffs, but also to major staff reductions;</w:t>
      </w:r>
    </w:p>
    <w:p w:rsidR="009B66A5" w:rsidRPr="008C19AA" w:rsidP="00193182" w14:paraId="45DBD8E2" w14:textId="77777777">
      <w:pPr>
        <w:pStyle w:val="NormalHanging12a"/>
      </w:pPr>
      <w:r w:rsidRPr="008C19AA">
        <w:t>H.</w:t>
      </w:r>
      <w:r w:rsidRPr="008C19AA">
        <w:tab/>
        <w:t xml:space="preserve">Whereas Finland has indicated that the co-ordinated package of personalised services has been drawn up in consultation with experts and social partners, in compliance with Article 7(4) of the EGF Regulation; </w:t>
      </w:r>
    </w:p>
    <w:p w:rsidR="009B66A5" w:rsidRPr="008C19AA" w:rsidP="00193182" w14:paraId="1E1C3770" w14:textId="77777777">
      <w:pPr>
        <w:pStyle w:val="NormalHanging12a"/>
      </w:pPr>
      <w:r w:rsidRPr="008C19AA">
        <w:t>I.</w:t>
      </w:r>
      <w:r w:rsidRPr="008C19AA">
        <w:tab/>
        <w:t>Whereas the EGF shall not exceed a maximum annual amount of EUR 30 million (in 2018 prices), as laid down in Article 8 of Council Regulation (EU, Euratom) No 2020/2093 of 17 December 2020 laying down the multiannual financial framework for the years 2021 to 2027;</w:t>
      </w:r>
    </w:p>
    <w:p w:rsidR="009B66A5" w:rsidRPr="008C19AA" w:rsidP="00FE0D10" w14:paraId="3B87754A" w14:textId="77777777">
      <w:pPr>
        <w:pStyle w:val="NormalHanging12a"/>
        <w:ind w:left="0" w:firstLine="0"/>
      </w:pPr>
      <w:r w:rsidRPr="008C19AA">
        <w:t>Therefore, the Committee on Employment and Social Affairs calls on the Committee on Budgets, as the committee responsible, to integrate the following suggestions in its motion for a resolution:</w:t>
      </w:r>
    </w:p>
    <w:p w:rsidR="009B66A5" w:rsidRPr="008C19AA" w:rsidP="00193182" w14:paraId="56AB7B29" w14:textId="77777777">
      <w:pPr>
        <w:pStyle w:val="NormalHanging12a"/>
      </w:pPr>
      <w:r w:rsidRPr="008C19AA">
        <w:t>1.</w:t>
      </w:r>
      <w:r w:rsidRPr="008C19AA">
        <w:tab/>
        <w:t xml:space="preserve">Recalls that the objective of the EGF is to demonstrate solidarity with, and provide support to beneficiaries; considers that financial contributions from the EGF should be primarily directed at active labour market policy measures and personalised services that aim to reintegrate beneficiaries rapidly into decent and sustainable employment within or outside their initial sector of activity; stresses the importance of preparing and supporting workers for the urgently needed green and digital transitions of the European economy and society; reiterates in this context the important role the Union plays, including through the EGF, in contributing to the financing of necessary qualifications for the just transition in line with the European Green Deal; </w:t>
      </w:r>
    </w:p>
    <w:p w:rsidR="009B66A5" w:rsidRPr="008C19AA" w:rsidP="00193182" w14:paraId="0BA0C796" w14:textId="77777777">
      <w:pPr>
        <w:pStyle w:val="NormalHanging12a"/>
      </w:pPr>
      <w:r w:rsidRPr="008C19AA">
        <w:t>2.</w:t>
      </w:r>
      <w:r w:rsidRPr="008C19AA">
        <w:tab/>
        <w:t>Agrees with the Commission that the conditions set out in the EGF Regulation are met and that Finland is entitled to a financial contribution of EUR 1 102 560 under that Regulation, which represents 60 % of the total cost of EUR 1 837 600, comprising budget for personalised services of EUR 1 769 600 and budget for implementing the EGF of EUR 68 000;</w:t>
      </w:r>
    </w:p>
    <w:p w:rsidR="009B66A5" w:rsidRPr="008C19AA" w:rsidP="00193182" w14:paraId="32158A5A" w14:textId="77777777">
      <w:pPr>
        <w:pStyle w:val="NormalHanging12a"/>
      </w:pPr>
      <w:r w:rsidRPr="008C19AA">
        <w:t>3.</w:t>
      </w:r>
      <w:r w:rsidRPr="008C19AA">
        <w:tab/>
        <w:t>Notes the fact that Finland has provided all necessary assurances that the requirements laid down in national and EU legislation concerning collective redundancies have been complied with and that the principles of equality of treatment and non-discrimination will be respected in access to the proposed measures and their implementation;</w:t>
      </w:r>
    </w:p>
    <w:p w:rsidR="009B66A5" w:rsidRPr="008C19AA" w:rsidP="00193182" w14:paraId="7F6975C2" w14:textId="77777777">
      <w:pPr>
        <w:pStyle w:val="NormalHanging12a"/>
      </w:pPr>
      <w:r w:rsidRPr="008C19AA">
        <w:t>4.</w:t>
      </w:r>
      <w:r w:rsidRPr="008C19AA">
        <w:tab/>
        <w:t>Stresses that Finland has confirmed that the measures supported by the EGF will not receive any financial contributions from other Union financial instruments;</w:t>
      </w:r>
    </w:p>
    <w:p w:rsidR="009B66A5" w:rsidRPr="008C19AA" w:rsidP="00193182" w14:paraId="0BD7963B" w14:textId="77777777">
      <w:pPr>
        <w:pStyle w:val="NormalHanging12a"/>
      </w:pPr>
      <w:r w:rsidRPr="008C19AA">
        <w:t>5.</w:t>
      </w:r>
      <w:r w:rsidRPr="008C19AA">
        <w:tab/>
        <w:t>Recalls the profile of the redundant workers, where almost half of the dismissed workers are over 54 years old, and considers that, along with the pressures of the labour market, the workers will need additional tailored support, particularly targeted assistance focusing on upskilling and retraining, to help them succeed the transition to employment;</w:t>
      </w:r>
    </w:p>
    <w:p w:rsidR="009B66A5" w:rsidRPr="008C19AA" w:rsidP="00193182" w14:paraId="68AB078F" w14:textId="77777777">
      <w:pPr>
        <w:pStyle w:val="NormalHanging12a"/>
      </w:pPr>
      <w:r w:rsidRPr="008C19AA">
        <w:t>6.</w:t>
      </w:r>
      <w:r w:rsidRPr="008C19AA">
        <w:tab/>
        <w:t>Notes that personalised services to be provided to the workers consist of the following measures: (a) job search training and career coaching, (b) vocational training, (c) start-up grant, (d) survey and AI solution for recruitment and skills needs, (e) pay subsidy, (f) mobility allowance, and (i) allowance towards business creation;</w:t>
      </w:r>
    </w:p>
    <w:p w:rsidR="009B66A5" w:rsidRPr="008C19AA" w:rsidP="00193182" w14:paraId="044DE6A6" w14:textId="77777777">
      <w:pPr>
        <w:pStyle w:val="NormalHanging12a"/>
      </w:pPr>
      <w:r w:rsidRPr="008C19AA">
        <w:t>7.</w:t>
      </w:r>
      <w:r w:rsidRPr="008C19AA">
        <w:tab/>
        <w:t>Stresses in particular the importance of Article 7(2) of the EGF Regulation, which requires the coordinated package to anticipate future labour market perspectives and required skills, which are compatible with the shift towards a resource-efficient and sustainable economy and with a particular focus on the dissemination of skills required in the digital industrial age; welcomes the fact the ICT training and additional support are foreseen within vocational guidance services and some of the trainings on offer and related allowances cater for the dissemination of the skills required in the digital industrial age and in a resource-efficient economy;</w:t>
      </w:r>
    </w:p>
    <w:p w:rsidR="009B66A5" w:rsidRPr="008C19AA" w:rsidP="00193182" w14:paraId="3B961EC9" w14:textId="77777777">
      <w:pPr>
        <w:pStyle w:val="NormalHanging12a"/>
      </w:pPr>
      <w:r w:rsidRPr="008C19AA">
        <w:t>8.</w:t>
      </w:r>
      <w:r w:rsidRPr="008C19AA">
        <w:tab/>
        <w:t xml:space="preserve">Recalls the possibility for special time-limited measures within the coordinated package including, </w:t>
      </w:r>
      <w:r w:rsidRPr="008C19AA">
        <w:rPr>
          <w:i/>
          <w:iCs/>
        </w:rPr>
        <w:t>inter alia</w:t>
      </w:r>
      <w:r w:rsidRPr="008C19AA">
        <w:t>, to pay childcare allowances, as provided in Article 7(2)(b) of the EGF regulation to facilitate job seekers’ participation in the activities proposed.</w:t>
      </w:r>
    </w:p>
    <w:bookmarkEnd w:id="7"/>
    <w:p w:rsidR="009119DA" w:rsidRPr="008C19AA" w:rsidP="00AB3EA2" w14:paraId="165825A0" w14:textId="77777777"/>
    <w:p w:rsidR="00A77442" w:rsidRPr="008C19AA" w:rsidP="00295885" w14:paraId="5F929E92" w14:textId="28EEE3A1">
      <w:pPr>
        <w:widowControl/>
      </w:pPr>
      <w:r w:rsidRPr="008C19AA">
        <w:br w:type="page"/>
      </w:r>
    </w:p>
    <w:p w:rsidR="00A77442" w:rsidRPr="008C19AA" w:rsidP="00A77442" w14:paraId="16DA345D" w14:textId="77777777">
      <w:pPr>
        <w:pStyle w:val="PageHeading"/>
        <w:rPr>
          <w:noProof/>
        </w:rPr>
      </w:pPr>
      <w:bookmarkStart w:id="11" w:name="_Toc242797993"/>
      <w:r w:rsidRPr="008C19AA">
        <w:rPr>
          <w:noProof/>
        </w:rPr>
        <w:t>ANNEX: DECLARATION OF INPUT</w:t>
      </w:r>
      <w:bookmarkEnd w:id="11"/>
    </w:p>
    <w:p w:rsidR="00A77442" w:rsidRPr="00A17A06" w:rsidP="00A17A06" w14:paraId="4C1787C9" w14:textId="77777777">
      <w:r w:rsidRPr="008C19AA">
        <w:rPr>
          <w:rStyle w:val="HideTWBExt"/>
        </w:rPr>
        <w:t>&lt;FootprintIntro&gt;</w:t>
      </w:r>
      <w:r w:rsidRPr="008C19AA">
        <w:t>The rapporteur declares under her exclusive responsibility that she did not include in her report input from interest representatives falling within the scope of the Interinstitutional Agreement on a mandatory transparency register</w:t>
      </w:r>
      <w:r>
        <w:rPr>
          <w:rStyle w:val="FootnoteReference"/>
        </w:rPr>
        <w:footnoteReference w:id="20"/>
      </w:r>
      <w:r w:rsidRPr="008C19AA">
        <w:t>, or from representatives of public authorities of third countries, including their diplomatic missions and embassies, to be listed in this Annex pursuant to Article 8 of Annex I to the Rules of Procedure.</w:t>
      </w:r>
      <w:r w:rsidRPr="008C19AA">
        <w:rPr>
          <w:rStyle w:val="HideTWBExt"/>
        </w:rPr>
        <w:t>&lt;/FootprintIntro&gt;</w:t>
      </w:r>
    </w:p>
    <w:p w:rsidR="00AB3EA2" w:rsidRPr="00A17A06" w:rsidP="00A17A06" w14:paraId="0F6B533B" w14:textId="77777777">
      <w:pPr>
        <w:sectPr w:rsidSect="00AB3EA2">
          <w:footnotePr>
            <w:numRestart w:val="eachSect"/>
          </w:footnotePr>
          <w:endnotePr>
            <w:numFmt w:val="decimal"/>
          </w:endnotePr>
          <w:pgSz w:w="11906" w:h="16838" w:code="9"/>
          <w:pgMar w:top="1134" w:right="1418" w:bottom="1418" w:left="1418" w:header="567" w:footer="567" w:gutter="0"/>
          <w:cols w:space="720"/>
          <w:noEndnote/>
          <w:docGrid w:linePitch="326"/>
        </w:sectPr>
      </w:pPr>
    </w:p>
    <w:p w:rsidR="00A17A06" w:rsidP="00A17A06" w14:paraId="79BBAC7B" w14:textId="218F657D">
      <w:pPr>
        <w:pStyle w:val="PageHeading"/>
      </w:pPr>
      <w:bookmarkStart w:id="12" w:name="ProcPageRR"/>
      <w:bookmarkStart w:id="13" w:name="_Toc242797994"/>
      <w:r>
        <w:t>INFORMATION ON ADOPTION</w:t>
      </w:r>
      <w:r>
        <w:br/>
        <w:t>BY THE COMMITTEE RESPONSIBLE</w:t>
      </w:r>
      <w:bookmarkEnd w:id="13"/>
    </w:p>
    <w:tbl>
      <w:tblPr>
        <w:tblW w:w="0" w:type="auto"/>
        <w:tblInd w:w="-10" w:type="dxa"/>
        <w:tblLayout w:type="fixed"/>
        <w:tblCellMar>
          <w:top w:w="0" w:type="dxa"/>
          <w:left w:w="0" w:type="dxa"/>
          <w:bottom w:w="0" w:type="dxa"/>
          <w:right w:w="0" w:type="dxa"/>
        </w:tblCellMar>
        <w:tblLook w:val="0000"/>
      </w:tblPr>
      <w:tblGrid>
        <w:gridCol w:w="3685"/>
        <w:gridCol w:w="1530"/>
        <w:gridCol w:w="1474"/>
        <w:gridCol w:w="1474"/>
        <w:gridCol w:w="1474"/>
      </w:tblGrid>
      <w:tr w14:paraId="4862E934"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7A06" w14:paraId="2FD4DD1A" w14:textId="77777777">
            <w:pPr>
              <w:autoSpaceDE w:val="0"/>
              <w:autoSpaceDN w:val="0"/>
              <w:adjustRightInd w:val="0"/>
              <w:rPr>
                <w:b/>
                <w:bCs/>
                <w:color w:val="000000"/>
                <w:sz w:val="20"/>
              </w:rPr>
            </w:pPr>
            <w:r>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7A06" w14:paraId="1432F003" w14:textId="77777777">
            <w:pPr>
              <w:autoSpaceDE w:val="0"/>
              <w:autoSpaceDN w:val="0"/>
              <w:adjustRightInd w:val="0"/>
              <w:rPr>
                <w:color w:val="000000"/>
                <w:sz w:val="20"/>
              </w:rPr>
            </w:pPr>
            <w:r>
              <w:rPr>
                <w:color w:val="000000"/>
                <w:sz w:val="20"/>
              </w:rPr>
              <w:t>12.10.2026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7A06" w14:paraId="012E5419"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17A06" w14:paraId="695CEE9D" w14:textId="77777777">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7A06" w14:paraId="2D3AEB55" w14:textId="77777777">
            <w:pPr>
              <w:autoSpaceDE w:val="0"/>
              <w:autoSpaceDN w:val="0"/>
              <w:adjustRightInd w:val="0"/>
              <w:rPr>
                <w:rFonts w:ascii="sans-serif" w:hAnsi="sans-serif" w:cs="sans-serif"/>
                <w:color w:val="000000"/>
                <w:szCs w:val="24"/>
              </w:rPr>
            </w:pPr>
          </w:p>
        </w:tc>
      </w:tr>
      <w:tr w14:paraId="43F8A4E8" w14:textId="77777777">
        <w:tblPrEx>
          <w:tblW w:w="0" w:type="auto"/>
          <w:tblInd w:w="-10" w:type="dxa"/>
          <w:tblLayout w:type="fixed"/>
          <w:tblCellMar>
            <w:top w:w="0" w:type="dxa"/>
            <w:left w:w="0" w:type="dxa"/>
            <w:bottom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17A06" w14:paraId="15995B1E" w14:textId="77777777">
            <w:pPr>
              <w:autoSpaceDE w:val="0"/>
              <w:autoSpaceDN w:val="0"/>
              <w:adjustRightInd w:val="0"/>
              <w:rPr>
                <w:b/>
                <w:bCs/>
                <w:color w:val="000000"/>
                <w:sz w:val="20"/>
              </w:rPr>
            </w:pPr>
            <w:r>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17A06" w14:paraId="37493E9A" w14:textId="77777777">
            <w:pPr>
              <w:autoSpaceDE w:val="0"/>
              <w:autoSpaceDN w:val="0"/>
              <w:adjustRightInd w:val="0"/>
              <w:rPr>
                <w:color w:val="000000"/>
                <w:sz w:val="20"/>
              </w:rPr>
            </w:pPr>
            <w:r>
              <w:rPr>
                <w:color w:val="000000"/>
                <w:sz w:val="20"/>
              </w:rPr>
              <w:t>+:</w:t>
            </w:r>
          </w:p>
          <w:p w:rsidR="00A17A06" w14:paraId="0FF37656" w14:textId="77777777">
            <w:pPr>
              <w:autoSpaceDE w:val="0"/>
              <w:autoSpaceDN w:val="0"/>
              <w:adjustRightInd w:val="0"/>
              <w:rPr>
                <w:color w:val="000000"/>
                <w:sz w:val="20"/>
              </w:rPr>
            </w:pPr>
            <w:r>
              <w:rPr>
                <w:color w:val="000000"/>
                <w:sz w:val="20"/>
              </w:rPr>
              <w:t>–:</w:t>
            </w:r>
          </w:p>
          <w:p w:rsidR="00A17A06" w14:paraId="0A0F734C"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17A06" w14:paraId="0DC6EAFA" w14:textId="77777777">
            <w:pPr>
              <w:autoSpaceDE w:val="0"/>
              <w:autoSpaceDN w:val="0"/>
              <w:adjustRightInd w:val="0"/>
              <w:rPr>
                <w:color w:val="000000"/>
                <w:sz w:val="20"/>
              </w:rPr>
            </w:pPr>
            <w:r>
              <w:rPr>
                <w:color w:val="000000"/>
                <w:sz w:val="20"/>
              </w:rPr>
              <w:t>31</w:t>
            </w:r>
          </w:p>
          <w:p w:rsidR="00A17A06" w14:paraId="23312D6C" w14:textId="77777777">
            <w:pPr>
              <w:autoSpaceDE w:val="0"/>
              <w:autoSpaceDN w:val="0"/>
              <w:adjustRightInd w:val="0"/>
              <w:rPr>
                <w:color w:val="000000"/>
                <w:sz w:val="20"/>
              </w:rPr>
            </w:pPr>
            <w:r>
              <w:rPr>
                <w:color w:val="000000"/>
                <w:sz w:val="20"/>
              </w:rPr>
              <w:t>2</w:t>
            </w:r>
          </w:p>
          <w:p w:rsidR="00A17A06" w14:paraId="30A84F58" w14:textId="77777777">
            <w:pPr>
              <w:autoSpaceDE w:val="0"/>
              <w:autoSpaceDN w:val="0"/>
              <w:adjustRightInd w:val="0"/>
              <w:rPr>
                <w:color w:val="000000"/>
                <w:sz w:val="20"/>
              </w:rPr>
            </w:pPr>
            <w:r>
              <w:rPr>
                <w:color w:val="000000"/>
                <w:sz w:val="20"/>
              </w:rPr>
              <w:t>1</w:t>
            </w:r>
          </w:p>
        </w:tc>
      </w:tr>
    </w:tbl>
    <w:p w:rsidR="00A17A06" w14:paraId="34DB2C21" w14:textId="77777777"/>
    <w:bookmarkEnd w:id="12"/>
    <w:p w:rsidR="00AB3EA2" w:rsidRPr="00A17A06" w:rsidP="00A17A06" w14:paraId="1176B3E1" w14:textId="59515DFC">
      <w:pPr>
        <w:sectPr w:rsidSect="0041368B">
          <w:pgSz w:w="11906" w:h="16838" w:code="9"/>
          <w:pgMar w:top="1700" w:right="1417" w:bottom="1417" w:left="1417" w:header="720" w:footer="720" w:gutter="0"/>
          <w:cols w:space="720"/>
          <w:noEndnote/>
          <w:docGrid w:linePitch="326"/>
        </w:sectPr>
      </w:pPr>
    </w:p>
    <w:p w:rsidR="00AB3EA2" w:rsidRPr="008C19AA" w:rsidP="008B71C9" w14:paraId="236A2329" w14:textId="78CF405B">
      <w:pPr>
        <w:pStyle w:val="PageHeading"/>
      </w:pPr>
      <w:bookmarkStart w:id="14" w:name="RollCallPageRR"/>
      <w:bookmarkStart w:id="15" w:name="_Toc242797995"/>
      <w:r w:rsidRPr="008C19AA">
        <w:rPr>
          <w:noProof/>
        </w:rPr>
        <w:t>FINAL VOTE BY ROLL CALL</w:t>
      </w:r>
      <w:r w:rsidRPr="008C19AA">
        <w:rPr>
          <w:noProof/>
        </w:rPr>
        <w:br/>
        <w:t>BY THE COMMITTEE RESPONSIBLE</w:t>
      </w:r>
      <w:bookmarkEnd w:id="15"/>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B010AB6"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3EA2" w:rsidRPr="008C19AA" w:rsidP="00E268E4" w14:paraId="39D3A314" w14:textId="40E72E8B">
            <w:pPr>
              <w:pStyle w:val="RollCallVotes"/>
            </w:pPr>
            <w:r w:rsidRPr="008C19AA">
              <w:t>31</w:t>
            </w:r>
          </w:p>
        </w:tc>
        <w:tc>
          <w:tcPr>
            <w:tcW w:w="7371" w:type="dxa"/>
            <w:shd w:val="pct10" w:color="000000" w:fill="FFFFFF"/>
          </w:tcPr>
          <w:p w:rsidR="00AB3EA2" w:rsidRPr="008C19AA" w:rsidP="00E268E4" w14:paraId="0723FF2D" w14:textId="77777777">
            <w:pPr>
              <w:pStyle w:val="RollCallSymbols14pt"/>
            </w:pPr>
            <w:r w:rsidRPr="008C19AA">
              <w:t>+</w:t>
            </w:r>
          </w:p>
        </w:tc>
      </w:tr>
      <w:tr w14:paraId="3622305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4204A5C9" w14:textId="0B06A6C3">
            <w:pPr>
              <w:pStyle w:val="RollCallTable"/>
            </w:pPr>
            <w:r w:rsidRPr="008C19AA">
              <w:t>ECR</w:t>
            </w:r>
          </w:p>
        </w:tc>
        <w:tc>
          <w:tcPr>
            <w:tcW w:w="7371" w:type="dxa"/>
            <w:shd w:val="clear" w:color="auto" w:fill="FFFFFF"/>
          </w:tcPr>
          <w:p w:rsidR="00AB3EA2" w:rsidRPr="008C19AA" w:rsidP="00E268E4" w14:paraId="4758D64D" w14:textId="1B2DDD9A">
            <w:pPr>
              <w:pStyle w:val="RollCallTable"/>
            </w:pPr>
            <w:r w:rsidRPr="008C19AA">
              <w:t>Tobiasz Bocheński</w:t>
            </w:r>
          </w:p>
        </w:tc>
      </w:tr>
      <w:tr w14:paraId="01ACEF4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60001F9F" w14:textId="62646C81">
            <w:pPr>
              <w:pStyle w:val="RollCallTable"/>
            </w:pPr>
            <w:r w:rsidRPr="008C19AA">
              <w:t>PPE</w:t>
            </w:r>
          </w:p>
        </w:tc>
        <w:tc>
          <w:tcPr>
            <w:tcW w:w="7371" w:type="dxa"/>
            <w:shd w:val="clear" w:color="auto" w:fill="FFFFFF"/>
          </w:tcPr>
          <w:p w:rsidR="00AB3EA2" w:rsidRPr="008C19AA" w:rsidP="00E268E4" w14:paraId="7FC9F445" w14:textId="41A3786B">
            <w:pPr>
              <w:pStyle w:val="RollCallTable"/>
            </w:pPr>
            <w:r w:rsidRPr="008C19AA">
              <w:t>Georgios Aftias, Pascal Arimont, Fredis Beleris, Isabel Benjumea Benjumea, Céline Imart, Isabelle Le Callennec, Janusz Lewandowski, Hélder Sousa Silva, Javier Zarzalejos, Milan Zver</w:t>
            </w:r>
          </w:p>
        </w:tc>
      </w:tr>
      <w:tr w14:paraId="125BC78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461542A8" w14:textId="66032025">
            <w:pPr>
              <w:pStyle w:val="RollCallTable"/>
            </w:pPr>
            <w:r w:rsidRPr="008C19AA">
              <w:t>PfE</w:t>
            </w:r>
          </w:p>
        </w:tc>
        <w:tc>
          <w:tcPr>
            <w:tcW w:w="7371" w:type="dxa"/>
            <w:shd w:val="clear" w:color="auto" w:fill="FFFFFF"/>
          </w:tcPr>
          <w:p w:rsidR="00AB3EA2" w:rsidRPr="008C19AA" w:rsidP="00E268E4" w14:paraId="38AAFA94" w14:textId="20F526ED">
            <w:pPr>
              <w:pStyle w:val="RollCallTable"/>
            </w:pPr>
            <w:r w:rsidRPr="008C19AA">
              <w:t>Tamás Deutsch, Virginie Joron, André Rougé, Julien Sanchez, Annamária Vicsek</w:t>
            </w:r>
          </w:p>
        </w:tc>
      </w:tr>
      <w:tr w14:paraId="06EAE570"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6A474132" w14:textId="7C70B208">
            <w:pPr>
              <w:pStyle w:val="RollCallTable"/>
            </w:pPr>
            <w:r w:rsidRPr="008C19AA">
              <w:t>Renew</w:t>
            </w:r>
          </w:p>
        </w:tc>
        <w:tc>
          <w:tcPr>
            <w:tcW w:w="7371" w:type="dxa"/>
            <w:shd w:val="clear" w:color="auto" w:fill="FFFFFF"/>
          </w:tcPr>
          <w:p w:rsidR="00AB3EA2" w:rsidRPr="008C19AA" w:rsidP="00E268E4" w14:paraId="4A9D12E6" w14:textId="0A6ACD87">
            <w:pPr>
              <w:pStyle w:val="RollCallTable"/>
            </w:pPr>
            <w:r w:rsidRPr="008C19AA">
              <w:t>Fabienne Keller, Moritz Körner, Lucia Yar</w:t>
            </w:r>
          </w:p>
        </w:tc>
      </w:tr>
      <w:tr w14:paraId="153DB2C2"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555AACDC" w14:textId="7AFF82C2">
            <w:pPr>
              <w:pStyle w:val="RollCallTable"/>
            </w:pPr>
            <w:r w:rsidRPr="008C19AA">
              <w:t>S&amp;D</w:t>
            </w:r>
          </w:p>
        </w:tc>
        <w:tc>
          <w:tcPr>
            <w:tcW w:w="7371" w:type="dxa"/>
            <w:shd w:val="clear" w:color="auto" w:fill="FFFFFF"/>
          </w:tcPr>
          <w:p w:rsidR="00AB3EA2" w:rsidRPr="008C19AA" w:rsidP="00E268E4" w14:paraId="12A66A03" w14:textId="374834DA">
            <w:pPr>
              <w:pStyle w:val="RollCallTable"/>
            </w:pPr>
            <w:r w:rsidRPr="008C19AA">
              <w:t>Matthias Ecke, Jean-Marc Germain, Giuseppe Lupo, Victor Negrescu, Thomas Pellerin-Carlin, Chloé Ridel, Carla Tavares, Nils Ušakovs</w:t>
            </w:r>
          </w:p>
        </w:tc>
      </w:tr>
      <w:tr w14:paraId="0778753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1763746A" w14:textId="33357707">
            <w:pPr>
              <w:pStyle w:val="RollCallTable"/>
            </w:pPr>
            <w:r w:rsidRPr="008C19AA">
              <w:t>The Left</w:t>
            </w:r>
          </w:p>
        </w:tc>
        <w:tc>
          <w:tcPr>
            <w:tcW w:w="7371" w:type="dxa"/>
            <w:shd w:val="clear" w:color="auto" w:fill="FFFFFF"/>
          </w:tcPr>
          <w:p w:rsidR="00AB3EA2" w:rsidRPr="008C19AA" w:rsidP="00E268E4" w14:paraId="5D75B39D" w14:textId="25241C4A">
            <w:pPr>
              <w:pStyle w:val="RollCallTable"/>
            </w:pPr>
            <w:r w:rsidRPr="008C19AA">
              <w:t>João Oliveira</w:t>
            </w:r>
          </w:p>
        </w:tc>
      </w:tr>
      <w:tr w14:paraId="0E0B78FD"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057724CE" w14:textId="692D3083">
            <w:pPr>
              <w:pStyle w:val="RollCallTable"/>
            </w:pPr>
            <w:r w:rsidRPr="008C19AA">
              <w:t>Verts/ALE</w:t>
            </w:r>
          </w:p>
        </w:tc>
        <w:tc>
          <w:tcPr>
            <w:tcW w:w="7371" w:type="dxa"/>
            <w:shd w:val="clear" w:color="auto" w:fill="FFFFFF"/>
          </w:tcPr>
          <w:p w:rsidR="00AB3EA2" w:rsidRPr="008C19AA" w:rsidP="00E268E4" w14:paraId="46CBA87C" w14:textId="05AB110C">
            <w:pPr>
              <w:pStyle w:val="RollCallTable"/>
            </w:pPr>
            <w:r w:rsidRPr="008C19AA">
              <w:t>Rasmus Andresen, Rasmus Nordqvist, Nicolae Ștefănuță</w:t>
            </w:r>
          </w:p>
        </w:tc>
      </w:tr>
    </w:tbl>
    <w:p w:rsidR="00AB3EA2" w:rsidRPr="008C19AA" w:rsidP="00147FBF" w14:paraId="58A5A125"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35AFCF19"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3EA2" w:rsidRPr="008C19AA" w:rsidP="00E268E4" w14:paraId="6523E7F9" w14:textId="69EB1130">
            <w:pPr>
              <w:pStyle w:val="RollCallVotes"/>
            </w:pPr>
            <w:r w:rsidRPr="008C19AA">
              <w:t>2</w:t>
            </w:r>
          </w:p>
        </w:tc>
        <w:tc>
          <w:tcPr>
            <w:tcW w:w="7371" w:type="dxa"/>
            <w:shd w:val="pct10" w:color="000000" w:fill="FFFFFF"/>
          </w:tcPr>
          <w:p w:rsidR="00AB3EA2" w:rsidRPr="008C19AA" w:rsidP="00E268E4" w14:paraId="2D872C00" w14:textId="77777777">
            <w:pPr>
              <w:pStyle w:val="RollCallSymbols14pt"/>
            </w:pPr>
            <w:r w:rsidRPr="008C19AA">
              <w:t>-</w:t>
            </w:r>
          </w:p>
        </w:tc>
      </w:tr>
      <w:tr w14:paraId="6D0D2E8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34A8B66B" w14:textId="03FD415C">
            <w:pPr>
              <w:pStyle w:val="RollCallTable"/>
            </w:pPr>
            <w:r w:rsidRPr="008C19AA">
              <w:t>ESN</w:t>
            </w:r>
          </w:p>
        </w:tc>
        <w:tc>
          <w:tcPr>
            <w:tcW w:w="7371" w:type="dxa"/>
            <w:shd w:val="clear" w:color="auto" w:fill="FFFFFF"/>
          </w:tcPr>
          <w:p w:rsidR="00AB3EA2" w:rsidRPr="008C19AA" w:rsidP="00E268E4" w14:paraId="476AF386" w14:textId="79BE18BC">
            <w:pPr>
              <w:pStyle w:val="RollCallTable"/>
            </w:pPr>
            <w:r w:rsidRPr="008C19AA">
              <w:t>Tomasz Froelich</w:t>
            </w:r>
          </w:p>
        </w:tc>
      </w:tr>
      <w:tr w14:paraId="6D9F4FC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155986D5" w14:textId="13C4A1D2">
            <w:pPr>
              <w:pStyle w:val="RollCallTable"/>
            </w:pPr>
            <w:r w:rsidRPr="008C19AA">
              <w:t>PfE</w:t>
            </w:r>
          </w:p>
        </w:tc>
        <w:tc>
          <w:tcPr>
            <w:tcW w:w="7371" w:type="dxa"/>
            <w:shd w:val="clear" w:color="auto" w:fill="FFFFFF"/>
          </w:tcPr>
          <w:p w:rsidR="00AB3EA2" w:rsidRPr="008C19AA" w:rsidP="00E268E4" w14:paraId="26964344" w14:textId="7980B9FF">
            <w:pPr>
              <w:pStyle w:val="RollCallTable"/>
            </w:pPr>
            <w:r w:rsidRPr="008C19AA">
              <w:t>Angéline Furet</w:t>
            </w:r>
          </w:p>
        </w:tc>
      </w:tr>
    </w:tbl>
    <w:p w:rsidR="00AB3EA2" w:rsidRPr="008C19AA" w:rsidP="00147FBF" w14:paraId="2DBFAD04"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99DAFDA" w14:textId="77777777" w:rsidTr="00E83B78">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3EA2" w:rsidRPr="008C19AA" w:rsidP="00E268E4" w14:paraId="2D5D4B8B" w14:textId="541B140B">
            <w:pPr>
              <w:pStyle w:val="RollCallVotes"/>
            </w:pPr>
            <w:r w:rsidRPr="008C19AA">
              <w:t>1</w:t>
            </w:r>
          </w:p>
        </w:tc>
        <w:tc>
          <w:tcPr>
            <w:tcW w:w="7371" w:type="dxa"/>
            <w:shd w:val="pct10" w:color="000000" w:fill="FFFFFF"/>
          </w:tcPr>
          <w:p w:rsidR="00AB3EA2" w:rsidRPr="008C19AA" w:rsidP="00E268E4" w14:paraId="6F27EC35" w14:textId="77777777">
            <w:pPr>
              <w:pStyle w:val="RollCallSymbols14pt"/>
            </w:pPr>
            <w:r w:rsidRPr="008C19AA">
              <w:t>0</w:t>
            </w:r>
          </w:p>
        </w:tc>
      </w:tr>
      <w:tr w14:paraId="61047743" w14:textId="77777777" w:rsidTr="00E83B78">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AB3EA2" w:rsidRPr="008C19AA" w:rsidP="00E268E4" w14:paraId="61702F1C" w14:textId="09F0E59F">
            <w:pPr>
              <w:pStyle w:val="RollCallTable"/>
            </w:pPr>
            <w:r w:rsidRPr="008C19AA">
              <w:t>NI</w:t>
            </w:r>
          </w:p>
        </w:tc>
        <w:tc>
          <w:tcPr>
            <w:tcW w:w="7371" w:type="dxa"/>
            <w:shd w:val="clear" w:color="auto" w:fill="FFFFFF"/>
          </w:tcPr>
          <w:p w:rsidR="00AB3EA2" w:rsidRPr="008C19AA" w:rsidP="00E268E4" w14:paraId="27CC3B1C" w14:textId="65467195">
            <w:pPr>
              <w:pStyle w:val="RollCallTable"/>
            </w:pPr>
            <w:r w:rsidRPr="008C19AA">
              <w:t>Thomas Geisel</w:t>
            </w:r>
          </w:p>
        </w:tc>
      </w:tr>
    </w:tbl>
    <w:p w:rsidR="00AB3EA2" w:rsidRPr="008C19AA" w:rsidP="00147FBF" w14:paraId="03603A3B" w14:textId="77777777">
      <w:pPr>
        <w:pStyle w:val="Normal12a"/>
      </w:pPr>
    </w:p>
    <w:p w:rsidR="00AB3EA2" w:rsidRPr="008C19AA" w:rsidP="00B735E3" w14:paraId="1DA6AAB3" w14:textId="15E60CFC">
      <w:r w:rsidRPr="008C19AA">
        <w:t>Key to symbols:</w:t>
      </w:r>
    </w:p>
    <w:p w:rsidR="00AB3EA2" w:rsidRPr="008C19AA" w:rsidP="001C6342" w14:paraId="1DEF5086" w14:textId="786E28FE">
      <w:pPr>
        <w:pStyle w:val="RollCallTabs"/>
      </w:pPr>
      <w:r w:rsidRPr="008C19AA">
        <w:t>+</w:t>
      </w:r>
      <w:r w:rsidRPr="008C19AA">
        <w:tab/>
        <w:t>:</w:t>
      </w:r>
      <w:r w:rsidRPr="008C19AA">
        <w:tab/>
        <w:t>in favour</w:t>
      </w:r>
    </w:p>
    <w:p w:rsidR="00AB3EA2" w:rsidRPr="008C19AA" w:rsidP="001C6342" w14:paraId="00F0E0B4" w14:textId="4A1CFD22">
      <w:pPr>
        <w:pStyle w:val="RollCallTabs"/>
      </w:pPr>
      <w:r w:rsidRPr="008C19AA">
        <w:t>-</w:t>
      </w:r>
      <w:r w:rsidRPr="008C19AA">
        <w:tab/>
        <w:t>:</w:t>
      </w:r>
      <w:r w:rsidRPr="008C19AA">
        <w:tab/>
        <w:t>against</w:t>
      </w:r>
    </w:p>
    <w:p w:rsidR="00AB3EA2" w:rsidRPr="008C19AA" w:rsidP="001C6342" w14:paraId="33E8F976" w14:textId="77D6B887">
      <w:pPr>
        <w:pStyle w:val="RollCallTabs"/>
      </w:pPr>
      <w:r w:rsidRPr="008C19AA">
        <w:t>0</w:t>
      </w:r>
      <w:r w:rsidRPr="008C19AA">
        <w:tab/>
        <w:t>:</w:t>
      </w:r>
      <w:r w:rsidRPr="008C19AA">
        <w:tab/>
        <w:t>abstention</w:t>
      </w:r>
    </w:p>
    <w:bookmarkEnd w:id="14"/>
    <w:p w:rsidR="00AB3EA2" w:rsidRPr="008C19AA" w:rsidP="00AB3EA2" w14:paraId="7FE29FDB" w14:textId="32239994"/>
    <w:sectPr w:rsidSect="0041368B">
      <w:pgSz w:w="11906" w:h="16838" w:code="9"/>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A06" w:rsidP="00A17A06" w14:paraId="3832A985" w14:textId="77777777">
    <w:pPr>
      <w:pStyle w:val="EPFooter"/>
    </w:pPr>
    <w:r>
      <w:t>PE</w:t>
    </w:r>
    <w:r w:rsidRPr="00A17A06">
      <w:rPr>
        <w:rStyle w:val="HideTWBExt"/>
      </w:rPr>
      <w:t>&lt;NoPE&gt;</w:t>
    </w:r>
    <w:r>
      <w:t>796.159</w:t>
    </w:r>
    <w:r w:rsidRPr="00A17A06">
      <w:rPr>
        <w:rStyle w:val="HideTWBExt"/>
      </w:rPr>
      <w:t>&lt;/NoPE&gt;&lt;Version&gt;</w:t>
    </w:r>
    <w:r>
      <w:t>v02-00</w:t>
    </w:r>
    <w:r w:rsidRPr="00A17A06">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4</w:t>
    </w:r>
    <w:r>
      <w:rPr>
        <w:noProof/>
      </w:rPr>
      <w:fldChar w:fldCharType="end"/>
    </w:r>
    <w:r>
      <w:tab/>
    </w:r>
    <w:r w:rsidRPr="00A17A06">
      <w:rPr>
        <w:rStyle w:val="HideTWBExt"/>
      </w:rPr>
      <w:t>&lt;PathFdR&gt;</w:t>
    </w:r>
    <w:r>
      <w:t>RR\1352636EN.docx</w:t>
    </w:r>
    <w:r w:rsidRPr="00A17A06">
      <w:rPr>
        <w:rStyle w:val="HideTWBExt"/>
      </w:rPr>
      <w:t>&lt;/PathFdR&gt;</w:t>
    </w:r>
  </w:p>
  <w:p w:rsidR="00BB725E" w:rsidRPr="008C19AA" w:rsidP="00A17A06" w14:paraId="413AFA88" w14:textId="2B02DD09">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A06" w:rsidP="00A17A06" w14:paraId="7314860D" w14:textId="77777777">
    <w:pPr>
      <w:pStyle w:val="EPFooter"/>
    </w:pPr>
    <w:r w:rsidRPr="00A17A06">
      <w:rPr>
        <w:rStyle w:val="HideTWBExt"/>
      </w:rPr>
      <w:t>&lt;PathFdR&gt;</w:t>
    </w:r>
    <w:r>
      <w:t>RR\1352636EN.docx</w:t>
    </w:r>
    <w:r w:rsidRPr="00A17A06">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4</w:t>
    </w:r>
    <w:r>
      <w:rPr>
        <w:noProof/>
      </w:rPr>
      <w:fldChar w:fldCharType="end"/>
    </w:r>
    <w:r>
      <w:tab/>
      <w:t>PE</w:t>
    </w:r>
    <w:r w:rsidRPr="00A17A06">
      <w:rPr>
        <w:rStyle w:val="HideTWBExt"/>
      </w:rPr>
      <w:t>&lt;NoPE&gt;</w:t>
    </w:r>
    <w:r>
      <w:t>796.159</w:t>
    </w:r>
    <w:r w:rsidRPr="00A17A06">
      <w:rPr>
        <w:rStyle w:val="HideTWBExt"/>
      </w:rPr>
      <w:t>&lt;/NoPE&gt;&lt;Version&gt;</w:t>
    </w:r>
    <w:r>
      <w:t>v02-00</w:t>
    </w:r>
    <w:r w:rsidRPr="00A17A06">
      <w:rPr>
        <w:rStyle w:val="HideTWBExt"/>
      </w:rPr>
      <w:t>&lt;/Version&gt;</w:t>
    </w:r>
  </w:p>
  <w:p w:rsidR="00BB725E" w:rsidRPr="008C19AA" w:rsidP="00A17A06" w14:paraId="54904444" w14:textId="322213B6">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A06" w:rsidP="00A17A06" w14:paraId="4308A381" w14:textId="77777777">
    <w:pPr>
      <w:pStyle w:val="EPFooter"/>
    </w:pPr>
    <w:r w:rsidRPr="00A17A06">
      <w:rPr>
        <w:rStyle w:val="HideTWBExt"/>
      </w:rPr>
      <w:t>&lt;PathFdR&gt;</w:t>
    </w:r>
    <w:r>
      <w:t>RR\1352636EN.docx</w:t>
    </w:r>
    <w:r w:rsidRPr="00A17A06">
      <w:rPr>
        <w:rStyle w:val="HideTWBExt"/>
      </w:rPr>
      <w:t>&lt;/PathFdR&gt;</w:t>
    </w:r>
    <w:r>
      <w:tab/>
    </w:r>
    <w:r>
      <w:tab/>
      <w:t>PE</w:t>
    </w:r>
    <w:r w:rsidRPr="00A17A06">
      <w:rPr>
        <w:rStyle w:val="HideTWBExt"/>
      </w:rPr>
      <w:t>&lt;NoPE&gt;</w:t>
    </w:r>
    <w:r>
      <w:t>796.159</w:t>
    </w:r>
    <w:r w:rsidRPr="00A17A06">
      <w:rPr>
        <w:rStyle w:val="HideTWBExt"/>
      </w:rPr>
      <w:t>&lt;/NoPE&gt;&lt;Version&gt;</w:t>
    </w:r>
    <w:r>
      <w:t>v02-00</w:t>
    </w:r>
    <w:r w:rsidRPr="00A17A06">
      <w:rPr>
        <w:rStyle w:val="HideTWBExt"/>
      </w:rPr>
      <w:t>&lt;/Version&gt;</w:t>
    </w:r>
  </w:p>
  <w:p w:rsidR="00BB725E" w:rsidRPr="008C19AA" w:rsidP="00A17A06" w14:paraId="650EE793" w14:textId="02683065">
    <w:pPr>
      <w:pStyle w:val="EPFooter2"/>
    </w:pPr>
    <w:r>
      <w:t>EN</w:t>
    </w:r>
    <w:r>
      <w:tab/>
    </w:r>
    <w:r w:rsidRPr="00A17A06">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A3089" w:rsidRPr="008C19AA" w14:paraId="4276BA0A" w14:textId="77777777">
      <w:r w:rsidRPr="008C19AA">
        <w:separator/>
      </w:r>
    </w:p>
  </w:footnote>
  <w:footnote w:type="continuationSeparator" w:id="1">
    <w:p w:rsidR="002A3089" w:rsidRPr="008C19AA" w14:paraId="2B29C8BF" w14:textId="77777777">
      <w:r w:rsidRPr="008C19AA">
        <w:continuationSeparator/>
      </w:r>
    </w:p>
  </w:footnote>
  <w:footnote w:id="2">
    <w:p w:rsidR="00A86236" w:rsidRPr="0041368B" w:rsidP="00A86236" w14:paraId="2CA2575C" w14:textId="66EEF170">
      <w:pPr>
        <w:pStyle w:val="FootnoteText"/>
        <w:rPr>
          <w:lang w:val="fi-FI"/>
        </w:rPr>
      </w:pPr>
      <w:r w:rsidRPr="008C19AA">
        <w:rPr>
          <w:rStyle w:val="FootnoteReference"/>
        </w:rPr>
        <w:footnoteRef/>
      </w:r>
      <w:r w:rsidRPr="0041368B">
        <w:rPr>
          <w:lang w:val="fi-FI"/>
        </w:rPr>
        <w:t xml:space="preserve"> OJ L 153, 3.5.2021, p. 48, ELI: </w:t>
      </w:r>
      <w:hyperlink r:id="rId1" w:history="1">
        <w:r w:rsidRPr="0041368B">
          <w:rPr>
            <w:rStyle w:val="Hyperlink"/>
            <w:lang w:val="fi-FI"/>
          </w:rPr>
          <w:t>http://data.europa.eu/eli/reg/2021/691/oj</w:t>
        </w:r>
      </w:hyperlink>
      <w:r w:rsidRPr="0041368B">
        <w:rPr>
          <w:lang w:val="fi-FI"/>
        </w:rPr>
        <w:t>.</w:t>
      </w:r>
    </w:p>
  </w:footnote>
  <w:footnote w:id="3">
    <w:p w:rsidR="00A86236" w:rsidRPr="0041368B" w:rsidP="00A86236" w14:paraId="6AFE387D" w14:textId="641A1878">
      <w:pPr>
        <w:pStyle w:val="FootnoteText"/>
        <w:rPr>
          <w:lang w:val="fi-FI"/>
        </w:rPr>
      </w:pPr>
      <w:r w:rsidRPr="008C19AA">
        <w:rPr>
          <w:rStyle w:val="FootnoteReference"/>
        </w:rPr>
        <w:footnoteRef/>
      </w:r>
      <w:r w:rsidRPr="0041368B">
        <w:rPr>
          <w:lang w:val="fi-FI"/>
        </w:rPr>
        <w:t xml:space="preserve"> OJ L, 2026/1139, 20.5.2026, ELI: </w:t>
      </w:r>
      <w:hyperlink r:id="rId2" w:history="1">
        <w:r w:rsidRPr="0041368B">
          <w:rPr>
            <w:rStyle w:val="Hyperlink"/>
            <w:lang w:val="fi-FI"/>
          </w:rPr>
          <w:t>http://data.europa.eu/eli/reg/2026/1139/oj</w:t>
        </w:r>
      </w:hyperlink>
      <w:r w:rsidRPr="0041368B">
        <w:rPr>
          <w:lang w:val="fi-FI"/>
        </w:rPr>
        <w:t>.</w:t>
      </w:r>
    </w:p>
  </w:footnote>
  <w:footnote w:id="4">
    <w:p w:rsidR="00A86236" w:rsidRPr="0041368B" w:rsidP="00A86236" w14:paraId="35CA0BF9" w14:textId="52C0EC55">
      <w:pPr>
        <w:pStyle w:val="FootnoteText"/>
        <w:rPr>
          <w:lang w:val="fi-FI"/>
        </w:rPr>
      </w:pPr>
      <w:r w:rsidRPr="008C19AA">
        <w:rPr>
          <w:rStyle w:val="FootnoteReference"/>
        </w:rPr>
        <w:footnoteRef/>
      </w:r>
      <w:r w:rsidRPr="0041368B">
        <w:rPr>
          <w:lang w:val="fi-FI"/>
        </w:rPr>
        <w:t xml:space="preserve"> OJ L 433 I, 22.12.2020, p. 11, ELI: </w:t>
      </w:r>
      <w:hyperlink r:id="rId3" w:history="1">
        <w:r w:rsidRPr="0041368B">
          <w:rPr>
            <w:rStyle w:val="Hyperlink"/>
            <w:lang w:val="fi-FI"/>
          </w:rPr>
          <w:t>http://data.europa.eu/eli/reg/2020/2093/oj</w:t>
        </w:r>
      </w:hyperlink>
      <w:r w:rsidRPr="0041368B">
        <w:rPr>
          <w:lang w:val="fi-FI"/>
        </w:rPr>
        <w:t>.</w:t>
      </w:r>
    </w:p>
  </w:footnote>
  <w:footnote w:id="5">
    <w:p w:rsidR="00A86236" w:rsidRPr="0041368B" w:rsidP="00A86236" w14:paraId="233A0CFA" w14:textId="3D055C27">
      <w:pPr>
        <w:pStyle w:val="FootnoteText"/>
        <w:rPr>
          <w:lang w:val="fi-FI"/>
        </w:rPr>
      </w:pPr>
      <w:r w:rsidRPr="008C19AA">
        <w:rPr>
          <w:rStyle w:val="FootnoteReference"/>
        </w:rPr>
        <w:footnoteRef/>
      </w:r>
      <w:r w:rsidRPr="0041368B">
        <w:rPr>
          <w:lang w:val="fi-FI"/>
        </w:rPr>
        <w:t xml:space="preserve"> </w:t>
      </w:r>
      <w:r w:rsidRPr="0041368B">
        <w:rPr>
          <w:bCs/>
          <w:shd w:val="clear" w:color="auto" w:fill="FFFFFF"/>
          <w:lang w:val="fi-FI"/>
        </w:rPr>
        <w:t xml:space="preserve">OJ L, 2024/765, 29.2.2024, </w:t>
      </w:r>
      <w:r w:rsidRPr="0041368B">
        <w:rPr>
          <w:bCs/>
          <w:iCs/>
          <w:shd w:val="clear" w:color="auto" w:fill="FFFFFF"/>
          <w:lang w:val="fi-FI"/>
        </w:rPr>
        <w:t>ELI:</w:t>
      </w:r>
      <w:r w:rsidRPr="0041368B">
        <w:rPr>
          <w:bCs/>
          <w:iCs/>
          <w:color w:val="333333"/>
          <w:shd w:val="clear" w:color="auto" w:fill="FFFFFF"/>
          <w:lang w:val="fi-FI"/>
        </w:rPr>
        <w:t xml:space="preserve"> </w:t>
      </w:r>
      <w:hyperlink r:id="rId4" w:history="1">
        <w:r w:rsidRPr="0041368B">
          <w:rPr>
            <w:rStyle w:val="Hyperlink"/>
            <w:bCs/>
            <w:iCs/>
            <w:shd w:val="clear" w:color="auto" w:fill="FFFFFF"/>
            <w:lang w:val="fi-FI"/>
          </w:rPr>
          <w:t>http://data.europa.eu/eli/reg/2024/765/oj</w:t>
        </w:r>
      </w:hyperlink>
      <w:r w:rsidRPr="0041368B">
        <w:rPr>
          <w:bCs/>
          <w:i/>
          <w:iCs/>
          <w:color w:val="333333"/>
          <w:shd w:val="clear" w:color="auto" w:fill="FFFFFF"/>
          <w:lang w:val="fi-FI"/>
        </w:rPr>
        <w:t>.</w:t>
      </w:r>
    </w:p>
  </w:footnote>
  <w:footnote w:id="6">
    <w:p w:rsidR="00A86236" w:rsidRPr="008C19AA" w:rsidP="00A86236" w14:paraId="05108B2C" w14:textId="37DE15FD">
      <w:pPr>
        <w:pStyle w:val="FootnoteText"/>
      </w:pPr>
      <w:r w:rsidRPr="008C19AA">
        <w:rPr>
          <w:rStyle w:val="FootnoteReference"/>
        </w:rPr>
        <w:footnoteRef/>
      </w:r>
      <w:r w:rsidRPr="008C19AA">
        <w:t xml:space="preserve"> OJ L 433 I, 22.12.2020, p. 28, ELI: </w:t>
      </w:r>
      <w:hyperlink r:id="rId5" w:history="1">
        <w:r w:rsidRPr="008C19AA">
          <w:rPr>
            <w:rStyle w:val="Hyperlink"/>
          </w:rPr>
          <w:t>http://data.europa.eu/eli/agree_interinstit/2020/1222/oj</w:t>
        </w:r>
      </w:hyperlink>
      <w:r w:rsidRPr="008C19AA">
        <w:t>.</w:t>
      </w:r>
    </w:p>
  </w:footnote>
  <w:footnote w:id="7">
    <w:p w:rsidR="00A86236" w:rsidRPr="008C19AA" w:rsidP="00A86236" w14:paraId="3FA65FBA" w14:textId="77777777">
      <w:pPr>
        <w:pStyle w:val="FootnoteText"/>
      </w:pPr>
      <w:r w:rsidRPr="008C19AA">
        <w:rPr>
          <w:rStyle w:val="FootnoteReference"/>
        </w:rPr>
        <w:footnoteRef/>
      </w:r>
      <w:r w:rsidRPr="008C19AA">
        <w:t xml:space="preserve"> Within the meaning of Article 3 of the EGF Regulation.</w:t>
      </w:r>
    </w:p>
  </w:footnote>
  <w:footnote w:id="8">
    <w:p w:rsidR="00A86236" w:rsidRPr="008C19AA" w:rsidP="00A86236" w14:paraId="6CB32747" w14:textId="77777777">
      <w:pPr>
        <w:pStyle w:val="FootnoteText"/>
      </w:pPr>
      <w:r w:rsidRPr="008C19AA">
        <w:rPr>
          <w:rStyle w:val="FootnoteReference"/>
        </w:rPr>
        <w:footnoteRef/>
      </w:r>
      <w:r w:rsidRPr="008C19AA">
        <w:t xml:space="preserve"> Article 8 of the MFF Regulation.</w:t>
      </w:r>
    </w:p>
  </w:footnote>
  <w:footnote w:id="9">
    <w:p w:rsidR="00474070" w:rsidRPr="0041368B" w:rsidP="00474070" w14:paraId="192184F7" w14:textId="280ACC47">
      <w:pPr>
        <w:pStyle w:val="FootnoteText"/>
        <w:rPr>
          <w:lang w:val="fi-FI"/>
        </w:rPr>
      </w:pPr>
      <w:r w:rsidRPr="008C19AA">
        <w:rPr>
          <w:rStyle w:val="FootnoteReference"/>
        </w:rPr>
        <w:footnoteRef/>
      </w:r>
      <w:r w:rsidRPr="0041368B">
        <w:rPr>
          <w:lang w:val="fi-FI"/>
        </w:rPr>
        <w:tab/>
        <w:t>OJ L 153, 3.5.2021, p. 48,</w:t>
      </w:r>
      <w:r w:rsidRPr="0041368B">
        <w:rPr>
          <w:sz w:val="24"/>
          <w:szCs w:val="22"/>
          <w:lang w:val="fi-FI"/>
        </w:rPr>
        <w:t xml:space="preserve"> </w:t>
      </w:r>
      <w:r w:rsidRPr="0041368B">
        <w:rPr>
          <w:lang w:val="fi-FI"/>
        </w:rPr>
        <w:t xml:space="preserve">ELI: </w:t>
      </w:r>
      <w:hyperlink r:id="rId1" w:history="1">
        <w:r w:rsidRPr="0041368B" w:rsidR="007C7AD8">
          <w:rPr>
            <w:rStyle w:val="Hyperlink"/>
            <w:lang w:val="fi-FI"/>
          </w:rPr>
          <w:t>http://data.europa.eu/eli/reg/2021/691/oj</w:t>
        </w:r>
      </w:hyperlink>
      <w:r w:rsidRPr="0041368B" w:rsidR="007C7AD8">
        <w:rPr>
          <w:lang w:val="fi-FI"/>
        </w:rPr>
        <w:t>.</w:t>
      </w:r>
    </w:p>
  </w:footnote>
  <w:footnote w:id="10">
    <w:p w:rsidR="00474070" w:rsidRPr="008C19AA" w:rsidP="00474070" w14:paraId="35F6A849" w14:textId="08BF96A7">
      <w:pPr>
        <w:pStyle w:val="FootnoteText"/>
      </w:pPr>
      <w:r w:rsidRPr="008C19AA">
        <w:rPr>
          <w:rStyle w:val="FootnoteReference"/>
        </w:rPr>
        <w:footnoteRef/>
      </w:r>
      <w:r w:rsidRPr="008C19AA">
        <w:tab/>
        <w:t>OJ L 433 I, 22.12.2020, p. 28, ELI:</w:t>
      </w:r>
      <w:r w:rsidRPr="008C19AA" w:rsidR="007C7AD8">
        <w:t xml:space="preserve"> </w:t>
      </w:r>
      <w:hyperlink r:id="rId5" w:history="1">
        <w:r w:rsidRPr="008C19AA" w:rsidR="007C7AD8">
          <w:rPr>
            <w:rStyle w:val="Hyperlink"/>
          </w:rPr>
          <w:t>http://data.europa.eu/eli/agree_interinstit/2020/1222/oj</w:t>
        </w:r>
      </w:hyperlink>
      <w:r w:rsidRPr="008C19AA" w:rsidR="007C7AD8">
        <w:t>.</w:t>
      </w:r>
    </w:p>
  </w:footnote>
  <w:footnote w:id="11">
    <w:p w:rsidR="00474070" w:rsidRPr="008C19AA" w:rsidP="00474070" w14:paraId="52A2C6F8" w14:textId="39033DD7">
      <w:pPr>
        <w:pStyle w:val="FootnoteText"/>
      </w:pPr>
      <w:r w:rsidRPr="008C19AA">
        <w:rPr>
          <w:rStyle w:val="FootnoteReference"/>
        </w:rPr>
        <w:footnoteRef/>
      </w:r>
      <w:r w:rsidRPr="008C19AA">
        <w:tab/>
        <w:t xml:space="preserve">Council Regulation (EU, Euratom) 2020/2093 of 17 December 2020 laying down the multiannual financial framework for the years 2021 to 2027 (OJ L 433 I, 22.12.2020, p. 11, ELI: </w:t>
      </w:r>
      <w:hyperlink r:id="rId3" w:history="1">
        <w:r w:rsidRPr="008C19AA" w:rsidR="007C7AD8">
          <w:rPr>
            <w:rStyle w:val="Hyperlink"/>
          </w:rPr>
          <w:t>http://data.europa.eu/eli/reg/2020/2093/oj</w:t>
        </w:r>
      </w:hyperlink>
      <w:r w:rsidRPr="008C19AA" w:rsidR="007C7AD8">
        <w:t>).</w:t>
      </w:r>
    </w:p>
  </w:footnote>
  <w:footnote w:id="12">
    <w:p w:rsidR="00474070" w:rsidRPr="008C19AA" w:rsidP="00474070" w14:paraId="49B7F8C0" w14:textId="3BADD711">
      <w:pPr>
        <w:pStyle w:val="FootnoteText"/>
      </w:pPr>
      <w:r w:rsidRPr="008C19AA">
        <w:rPr>
          <w:rStyle w:val="FootnoteReference"/>
        </w:rPr>
        <w:footnoteRef/>
      </w:r>
      <w:r w:rsidRPr="008C19AA">
        <w:t xml:space="preserve"> </w:t>
      </w:r>
      <w:r w:rsidRPr="008C19AA">
        <w:tab/>
        <w:t xml:space="preserve">Council Regulation (EU, Euratom) 2024/765 of 29 February 2024 amending Regulation (EU, Euratom) 2020/2093 laying down the multiannual financial framework for the years 2021 to 2027 (OJ L, 2024/765, 29.2.2024, ELI: </w:t>
      </w:r>
      <w:hyperlink r:id="rId4" w:history="1">
        <w:r w:rsidRPr="008C19AA">
          <w:rPr>
            <w:rStyle w:val="Hyperlink"/>
          </w:rPr>
          <w:t>http://data.europa.eu/eli/reg/2024/765/oj</w:t>
        </w:r>
      </w:hyperlink>
      <w:r w:rsidRPr="008C19AA">
        <w:t>).</w:t>
      </w:r>
    </w:p>
  </w:footnote>
  <w:footnote w:id="13">
    <w:p w:rsidR="00474070" w:rsidRPr="008C19AA" w:rsidP="00474070" w14:paraId="31CEC3BB" w14:textId="658EF9A2">
      <w:pPr>
        <w:pStyle w:val="FootnoteText"/>
      </w:pPr>
      <w:r w:rsidRPr="008C19AA">
        <w:rPr>
          <w:rStyle w:val="FootnoteReference"/>
        </w:rPr>
        <w:footnoteRef/>
      </w:r>
      <w:r w:rsidRPr="008C19AA">
        <w:tab/>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w:t>
      </w:r>
      <w:r w:rsidRPr="008C19AA" w:rsidR="005A4F18">
        <w:t>, ELI: http://data.europa.eu/eli/reg/2006/1893/oj</w:t>
      </w:r>
      <w:r w:rsidRPr="008C19AA">
        <w:t>).</w:t>
      </w:r>
    </w:p>
  </w:footnote>
  <w:footnote w:id="14">
    <w:p w:rsidR="00474070" w:rsidRPr="008C19AA" w:rsidP="00474070" w14:paraId="64379893" w14:textId="5530460E">
      <w:pPr>
        <w:pStyle w:val="FootnoteText"/>
        <w:rPr>
          <w:color w:val="FF0000"/>
        </w:rPr>
      </w:pPr>
      <w:r w:rsidRPr="008C19AA">
        <w:rPr>
          <w:rStyle w:val="FootnoteReference"/>
        </w:rPr>
        <w:footnoteRef/>
      </w:r>
      <w:r w:rsidRPr="008C19AA">
        <w:tab/>
        <w:t>Commission Delegated Regulation 2019/1755 of 8 August 2019 amending the Annexes to Regulation (EC) No 1059/2003 of the European Parliament and of the Council on the establishment of a common classification of territorial units for statistics (NUTS) (OJ L 270, 24.10.2019, p. 1, ELI:  </w:t>
      </w:r>
      <w:hyperlink r:id="rId6" w:tooltip="Gives access to this document through its ELI URI." w:history="1">
        <w:r w:rsidRPr="008C19AA">
          <w:rPr>
            <w:rStyle w:val="Hyperlink"/>
          </w:rPr>
          <w:t>http://data.europa.eu/eli/reg_del/2019/1755/oj</w:t>
        </w:r>
      </w:hyperlink>
      <w:r w:rsidRPr="008C19AA">
        <w:t>).</w:t>
      </w:r>
    </w:p>
  </w:footnote>
  <w:footnote w:id="15">
    <w:p w:rsidR="00474070" w:rsidRPr="008C19AA" w:rsidP="00474070" w14:paraId="43E52FB8" w14:textId="6B8C9A53">
      <w:pPr>
        <w:pStyle w:val="FootnoteText"/>
      </w:pPr>
      <w:r w:rsidRPr="008C19AA">
        <w:rPr>
          <w:rStyle w:val="FootnoteReference"/>
        </w:rPr>
        <w:footnoteRef/>
      </w:r>
      <w:r w:rsidRPr="008C19AA">
        <w:tab/>
        <w:t>COM(2026) 555</w:t>
      </w:r>
      <w:r w:rsidRPr="008C19AA" w:rsidR="001D3A25">
        <w:t>.</w:t>
      </w:r>
    </w:p>
  </w:footnote>
  <w:footnote w:id="16">
    <w:p w:rsidR="00474070" w:rsidRPr="008C19AA" w:rsidP="00474070" w14:paraId="4A648A66" w14:textId="77777777">
      <w:pPr>
        <w:pStyle w:val="FootnoteText"/>
      </w:pPr>
      <w:r w:rsidRPr="008C19AA">
        <w:rPr>
          <w:rStyle w:val="FootnoteReference"/>
        </w:rPr>
        <w:t>*</w:t>
      </w:r>
      <w:r w:rsidRPr="008C19AA">
        <w:tab/>
        <w:t>Date to be inserted by the Parliament before the publication in OJ.</w:t>
      </w:r>
    </w:p>
  </w:footnote>
  <w:footnote w:id="17">
    <w:p w:rsidR="00AA05F4" w:rsidRPr="008C19AA" w:rsidP="00AA05F4" w14:paraId="4492377E" w14:textId="77777777">
      <w:pPr>
        <w:pStyle w:val="FootnoteText"/>
      </w:pPr>
      <w:r w:rsidRPr="008C19AA">
        <w:rPr>
          <w:rStyle w:val="FootnoteReference"/>
        </w:rPr>
        <w:footnoteRef/>
      </w:r>
      <w:r w:rsidRPr="008C19AA">
        <w:t xml:space="preserve"> Interinstitutional agreement </w:t>
      </w:r>
      <w:r w:rsidRPr="008C19AA">
        <w:rPr>
          <w:rFonts w:eastAsia="Calibri"/>
          <w:szCs w:val="24"/>
          <w:lang w:eastAsia="en-US"/>
        </w:rPr>
        <w:t xml:space="preserve">between the European Parliament, the Council and the Commission on budgetary discipline, on cooperation in budgetary matters and on sound financial management as well as on new own resources, including a roadmap towards the introduction of new own resources, </w:t>
      </w:r>
      <w:r w:rsidRPr="008C19AA">
        <w:t>OJ L 433I, 22.12.2020, p. 28.</w:t>
      </w:r>
    </w:p>
  </w:footnote>
  <w:footnote w:id="18">
    <w:p w:rsidR="00AA05F4" w:rsidRPr="008C19AA" w:rsidP="00AA05F4" w14:paraId="3867B4BD" w14:textId="77777777">
      <w:pPr>
        <w:pStyle w:val="FootnoteText"/>
      </w:pPr>
      <w:r w:rsidRPr="008C19AA">
        <w:rPr>
          <w:rStyle w:val="FootnoteReference"/>
        </w:rPr>
        <w:footnoteRef/>
      </w:r>
      <w:r w:rsidRPr="008C19AA">
        <w:t xml:space="preserve"> Within the meaning of Article 3 of the EGF Regulation.</w:t>
      </w:r>
    </w:p>
  </w:footnote>
  <w:footnote w:id="19">
    <w:p w:rsidR="009B66A5" w:rsidRPr="008C19AA" w14:paraId="328651CA" w14:textId="69ABE3EC">
      <w:pPr>
        <w:pStyle w:val="FootnoteText"/>
      </w:pPr>
      <w:r w:rsidRPr="008C19AA">
        <w:rPr>
          <w:rStyle w:val="FootnoteReference"/>
        </w:rPr>
        <w:footnoteRef/>
      </w:r>
      <w:r w:rsidRPr="008C19AA">
        <w:t xml:space="preserve"> Interinstitutional Agreement of 20 May 2021 between the European Parliament, the Council of the European Union and the European Commission on a mandatory transparency register (OJ L 207, 11.6.2021, p. 1, ELI: </w:t>
      </w:r>
      <w:hyperlink r:id="rId7" w:tooltip="http://data.europa.eu/eli/agree_interinstit/2021/611/oj" w:history="1">
        <w:r w:rsidRPr="008C19AA">
          <w:rPr>
            <w:rStyle w:val="Hyperlink"/>
          </w:rPr>
          <w:t>http://data.europa.eu/eli/agree_interinstit/2021/611/oj</w:t>
        </w:r>
      </w:hyperlink>
      <w:r w:rsidRPr="008C19AA">
        <w:t>).</w:t>
      </w:r>
    </w:p>
  </w:footnote>
  <w:footnote w:id="20">
    <w:p w:rsidR="00A77442" w:rsidRPr="008C19AA" w:rsidP="00A77442" w14:paraId="31141CB7" w14:textId="77777777">
      <w:pPr>
        <w:pStyle w:val="FootnoteText"/>
      </w:pPr>
      <w:r w:rsidRPr="008C19AA">
        <w:rPr>
          <w:rStyle w:val="FootnoteReference"/>
        </w:rPr>
        <w:footnoteRef/>
      </w:r>
      <w:r w:rsidRPr="008C19AA">
        <w:t xml:space="preserve"> Interinstitutional Agreement of 20 May 2021 between the European Parliament, the Council of the European Union and the European Commission on a mandatory transparency register (OJ L 207, 11.6.2021, p. 1, ELI: </w:t>
      </w:r>
      <w:hyperlink r:id="rId7" w:tooltip="http://data.europa.eu/eli/agree_interinstit/2021/611/oj" w:history="1">
        <w:r w:rsidRPr="008C19AA">
          <w:rPr>
            <w:rStyle w:val="Hyperlink"/>
          </w:rPr>
          <w:t>http://data.europa.eu/eli/agree_interinstit/2021/611/oj</w:t>
        </w:r>
      </w:hyperlink>
      <w:r w:rsidRPr="008C19A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A06" w14:paraId="1978DDB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A06" w14:paraId="7673C24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17A06" w14:paraId="059A75B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AA36F5E"/>
    <w:multiLevelType w:val="hybridMultilevel"/>
    <w:tmpl w:val="FD787BEA"/>
    <w:lvl w:ilvl="0">
      <w:start w:val="1"/>
      <w:numFmt w:val="lowerLetter"/>
      <w:lvlText w:val="%1."/>
      <w:lvlJc w:val="left"/>
      <w:pPr>
        <w:ind w:left="720" w:hanging="360"/>
      </w:pPr>
    </w:lvl>
    <w:lvl w:ilvl="1">
      <w:start w:val="0"/>
      <w:numFmt w:val="bullet"/>
      <w:lvlText w:val="–"/>
      <w:lvlJc w:val="left"/>
      <w:pPr>
        <w:ind w:left="1440" w:hanging="360"/>
      </w:pPr>
      <w:rPr>
        <w:rFonts w:ascii="Times New Roman" w:hAnsi="Times New Roman" w:eastAsiaTheme="minorHAnsi" w:cs="Times New Roman"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2E8"/>
    <w:rsid w:val="000175BE"/>
    <w:rsid w:val="000227E9"/>
    <w:rsid w:val="000555E6"/>
    <w:rsid w:val="000720C8"/>
    <w:rsid w:val="00085831"/>
    <w:rsid w:val="001153D0"/>
    <w:rsid w:val="00147FBF"/>
    <w:rsid w:val="00155B2F"/>
    <w:rsid w:val="00167F25"/>
    <w:rsid w:val="00193182"/>
    <w:rsid w:val="001C6342"/>
    <w:rsid w:val="001D3A25"/>
    <w:rsid w:val="002009BA"/>
    <w:rsid w:val="00215C42"/>
    <w:rsid w:val="0022041B"/>
    <w:rsid w:val="00220B7B"/>
    <w:rsid w:val="00237D95"/>
    <w:rsid w:val="002505E3"/>
    <w:rsid w:val="00250F8C"/>
    <w:rsid w:val="00295885"/>
    <w:rsid w:val="002A3089"/>
    <w:rsid w:val="002B2561"/>
    <w:rsid w:val="002B52E8"/>
    <w:rsid w:val="002C2DB2"/>
    <w:rsid w:val="002F7146"/>
    <w:rsid w:val="00300158"/>
    <w:rsid w:val="003066DF"/>
    <w:rsid w:val="00310E0A"/>
    <w:rsid w:val="00335AE2"/>
    <w:rsid w:val="0037256A"/>
    <w:rsid w:val="00382AE0"/>
    <w:rsid w:val="00395E53"/>
    <w:rsid w:val="00396BD0"/>
    <w:rsid w:val="003B4F3D"/>
    <w:rsid w:val="003B5885"/>
    <w:rsid w:val="003C2049"/>
    <w:rsid w:val="003D5173"/>
    <w:rsid w:val="003E501F"/>
    <w:rsid w:val="003F207F"/>
    <w:rsid w:val="003F3931"/>
    <w:rsid w:val="00400809"/>
    <w:rsid w:val="0041368B"/>
    <w:rsid w:val="00416652"/>
    <w:rsid w:val="00445718"/>
    <w:rsid w:val="00470DFE"/>
    <w:rsid w:val="004721A0"/>
    <w:rsid w:val="00473C7C"/>
    <w:rsid w:val="00474070"/>
    <w:rsid w:val="00476BDE"/>
    <w:rsid w:val="00482C5C"/>
    <w:rsid w:val="004D2440"/>
    <w:rsid w:val="0050453C"/>
    <w:rsid w:val="0051635F"/>
    <w:rsid w:val="0052720D"/>
    <w:rsid w:val="00533501"/>
    <w:rsid w:val="00536DC3"/>
    <w:rsid w:val="0054244C"/>
    <w:rsid w:val="00552F08"/>
    <w:rsid w:val="0058028A"/>
    <w:rsid w:val="00581E60"/>
    <w:rsid w:val="005A4F18"/>
    <w:rsid w:val="005B03FD"/>
    <w:rsid w:val="005B0658"/>
    <w:rsid w:val="005B59AE"/>
    <w:rsid w:val="005E2843"/>
    <w:rsid w:val="005F27D5"/>
    <w:rsid w:val="00601E96"/>
    <w:rsid w:val="00603481"/>
    <w:rsid w:val="0060662E"/>
    <w:rsid w:val="00611B44"/>
    <w:rsid w:val="00616E75"/>
    <w:rsid w:val="00646AD2"/>
    <w:rsid w:val="00661388"/>
    <w:rsid w:val="006C2A61"/>
    <w:rsid w:val="006E4E08"/>
    <w:rsid w:val="006E64A5"/>
    <w:rsid w:val="00703318"/>
    <w:rsid w:val="007041CC"/>
    <w:rsid w:val="007260CD"/>
    <w:rsid w:val="00731ECF"/>
    <w:rsid w:val="00761A6D"/>
    <w:rsid w:val="007B24E6"/>
    <w:rsid w:val="007C3F41"/>
    <w:rsid w:val="007C7AD8"/>
    <w:rsid w:val="007F63FC"/>
    <w:rsid w:val="00824822"/>
    <w:rsid w:val="00843D7C"/>
    <w:rsid w:val="00845056"/>
    <w:rsid w:val="00845AF4"/>
    <w:rsid w:val="00861675"/>
    <w:rsid w:val="00880562"/>
    <w:rsid w:val="008A3711"/>
    <w:rsid w:val="008B71C9"/>
    <w:rsid w:val="008C19AA"/>
    <w:rsid w:val="008E1AD6"/>
    <w:rsid w:val="008E5E3E"/>
    <w:rsid w:val="008F1614"/>
    <w:rsid w:val="008F25B2"/>
    <w:rsid w:val="008F42BC"/>
    <w:rsid w:val="008F59D2"/>
    <w:rsid w:val="009119DA"/>
    <w:rsid w:val="0091672C"/>
    <w:rsid w:val="00917358"/>
    <w:rsid w:val="00921B78"/>
    <w:rsid w:val="00935715"/>
    <w:rsid w:val="00945699"/>
    <w:rsid w:val="00970318"/>
    <w:rsid w:val="00971C3E"/>
    <w:rsid w:val="0097776D"/>
    <w:rsid w:val="00977D5A"/>
    <w:rsid w:val="009A2D65"/>
    <w:rsid w:val="009B66A5"/>
    <w:rsid w:val="009C01D2"/>
    <w:rsid w:val="009F075E"/>
    <w:rsid w:val="009F0E1E"/>
    <w:rsid w:val="00A17A06"/>
    <w:rsid w:val="00A205D2"/>
    <w:rsid w:val="00A27E62"/>
    <w:rsid w:val="00A75B1C"/>
    <w:rsid w:val="00A77442"/>
    <w:rsid w:val="00A86236"/>
    <w:rsid w:val="00AA05F4"/>
    <w:rsid w:val="00AA5BFE"/>
    <w:rsid w:val="00AB3EA2"/>
    <w:rsid w:val="00AC662F"/>
    <w:rsid w:val="00AE2ABE"/>
    <w:rsid w:val="00AF4089"/>
    <w:rsid w:val="00AF58FF"/>
    <w:rsid w:val="00AF6B2F"/>
    <w:rsid w:val="00B1124E"/>
    <w:rsid w:val="00B12873"/>
    <w:rsid w:val="00B2470F"/>
    <w:rsid w:val="00B31C6A"/>
    <w:rsid w:val="00B44310"/>
    <w:rsid w:val="00B5725D"/>
    <w:rsid w:val="00B67944"/>
    <w:rsid w:val="00B735E3"/>
    <w:rsid w:val="00BA4EAC"/>
    <w:rsid w:val="00BB725E"/>
    <w:rsid w:val="00BC0E06"/>
    <w:rsid w:val="00BE2A21"/>
    <w:rsid w:val="00C12CB1"/>
    <w:rsid w:val="00C13EBA"/>
    <w:rsid w:val="00C233BB"/>
    <w:rsid w:val="00C327B5"/>
    <w:rsid w:val="00C54775"/>
    <w:rsid w:val="00C73F38"/>
    <w:rsid w:val="00C753BD"/>
    <w:rsid w:val="00CA4836"/>
    <w:rsid w:val="00CB3BD2"/>
    <w:rsid w:val="00CD14F4"/>
    <w:rsid w:val="00D01BA1"/>
    <w:rsid w:val="00D06D47"/>
    <w:rsid w:val="00D17520"/>
    <w:rsid w:val="00D461B7"/>
    <w:rsid w:val="00D63FD3"/>
    <w:rsid w:val="00D82527"/>
    <w:rsid w:val="00D86B36"/>
    <w:rsid w:val="00DC1A41"/>
    <w:rsid w:val="00DD49F7"/>
    <w:rsid w:val="00DE1BE3"/>
    <w:rsid w:val="00DF46ED"/>
    <w:rsid w:val="00E11A70"/>
    <w:rsid w:val="00E20F2E"/>
    <w:rsid w:val="00E24DA1"/>
    <w:rsid w:val="00E268E4"/>
    <w:rsid w:val="00E70719"/>
    <w:rsid w:val="00E71B80"/>
    <w:rsid w:val="00E828E2"/>
    <w:rsid w:val="00E96B4F"/>
    <w:rsid w:val="00E9757B"/>
    <w:rsid w:val="00EA7BAF"/>
    <w:rsid w:val="00EC3EA3"/>
    <w:rsid w:val="00EF5487"/>
    <w:rsid w:val="00F0707B"/>
    <w:rsid w:val="00F130D9"/>
    <w:rsid w:val="00F17C55"/>
    <w:rsid w:val="00F77515"/>
    <w:rsid w:val="00FB29BB"/>
    <w:rsid w:val="00FB2E5E"/>
    <w:rsid w:val="00FB3452"/>
    <w:rsid w:val="00FC056F"/>
    <w:rsid w:val="00FC56AB"/>
    <w:rsid w:val="00FC7626"/>
    <w:rsid w:val="00FE0D10"/>
    <w:rsid w:val="00FF4EA9"/>
  </w:rsids>
  <w:docVars>
    <w:docVar w:name="AUTHORMFPMNU" w:val=" 2"/>
    <w:docVar w:name="CONTRIBUTIONMNU" w:val=" 2"/>
    <w:docVar w:name="CopyToNetwork" w:val="-1"/>
    <w:docVar w:name="COUNTRYKEY" w:val="FI"/>
    <w:docVar w:name="DOCDT" w:val="13/10/2026"/>
    <w:docVar w:name="INSERTOPINKEY" w:val="EMPL"/>
    <w:docVar w:name="LastEditedSection" w:val=" 1"/>
    <w:docVar w:name="NVAR1" w:val="0"/>
    <w:docVar w:name="PARAMNU" w:val=" 2"/>
    <w:docVar w:name="strSubDir" w:val="796"/>
    <w:docVar w:name="TITLEMNU" w:val=" 3"/>
    <w:docVar w:name="TXTLANGUE" w:val="EN"/>
    <w:docVar w:name="TXTLANGUEMIN" w:val="en"/>
    <w:docVar w:name="TXTNRAPPL" w:val="2026"/>
    <w:docVar w:name="TXTNRBUD" w:val="2026/0254"/>
    <w:docVar w:name="TXTNRC" w:val="0209/2026"/>
    <w:docVar w:name="TXTNRCOM" w:val="(2026)0555"/>
    <w:docVar w:name="TXTNRPE" w:val="796.159"/>
    <w:docVar w:name="TXTPEorAP" w:val="PE"/>
    <w:docVar w:name="TXTROUTE" w:val="RR\796159EN.docx"/>
    <w:docVar w:name="TXTVERSION" w:val="02-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93724A07-C678-4D24-84A2-DA9BBEC0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445718"/>
    <w:rPr>
      <w:sz w:val="20"/>
    </w:rPr>
  </w:style>
  <w:style w:type="character" w:customStyle="1" w:styleId="FootnoteTextChar">
    <w:name w:val="Footnote Text Char"/>
    <w:basedOn w:val="DefaultParagraphFont"/>
    <w:link w:val="FootnoteText"/>
    <w:rsid w:val="00445718"/>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basedOn w:val="DefaultParagraphFont"/>
    <w:uiPriority w:val="99"/>
    <w:rsid w:val="00445718"/>
    <w:rPr>
      <w:vertAlign w:val="superscript"/>
    </w:rPr>
  </w:style>
  <w:style w:type="character" w:styleId="Hyperlink">
    <w:name w:val="Hyperlink"/>
    <w:basedOn w:val="DefaultParagraphFont"/>
    <w:rsid w:val="00445718"/>
    <w:rPr>
      <w:color w:val="0563C1" w:themeColor="hyperlink"/>
      <w:u w:val="single"/>
    </w:rPr>
  </w:style>
  <w:style w:type="character" w:customStyle="1" w:styleId="UnresolvedMention">
    <w:name w:val="Unresolved Mention"/>
    <w:basedOn w:val="DefaultParagraphFont"/>
    <w:uiPriority w:val="99"/>
    <w:semiHidden/>
    <w:unhideWhenUsed/>
    <w:rsid w:val="00445718"/>
    <w:rPr>
      <w:color w:val="605E5C"/>
      <w:shd w:val="clear" w:color="auto" w:fill="E1DFDD"/>
    </w:rPr>
  </w:style>
  <w:style w:type="paragraph" w:styleId="ListParagraph">
    <w:name w:val="List Paragraph"/>
    <w:basedOn w:val="Normal"/>
    <w:uiPriority w:val="34"/>
    <w:qFormat/>
    <w:rsid w:val="00474070"/>
    <w:pPr>
      <w:ind w:left="720"/>
      <w:contextualSpacing/>
    </w:pPr>
  </w:style>
  <w:style w:type="character" w:styleId="CommentReference">
    <w:name w:val="annotation reference"/>
    <w:basedOn w:val="DefaultParagraphFont"/>
    <w:rsid w:val="00C73F38"/>
    <w:rPr>
      <w:sz w:val="16"/>
      <w:szCs w:val="16"/>
    </w:rPr>
  </w:style>
  <w:style w:type="paragraph" w:styleId="CommentText">
    <w:name w:val="annotation text"/>
    <w:basedOn w:val="Normal"/>
    <w:link w:val="CommentTextChar"/>
    <w:rsid w:val="00C73F38"/>
    <w:rPr>
      <w:sz w:val="20"/>
    </w:rPr>
  </w:style>
  <w:style w:type="character" w:customStyle="1" w:styleId="CommentTextChar">
    <w:name w:val="Comment Text Char"/>
    <w:basedOn w:val="DefaultParagraphFont"/>
    <w:link w:val="CommentText"/>
    <w:rsid w:val="00C73F38"/>
  </w:style>
  <w:style w:type="paragraph" w:styleId="CommentSubject">
    <w:name w:val="annotation subject"/>
    <w:basedOn w:val="CommentText"/>
    <w:next w:val="CommentText"/>
    <w:link w:val="CommentSubjectChar"/>
    <w:semiHidden/>
    <w:unhideWhenUsed/>
    <w:rsid w:val="00C73F38"/>
    <w:rPr>
      <w:b/>
      <w:bCs/>
    </w:rPr>
  </w:style>
  <w:style w:type="character" w:customStyle="1" w:styleId="CommentSubjectChar">
    <w:name w:val="Comment Subject Char"/>
    <w:basedOn w:val="CommentTextChar"/>
    <w:link w:val="CommentSubject"/>
    <w:semiHidden/>
    <w:rsid w:val="00C73F38"/>
    <w:rPr>
      <w:b/>
      <w:bCs/>
    </w:rPr>
  </w:style>
  <w:style w:type="paragraph" w:styleId="Revision">
    <w:name w:val="Revision"/>
    <w:hidden/>
    <w:uiPriority w:val="99"/>
    <w:semiHidden/>
    <w:rsid w:val="001D3A25"/>
    <w:rPr>
      <w:sz w:val="24"/>
    </w:rPr>
  </w:style>
  <w:style w:type="character" w:customStyle="1" w:styleId="NormalHanging12aChar">
    <w:name w:val="NormalHanging12a Char"/>
    <w:basedOn w:val="DefaultParagraphFont"/>
    <w:link w:val="NormalHanging12a"/>
    <w:locked/>
    <w:rsid w:val="00D86B36"/>
    <w:rPr>
      <w:sz w:val="24"/>
    </w:rPr>
  </w:style>
  <w:style w:type="paragraph" w:customStyle="1" w:styleId="Normal24a">
    <w:name w:val="Normal24a"/>
    <w:basedOn w:val="Normal"/>
    <w:rsid w:val="009B66A5"/>
    <w:pPr>
      <w:spacing w:after="480"/>
    </w:pPr>
  </w:style>
  <w:style w:type="paragraph" w:customStyle="1" w:styleId="NormalBoldCenter">
    <w:name w:val="NormalBoldCenter"/>
    <w:basedOn w:val="Normal"/>
    <w:rsid w:val="009B66A5"/>
    <w:pPr>
      <w:jc w:val="center"/>
    </w:pPr>
    <w:rPr>
      <w:b/>
    </w:rPr>
  </w:style>
  <w:style w:type="paragraph" w:customStyle="1" w:styleId="Footprint12b">
    <w:name w:val="Footprint12b"/>
    <w:basedOn w:val="Normal"/>
    <w:rsid w:val="009B66A5"/>
    <w:pPr>
      <w:spacing w:before="240"/>
    </w:pPr>
    <w:rPr>
      <w:szCs w:val="24"/>
    </w:rPr>
  </w:style>
  <w:style w:type="paragraph" w:customStyle="1" w:styleId="NormalSingle">
    <w:name w:val="NormalSingle"/>
    <w:basedOn w:val="Normal"/>
    <w:qFormat/>
    <w:rsid w:val="009B66A5"/>
    <w:rPr>
      <w:szCs w:val="24"/>
    </w:rPr>
  </w:style>
  <w:style w:type="paragraph" w:customStyle="1" w:styleId="Normal12a">
    <w:name w:val="Normal12a"/>
    <w:basedOn w:val="Normal"/>
    <w:rsid w:val="009B66A5"/>
    <w:pPr>
      <w:spacing w:after="240"/>
    </w:pPr>
  </w:style>
  <w:style w:type="paragraph" w:customStyle="1" w:styleId="LetterSalutation">
    <w:name w:val="LetterSalutation"/>
    <w:basedOn w:val="Normal"/>
    <w:rsid w:val="009B66A5"/>
    <w:pPr>
      <w:spacing w:before="600" w:after="360"/>
    </w:pPr>
  </w:style>
  <w:style w:type="paragraph" w:customStyle="1" w:styleId="LetterSubject">
    <w:name w:val="LetterSubject"/>
    <w:basedOn w:val="Normal"/>
    <w:rsid w:val="009B66A5"/>
    <w:pPr>
      <w:spacing w:before="480"/>
      <w:ind w:left="1134" w:hanging="1134"/>
    </w:pPr>
  </w:style>
  <w:style w:type="paragraph" w:customStyle="1" w:styleId="LetterSignature66b">
    <w:name w:val="LetterSignature66b"/>
    <w:basedOn w:val="Normal"/>
    <w:next w:val="Normal"/>
    <w:rsid w:val="009B66A5"/>
    <w:pPr>
      <w:spacing w:before="1320"/>
    </w:pPr>
  </w:style>
  <w:style w:type="paragraph" w:customStyle="1" w:styleId="PageHeadingNotTOC">
    <w:name w:val="PageHeadingNotTOC"/>
    <w:basedOn w:val="Normal"/>
    <w:rsid w:val="009B66A5"/>
    <w:pPr>
      <w:keepNext/>
      <w:spacing w:after="480"/>
      <w:jc w:val="center"/>
    </w:pPr>
    <w:rPr>
      <w:rFonts w:ascii="Arial" w:hAnsi="Arial" w:cs="Arial"/>
      <w:b/>
    </w:rPr>
  </w:style>
  <w:style w:type="paragraph" w:customStyle="1" w:styleId="Normal12">
    <w:name w:val="Normal12"/>
    <w:basedOn w:val="Normal"/>
    <w:link w:val="Normal12Char"/>
    <w:rsid w:val="009B66A5"/>
    <w:pPr>
      <w:spacing w:after="240"/>
    </w:pPr>
    <w:rPr>
      <w:rFonts w:ascii="Arial" w:hAnsi="Arial" w:cs="Arial"/>
    </w:rPr>
  </w:style>
  <w:style w:type="character" w:customStyle="1" w:styleId="PageHeadingChar">
    <w:name w:val="PageHeading Char"/>
    <w:basedOn w:val="DefaultParagraphFont"/>
    <w:link w:val="PageHeading"/>
    <w:rsid w:val="009B66A5"/>
    <w:rPr>
      <w:rFonts w:ascii="Arial" w:hAnsi="Arial" w:cs="Arial"/>
      <w:b/>
      <w:sz w:val="24"/>
    </w:rPr>
  </w:style>
  <w:style w:type="character" w:customStyle="1" w:styleId="Normal12Char">
    <w:name w:val="Normal12 Char"/>
    <w:basedOn w:val="PageHeadingChar"/>
    <w:link w:val="Normal12"/>
    <w:rsid w:val="009B66A5"/>
    <w:rPr>
      <w:rFonts w:ascii="Arial" w:hAnsi="Arial" w:cs="Arial"/>
      <w:b w:val="0"/>
      <w:sz w:val="24"/>
    </w:rPr>
  </w:style>
  <w:style w:type="paragraph" w:customStyle="1" w:styleId="RollCallVotes">
    <w:name w:val="RollCallVotes"/>
    <w:basedOn w:val="Normal"/>
    <w:rsid w:val="00AB3EA2"/>
    <w:pPr>
      <w:spacing w:before="120" w:after="120"/>
      <w:jc w:val="center"/>
    </w:pPr>
    <w:rPr>
      <w:b/>
      <w:bCs/>
      <w:snapToGrid w:val="0"/>
      <w:sz w:val="16"/>
      <w:lang w:eastAsia="en-US"/>
    </w:rPr>
  </w:style>
  <w:style w:type="paragraph" w:customStyle="1" w:styleId="RollCallTabs">
    <w:name w:val="RollCallTabs"/>
    <w:basedOn w:val="Normal"/>
    <w:qFormat/>
    <w:rsid w:val="00AB3EA2"/>
    <w:pPr>
      <w:tabs>
        <w:tab w:val="center" w:pos="284"/>
        <w:tab w:val="left" w:pos="426"/>
      </w:tabs>
    </w:pPr>
    <w:rPr>
      <w:snapToGrid w:val="0"/>
      <w:lang w:eastAsia="en-US"/>
    </w:rPr>
  </w:style>
  <w:style w:type="paragraph" w:customStyle="1" w:styleId="RollCallSymbols14pt">
    <w:name w:val="RollCallSymbols14pt"/>
    <w:basedOn w:val="Normal"/>
    <w:rsid w:val="00AB3EA2"/>
    <w:pPr>
      <w:spacing w:before="120" w:after="120"/>
      <w:jc w:val="center"/>
    </w:pPr>
    <w:rPr>
      <w:rFonts w:ascii="Arial" w:hAnsi="Arial"/>
      <w:b/>
      <w:bCs/>
      <w:snapToGrid w:val="0"/>
      <w:sz w:val="28"/>
      <w:lang w:eastAsia="en-US"/>
    </w:rPr>
  </w:style>
  <w:style w:type="paragraph" w:customStyle="1" w:styleId="RollCallTable">
    <w:name w:val="RollCallTable"/>
    <w:basedOn w:val="Normal"/>
    <w:rsid w:val="00AB3EA2"/>
    <w:pPr>
      <w:spacing w:before="120" w:after="120"/>
    </w:pPr>
    <w:rPr>
      <w:snapToGrid w:val="0"/>
      <w:sz w:val="16"/>
      <w:lang w:eastAsia="en-US"/>
    </w:rPr>
  </w:style>
  <w:style w:type="paragraph" w:styleId="Footer">
    <w:name w:val="footer"/>
    <w:basedOn w:val="Normal"/>
    <w:link w:val="FooterChar"/>
    <w:semiHidden/>
    <w:rsid w:val="000175BE"/>
    <w:pPr>
      <w:tabs>
        <w:tab w:val="center" w:pos="4513"/>
        <w:tab w:val="right" w:pos="9026"/>
      </w:tabs>
    </w:pPr>
  </w:style>
  <w:style w:type="character" w:customStyle="1" w:styleId="FooterChar">
    <w:name w:val="Footer Char"/>
    <w:basedOn w:val="DefaultParagraphFont"/>
    <w:link w:val="Footer"/>
    <w:semiHidden/>
    <w:rsid w:val="000175B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 Id="rId6" Type="http://schemas.openxmlformats.org/officeDocument/2006/relationships/hyperlink" Target="http://data.europa.eu/eli/reg_del/2019/1755/oj" TargetMode="External" /><Relationship Id="rId7"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7D778-7D38-4A8D-B2B1-D1850C49C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4842</Words>
  <Characters>27603</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creator>European Parliament</dc:creator>
  <cp:lastModifiedBy>European Parliament</cp:lastModifiedBy>
  <cp:revision>4</cp:revision>
  <cp:lastPrinted>2004-12-08T15:27:00Z</cp:lastPrinted>
  <dcterms:created xsi:type="dcterms:W3CDTF">2026-10-13T13:30:00Z</dcterms:created>
  <dcterms:modified xsi:type="dcterms:W3CDTF">2026-10-13T13:32:00Z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1352636</vt:lpwstr>
  </property>
  <property fmtid="{D5CDD505-2E9C-101B-9397-08002B2CF9AE}" pid="4" name="&lt;Model&gt;">
    <vt:lpwstr>PR_BUD_Funds</vt:lpwstr>
  </property>
  <property fmtid="{D5CDD505-2E9C-101B-9397-08002B2CF9AE}" pid="5" name="&lt;ModelCod&gt;">
    <vt:lpwstr>\\eiciBRUpr1\pdocep$\DocEP\DOCS\General\PR\PR_BUD\BUDGET\BUD\PR_BUD_Funds.dotx(05/07/2024 10:40:03)</vt:lpwstr>
  </property>
  <property fmtid="{D5CDD505-2E9C-101B-9397-08002B2CF9AE}" pid="6" name="&lt;ModelTra&gt;">
    <vt:lpwstr>\\eiciBRUpr1\pdocep$\DocEP\TRANSFIL\EN\PR_BUD_Funds.EN(03/03/2026 15:20:18)</vt:lpwstr>
  </property>
  <property fmtid="{D5CDD505-2E9C-101B-9397-08002B2CF9AE}" pid="7" name="&lt;Type&gt;">
    <vt:lpwstr>RR</vt:lpwstr>
  </property>
  <property fmtid="{D5CDD505-2E9C-101B-9397-08002B2CF9AE}" pid="8" name="Created with">
    <vt:lpwstr>10.3.1 Build [20260902]</vt:lpwstr>
  </property>
  <property fmtid="{D5CDD505-2E9C-101B-9397-08002B2CF9AE}" pid="9" name="FooterPath">
    <vt:lpwstr>RR\796159EN.docx</vt:lpwstr>
  </property>
  <property fmtid="{D5CDD505-2E9C-101B-9397-08002B2CF9AE}" pid="10" name="LastEdited with">
    <vt:lpwstr>10.3.1 Build [20260902]</vt:lpwstr>
  </property>
  <property fmtid="{D5CDD505-2E9C-101B-9397-08002B2CF9AE}" pid="11" name="PE number">
    <vt:lpwstr>796.159</vt:lpwstr>
  </property>
  <property fmtid="{D5CDD505-2E9C-101B-9397-08002B2CF9AE}" pid="12" name="RegistreCheck">
    <vt:lpwstr>OK</vt:lpwstr>
  </property>
  <property fmtid="{D5CDD505-2E9C-101B-9397-08002B2CF9AE}" pid="13" name="SendToEpades">
    <vt:lpwstr/>
  </property>
</Properties>
</file>