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0DADD5E" w14:textId="77777777" w:rsidTr="00C85D0F">
        <w:tblPrEx>
          <w:tblW w:w="9072" w:type="dxa"/>
          <w:tblCellMar>
            <w:left w:w="0" w:type="dxa"/>
            <w:right w:w="0" w:type="dxa"/>
          </w:tblCellMar>
          <w:tblLook w:val="01E0"/>
        </w:tblPrEx>
        <w:trPr>
          <w:trHeight w:hRule="exact" w:val="1418"/>
        </w:trPr>
        <w:tc>
          <w:tcPr>
            <w:tcW w:w="6804" w:type="dxa"/>
            <w:vAlign w:val="center"/>
          </w:tcPr>
          <w:p w:rsidR="00E96B4F" w:rsidRPr="00D022F4" w:rsidP="00C85D0F" w14:paraId="3E9C21F7" w14:textId="63DAFFEF">
            <w:pPr>
              <w:pStyle w:val="EPName"/>
            </w:pPr>
            <w:r w:rsidRPr="00D022F4">
              <w:t>European Parliament</w:t>
            </w:r>
          </w:p>
          <w:p w:rsidR="00E96B4F" w:rsidRPr="00D022F4" w:rsidP="00C85D0F" w14:paraId="06CFE2E4" w14:textId="71B87176">
            <w:pPr>
              <w:pStyle w:val="EPTerm"/>
            </w:pPr>
            <w:r w:rsidRPr="00D022F4">
              <w:t>2024-2029</w:t>
            </w:r>
          </w:p>
        </w:tc>
        <w:tc>
          <w:tcPr>
            <w:tcW w:w="2268" w:type="dxa"/>
          </w:tcPr>
          <w:p w:rsidR="00E96B4F" w:rsidRPr="00D022F4" w:rsidP="00C85D0F" w14:paraId="703FF65A" w14:textId="77777777">
            <w:pPr>
              <w:pStyle w:val="EPLogo"/>
            </w:pPr>
            <w:r w:rsidRPr="00D022F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9724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D022F4" w:rsidP="00D461B7" w14:paraId="476B56F5" w14:textId="77777777">
      <w:pPr>
        <w:pStyle w:val="LineTop"/>
      </w:pPr>
    </w:p>
    <w:p w:rsidR="00D461B7" w:rsidRPr="00D022F4" w:rsidP="00D461B7" w14:paraId="7BF3DFD9" w14:textId="09E8D754">
      <w:pPr>
        <w:pStyle w:val="EPBody"/>
      </w:pPr>
      <w:r w:rsidRPr="00D022F4">
        <w:t>Plenary sitting</w:t>
      </w:r>
    </w:p>
    <w:p w:rsidR="00D461B7" w:rsidRPr="00D022F4" w:rsidP="00D461B7" w14:paraId="55DF88C8" w14:textId="77777777">
      <w:pPr>
        <w:pStyle w:val="LineBottom"/>
      </w:pPr>
    </w:p>
    <w:p w:rsidR="004D2440" w:rsidRPr="00D022F4" w14:paraId="7B8F51B8" w14:textId="4028CE7F">
      <w:pPr>
        <w:pStyle w:val="CoverReference"/>
        <w:rPr>
          <w:noProof/>
        </w:rPr>
      </w:pPr>
      <w:r w:rsidRPr="00D022F4">
        <w:rPr>
          <w:rStyle w:val="HideTWBExt"/>
        </w:rPr>
        <w:t>&lt;NoDocSe&gt;</w:t>
      </w:r>
      <w:r w:rsidR="00E544F0">
        <w:t>A10-0274/2026</w:t>
      </w:r>
      <w:r w:rsidRPr="00D022F4">
        <w:rPr>
          <w:rStyle w:val="HideTWBExt"/>
        </w:rPr>
        <w:t>&lt;/NoDocSe&gt;</w:t>
      </w:r>
    </w:p>
    <w:p w:rsidR="004D2440" w:rsidRPr="00D022F4" w14:paraId="443F03B8" w14:textId="5740E694">
      <w:pPr>
        <w:pStyle w:val="CoverDate"/>
        <w:rPr>
          <w:noProof/>
        </w:rPr>
      </w:pPr>
      <w:r w:rsidRPr="00D022F4">
        <w:rPr>
          <w:rStyle w:val="HideTWBExt"/>
        </w:rPr>
        <w:t>&lt;Date&gt;</w:t>
      </w:r>
      <w:r w:rsidRPr="00D022F4" w:rsidR="00ED2631">
        <w:rPr>
          <w:rStyle w:val="HideTWBInt"/>
        </w:rPr>
        <w:t>{13/10/2026}</w:t>
      </w:r>
      <w:r w:rsidRPr="00D022F4" w:rsidR="00ED2631">
        <w:t>13.10.2026</w:t>
      </w:r>
      <w:r w:rsidRPr="00D022F4">
        <w:rPr>
          <w:rStyle w:val="HideTWBExt"/>
        </w:rPr>
        <w:t>&lt;/Date&gt;</w:t>
      </w:r>
    </w:p>
    <w:p w:rsidR="004D2440" w:rsidRPr="00D022F4" w14:paraId="407E77B2" w14:textId="37381C7D">
      <w:pPr>
        <w:pStyle w:val="CoverDocType24a"/>
        <w:rPr>
          <w:noProof/>
        </w:rPr>
      </w:pPr>
      <w:r w:rsidRPr="00D022F4">
        <w:rPr>
          <w:rStyle w:val="HideTWBExt"/>
          <w:b w:val="0"/>
        </w:rPr>
        <w:t>&lt;TitreType&gt;</w:t>
      </w:r>
      <w:r w:rsidRPr="00D022F4" w:rsidR="00190C1A">
        <w:t>REPORT</w:t>
      </w:r>
      <w:r w:rsidRPr="00D022F4">
        <w:rPr>
          <w:rStyle w:val="HideTWBExt"/>
          <w:b w:val="0"/>
        </w:rPr>
        <w:t>&lt;/TitreType&gt;</w:t>
      </w:r>
    </w:p>
    <w:p w:rsidR="004D2440" w:rsidRPr="00D022F4" w14:paraId="4EC2B6F0" w14:textId="1B82852E">
      <w:pPr>
        <w:pStyle w:val="CoverNormal"/>
        <w:rPr>
          <w:noProof/>
        </w:rPr>
      </w:pPr>
      <w:r w:rsidRPr="00D022F4">
        <w:rPr>
          <w:rStyle w:val="HideTWBExt"/>
        </w:rPr>
        <w:t>&lt;Titre&gt;</w:t>
      </w:r>
      <w:r w:rsidRPr="00D022F4" w:rsidR="00430A87">
        <w:rPr>
          <w:noProof/>
        </w:rPr>
        <w:t xml:space="preserve">on the proposal for a decision of the European Parliament and of the Council </w:t>
      </w:r>
      <w:r w:rsidRPr="00D022F4" w:rsidR="00424ADA">
        <w:t xml:space="preserve">on the mobilisation of the European Union Solidarity Fund to </w:t>
      </w:r>
      <w:r w:rsidRPr="00D022F4" w:rsidR="00424ADA">
        <w:t>provide assistance to</w:t>
      </w:r>
      <w:r w:rsidRPr="00D022F4" w:rsidR="00424ADA">
        <w:t xml:space="preserve"> Malta and Italy regarding the storm Harry in January 2026 and to Portugal and Spain following the storms in January and February 2026</w:t>
      </w:r>
      <w:r w:rsidRPr="00D022F4">
        <w:rPr>
          <w:rStyle w:val="HideTWBExt"/>
        </w:rPr>
        <w:t>&lt;/Titre&gt;</w:t>
      </w:r>
    </w:p>
    <w:p w:rsidR="004D2440" w:rsidRPr="00D022F4" w14:paraId="1EF0F5C6" w14:textId="6791CB54">
      <w:pPr>
        <w:pStyle w:val="CoverNormal24a"/>
        <w:rPr>
          <w:noProof/>
        </w:rPr>
      </w:pPr>
      <w:r w:rsidRPr="00D022F4">
        <w:rPr>
          <w:rStyle w:val="HideTWBExt"/>
        </w:rPr>
        <w:t>&lt;DocRef&gt;</w:t>
      </w:r>
      <w:r w:rsidRPr="00D022F4" w:rsidR="00430A87">
        <w:rPr>
          <w:noProof/>
        </w:rPr>
        <w:t>(COM</w:t>
      </w:r>
      <w:r w:rsidRPr="00D022F4" w:rsidR="00424ADA">
        <w:t>(2026)7001</w:t>
      </w:r>
      <w:r w:rsidRPr="00D022F4" w:rsidR="00430A87">
        <w:rPr>
          <w:noProof/>
        </w:rPr>
        <w:t xml:space="preserve"> </w:t>
      </w:r>
      <w:r w:rsidRPr="00D022F4" w:rsidR="00424ADA">
        <w:t>–</w:t>
      </w:r>
      <w:r w:rsidRPr="00D022F4" w:rsidR="00430A87">
        <w:rPr>
          <w:noProof/>
        </w:rPr>
        <w:t xml:space="preserve"> </w:t>
      </w:r>
      <w:r w:rsidRPr="00D022F4" w:rsidR="00424ADA">
        <w:t>C10</w:t>
      </w:r>
      <w:r w:rsidRPr="00D022F4" w:rsidR="00424ADA">
        <w:noBreakHyphen/>
        <w:t>0226/2026</w:t>
      </w:r>
      <w:r w:rsidRPr="00D022F4" w:rsidR="00430A87">
        <w:rPr>
          <w:noProof/>
        </w:rPr>
        <w:t xml:space="preserve"> </w:t>
      </w:r>
      <w:r w:rsidRPr="00D022F4" w:rsidR="00424ADA">
        <w:t>–</w:t>
      </w:r>
      <w:r w:rsidRPr="00D022F4" w:rsidR="00430A87">
        <w:rPr>
          <w:noProof/>
        </w:rPr>
        <w:t xml:space="preserve"> </w:t>
      </w:r>
      <w:r w:rsidRPr="00D022F4" w:rsidR="00424ADA">
        <w:t>2026/0284</w:t>
      </w:r>
      <w:r w:rsidRPr="00D022F4" w:rsidR="00430A87">
        <w:rPr>
          <w:noProof/>
        </w:rPr>
        <w:t>(BUD))</w:t>
      </w:r>
      <w:r w:rsidRPr="00D022F4">
        <w:rPr>
          <w:rStyle w:val="HideTWBExt"/>
        </w:rPr>
        <w:t>&lt;/DocRef&gt;</w:t>
      </w:r>
    </w:p>
    <w:p w:rsidR="004D2440" w:rsidRPr="00D022F4" w14:paraId="1D116594" w14:textId="77777777">
      <w:pPr>
        <w:pStyle w:val="CoverNormal24a"/>
        <w:rPr>
          <w:noProof/>
        </w:rPr>
      </w:pPr>
      <w:r w:rsidRPr="00D022F4">
        <w:rPr>
          <w:rStyle w:val="HideTWBExt"/>
        </w:rPr>
        <w:t>&lt;Commission&gt;</w:t>
      </w:r>
      <w:r w:rsidRPr="00D022F4">
        <w:rPr>
          <w:rStyle w:val="HideTWBInt"/>
          <w:noProof/>
        </w:rPr>
        <w:t>{BUDG}</w:t>
      </w:r>
      <w:r w:rsidRPr="00D022F4" w:rsidR="00430A87">
        <w:rPr>
          <w:noProof/>
        </w:rPr>
        <w:t>Committee on Budgets</w:t>
      </w:r>
      <w:r w:rsidRPr="00D022F4">
        <w:rPr>
          <w:rStyle w:val="HideTWBExt"/>
        </w:rPr>
        <w:t>&lt;/Commission&gt;</w:t>
      </w:r>
    </w:p>
    <w:p w:rsidR="004D2440" w:rsidRPr="00FA0428" w14:paraId="3F729E88" w14:textId="79C130E4">
      <w:pPr>
        <w:pStyle w:val="CoverNormal24a"/>
        <w:rPr>
          <w:noProof/>
          <w:lang w:val="da-DK"/>
        </w:rPr>
      </w:pPr>
      <w:r w:rsidRPr="00FA0428">
        <w:rPr>
          <w:noProof/>
          <w:lang w:val="da-DK"/>
        </w:rPr>
        <w:t>Rapporteur:</w:t>
      </w:r>
      <w:r w:rsidRPr="00FA0428">
        <w:rPr>
          <w:noProof/>
          <w:lang w:val="da-DK"/>
        </w:rPr>
        <w:t xml:space="preserve"> </w:t>
      </w:r>
      <w:r w:rsidRPr="00FA0428">
        <w:rPr>
          <w:rStyle w:val="HideTWBExt"/>
          <w:lang w:val="da-DK"/>
        </w:rPr>
        <w:t>&lt;Depute&gt;</w:t>
      </w:r>
      <w:r w:rsidRPr="00FA0428" w:rsidR="00424ADA">
        <w:rPr>
          <w:lang w:val="da-DK"/>
        </w:rPr>
        <w:t xml:space="preserve">Lucia </w:t>
      </w:r>
      <w:r w:rsidRPr="00FA0428" w:rsidR="00424ADA">
        <w:rPr>
          <w:lang w:val="da-DK"/>
        </w:rPr>
        <w:t>Yar</w:t>
      </w:r>
      <w:r w:rsidRPr="00FA0428">
        <w:rPr>
          <w:rStyle w:val="HideTWBExt"/>
          <w:lang w:val="da-DK"/>
        </w:rPr>
        <w:t>&lt;/Depute&gt;</w:t>
      </w:r>
    </w:p>
    <w:p w:rsidR="004D2440" w:rsidRPr="00FA0428" w:rsidP="00300158" w14:paraId="341EFBA0" w14:textId="77777777">
      <w:pPr>
        <w:widowControl/>
        <w:tabs>
          <w:tab w:val="center" w:pos="4677"/>
        </w:tabs>
        <w:rPr>
          <w:noProof/>
          <w:lang w:val="da-DK"/>
        </w:rPr>
      </w:pPr>
      <w:r w:rsidRPr="00FA0428">
        <w:rPr>
          <w:noProof/>
          <w:lang w:val="da-DK"/>
        </w:rPr>
        <w:br w:type="page"/>
      </w:r>
      <w:r w:rsidRPr="00FA0428" w:rsidR="00430A87">
        <w:rPr>
          <w:noProof/>
          <w:lang w:val="da-DK"/>
        </w:rPr>
        <w:t>PR_BUD_Funds</w:t>
      </w:r>
    </w:p>
    <w:p w:rsidR="004D2440" w:rsidRPr="00D022F4" w14:paraId="23A7E811" w14:textId="77777777">
      <w:pPr>
        <w:pStyle w:val="TOCHeading"/>
        <w:rPr>
          <w:noProof/>
        </w:rPr>
      </w:pPr>
      <w:r w:rsidRPr="00D022F4">
        <w:rPr>
          <w:noProof/>
        </w:rPr>
        <w:t>CONTENTS</w:t>
      </w:r>
    </w:p>
    <w:p w:rsidR="004D2440" w:rsidRPr="00D022F4" w14:paraId="7B7E9DD4" w14:textId="77777777">
      <w:pPr>
        <w:pStyle w:val="TOCPage"/>
        <w:rPr>
          <w:noProof/>
        </w:rPr>
      </w:pPr>
      <w:r w:rsidRPr="00D022F4">
        <w:rPr>
          <w:noProof/>
        </w:rPr>
        <w:t>Page</w:t>
      </w:r>
    </w:p>
    <w:p w:rsidR="003523E4" w14:paraId="28D71007" w14:textId="70286230">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D022F4">
        <w:rPr>
          <w:noProof/>
        </w:rPr>
        <w:fldChar w:fldCharType="begin"/>
      </w:r>
      <w:r w:rsidRPr="00D022F4">
        <w:rPr>
          <w:noProof/>
        </w:rPr>
        <w:instrText xml:space="preserve"> TOC \t "PageHeading</w:instrText>
      </w:r>
      <w:r w:rsidRPr="00D022F4" w:rsidR="00ED2631">
        <w:rPr>
          <w:noProof/>
        </w:rPr>
        <w:instrText>;</w:instrText>
      </w:r>
      <w:r w:rsidRPr="00D022F4">
        <w:rPr>
          <w:noProof/>
        </w:rPr>
        <w:instrText xml:space="preserve">1" </w:instrText>
      </w:r>
      <w:r w:rsidRPr="00D022F4">
        <w:rPr>
          <w:noProof/>
        </w:rPr>
        <w:fldChar w:fldCharType="separate"/>
      </w:r>
      <w:r>
        <w:rPr>
          <w:noProof/>
        </w:rPr>
        <w:t>MOTION FOR A EUROPEAN PARLIAMENT RESOLUTION</w:t>
      </w:r>
      <w:r>
        <w:rPr>
          <w:noProof/>
        </w:rPr>
        <w:tab/>
      </w:r>
      <w:r>
        <w:rPr>
          <w:noProof/>
        </w:rPr>
        <w:fldChar w:fldCharType="begin"/>
      </w:r>
      <w:r>
        <w:rPr>
          <w:noProof/>
        </w:rPr>
        <w:instrText xml:space="preserve"> PAGEREF _Toc242881397 \h </w:instrText>
      </w:r>
      <w:r>
        <w:rPr>
          <w:noProof/>
        </w:rPr>
        <w:fldChar w:fldCharType="separate"/>
      </w:r>
      <w:r>
        <w:rPr>
          <w:noProof/>
        </w:rPr>
        <w:t>3</w:t>
      </w:r>
      <w:r>
        <w:rPr>
          <w:noProof/>
        </w:rPr>
        <w:fldChar w:fldCharType="end"/>
      </w:r>
    </w:p>
    <w:p w:rsidR="003523E4" w14:paraId="5D8EB721" w14:textId="6BB10846">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DECISION OF THE EUROPEAN PARLIAMENT AND OF THE COUNCIL</w:t>
      </w:r>
      <w:r>
        <w:rPr>
          <w:noProof/>
        </w:rPr>
        <w:tab/>
      </w:r>
      <w:r>
        <w:rPr>
          <w:noProof/>
        </w:rPr>
        <w:fldChar w:fldCharType="begin"/>
      </w:r>
      <w:r>
        <w:rPr>
          <w:noProof/>
        </w:rPr>
        <w:instrText xml:space="preserve"> PAGEREF _Toc242881398 \h </w:instrText>
      </w:r>
      <w:r>
        <w:rPr>
          <w:noProof/>
        </w:rPr>
        <w:fldChar w:fldCharType="separate"/>
      </w:r>
      <w:r>
        <w:rPr>
          <w:noProof/>
        </w:rPr>
        <w:t>9</w:t>
      </w:r>
      <w:r>
        <w:rPr>
          <w:noProof/>
        </w:rPr>
        <w:fldChar w:fldCharType="end"/>
      </w:r>
    </w:p>
    <w:p w:rsidR="003523E4" w14:paraId="47145DFB" w14:textId="2853A754">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_Toc242881399 \h </w:instrText>
      </w:r>
      <w:r>
        <w:rPr>
          <w:noProof/>
        </w:rPr>
        <w:fldChar w:fldCharType="separate"/>
      </w:r>
      <w:r>
        <w:rPr>
          <w:noProof/>
        </w:rPr>
        <w:t>11</w:t>
      </w:r>
      <w:r>
        <w:rPr>
          <w:noProof/>
        </w:rPr>
        <w:fldChar w:fldCharType="end"/>
      </w:r>
    </w:p>
    <w:p w:rsidR="003523E4" w14:paraId="73663CB9" w14:textId="3A2026B7">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_Toc242881400 \h </w:instrText>
      </w:r>
      <w:r>
        <w:rPr>
          <w:noProof/>
        </w:rPr>
        <w:fldChar w:fldCharType="separate"/>
      </w:r>
      <w:r>
        <w:rPr>
          <w:noProof/>
        </w:rPr>
        <w:t>15</w:t>
      </w:r>
      <w:r>
        <w:rPr>
          <w:noProof/>
        </w:rPr>
        <w:fldChar w:fldCharType="end"/>
      </w:r>
    </w:p>
    <w:p w:rsidR="003523E4" w14:paraId="34347D8B" w14:textId="2946F392">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INFORMATION ON ADOPTION BY THE COMMITTEE RESPONSIBLE</w:t>
      </w:r>
      <w:r>
        <w:rPr>
          <w:noProof/>
        </w:rPr>
        <w:tab/>
      </w:r>
      <w:r>
        <w:rPr>
          <w:noProof/>
        </w:rPr>
        <w:fldChar w:fldCharType="begin"/>
      </w:r>
      <w:r>
        <w:rPr>
          <w:noProof/>
        </w:rPr>
        <w:instrText xml:space="preserve"> PAGEREF _Toc242881401 \h </w:instrText>
      </w:r>
      <w:r>
        <w:rPr>
          <w:noProof/>
        </w:rPr>
        <w:fldChar w:fldCharType="separate"/>
      </w:r>
      <w:r>
        <w:rPr>
          <w:noProof/>
        </w:rPr>
        <w:t>16</w:t>
      </w:r>
      <w:r>
        <w:rPr>
          <w:noProof/>
        </w:rPr>
        <w:fldChar w:fldCharType="end"/>
      </w:r>
    </w:p>
    <w:p w:rsidR="003523E4" w14:paraId="5CC10C8B" w14:textId="3510EB96">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_Toc242881402 \h </w:instrText>
      </w:r>
      <w:r>
        <w:rPr>
          <w:noProof/>
        </w:rPr>
        <w:fldChar w:fldCharType="separate"/>
      </w:r>
      <w:r>
        <w:rPr>
          <w:noProof/>
        </w:rPr>
        <w:t>17</w:t>
      </w:r>
      <w:r>
        <w:rPr>
          <w:noProof/>
        </w:rPr>
        <w:fldChar w:fldCharType="end"/>
      </w:r>
    </w:p>
    <w:p w:rsidR="004D2440" w:rsidRPr="00D022F4" w:rsidP="006E4E08" w14:paraId="0C87D5A0" w14:textId="750B2289">
      <w:pPr>
        <w:rPr>
          <w:noProof/>
        </w:rPr>
      </w:pPr>
      <w:r w:rsidRPr="00D022F4">
        <w:rPr>
          <w:noProof/>
        </w:rPr>
        <w:fldChar w:fldCharType="end"/>
      </w:r>
    </w:p>
    <w:p w:rsidR="004D2440" w:rsidRPr="00D022F4" w14:paraId="521B180A" w14:textId="77777777">
      <w:pPr>
        <w:pStyle w:val="PageHeading"/>
        <w:rPr>
          <w:noProof/>
        </w:rPr>
      </w:pPr>
      <w:r w:rsidRPr="00D022F4">
        <w:rPr>
          <w:noProof/>
        </w:rPr>
        <w:br w:type="page"/>
      </w:r>
      <w:bookmarkStart w:id="0" w:name="_Toc242881397"/>
      <w:r w:rsidRPr="00D022F4" w:rsidR="00430A87">
        <w:rPr>
          <w:noProof/>
        </w:rPr>
        <w:t>MOTION FOR A EUROPEAN PARLIAMENT RESOLUTION</w:t>
      </w:r>
      <w:bookmarkEnd w:id="0"/>
    </w:p>
    <w:p w:rsidR="004D2440" w:rsidRPr="00D022F4" w:rsidP="006E4E08" w14:paraId="7468D402" w14:textId="5BDCA44A">
      <w:pPr>
        <w:pStyle w:val="NormalBold"/>
        <w:rPr>
          <w:noProof/>
        </w:rPr>
      </w:pPr>
      <w:r w:rsidRPr="00D022F4">
        <w:rPr>
          <w:noProof/>
        </w:rPr>
        <w:t xml:space="preserve">on the proposal for a decision of the European Parliament and of the Council </w:t>
      </w:r>
      <w:r w:rsidRPr="00D022F4">
        <w:t>on the mobilisation of the European Union Solidarity Fund to provide assistance to Malta and Italy regarding the storm Harry in January 2026 and to Portugal and Spain following the storms in January and February 2026</w:t>
      </w:r>
      <w:r w:rsidRPr="00D022F4">
        <w:rPr>
          <w:noProof/>
        </w:rPr>
        <w:t xml:space="preserve"> </w:t>
      </w:r>
      <w:r w:rsidRPr="00D022F4" w:rsidR="00430A87">
        <w:rPr>
          <w:noProof/>
        </w:rPr>
        <w:t>(</w:t>
      </w:r>
      <w:r w:rsidRPr="00D022F4" w:rsidR="00430A87">
        <w:rPr>
          <w:noProof/>
        </w:rPr>
        <w:t>COM</w:t>
      </w:r>
      <w:r w:rsidRPr="00D022F4" w:rsidR="00424ADA">
        <w:t>(</w:t>
      </w:r>
      <w:r w:rsidRPr="00D022F4" w:rsidR="00424ADA">
        <w:t>2026)7001</w:t>
      </w:r>
      <w:r w:rsidRPr="00D022F4" w:rsidR="00430A87">
        <w:rPr>
          <w:noProof/>
        </w:rPr>
        <w:t xml:space="preserve"> </w:t>
      </w:r>
      <w:r w:rsidRPr="00D022F4" w:rsidR="00424ADA">
        <w:t>–</w:t>
      </w:r>
      <w:r w:rsidRPr="00D022F4" w:rsidR="00430A87">
        <w:rPr>
          <w:noProof/>
        </w:rPr>
        <w:t xml:space="preserve"> </w:t>
      </w:r>
      <w:r w:rsidRPr="00D022F4" w:rsidR="00424ADA">
        <w:t>C10</w:t>
      </w:r>
      <w:r w:rsidRPr="00D022F4" w:rsidR="00424ADA">
        <w:noBreakHyphen/>
        <w:t>0226/2026</w:t>
      </w:r>
      <w:r w:rsidRPr="00D022F4" w:rsidR="00430A87">
        <w:rPr>
          <w:noProof/>
        </w:rPr>
        <w:t xml:space="preserve"> </w:t>
      </w:r>
      <w:r w:rsidRPr="00D022F4" w:rsidR="00424ADA">
        <w:t>–</w:t>
      </w:r>
      <w:r w:rsidRPr="00D022F4" w:rsidR="00430A87">
        <w:rPr>
          <w:noProof/>
        </w:rPr>
        <w:t xml:space="preserve"> </w:t>
      </w:r>
      <w:r w:rsidRPr="00D022F4" w:rsidR="00424ADA">
        <w:t>2026/0284</w:t>
      </w:r>
      <w:r w:rsidRPr="00D022F4" w:rsidR="00430A87">
        <w:rPr>
          <w:noProof/>
        </w:rPr>
        <w:t>(BUD))</w:t>
      </w:r>
    </w:p>
    <w:p w:rsidR="004D2440" w:rsidRPr="00D022F4" w:rsidP="006E4E08" w14:paraId="749A4E3B" w14:textId="77777777">
      <w:pPr>
        <w:pStyle w:val="EPComma"/>
        <w:rPr>
          <w:noProof/>
        </w:rPr>
      </w:pPr>
      <w:r w:rsidRPr="00D022F4">
        <w:rPr>
          <w:i/>
          <w:noProof/>
        </w:rPr>
        <w:t>The European Parliament</w:t>
      </w:r>
      <w:r w:rsidRPr="00D022F4">
        <w:rPr>
          <w:noProof/>
        </w:rPr>
        <w:t>,</w:t>
      </w:r>
    </w:p>
    <w:p w:rsidR="004D2440" w:rsidRPr="00D022F4" w14:paraId="5EB810DD" w14:textId="0A8FF1F9">
      <w:pPr>
        <w:pStyle w:val="NormalHanging12a"/>
        <w:rPr>
          <w:noProof/>
        </w:rPr>
      </w:pPr>
      <w:r w:rsidRPr="00D022F4">
        <w:rPr>
          <w:noProof/>
        </w:rPr>
        <w:t>–</w:t>
      </w:r>
      <w:r w:rsidRPr="00D022F4">
        <w:rPr>
          <w:noProof/>
        </w:rPr>
        <w:tab/>
      </w:r>
      <w:r w:rsidRPr="00D022F4" w:rsidR="00430A87">
        <w:rPr>
          <w:noProof/>
        </w:rPr>
        <w:t>having regard to the Commission proposal to the European Parliament and the Council (</w:t>
      </w:r>
      <w:r w:rsidRPr="00D022F4" w:rsidR="00430A87">
        <w:rPr>
          <w:noProof/>
        </w:rPr>
        <w:t>COM</w:t>
      </w:r>
      <w:r w:rsidRPr="00D022F4" w:rsidR="00424ADA">
        <w:t>(</w:t>
      </w:r>
      <w:r w:rsidRPr="00D022F4" w:rsidR="00424ADA">
        <w:t>2026)7001</w:t>
      </w:r>
      <w:r w:rsidRPr="00D022F4" w:rsidR="00430A87">
        <w:rPr>
          <w:noProof/>
        </w:rPr>
        <w:t xml:space="preserve"> </w:t>
      </w:r>
      <w:r w:rsidRPr="00D022F4" w:rsidR="00424ADA">
        <w:t>–</w:t>
      </w:r>
      <w:r w:rsidRPr="00D022F4" w:rsidR="00430A87">
        <w:rPr>
          <w:noProof/>
        </w:rPr>
        <w:t xml:space="preserve"> </w:t>
      </w:r>
      <w:r w:rsidRPr="00D022F4" w:rsidR="00424ADA">
        <w:t>C10</w:t>
      </w:r>
      <w:r w:rsidRPr="00D022F4" w:rsidR="00424ADA">
        <w:noBreakHyphen/>
        <w:t>0226/2026</w:t>
      </w:r>
      <w:r w:rsidRPr="00D022F4" w:rsidR="00430A87">
        <w:rPr>
          <w:noProof/>
        </w:rPr>
        <w:t>),</w:t>
      </w:r>
    </w:p>
    <w:p w:rsidR="007F63FC" w:rsidRPr="00D022F4" w:rsidP="007F63FC" w14:paraId="566BC99F" w14:textId="61BBBE92">
      <w:pPr>
        <w:pStyle w:val="NormalHanging12a"/>
        <w:rPr>
          <w:noProof/>
        </w:rPr>
      </w:pPr>
      <w:r w:rsidRPr="00D022F4">
        <w:rPr>
          <w:noProof/>
        </w:rPr>
        <w:t>–</w:t>
      </w:r>
      <w:r w:rsidRPr="00D022F4">
        <w:rPr>
          <w:noProof/>
        </w:rPr>
        <w:tab/>
      </w:r>
      <w:r w:rsidRPr="00D022F4" w:rsidR="00424ADA">
        <w:t>having regard to Council Regulation (EC) No 2012/2002 of 11 November 2002 establishing the European Union Solidarity Fund</w:t>
      </w:r>
      <w:r>
        <w:rPr>
          <w:rStyle w:val="FootnoteReference"/>
        </w:rPr>
        <w:footnoteReference w:id="2"/>
      </w:r>
      <w:r w:rsidRPr="00D022F4" w:rsidR="003C308A">
        <w:t xml:space="preserve"> (EUSF Regulation)</w:t>
      </w:r>
      <w:r w:rsidRPr="00D022F4" w:rsidR="00424ADA">
        <w:t>,</w:t>
      </w:r>
    </w:p>
    <w:p w:rsidR="007F63FC" w:rsidRPr="00D022F4" w:rsidP="00424ADA" w14:paraId="0022C2B7" w14:textId="25BC829F">
      <w:pPr>
        <w:pStyle w:val="NormalHanging12a"/>
        <w:rPr>
          <w:noProof/>
        </w:rPr>
      </w:pPr>
      <w:r w:rsidRPr="00D022F4">
        <w:rPr>
          <w:noProof/>
        </w:rPr>
        <w:t>–</w:t>
      </w:r>
      <w:r w:rsidRPr="00D022F4">
        <w:rPr>
          <w:noProof/>
        </w:rPr>
        <w:tab/>
      </w:r>
      <w:r w:rsidRPr="00D022F4" w:rsidR="00424ADA">
        <w:rPr>
          <w:noProof/>
        </w:rPr>
        <w:t>having regard to Council Regulation (EU, Euratom) No 2020/2093 of 17 December 2020 laying down the multiannual financial framework for the years 2021 to 2027</w:t>
      </w:r>
      <w:r>
        <w:rPr>
          <w:noProof/>
          <w:vertAlign w:val="superscript"/>
        </w:rPr>
        <w:footnoteReference w:id="3"/>
      </w:r>
      <w:r w:rsidRPr="00D022F4" w:rsidR="00424ADA">
        <w:rPr>
          <w:noProof/>
        </w:rPr>
        <w:t>, and in particular Article 9 thereof,</w:t>
      </w:r>
    </w:p>
    <w:p w:rsidR="00424ADA" w:rsidRPr="00D022F4" w:rsidP="00424ADA" w14:paraId="7C9F3998" w14:textId="77777777">
      <w:pPr>
        <w:pStyle w:val="NormalHanging12a"/>
        <w:rPr>
          <w:noProof/>
        </w:rPr>
      </w:pPr>
      <w:r w:rsidRPr="00D022F4">
        <w:rPr>
          <w:noProof/>
        </w:rPr>
        <w:t>–</w:t>
      </w:r>
      <w:r w:rsidRPr="00D022F4">
        <w:rPr>
          <w:noProof/>
        </w:rPr>
        <w:tab/>
      </w:r>
      <w:r w:rsidRPr="00D022F4">
        <w:rPr>
          <w:noProof/>
        </w:rPr>
        <w:t>having regard to the Interinstitutional Agreement of 16 December 2020 between the European Parliament, the Council and the Commission on budgetary discipline, on cooperation in budgetary matters and on sound financial management, as well as on new own resources, including a roadmap towards the introduction of new own resources</w:t>
      </w:r>
      <w:r>
        <w:rPr>
          <w:vertAlign w:val="superscript"/>
        </w:rPr>
        <w:footnoteReference w:id="4"/>
      </w:r>
      <w:r w:rsidRPr="00D022F4">
        <w:rPr>
          <w:noProof/>
        </w:rPr>
        <w:t xml:space="preserve">, and in particular point 10 thereof, </w:t>
      </w:r>
    </w:p>
    <w:p w:rsidR="00424ADA" w:rsidRPr="00D022F4" w:rsidP="00424ADA" w14:paraId="03718185" w14:textId="77777777">
      <w:pPr>
        <w:pStyle w:val="NormalHanging12a"/>
        <w:rPr>
          <w:noProof/>
        </w:rPr>
      </w:pPr>
      <w:r w:rsidRPr="00D022F4">
        <w:rPr>
          <w:noProof/>
        </w:rPr>
        <w:t>–</w:t>
      </w:r>
      <w:r w:rsidRPr="00D022F4">
        <w:rPr>
          <w:noProof/>
        </w:rPr>
        <w:tab/>
        <w:t>having regard to Regulation (EU) 2021/1058 of the European Parliament and of the Council of 24 June 2021 on the European Regional Development Fund and on the Cohesion Fund</w:t>
      </w:r>
      <w:r>
        <w:rPr>
          <w:noProof/>
          <w:vertAlign w:val="superscript"/>
        </w:rPr>
        <w:footnoteReference w:id="5"/>
      </w:r>
      <w:r w:rsidRPr="00D022F4">
        <w:rPr>
          <w:noProof/>
        </w:rPr>
        <w:t xml:space="preserve">, </w:t>
      </w:r>
    </w:p>
    <w:p w:rsidR="00424ADA" w:rsidRPr="00D022F4" w:rsidP="00424ADA" w14:paraId="34828430" w14:textId="052C3C7E">
      <w:pPr>
        <w:pStyle w:val="NormalHanging12a"/>
        <w:rPr>
          <w:noProof/>
        </w:rPr>
      </w:pPr>
      <w:r w:rsidRPr="00D022F4">
        <w:rPr>
          <w:noProof/>
        </w:rPr>
        <w:t>–</w:t>
      </w:r>
      <w:r w:rsidRPr="00D022F4">
        <w:rPr>
          <w:noProof/>
        </w:rPr>
        <w:tab/>
        <w:t>having regard to Regulation (EU) 2021/1057 of the European Parliament and of the Council of 24 June 2021 establishing the European Social Fund Plus (ESF+)</w:t>
      </w:r>
      <w:r>
        <w:rPr>
          <w:noProof/>
          <w:vertAlign w:val="superscript"/>
        </w:rPr>
        <w:footnoteReference w:id="6"/>
      </w:r>
      <w:r w:rsidRPr="00D022F4">
        <w:rPr>
          <w:noProof/>
        </w:rPr>
        <w:t xml:space="preserve">, </w:t>
      </w:r>
    </w:p>
    <w:p w:rsidR="00557FD7" w:rsidRPr="00D022F4" w:rsidP="00557FD7" w14:paraId="69D094EE" w14:textId="77777777">
      <w:pPr>
        <w:pStyle w:val="NormalHanging12a"/>
        <w:rPr>
          <w:noProof/>
        </w:rPr>
      </w:pPr>
      <w:r w:rsidRPr="00D022F4">
        <w:rPr>
          <w:noProof/>
        </w:rPr>
        <w:t>–</w:t>
      </w:r>
      <w:r w:rsidRPr="00D022F4">
        <w:rPr>
          <w:noProof/>
        </w:rPr>
        <w:tab/>
        <w:t>having regard to the EEA Report No 1/2024 - European Climate Risk Assessment (EUCRA)</w:t>
      </w:r>
      <w:r>
        <w:rPr>
          <w:rStyle w:val="FootnoteReference"/>
          <w:noProof/>
        </w:rPr>
        <w:footnoteReference w:id="7"/>
      </w:r>
      <w:r w:rsidRPr="00D022F4">
        <w:rPr>
          <w:noProof/>
        </w:rPr>
        <w:t>,</w:t>
      </w:r>
    </w:p>
    <w:p w:rsidR="00557FD7" w:rsidRPr="00D022F4" w:rsidP="00557FD7" w14:paraId="0A66DDCE" w14:textId="010ABFCB">
      <w:pPr>
        <w:pStyle w:val="NormalHanging12a"/>
        <w:rPr>
          <w:noProof/>
        </w:rPr>
      </w:pPr>
      <w:r w:rsidRPr="00D022F4">
        <w:rPr>
          <w:noProof/>
        </w:rPr>
        <w:t>–</w:t>
      </w:r>
      <w:r w:rsidRPr="00D022F4">
        <w:rPr>
          <w:noProof/>
        </w:rPr>
        <w:tab/>
        <w:t>having regard to the EEA Report 3/2026: Climate resilience in Europe, 2025 – progress and challenges</w:t>
      </w:r>
      <w:r>
        <w:rPr>
          <w:rStyle w:val="FootnoteReference"/>
          <w:noProof/>
        </w:rPr>
        <w:footnoteReference w:id="8"/>
      </w:r>
      <w:r w:rsidRPr="00D022F4" w:rsidR="003C308A">
        <w:rPr>
          <w:noProof/>
        </w:rPr>
        <w:t>,</w:t>
      </w:r>
    </w:p>
    <w:p w:rsidR="001232DB" w:rsidRPr="00D022F4" w:rsidP="00557FD7" w14:paraId="434F209E" w14:textId="649FF43B">
      <w:pPr>
        <w:pStyle w:val="NormalHanging12a"/>
      </w:pPr>
      <w:r w:rsidRPr="00D022F4">
        <w:rPr>
          <w:noProof/>
        </w:rPr>
        <w:t>–</w:t>
      </w:r>
      <w:r w:rsidRPr="00D022F4">
        <w:tab/>
        <w:t>having regard to the report of the Committee on Budgets (</w:t>
      </w:r>
      <w:r w:rsidR="00E544F0">
        <w:t>A10-0274/2026</w:t>
      </w:r>
      <w:r w:rsidRPr="00D022F4">
        <w:t>),</w:t>
      </w:r>
    </w:p>
    <w:p w:rsidR="00DD1344" w:rsidRPr="00D022F4" w:rsidP="00DD1344" w14:paraId="4C14D371" w14:textId="77777777">
      <w:pPr>
        <w:pStyle w:val="NormalHanging12a"/>
      </w:pPr>
      <w:r w:rsidRPr="00D022F4">
        <w:t>A.</w:t>
      </w:r>
      <w:r w:rsidRPr="00D022F4">
        <w:tab/>
        <w:t xml:space="preserve">whereas, between 18 and 21 January 2026, storm Harry struck the Maltese islands </w:t>
      </w:r>
      <w:r w:rsidRPr="00D022F4">
        <w:t xml:space="preserve">bringing strong winds, heavy rainfall, increased sea levels and wave activity, causing widespread damage across Malta and Gozo, resulting in total direct damage estimated by the Maltese authorities at EUR 132,97 million </w:t>
      </w:r>
      <w:r w:rsidRPr="00D022F4">
        <w:rPr>
          <w:bCs/>
          <w:iCs/>
        </w:rPr>
        <w:t>and affecting many municipalities, especially coastal and harbour areas; whereas the storm led to significant disruption to the normal functioning of essential services, such as blocked roads and interrupted transport links; whereas damage to the agricultural sector, aquaculture and the fishery industry was also recorded;</w:t>
      </w:r>
    </w:p>
    <w:p w:rsidR="00B14D3B" w:rsidRPr="00D022F4" w:rsidP="00B14D3B" w14:paraId="25AAD050" w14:textId="6FF77532">
      <w:pPr>
        <w:spacing w:after="240"/>
        <w:ind w:left="567" w:hanging="567"/>
        <w:rPr>
          <w:noProof/>
        </w:rPr>
      </w:pPr>
      <w:r w:rsidRPr="00D022F4">
        <w:rPr>
          <w:noProof/>
        </w:rPr>
        <w:t>B.</w:t>
      </w:r>
      <w:r w:rsidRPr="00D022F4">
        <w:rPr>
          <w:noProof/>
        </w:rPr>
        <w:tab/>
        <w:t xml:space="preserve">whereas, between 18 and 21 January 2026, the regions of Sardinia, Sicily and Calabria were affected by storm Harry which brought about intense and persistent rainfall, strong winds and storm surges, </w:t>
      </w:r>
      <w:r w:rsidRPr="00D022F4">
        <w:t>resulting in total direct damage estimated by the Italian authorities at EUR 2 995</w:t>
      </w:r>
      <w:r w:rsidRPr="00D022F4" w:rsidR="003C308A">
        <w:t>,</w:t>
      </w:r>
      <w:r w:rsidRPr="00D022F4">
        <w:t>4 million</w:t>
      </w:r>
      <w:r w:rsidRPr="00D022F4">
        <w:rPr>
          <w:noProof/>
        </w:rPr>
        <w:t>;</w:t>
      </w:r>
      <w:r w:rsidRPr="00D022F4" w:rsidR="00F83DEC">
        <w:rPr>
          <w:rFonts w:eastAsia="Aptos"/>
          <w:noProof/>
          <w:kern w:val="2"/>
          <w:szCs w:val="24"/>
          <w:lang w:eastAsia="en-US"/>
          <w14:ligatures w14:val="standardContextual"/>
        </w:rPr>
        <w:t xml:space="preserve"> </w:t>
      </w:r>
      <w:r w:rsidRPr="00D022F4" w:rsidR="00F83DEC">
        <w:rPr>
          <w:noProof/>
        </w:rPr>
        <w:t>whereas the most severe damage occurred in coastal areas and along rivers, where rising water levels significantly affected several dams, and as a result, thousands of people were evacuated and hundreds of homes were declared uninhabitable; whereas the storm also destroyed public buildings, railway lines, port infrastructure and roads, causing severe damage to infrastructure and essential services, which led to the temporary isolation of some communities;</w:t>
      </w:r>
    </w:p>
    <w:p w:rsidR="006F3A60" w:rsidRPr="00D022F4" w:rsidP="006F3A60" w14:paraId="65F31625" w14:textId="0EE67A37">
      <w:pPr>
        <w:pStyle w:val="NormalHanging12a"/>
        <w:rPr>
          <w:bCs/>
          <w:iCs/>
        </w:rPr>
      </w:pPr>
      <w:r w:rsidRPr="00D022F4">
        <w:rPr>
          <w:bCs/>
          <w:iCs/>
        </w:rPr>
        <w:t>C</w:t>
      </w:r>
      <w:r w:rsidRPr="00D022F4">
        <w:rPr>
          <w:bCs/>
          <w:iCs/>
        </w:rPr>
        <w:t>.</w:t>
      </w:r>
      <w:r w:rsidRPr="00D022F4">
        <w:rPr>
          <w:bCs/>
          <w:iCs/>
        </w:rPr>
        <w:tab/>
        <w:t xml:space="preserve">whereas restoring damaged transport infrastructure and essential services is particularly important for communities that have been temporarily isolated and for affected island territories, </w:t>
      </w:r>
      <w:r w:rsidRPr="00D022F4">
        <w:rPr>
          <w:bCs/>
          <w:iCs/>
        </w:rPr>
        <w:t>in order to</w:t>
      </w:r>
      <w:r w:rsidRPr="00D022F4">
        <w:rPr>
          <w:bCs/>
          <w:iCs/>
        </w:rPr>
        <w:t xml:space="preserve"> restore accessibility and ensure continuity of services for the population;</w:t>
      </w:r>
    </w:p>
    <w:p w:rsidR="006F3A60" w:rsidRPr="00D022F4" w:rsidP="006F3A60" w14:paraId="39034BF1" w14:textId="3AEB3FC9">
      <w:pPr>
        <w:pStyle w:val="NormalHanging12a"/>
      </w:pPr>
      <w:r w:rsidRPr="00D022F4">
        <w:t>D</w:t>
      </w:r>
      <w:r w:rsidRPr="00D022F4">
        <w:t>.</w:t>
      </w:r>
      <w:r w:rsidRPr="00D022F4">
        <w:tab/>
        <w:t xml:space="preserve">whereas, between 22 January and 15 February 2026, Portugal experienced a succession of severe storms bringing strong winds, intense precipitation which caused devastating floods and landslides, resulting in total direct damage estimated by the Portuguese authorities at EUR 5 351,97 million; </w:t>
      </w:r>
      <w:r w:rsidRPr="00D022F4">
        <w:rPr>
          <w:bCs/>
          <w:iCs/>
        </w:rPr>
        <w:t>whereas the storms created significant material damage in public and private infrastructure and destroyed numerous homes; whereas, additionally, essential infrastructure and services in the fields of energy, water, wastewater, transport, healthcare and education were interrupted, and the disaster led to the evacuation of thousands of people and to 18 fatalities;</w:t>
      </w:r>
    </w:p>
    <w:p w:rsidR="006F3A60" w:rsidRPr="00D022F4" w:rsidP="006F3A60" w14:paraId="0447276C" w14:textId="628DB7C5">
      <w:pPr>
        <w:pStyle w:val="NormalHanging12a"/>
      </w:pPr>
      <w:r w:rsidRPr="00D022F4">
        <w:t>E</w:t>
      </w:r>
      <w:r w:rsidRPr="00D022F4">
        <w:t>.</w:t>
      </w:r>
      <w:r w:rsidRPr="00D022F4">
        <w:tab/>
        <w:t>whereas, between 22 January and 14 February 2026, Spain was hit by a succession of severe storms that caused greatest damage in the Autonomous Communities of Andalusia and Extremadura, resulting in total direct damage estimated by the Spanish authorities at EUR 4 839,53 million;</w:t>
      </w:r>
      <w:r w:rsidRPr="00D022F4">
        <w:rPr>
          <w:bCs/>
          <w:iCs/>
        </w:rPr>
        <w:t xml:space="preserve"> whereas the intense rainfall associated with the storms led to the evacuation of thousands of people, the closure of over 150 roads and significant structural damage to people’s homes, and, additionally, electricity, water and telecommunications infrastructure were cut off for a prolonged amount of time which caused significant economic damage and left communities isolated;</w:t>
      </w:r>
    </w:p>
    <w:p w:rsidR="00390E97" w:rsidRPr="00D022F4" w:rsidP="00390E97" w14:paraId="52B1005C" w14:textId="4A4219EC">
      <w:pPr>
        <w:pStyle w:val="NormalHanging12a"/>
        <w:rPr>
          <w:bCs/>
          <w:iCs/>
        </w:rPr>
      </w:pPr>
      <w:r w:rsidRPr="00D022F4">
        <w:rPr>
          <w:bCs/>
          <w:iCs/>
        </w:rPr>
        <w:t>F</w:t>
      </w:r>
      <w:r w:rsidRPr="00D022F4">
        <w:rPr>
          <w:bCs/>
          <w:iCs/>
        </w:rPr>
        <w:t>.</w:t>
      </w:r>
      <w:r w:rsidRPr="00D022F4">
        <w:rPr>
          <w:bCs/>
          <w:iCs/>
        </w:rPr>
        <w:tab/>
        <w:t>whereas the increasing severity and frequency of floods across Member States reflects the accelerating impacts of climate change, requiring strengthened Union action in adaptation, prevention and resilience measures;</w:t>
      </w:r>
    </w:p>
    <w:p w:rsidR="00390E97" w:rsidRPr="00D022F4" w:rsidP="00390E97" w14:paraId="28A3E0E5" w14:textId="24B20C69">
      <w:pPr>
        <w:spacing w:after="240"/>
        <w:ind w:left="567" w:hanging="567"/>
        <w:rPr>
          <w:rFonts w:eastAsia="Aptos"/>
          <w:noProof/>
          <w:kern w:val="2"/>
          <w:lang w:eastAsia="en-US"/>
          <w14:ligatures w14:val="standardContextual"/>
        </w:rPr>
      </w:pPr>
      <w:r w:rsidRPr="00D022F4">
        <w:rPr>
          <w:rFonts w:eastAsia="Aptos"/>
          <w:noProof/>
          <w:kern w:val="2"/>
          <w:lang w:eastAsia="en-US"/>
          <w14:ligatures w14:val="standardContextual"/>
        </w:rPr>
        <w:t>G</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 xml:space="preserve">whereas the EEA Report No 1/2024 ‘European Climate Risk Assessment’ warned that the Union is unprepared for the effects of climate change even if the world manages to keep global temperature rise to 1,5 degrees Celsius, as set out in the Paris Agreement; whereas there is a need for action to avoid the climate risks identified reaching critical </w:t>
      </w:r>
      <w:r w:rsidRPr="00D022F4">
        <w:rPr>
          <w:rFonts w:eastAsia="Aptos"/>
          <w:noProof/>
          <w:kern w:val="2"/>
          <w:lang w:eastAsia="en-US"/>
          <w14:ligatures w14:val="standardContextual"/>
        </w:rPr>
        <w:t>levels;</w:t>
      </w:r>
    </w:p>
    <w:p w:rsidR="000B3473" w:rsidRPr="00D022F4" w:rsidP="000B3473" w14:paraId="583F0EF6" w14:textId="6D37965E">
      <w:pPr>
        <w:spacing w:after="240"/>
        <w:ind w:left="570" w:hanging="570"/>
        <w:rPr>
          <w:noProof/>
        </w:rPr>
      </w:pPr>
      <w:r w:rsidRPr="00D022F4">
        <w:rPr>
          <w:rFonts w:eastAsiaTheme="minorHAnsi"/>
          <w:noProof/>
          <w:kern w:val="2"/>
          <w:szCs w:val="24"/>
          <w:lang w:eastAsia="en-US"/>
          <w14:ligatures w14:val="standardContextual"/>
        </w:rPr>
        <w:t>1.</w:t>
      </w:r>
      <w:r w:rsidRPr="00D022F4">
        <w:rPr>
          <w:rFonts w:eastAsiaTheme="minorHAnsi"/>
          <w:noProof/>
          <w:kern w:val="2"/>
          <w:szCs w:val="24"/>
          <w:lang w:eastAsia="en-US"/>
          <w14:ligatures w14:val="standardContextual"/>
        </w:rPr>
        <w:tab/>
      </w:r>
      <w:r w:rsidRPr="00D022F4" w:rsidR="00B14D3B">
        <w:rPr>
          <w:noProof/>
        </w:rPr>
        <w:t>Expresses its deepest solidarity with all the victims, their families and all the individuals affected by the storms in Malta, Italy, Portugal and Spain in January and February 2026, and with the national, regional and local authorities involved in the relief efforts;</w:t>
      </w:r>
    </w:p>
    <w:p w:rsidR="00390E97" w:rsidRPr="00D022F4" w:rsidP="00390E97" w14:paraId="64E195F0" w14:textId="77777777">
      <w:pPr>
        <w:pStyle w:val="NormalHanging12a"/>
      </w:pPr>
      <w:r w:rsidRPr="00D022F4">
        <w:t>2.</w:t>
      </w:r>
      <w:r w:rsidRPr="00D022F4">
        <w:tab/>
        <w:t xml:space="preserve">Welcomes the decision as a tangible and visible form of the Union’s solidarity with the citizens and regions affected by the storms in Malta, Italy, Portugal and Spain; </w:t>
      </w:r>
      <w:r w:rsidRPr="00D022F4">
        <w:rPr>
          <w:bCs/>
          <w:iCs/>
        </w:rPr>
        <w:t>underlines that EUSF assistance complements the efforts of the Member States concerned, in accordance with the principle of subsidiarity and the competences of national, regional and local authorities;</w:t>
      </w:r>
    </w:p>
    <w:p w:rsidR="00390E97" w:rsidRPr="00D022F4" w:rsidP="00390E97" w14:paraId="64928A03" w14:textId="43CA10B4">
      <w:pPr>
        <w:spacing w:after="240"/>
        <w:ind w:left="570" w:hanging="570"/>
        <w:rPr>
          <w:rFonts w:eastAsia="Aptos"/>
          <w:b/>
          <w:bCs/>
          <w:i/>
          <w:iCs/>
          <w:noProof/>
          <w:kern w:val="2"/>
          <w:lang w:eastAsia="en-US"/>
          <w14:ligatures w14:val="standardContextual"/>
        </w:rPr>
      </w:pPr>
      <w:r w:rsidRPr="00D022F4">
        <w:rPr>
          <w:rFonts w:eastAsia="Aptos"/>
          <w:noProof/>
          <w:kern w:val="2"/>
          <w:lang w:eastAsia="en-US"/>
          <w14:ligatures w14:val="standardContextual"/>
        </w:rPr>
        <w:t>3.</w:t>
      </w:r>
      <w:r w:rsidRPr="00D022F4">
        <w:rPr>
          <w:rFonts w:eastAsia="Aptos"/>
          <w:noProof/>
          <w:kern w:val="2"/>
          <w:lang w:eastAsia="en-US"/>
          <w14:ligatures w14:val="standardContextual"/>
        </w:rPr>
        <w:tab/>
        <w:t>Highlights the increasing number of severe, destructive and deadly natural disasters in Europe whose impacts are exacerbated by human activity, despite the efforts already made at Union, national, regional and local level to strengthen disaster preparedness, prevention and resilience and calls on Member States and the Commission to further invest in prevention, resilience, adaptation and mitigation measures to mitigate human and economic losses; notes that Member States should prioritise recovery measures to support the affected populations, primarily the vulnerable communities, to ensure access to adequate housing and essential services during recovery; considers that actions currently financed under the European Union Solidarity Fund (EUSF) should continue to be adequately financed under the next MFF, in order to respond to the intensification of natural disasters within the Union and provide tangible support to the Member States and regions affected by such disasters; notes that such financing would allow Member States to respond more effectively and quickly to disasters while other instruments, particularly cohesion funds whose primary purpose is not disaster response, could be preserved;</w:t>
      </w:r>
    </w:p>
    <w:p w:rsidR="00390E97" w:rsidRPr="00D022F4" w:rsidP="00390E97" w14:paraId="37A53793" w14:textId="48B025A1">
      <w:pPr>
        <w:pStyle w:val="NormalHanging12a"/>
      </w:pPr>
      <w:r w:rsidRPr="00D022F4">
        <w:t>4</w:t>
      </w:r>
      <w:r w:rsidRPr="00D022F4">
        <w:t>.</w:t>
      </w:r>
      <w:r w:rsidRPr="00D022F4">
        <w:tab/>
        <w:t>Highlights the particular vulnerability of islands, including island Member States, to the increasing impacts of the climate crisis; calls on the Commission and the Member States to ensure targeted adaptation, prevention and resilience measures for these regions; believes that islands should receive adequate funding, through simplified administrative procedures and appropriate technical assistance, in order to address their specific structural and climate-related vulnerabilities;</w:t>
      </w:r>
    </w:p>
    <w:p w:rsidR="00390E97" w:rsidRPr="00D022F4" w:rsidP="00390E97" w14:paraId="15EA7E19" w14:textId="1970D000">
      <w:pPr>
        <w:spacing w:after="240"/>
        <w:ind w:left="570" w:hanging="570"/>
        <w:rPr>
          <w:rFonts w:eastAsia="Aptos"/>
          <w:noProof/>
          <w:kern w:val="2"/>
          <w:lang w:eastAsia="en-US"/>
          <w14:ligatures w14:val="standardContextual"/>
        </w:rPr>
      </w:pPr>
      <w:r w:rsidRPr="00D022F4">
        <w:rPr>
          <w:rFonts w:eastAsia="Aptos"/>
          <w:noProof/>
          <w:kern w:val="2"/>
          <w:lang w:eastAsia="en-US"/>
          <w14:ligatures w14:val="standardContextual"/>
        </w:rPr>
        <w:t>5</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Stresses that the EUSF is only a curative instrument and that the Union should also continue the efforts already undertaken to address climate change adaptation, preparedness, prevention, resilience and mitigation by supporting European and national policies to prevent natural disasters; welcomes the progress already made in strengthening the Union’s preparedness and resilience and encourages Member States and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regional and local circumstances;</w:t>
      </w:r>
    </w:p>
    <w:p w:rsidR="00390E97" w:rsidRPr="00D022F4" w:rsidP="00390E97" w14:paraId="0E61F78F" w14:textId="1FD347DF">
      <w:pPr>
        <w:spacing w:after="240"/>
        <w:ind w:left="570" w:hanging="570"/>
        <w:rPr>
          <w:rFonts w:eastAsia="Aptos"/>
          <w:b/>
          <w:bCs/>
          <w:i/>
          <w:iCs/>
          <w:noProof/>
          <w:kern w:val="2"/>
          <w:lang w:eastAsia="en-US"/>
          <w14:ligatures w14:val="standardContextual"/>
        </w:rPr>
      </w:pPr>
      <w:r w:rsidRPr="00D022F4">
        <w:rPr>
          <w:rFonts w:eastAsia="Aptos"/>
          <w:noProof/>
          <w:kern w:val="2"/>
          <w:lang w:eastAsia="en-US"/>
          <w14:ligatures w14:val="standardContextual"/>
        </w:rPr>
        <w:t>6</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 xml:space="preserve">Stresses also the need for preventive measures, not only to mitigate future damage but also to prevent the exacerbation of risk conditions following catastrophic events; in particular, invites Member States to further build comprehensive risk-assessment and </w:t>
      </w:r>
      <w:r w:rsidRPr="00D022F4">
        <w:rPr>
          <w:rFonts w:eastAsia="Aptos"/>
          <w:noProof/>
          <w:kern w:val="2"/>
          <w:lang w:eastAsia="en-US"/>
          <w14:ligatures w14:val="standardContextual"/>
        </w:rPr>
        <w:t xml:space="preserve">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calls on Member States to take into consideration that climate risks and other natural disasters disproportionately affect vulnerable populations and vulnerable territories due to socio-economic factors hampering the ability of vulnerable groups to recover from disasters; emphasises that all reconstruction financed by EUSF must aim to reduce vulnerability to future natural disasters and be climate-resilient, in accordance with the eligibility conditions and limits laid down in the EUSF Regulation; considers that additional investment needed to strengthen such resilience should be complemented by other relevant instruments; underlines the importance of resilient critical infrastructure as an essential component of </w:t>
      </w:r>
      <w:r w:rsidRPr="00D022F4" w:rsidR="00C16925">
        <w:rPr>
          <w:rFonts w:eastAsia="Aptos"/>
          <w:noProof/>
          <w:kern w:val="2"/>
          <w:lang w:eastAsia="en-US"/>
          <w14:ligatures w14:val="standardContextual"/>
        </w:rPr>
        <w:t>Union</w:t>
      </w:r>
      <w:r w:rsidRPr="00D022F4">
        <w:rPr>
          <w:rFonts w:eastAsia="Aptos"/>
          <w:noProof/>
          <w:kern w:val="2"/>
          <w:lang w:eastAsia="en-US"/>
          <w14:ligatures w14:val="standardContextual"/>
        </w:rPr>
        <w:t>'s economic security and territorial cohesion; highlights the importance of protecting, restoring and reinforcing critical infrastructure and entities against natural risks, in order to enhance the resilience of affected regions;</w:t>
      </w:r>
    </w:p>
    <w:p w:rsidR="00872DA8" w:rsidRPr="00D022F4" w:rsidP="00872DA8" w14:paraId="7B0662C0" w14:textId="6AE51260">
      <w:pPr>
        <w:pStyle w:val="NormalHanging12a"/>
        <w:rPr>
          <w:bCs/>
          <w:iCs/>
        </w:rPr>
      </w:pPr>
      <w:r w:rsidRPr="00D022F4">
        <w:rPr>
          <w:bCs/>
          <w:iCs/>
        </w:rPr>
        <w:t>7</w:t>
      </w:r>
      <w:r w:rsidRPr="00D022F4">
        <w:rPr>
          <w:bCs/>
          <w:iCs/>
        </w:rPr>
        <w:t>.</w:t>
      </w:r>
      <w:r w:rsidRPr="00D022F4">
        <w:rPr>
          <w:bCs/>
          <w:iCs/>
        </w:rPr>
        <w:tab/>
        <w:t>Calls on the Commission to support the Member States in monitoring and exchanging information on preventive measures and health and social care measures in the event of extreme weather, including heatwaves, using existing European instruments; calls for particular attention to older people, persons with disabilities and people with chronic illnesses, to continuity of care and home care, and to the preparedness of healthcare facilities, while respecting national competences; stresses the need to link early warning systems to timely action by health, social and civil protection services at local level;</w:t>
      </w:r>
    </w:p>
    <w:p w:rsidR="00872DA8" w:rsidRPr="00D022F4" w:rsidP="00872DA8" w14:paraId="4C9D67BE" w14:textId="0F39441F">
      <w:pPr>
        <w:spacing w:after="240"/>
        <w:ind w:left="570" w:hanging="570"/>
        <w:rPr>
          <w:rFonts w:eastAsia="Aptos"/>
          <w:bCs/>
          <w:iCs/>
          <w:noProof/>
          <w:kern w:val="2"/>
          <w:lang w:eastAsia="en-US"/>
          <w14:ligatures w14:val="standardContextual"/>
        </w:rPr>
      </w:pPr>
      <w:r w:rsidRPr="00D022F4">
        <w:rPr>
          <w:rFonts w:eastAsia="Aptos"/>
          <w:noProof/>
          <w:kern w:val="2"/>
          <w:lang w:eastAsia="en-US"/>
          <w14:ligatures w14:val="standardContextual"/>
        </w:rPr>
        <w:t>8</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r>
      <w:r w:rsidRPr="00D022F4">
        <w:rPr>
          <w:rFonts w:eastAsia="Aptos"/>
          <w:bCs/>
          <w:iCs/>
          <w:noProof/>
          <w:kern w:val="2"/>
          <w:lang w:eastAsia="en-US"/>
          <w14:ligatures w14:val="standardContextual"/>
        </w:rPr>
        <w:t>Notes that the mobilisation of the European Union Solidarity Fund should be accompanied by reinforced investment in disaster prevention and preparedness and climate resilience; encourages the systematic use and operational integration of innovative digital tools, satellite data (e.g. Copernicus), artificial intelligence and early-warning systems to enhance risk assessment, anticipation, disaster preparedness, response and recovery; calls on Member States and relevant authorities to make full use of existing Union programmes and instruments in this area and to strengthen the coordination and interconnection of relevant services and programmes, including across borders;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p w:rsidR="00872DA8" w:rsidRPr="00D022F4" w:rsidP="00872DA8" w14:paraId="3A4ECE48" w14:textId="4059999A">
      <w:pPr>
        <w:spacing w:after="240"/>
        <w:ind w:left="570" w:hanging="570"/>
        <w:rPr>
          <w:rFonts w:eastAsia="Aptos"/>
          <w:noProof/>
          <w:kern w:val="2"/>
          <w:lang w:eastAsia="en-US"/>
          <w14:ligatures w14:val="standardContextual"/>
        </w:rPr>
      </w:pPr>
      <w:r w:rsidRPr="00D022F4">
        <w:rPr>
          <w:rFonts w:eastAsia="Aptos"/>
          <w:noProof/>
          <w:kern w:val="2"/>
          <w:lang w:eastAsia="en-US"/>
          <w14:ligatures w14:val="standardContextual"/>
        </w:rPr>
        <w:t>9</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 xml:space="preserve">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 </w:t>
      </w:r>
      <w:r w:rsidRPr="00D022F4">
        <w:rPr>
          <w:rFonts w:eastAsia="Aptos"/>
          <w:bCs/>
          <w:iCs/>
          <w:noProof/>
          <w:kern w:val="2"/>
          <w:lang w:eastAsia="en-US"/>
          <w14:ligatures w14:val="standardContextual"/>
        </w:rPr>
        <w:t>calls for operational coordination between these instruments and the EUSF to avoid gaps in support and double funding of the same expenditure and underlines the importance of adequate flexibility between the different programmes; calls on the Commission and Member States to maximi</w:t>
      </w:r>
      <w:r w:rsidRPr="00D022F4" w:rsidR="00A11F18">
        <w:rPr>
          <w:rFonts w:eastAsia="Aptos"/>
          <w:bCs/>
          <w:iCs/>
          <w:noProof/>
          <w:kern w:val="2"/>
          <w:lang w:eastAsia="en-US"/>
          <w14:ligatures w14:val="standardContextual"/>
        </w:rPr>
        <w:t>s</w:t>
      </w:r>
      <w:r w:rsidRPr="00D022F4">
        <w:rPr>
          <w:rFonts w:eastAsia="Aptos"/>
          <w:bCs/>
          <w:iCs/>
          <w:noProof/>
          <w:kern w:val="2"/>
          <w:lang w:eastAsia="en-US"/>
          <w14:ligatures w14:val="standardContextual"/>
        </w:rPr>
        <w:t>e possibilities for cooperation with the U</w:t>
      </w:r>
      <w:r w:rsidRPr="00D022F4" w:rsidR="00C16925">
        <w:rPr>
          <w:rFonts w:eastAsia="Aptos"/>
          <w:bCs/>
          <w:iCs/>
          <w:noProof/>
          <w:kern w:val="2"/>
          <w:lang w:eastAsia="en-US"/>
          <w14:ligatures w14:val="standardContextual"/>
        </w:rPr>
        <w:t>nion</w:t>
      </w:r>
      <w:r w:rsidRPr="00D022F4">
        <w:rPr>
          <w:rFonts w:eastAsia="Aptos"/>
          <w:bCs/>
          <w:iCs/>
          <w:noProof/>
          <w:kern w:val="2"/>
          <w:lang w:eastAsia="en-US"/>
          <w14:ligatures w14:val="standardContextual"/>
        </w:rPr>
        <w:t xml:space="preserve"> agencies (e.g. European Space Agency, European Environment Agency) to protect U</w:t>
      </w:r>
      <w:r w:rsidRPr="00D022F4" w:rsidR="00C16925">
        <w:rPr>
          <w:rFonts w:eastAsia="Aptos"/>
          <w:bCs/>
          <w:iCs/>
          <w:noProof/>
          <w:kern w:val="2"/>
          <w:lang w:eastAsia="en-US"/>
          <w14:ligatures w14:val="standardContextual"/>
        </w:rPr>
        <w:t>nion</w:t>
      </w:r>
      <w:r w:rsidRPr="00D022F4">
        <w:rPr>
          <w:rFonts w:eastAsia="Aptos"/>
          <w:bCs/>
          <w:iCs/>
          <w:noProof/>
          <w:kern w:val="2"/>
          <w:lang w:eastAsia="en-US"/>
          <w14:ligatures w14:val="standardContextual"/>
        </w:rPr>
        <w:t xml:space="preserve"> citizens from repercussions of climate change related natural emergencies;</w:t>
      </w:r>
    </w:p>
    <w:p w:rsidR="00872DA8" w:rsidRPr="00D022F4" w:rsidP="00872DA8" w14:paraId="54DB5754" w14:textId="1E7A0554">
      <w:pPr>
        <w:spacing w:after="240"/>
        <w:ind w:left="570" w:hanging="570"/>
        <w:rPr>
          <w:rFonts w:eastAsia="Aptos"/>
          <w:noProof/>
          <w:kern w:val="2"/>
          <w:lang w:eastAsia="en-US"/>
          <w14:ligatures w14:val="standardContextual"/>
        </w:rPr>
      </w:pPr>
      <w:r w:rsidRPr="00D022F4">
        <w:rPr>
          <w:rFonts w:eastAsia="Aptos"/>
          <w:noProof/>
          <w:kern w:val="2"/>
          <w:lang w:eastAsia="en-US"/>
          <w14:ligatures w14:val="standardContextual"/>
        </w:rPr>
        <w:t>10</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 xml:space="preserve">Underscores that assistance provided under the EUSF should not be to the detriment of </w:t>
      </w:r>
      <w:r w:rsidRPr="00D022F4">
        <w:rPr>
          <w:rFonts w:eastAsia="Aptos"/>
          <w:noProof/>
          <w:kern w:val="2"/>
          <w:lang w:eastAsia="en-US"/>
          <w14:ligatures w14:val="standardContextual"/>
        </w:rPr>
        <w:t>Union funding received by Member States under other Union policies or programmes; stresses the need to ensure the efficient and transparent use of Union resources, including by making information on the amounts disbursed, the operations supported and the results achieved easily accessible through existing channels; recalls that Member States can grant State aid, in accordance with the applicable Union rules;</w:t>
      </w:r>
    </w:p>
    <w:p w:rsidR="00872DA8" w:rsidRPr="00D022F4" w:rsidP="00872DA8" w14:paraId="06CB08AC" w14:textId="1B51A987">
      <w:pPr>
        <w:pStyle w:val="NormalHanging12a"/>
      </w:pPr>
      <w:r w:rsidRPr="00D022F4">
        <w:t>11</w:t>
      </w:r>
      <w:r w:rsidRPr="00D022F4">
        <w:t>.</w:t>
      </w:r>
      <w:r w:rsidRPr="00D022F4">
        <w:tab/>
        <w:t>Draws attention to the specific difficulties faced by businesses in damaged coastal and port areas, including those operating under concessions; calls on the Commission to work with the Member States concerned to identify temporary and proportionate measures to facilitate the restoration of facilities and the resumption of activities, while ensuring legal certainty for operators and compliance with Union law and the principles of transparency and equal treatment;</w:t>
      </w:r>
    </w:p>
    <w:p w:rsidR="00872DA8" w:rsidRPr="00D022F4" w:rsidP="00872DA8" w14:paraId="289F5050" w14:textId="2A950505">
      <w:pPr>
        <w:spacing w:after="240"/>
        <w:ind w:left="570" w:hanging="570"/>
        <w:rPr>
          <w:rFonts w:eastAsia="Aptos"/>
          <w:noProof/>
          <w:kern w:val="2"/>
          <w:lang w:eastAsia="en-US"/>
          <w14:ligatures w14:val="standardContextual"/>
        </w:rPr>
      </w:pPr>
      <w:r w:rsidRPr="00D022F4">
        <w:rPr>
          <w:rFonts w:eastAsia="Aptos"/>
          <w:noProof/>
          <w:kern w:val="2"/>
          <w:lang w:eastAsia="en-US"/>
          <w14:ligatures w14:val="standardContextual"/>
        </w:rPr>
        <w:t>12</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and to simplify its procedures, including by reducing unnecessary administrative burdens, red tape and requirements for affected Member States and final beneficiaries,</w:t>
      </w:r>
      <w:r w:rsidRPr="00D022F4">
        <w:t xml:space="preserve"> </w:t>
      </w:r>
      <w:r w:rsidRPr="00D022F4">
        <w:rPr>
          <w:rFonts w:eastAsia="Aptos"/>
          <w:noProof/>
          <w:kern w:val="2"/>
          <w:lang w:eastAsia="en-US"/>
          <w14:ligatures w14:val="standardContextual"/>
        </w:rPr>
        <w:t>while ensuring the Union budget is protected in line with the principles leading to sound financial management;</w:t>
      </w:r>
    </w:p>
    <w:p w:rsidR="00B14D3B" w:rsidRPr="00D022F4" w:rsidP="000B3473" w14:paraId="19CE403E" w14:textId="1092650B">
      <w:pPr>
        <w:spacing w:after="240"/>
        <w:ind w:left="570" w:hanging="570"/>
        <w:rPr>
          <w:noProof/>
        </w:rPr>
      </w:pPr>
      <w:r w:rsidRPr="00D022F4">
        <w:rPr>
          <w:rFonts w:eastAsiaTheme="minorHAnsi"/>
          <w:noProof/>
          <w:kern w:val="2"/>
          <w:szCs w:val="24"/>
          <w:lang w:eastAsia="en-US"/>
          <w14:ligatures w14:val="standardContextual"/>
        </w:rPr>
        <w:t>1</w:t>
      </w:r>
      <w:r w:rsidRPr="00D022F4" w:rsidR="00CC2A52">
        <w:rPr>
          <w:rFonts w:eastAsiaTheme="minorHAnsi"/>
          <w:noProof/>
          <w:kern w:val="2"/>
          <w:szCs w:val="24"/>
          <w:lang w:eastAsia="en-US"/>
          <w14:ligatures w14:val="standardContextual"/>
        </w:rPr>
        <w:t>3</w:t>
      </w:r>
      <w:r w:rsidRPr="00D022F4">
        <w:rPr>
          <w:rFonts w:eastAsiaTheme="minorHAnsi"/>
          <w:noProof/>
          <w:kern w:val="2"/>
          <w:szCs w:val="24"/>
          <w:lang w:eastAsia="en-US"/>
          <w14:ligatures w14:val="standardContextual"/>
        </w:rPr>
        <w:t>.</w:t>
      </w:r>
      <w:r w:rsidRPr="00D022F4">
        <w:rPr>
          <w:rFonts w:eastAsiaTheme="minorHAnsi"/>
          <w:noProof/>
          <w:kern w:val="2"/>
          <w:szCs w:val="24"/>
          <w:lang w:eastAsia="en-US"/>
          <w14:ligatures w14:val="standardContextual"/>
        </w:rPr>
        <w:tab/>
      </w:r>
      <w:r w:rsidRPr="00D022F4">
        <w:rPr>
          <w:noProof/>
        </w:rPr>
        <w:t xml:space="preserve">Stresses the urgent need to release immediate financial assistance through the EUSF to ensure that support can reach Malta, Italy, Portugal and Spain in a timely manner to support a quick and long-lasting recovery; stresses the importance of reducing the time between the submission of an application for EUSF assistance and the financing decision; calls for effort to be made to ensure that EUSF aid reaches its final recipients promptly, including businesses, SMEs, families, and affected citizens, as well as infrastructure reconstruction and material damage repair, all with the corresponding impact assessment and appropriate control mechanisms; </w:t>
      </w:r>
    </w:p>
    <w:p w:rsidR="00872DA8" w:rsidRPr="00D022F4" w:rsidP="00872DA8" w14:paraId="5095A859" w14:textId="5B3B170F">
      <w:pPr>
        <w:spacing w:after="240"/>
        <w:ind w:left="570" w:hanging="570"/>
        <w:rPr>
          <w:rFonts w:eastAsia="Aptos"/>
          <w:noProof/>
          <w:kern w:val="2"/>
          <w:lang w:eastAsia="en-US"/>
          <w14:ligatures w14:val="standardContextual"/>
        </w:rPr>
      </w:pPr>
      <w:r w:rsidRPr="00D022F4">
        <w:rPr>
          <w:rFonts w:eastAsia="Aptos"/>
          <w:noProof/>
          <w:kern w:val="2"/>
          <w:lang w:eastAsia="en-US"/>
          <w14:ligatures w14:val="standardContextual"/>
        </w:rPr>
        <w:t>1</w:t>
      </w:r>
      <w:r w:rsidRPr="00D022F4" w:rsidR="00CC2A52">
        <w:rPr>
          <w:rFonts w:eastAsia="Aptos"/>
          <w:noProof/>
          <w:kern w:val="2"/>
          <w:lang w:eastAsia="en-US"/>
          <w14:ligatures w14:val="standardContextual"/>
        </w:rPr>
        <w:t>4</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Underlines the need to simplify and accelerate internal procedures, through appropriate technical assistance, in order to address specific structural and climate-related vulnerabilities without undermining the institutional balance, in particular the rights of the Parliament as budgetary and discharge authority;</w:t>
      </w:r>
    </w:p>
    <w:p w:rsidR="00872DA8" w:rsidRPr="00D022F4" w:rsidP="00872DA8" w14:paraId="1D6517F7" w14:textId="36529A07">
      <w:pPr>
        <w:spacing w:after="240"/>
        <w:ind w:left="570" w:hanging="570"/>
        <w:rPr>
          <w:rFonts w:eastAsia="Aptos"/>
          <w:i/>
          <w:iCs/>
          <w:noProof/>
          <w:kern w:val="2"/>
          <w:lang w:eastAsia="en-US"/>
          <w14:ligatures w14:val="standardContextual"/>
        </w:rPr>
      </w:pPr>
      <w:r w:rsidRPr="00D022F4">
        <w:rPr>
          <w:rFonts w:eastAsia="Aptos"/>
          <w:noProof/>
          <w:kern w:val="2"/>
          <w:lang w:eastAsia="en-US"/>
          <w14:ligatures w14:val="standardContextual"/>
        </w:rPr>
        <w:t>1</w:t>
      </w:r>
      <w:r w:rsidRPr="00D022F4" w:rsidR="00CC2A52">
        <w:rPr>
          <w:rFonts w:eastAsia="Aptos"/>
          <w:noProof/>
          <w:kern w:val="2"/>
          <w:lang w:eastAsia="en-US"/>
          <w14:ligatures w14:val="standardContextual"/>
        </w:rPr>
        <w:t>5</w:t>
      </w:r>
      <w:r w:rsidRPr="00D022F4">
        <w:rPr>
          <w:rFonts w:eastAsia="Aptos"/>
          <w:noProof/>
          <w:kern w:val="2"/>
          <w:lang w:eastAsia="en-US"/>
          <w14:ligatures w14:val="standardContextual"/>
        </w:rPr>
        <w:t>.</w:t>
      </w:r>
      <w:r w:rsidRPr="00D022F4">
        <w:rPr>
          <w:rFonts w:eastAsia="Aptos"/>
          <w:noProof/>
          <w:kern w:val="2"/>
          <w:lang w:eastAsia="en-US"/>
          <w14:ligatures w14:val="standardContextual"/>
        </w:rPr>
        <w:tab/>
        <w:t>Reiterates the importance of effectively communicating to the public the tangible benefits brought about by EUSF, also to strengthen targeted communication and visibility measures, and further increase citizens’ awareness of Union tools and programmes and reinforce public’s adherence to the European project; underlines that the EUSF is a concrete expression of European solidarity, demonstrating that the Union stands with victims, citizens, communities and regions affected by storms in Malta, Italy, Portugal and Spain; stresses that communicating the tangible benefits of EUSF support is essential to strengthening citizens’ confidence in the European project and in the Union’s capacity to protect people during the increasing number of severe, destructive and deadly natural disasters in Europe; calls on the Member States to share best practices on increasing the EUSF’s visibility;</w:t>
      </w:r>
      <w:r w:rsidRPr="00D022F4">
        <w:rPr>
          <w:rFonts w:eastAsia="Aptos"/>
          <w:b/>
          <w:bCs/>
          <w:i/>
          <w:iCs/>
          <w:noProof/>
          <w:kern w:val="2"/>
          <w:lang w:eastAsia="en-US"/>
          <w14:ligatures w14:val="standardContextual"/>
        </w:rPr>
        <w:t xml:space="preserve"> </w:t>
      </w:r>
    </w:p>
    <w:p w:rsidR="00B14D3B" w:rsidRPr="00D022F4" w:rsidP="000B3473" w14:paraId="4F2DA97B" w14:textId="2F947803">
      <w:pPr>
        <w:spacing w:after="240"/>
        <w:ind w:left="570" w:hanging="570"/>
        <w:rPr>
          <w:noProof/>
        </w:rPr>
      </w:pPr>
      <w:r w:rsidRPr="00D022F4">
        <w:rPr>
          <w:rFonts w:eastAsiaTheme="minorHAnsi"/>
          <w:noProof/>
          <w:kern w:val="2"/>
          <w:szCs w:val="24"/>
          <w:lang w:eastAsia="en-US"/>
          <w14:ligatures w14:val="standardContextual"/>
        </w:rPr>
        <w:t>1</w:t>
      </w:r>
      <w:r w:rsidRPr="00D022F4" w:rsidR="00CC2A52">
        <w:rPr>
          <w:rFonts w:eastAsiaTheme="minorHAnsi"/>
          <w:noProof/>
          <w:kern w:val="2"/>
          <w:szCs w:val="24"/>
          <w:lang w:eastAsia="en-US"/>
          <w14:ligatures w14:val="standardContextual"/>
        </w:rPr>
        <w:t>6</w:t>
      </w:r>
      <w:r w:rsidRPr="00D022F4">
        <w:rPr>
          <w:rFonts w:eastAsiaTheme="minorHAnsi"/>
          <w:noProof/>
          <w:kern w:val="2"/>
          <w:szCs w:val="24"/>
          <w:lang w:eastAsia="en-US"/>
          <w14:ligatures w14:val="standardContextual"/>
        </w:rPr>
        <w:t>.</w:t>
      </w:r>
      <w:r w:rsidRPr="00D022F4">
        <w:rPr>
          <w:rFonts w:eastAsiaTheme="minorHAnsi"/>
          <w:noProof/>
          <w:kern w:val="2"/>
          <w:szCs w:val="24"/>
          <w:lang w:eastAsia="en-US"/>
          <w14:ligatures w14:val="standardContextual"/>
        </w:rPr>
        <w:tab/>
      </w:r>
      <w:r w:rsidRPr="00D022F4">
        <w:rPr>
          <w:noProof/>
        </w:rPr>
        <w:t>Approves the decision annexed to this resolution;</w:t>
      </w:r>
    </w:p>
    <w:p w:rsidR="00B14D3B" w:rsidRPr="00D022F4" w:rsidP="000B3473" w14:paraId="1559167D" w14:textId="6DCCDB69">
      <w:pPr>
        <w:spacing w:after="240"/>
        <w:ind w:left="570" w:hanging="570"/>
        <w:rPr>
          <w:noProof/>
        </w:rPr>
      </w:pPr>
      <w:r w:rsidRPr="00D022F4">
        <w:rPr>
          <w:rFonts w:eastAsiaTheme="minorHAnsi"/>
          <w:noProof/>
          <w:kern w:val="2"/>
          <w:szCs w:val="24"/>
          <w:lang w:eastAsia="en-US"/>
          <w14:ligatures w14:val="standardContextual"/>
        </w:rPr>
        <w:t>1</w:t>
      </w:r>
      <w:r w:rsidRPr="00D022F4" w:rsidR="00CC2A52">
        <w:rPr>
          <w:rFonts w:eastAsiaTheme="minorHAnsi"/>
          <w:noProof/>
          <w:kern w:val="2"/>
          <w:szCs w:val="24"/>
          <w:lang w:eastAsia="en-US"/>
          <w14:ligatures w14:val="standardContextual"/>
        </w:rPr>
        <w:t>7</w:t>
      </w:r>
      <w:r w:rsidRPr="00D022F4">
        <w:rPr>
          <w:rFonts w:eastAsiaTheme="minorHAnsi"/>
          <w:noProof/>
          <w:kern w:val="2"/>
          <w:szCs w:val="24"/>
          <w:lang w:eastAsia="en-US"/>
          <w14:ligatures w14:val="standardContextual"/>
        </w:rPr>
        <w:t>.</w:t>
      </w:r>
      <w:r w:rsidRPr="00D022F4">
        <w:rPr>
          <w:rFonts w:eastAsiaTheme="minorHAnsi"/>
          <w:noProof/>
          <w:kern w:val="2"/>
          <w:szCs w:val="24"/>
          <w:lang w:eastAsia="en-US"/>
          <w14:ligatures w14:val="standardContextual"/>
        </w:rPr>
        <w:tab/>
      </w:r>
      <w:r w:rsidRPr="00D022F4">
        <w:rPr>
          <w:noProof/>
        </w:rPr>
        <w:t xml:space="preserve">Instructs its President to sign the decision with the President of the Council and arrange for its publication in the </w:t>
      </w:r>
      <w:r w:rsidRPr="00D022F4">
        <w:rPr>
          <w:i/>
          <w:iCs/>
          <w:noProof/>
        </w:rPr>
        <w:t>Official Journal of the European Union</w:t>
      </w:r>
      <w:r w:rsidRPr="00D022F4">
        <w:rPr>
          <w:noProof/>
        </w:rPr>
        <w:t>;</w:t>
      </w:r>
    </w:p>
    <w:p w:rsidR="00B14D3B" w:rsidRPr="00D022F4" w:rsidP="000B3473" w14:paraId="15C06E8A" w14:textId="670A408E">
      <w:pPr>
        <w:spacing w:after="240"/>
        <w:ind w:left="570" w:hanging="570"/>
        <w:rPr>
          <w:noProof/>
        </w:rPr>
      </w:pPr>
      <w:r w:rsidRPr="00D022F4">
        <w:rPr>
          <w:rFonts w:eastAsiaTheme="minorHAnsi"/>
          <w:noProof/>
          <w:kern w:val="2"/>
          <w:szCs w:val="24"/>
          <w:lang w:eastAsia="en-US"/>
          <w14:ligatures w14:val="standardContextual"/>
        </w:rPr>
        <w:t>1</w:t>
      </w:r>
      <w:r w:rsidRPr="00D022F4" w:rsidR="00CC2A52">
        <w:rPr>
          <w:rFonts w:eastAsiaTheme="minorHAnsi"/>
          <w:noProof/>
          <w:kern w:val="2"/>
          <w:szCs w:val="24"/>
          <w:lang w:eastAsia="en-US"/>
          <w14:ligatures w14:val="standardContextual"/>
        </w:rPr>
        <w:t>8</w:t>
      </w:r>
      <w:r w:rsidRPr="00D022F4">
        <w:rPr>
          <w:rFonts w:eastAsiaTheme="minorHAnsi"/>
          <w:noProof/>
          <w:kern w:val="2"/>
          <w:szCs w:val="24"/>
          <w:lang w:eastAsia="en-US"/>
          <w14:ligatures w14:val="standardContextual"/>
        </w:rPr>
        <w:t>.</w:t>
      </w:r>
      <w:r w:rsidRPr="00D022F4">
        <w:rPr>
          <w:rFonts w:eastAsiaTheme="minorHAnsi"/>
          <w:noProof/>
          <w:kern w:val="2"/>
          <w:szCs w:val="24"/>
          <w:lang w:eastAsia="en-US"/>
          <w14:ligatures w14:val="standardContextual"/>
        </w:rPr>
        <w:tab/>
      </w:r>
      <w:r w:rsidRPr="00D022F4">
        <w:rPr>
          <w:noProof/>
        </w:rPr>
        <w:t>Instructs its President to forward this resolution, including its annex, to the Council and the Commission.</w:t>
      </w:r>
    </w:p>
    <w:p w:rsidR="00616E75" w:rsidRPr="00D022F4" w:rsidP="0052720D" w14:paraId="6AF9C898" w14:textId="77777777">
      <w:pPr>
        <w:rPr>
          <w:noProof/>
        </w:rPr>
      </w:pPr>
    </w:p>
    <w:p w:rsidR="00616E75" w:rsidRPr="00D022F4" w14:paraId="0B91660F" w14:textId="77777777">
      <w:pPr>
        <w:pStyle w:val="PageHeading"/>
        <w:rPr>
          <w:noProof/>
        </w:rPr>
        <w:sectPr w:rsidSect="00D022F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4D2440" w:rsidRPr="00D022F4" w14:paraId="64050438" w14:textId="77777777">
      <w:pPr>
        <w:pStyle w:val="PageHeading"/>
        <w:rPr>
          <w:noProof/>
        </w:rPr>
      </w:pPr>
      <w:bookmarkStart w:id="1" w:name="_Toc242881398"/>
      <w:r w:rsidRPr="00D022F4">
        <w:rPr>
          <w:noProof/>
        </w:rPr>
        <w:t>ANNEX: DECISION OF THE EUROPEAN PARLIAMENT AND OF THE COUNCIL</w:t>
      </w:r>
      <w:bookmarkEnd w:id="1"/>
    </w:p>
    <w:p w:rsidR="00B14D3B" w:rsidRPr="00D022F4" w:rsidP="00B14D3B" w14:paraId="211947AC" w14:textId="77777777">
      <w:pPr>
        <w:spacing w:after="480"/>
        <w:rPr>
          <w:b/>
          <w:bCs/>
        </w:rPr>
      </w:pPr>
      <w:r w:rsidRPr="00D022F4">
        <w:rPr>
          <w:b/>
          <w:bCs/>
        </w:rPr>
        <w:t xml:space="preserve">on the mobilisation of the European Union Solidarity Fund to </w:t>
      </w:r>
      <w:r w:rsidRPr="00D022F4">
        <w:rPr>
          <w:b/>
          <w:bCs/>
        </w:rPr>
        <w:t>provide assistance to</w:t>
      </w:r>
      <w:r w:rsidRPr="00D022F4">
        <w:rPr>
          <w:b/>
          <w:bCs/>
        </w:rPr>
        <w:t xml:space="preserve"> Malta and Italy regarding the storm Harry in January 2026 and to Portugal and Spain following the storms in January and February 2026 </w:t>
      </w:r>
    </w:p>
    <w:p w:rsidR="00B14D3B" w:rsidRPr="00D022F4" w:rsidP="00B14D3B" w14:paraId="6F9766E5" w14:textId="77777777">
      <w:pPr>
        <w:keepNext/>
        <w:widowControl/>
        <w:spacing w:before="600" w:after="120"/>
        <w:jc w:val="both"/>
        <w:rPr>
          <w:rFonts w:eastAsia="Calibri"/>
          <w:noProof/>
          <w:szCs w:val="22"/>
          <w:lang w:eastAsia="en-US"/>
        </w:rPr>
      </w:pPr>
      <w:r w:rsidRPr="00D022F4">
        <w:rPr>
          <w:rFonts w:eastAsia="Calibri"/>
          <w:noProof/>
          <w:szCs w:val="22"/>
          <w:lang w:eastAsia="en-US"/>
        </w:rPr>
        <w:t>THE EUROPEAN PARLIAMENT AND THE COUNCIL OF THE EUROPEAN UNION,</w:t>
      </w:r>
    </w:p>
    <w:p w:rsidR="00B14D3B" w:rsidRPr="00D022F4" w:rsidP="00B14D3B" w14:paraId="1E536444" w14:textId="77777777">
      <w:pPr>
        <w:widowControl/>
        <w:spacing w:before="120" w:after="120"/>
        <w:jc w:val="both"/>
        <w:rPr>
          <w:rFonts w:eastAsia="Calibri"/>
          <w:noProof/>
          <w:szCs w:val="22"/>
          <w:lang w:eastAsia="en-US"/>
        </w:rPr>
      </w:pPr>
      <w:r w:rsidRPr="00D022F4">
        <w:rPr>
          <w:rFonts w:eastAsia="Calibri"/>
          <w:noProof/>
          <w:szCs w:val="22"/>
          <w:lang w:eastAsia="en-US"/>
        </w:rPr>
        <w:t>Having regard to the Treaty on the Functioning of the European Union,</w:t>
      </w:r>
    </w:p>
    <w:p w:rsidR="00B14D3B" w:rsidRPr="00D022F4" w:rsidP="00B14D3B" w14:paraId="003A4EF6" w14:textId="77777777">
      <w:pPr>
        <w:widowControl/>
        <w:spacing w:before="120" w:after="120"/>
        <w:jc w:val="both"/>
        <w:rPr>
          <w:rFonts w:eastAsia="Calibri"/>
          <w:noProof/>
          <w:szCs w:val="22"/>
          <w:lang w:eastAsia="en-US"/>
        </w:rPr>
      </w:pPr>
      <w:r w:rsidRPr="00D022F4">
        <w:rPr>
          <w:rFonts w:eastAsia="Calibri"/>
          <w:noProof/>
          <w:szCs w:val="22"/>
          <w:lang w:eastAsia="en-US"/>
        </w:rPr>
        <w:t>Having regard to Council Regulation (EC) No 2012/2002 of 11 November 2002 establishing the European Union Solidarity Fund</w:t>
      </w:r>
      <w:r>
        <w:rPr>
          <w:rFonts w:eastAsia="Calibri"/>
          <w:noProof/>
          <w:szCs w:val="22"/>
          <w:vertAlign w:val="superscript"/>
          <w:lang w:eastAsia="en-US"/>
        </w:rPr>
        <w:footnoteReference w:id="9"/>
      </w:r>
      <w:r w:rsidRPr="00D022F4">
        <w:rPr>
          <w:rFonts w:eastAsia="Calibri"/>
          <w:noProof/>
          <w:szCs w:val="22"/>
          <w:lang w:eastAsia="en-US"/>
        </w:rPr>
        <w:t>, and in particular Article 4(3) thereof,</w:t>
      </w:r>
    </w:p>
    <w:p w:rsidR="00B12126" w:rsidRPr="00D022F4" w:rsidP="00B12126" w14:paraId="6418FCE6" w14:textId="77777777">
      <w:pPr>
        <w:tabs>
          <w:tab w:val="left" w:pos="567"/>
          <w:tab w:val="left" w:pos="1134"/>
        </w:tabs>
        <w:rPr>
          <w:noProof/>
        </w:rPr>
      </w:pPr>
      <w:r w:rsidRPr="00D022F4">
        <w:rPr>
          <w:noProof/>
        </w:rPr>
        <w:t>Having regard to Council Regulation (EU, Euratom) 2020/2093 of 17 December 2020 laying down the multiannual financial framework for the years 2021 to 2027</w:t>
      </w:r>
      <w:r>
        <w:rPr>
          <w:rStyle w:val="FootnoteReference"/>
          <w:noProof/>
        </w:rPr>
        <w:footnoteReference w:id="10"/>
      </w:r>
      <w:r w:rsidRPr="00D022F4">
        <w:rPr>
          <w:noProof/>
        </w:rPr>
        <w:t>, and in particular Article 9 thereof,</w:t>
      </w:r>
    </w:p>
    <w:p w:rsidR="00B14D3B" w:rsidRPr="00D022F4" w:rsidP="00B14D3B" w14:paraId="57F3E711" w14:textId="0D0843A8">
      <w:pPr>
        <w:widowControl/>
        <w:spacing w:before="120" w:after="120"/>
        <w:jc w:val="both"/>
        <w:rPr>
          <w:rFonts w:eastAsia="Calibri"/>
          <w:noProof/>
          <w:szCs w:val="22"/>
          <w:lang w:eastAsia="en-US"/>
        </w:rPr>
      </w:pPr>
      <w:r w:rsidRPr="00D022F4">
        <w:rPr>
          <w:rFonts w:eastAsia="Calibri"/>
          <w:noProof/>
          <w:szCs w:val="22"/>
          <w:lang w:eastAsia="en-US"/>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Fonts w:eastAsia="Calibri"/>
          <w:noProof/>
          <w:szCs w:val="22"/>
          <w:vertAlign w:val="superscript"/>
          <w:lang w:eastAsia="en-US"/>
        </w:rPr>
        <w:footnoteReference w:id="11"/>
      </w:r>
      <w:r w:rsidRPr="00D022F4">
        <w:rPr>
          <w:rFonts w:eastAsia="Calibri"/>
          <w:noProof/>
          <w:szCs w:val="22"/>
          <w:lang w:eastAsia="en-US"/>
        </w:rPr>
        <w:t>, and in particular point 10 thereof,</w:t>
      </w:r>
    </w:p>
    <w:p w:rsidR="00B14D3B" w:rsidRPr="00D022F4" w:rsidP="00B14D3B" w14:paraId="42F45DC1" w14:textId="77777777">
      <w:pPr>
        <w:widowControl/>
        <w:spacing w:before="120" w:after="120"/>
        <w:jc w:val="both"/>
        <w:rPr>
          <w:rFonts w:eastAsia="Calibri"/>
          <w:noProof/>
          <w:szCs w:val="22"/>
          <w:lang w:eastAsia="en-US"/>
        </w:rPr>
      </w:pPr>
      <w:r w:rsidRPr="00D022F4">
        <w:rPr>
          <w:rFonts w:eastAsia="Calibri"/>
          <w:noProof/>
          <w:szCs w:val="22"/>
          <w:lang w:eastAsia="en-US"/>
        </w:rPr>
        <w:t>Having regard to the proposal from the European Commission,</w:t>
      </w:r>
    </w:p>
    <w:p w:rsidR="00B14D3B" w:rsidRPr="00D022F4" w:rsidP="00B14D3B" w14:paraId="33BD9087" w14:textId="77777777">
      <w:pPr>
        <w:widowControl/>
        <w:spacing w:before="120" w:after="360"/>
        <w:jc w:val="both"/>
        <w:rPr>
          <w:rFonts w:eastAsia="Calibri"/>
          <w:noProof/>
          <w:szCs w:val="22"/>
          <w:lang w:eastAsia="en-US"/>
        </w:rPr>
      </w:pPr>
      <w:r w:rsidRPr="00D022F4">
        <w:rPr>
          <w:rFonts w:eastAsia="Calibri"/>
          <w:noProof/>
          <w:szCs w:val="22"/>
          <w:lang w:eastAsia="en-US"/>
        </w:rPr>
        <w:t>Whereas:</w:t>
      </w:r>
    </w:p>
    <w:p w:rsidR="00B14D3B" w:rsidRPr="00D022F4" w:rsidP="000B3473" w14:paraId="0A5E559A" w14:textId="111833EA">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(1)</w:t>
      </w:r>
      <w:r w:rsidRPr="00D022F4">
        <w:rPr>
          <w:rFonts w:eastAsia="Calibri"/>
          <w:szCs w:val="22"/>
          <w:lang w:eastAsia="en-US"/>
        </w:rPr>
        <w:tab/>
      </w:r>
      <w:r w:rsidRPr="00D022F4">
        <w:rPr>
          <w:rFonts w:eastAsia="Calibri"/>
          <w:szCs w:val="22"/>
          <w:lang w:eastAsia="en-US"/>
        </w:rPr>
        <w:t xml:space="preserve">The European Union Solidarity Fund ('the </w:t>
      </w:r>
      <w:r w:rsidRPr="00D022F4" w:rsidR="00B12126">
        <w:rPr>
          <w:rFonts w:eastAsia="Calibri"/>
          <w:szCs w:val="22"/>
          <w:lang w:eastAsia="en-US"/>
        </w:rPr>
        <w:t>Fund'</w:t>
      </w:r>
      <w:r w:rsidRPr="00D022F4">
        <w:rPr>
          <w:rFonts w:eastAsia="Calibri"/>
          <w:szCs w:val="22"/>
          <w:lang w:eastAsia="en-US"/>
        </w:rPr>
        <w:t xml:space="preserve">) aims to enable the Union to respond in a rapid, efficient and flexible manner to emergency situations </w:t>
      </w:r>
      <w:r w:rsidRPr="00D022F4">
        <w:rPr>
          <w:rFonts w:eastAsia="Calibri"/>
          <w:szCs w:val="22"/>
          <w:lang w:eastAsia="en-US"/>
        </w:rPr>
        <w:t>in order to</w:t>
      </w:r>
      <w:r w:rsidRPr="00D022F4">
        <w:rPr>
          <w:rFonts w:eastAsia="Calibri"/>
          <w:szCs w:val="22"/>
          <w:lang w:eastAsia="en-US"/>
        </w:rPr>
        <w:t xml:space="preserve"> show solidarity with the population of regions struck by major or regional natural disasters or major public health emergency.</w:t>
      </w:r>
    </w:p>
    <w:p w:rsidR="00B14D3B" w:rsidRPr="00D022F4" w:rsidP="000B3473" w14:paraId="60069E27" w14:textId="0F5B79B4">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2</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The </w:t>
      </w:r>
      <w:r w:rsidRPr="00D022F4" w:rsidR="00B12126">
        <w:rPr>
          <w:rFonts w:eastAsia="Calibri"/>
          <w:szCs w:val="22"/>
          <w:lang w:eastAsia="en-US"/>
        </w:rPr>
        <w:t xml:space="preserve">Fund </w:t>
      </w:r>
      <w:r w:rsidRPr="00D022F4">
        <w:rPr>
          <w:rFonts w:eastAsia="Calibri"/>
          <w:szCs w:val="22"/>
          <w:lang w:eastAsia="en-US"/>
        </w:rPr>
        <w:t>is not to exceed the ceilings laid down in Article 9 of Council Regulation (EU, Euratom) 2020/2093</w:t>
      </w:r>
      <w:r w:rsidRPr="00D022F4" w:rsidR="00B12126">
        <w:rPr>
          <w:rFonts w:eastAsia="Calibri"/>
          <w:szCs w:val="22"/>
          <w:lang w:eastAsia="en-US"/>
        </w:rPr>
        <w:t>, as amended by Regulation (EU, Euratom) 2024/765</w:t>
      </w:r>
      <w:r>
        <w:rPr>
          <w:rStyle w:val="FootnoteReference"/>
          <w:rFonts w:eastAsia="Calibri"/>
          <w:szCs w:val="22"/>
          <w:lang w:eastAsia="en-US"/>
        </w:rPr>
        <w:footnoteReference w:id="12"/>
      </w:r>
      <w:r w:rsidRPr="00D022F4">
        <w:rPr>
          <w:rFonts w:eastAsia="Calibri"/>
          <w:szCs w:val="22"/>
          <w:lang w:eastAsia="en-US"/>
        </w:rPr>
        <w:t>.</w:t>
      </w:r>
    </w:p>
    <w:p w:rsidR="00B14D3B" w:rsidRPr="00D022F4" w:rsidP="000B3473" w14:paraId="78EE3A9F" w14:textId="4358BA5E">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3</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On 10 April 2026, Malta </w:t>
      </w:r>
      <w:r w:rsidRPr="00D022F4">
        <w:rPr>
          <w:rFonts w:eastAsia="Calibri"/>
          <w:szCs w:val="22"/>
          <w:lang w:eastAsia="en-US"/>
        </w:rPr>
        <w:t>submitted an application</w:t>
      </w:r>
      <w:r w:rsidRPr="00D022F4">
        <w:rPr>
          <w:rFonts w:eastAsia="Calibri"/>
          <w:szCs w:val="22"/>
          <w:lang w:eastAsia="en-US"/>
        </w:rPr>
        <w:t xml:space="preserve"> to mobilise the </w:t>
      </w:r>
      <w:r w:rsidRPr="00D022F4" w:rsidR="00B12126">
        <w:rPr>
          <w:rFonts w:eastAsia="Calibri"/>
          <w:szCs w:val="22"/>
          <w:lang w:eastAsia="en-US"/>
        </w:rPr>
        <w:t xml:space="preserve">Fund </w:t>
      </w:r>
      <w:r w:rsidRPr="00D022F4">
        <w:rPr>
          <w:rFonts w:eastAsia="Calibri"/>
          <w:szCs w:val="22"/>
          <w:lang w:eastAsia="en-US"/>
        </w:rPr>
        <w:t>following storm Harry in January 2026.</w:t>
      </w:r>
    </w:p>
    <w:p w:rsidR="00B14D3B" w:rsidRPr="00D022F4" w:rsidP="000B3473" w14:paraId="664BDAA6" w14:textId="3DF28908">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4</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On 10 April 2026, Italy </w:t>
      </w:r>
      <w:r w:rsidRPr="00D022F4">
        <w:rPr>
          <w:rFonts w:eastAsia="Calibri"/>
          <w:szCs w:val="22"/>
          <w:lang w:eastAsia="en-US"/>
        </w:rPr>
        <w:t>submitted an application</w:t>
      </w:r>
      <w:r w:rsidRPr="00D022F4">
        <w:rPr>
          <w:rFonts w:eastAsia="Calibri"/>
          <w:szCs w:val="22"/>
          <w:lang w:eastAsia="en-US"/>
        </w:rPr>
        <w:t xml:space="preserve"> to mobilise the </w:t>
      </w:r>
      <w:r w:rsidRPr="00D022F4" w:rsidR="00B12126">
        <w:rPr>
          <w:rFonts w:eastAsia="Calibri"/>
          <w:szCs w:val="22"/>
          <w:lang w:eastAsia="en-US"/>
        </w:rPr>
        <w:t xml:space="preserve">Fund </w:t>
      </w:r>
      <w:r w:rsidRPr="00D022F4">
        <w:rPr>
          <w:rFonts w:eastAsia="Calibri"/>
          <w:szCs w:val="22"/>
          <w:lang w:eastAsia="en-US"/>
        </w:rPr>
        <w:t>following storm Harry in January 2026.</w:t>
      </w:r>
    </w:p>
    <w:p w:rsidR="00B14D3B" w:rsidRPr="00D022F4" w:rsidP="000B3473" w14:paraId="070FF9EF" w14:textId="1C7FCC6E">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5</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On 13 April 2026, Portugal </w:t>
      </w:r>
      <w:r w:rsidRPr="00D022F4">
        <w:rPr>
          <w:rFonts w:eastAsia="Calibri"/>
          <w:szCs w:val="22"/>
          <w:lang w:eastAsia="en-US"/>
        </w:rPr>
        <w:t>submitted an application</w:t>
      </w:r>
      <w:r w:rsidRPr="00D022F4">
        <w:rPr>
          <w:rFonts w:eastAsia="Calibri"/>
          <w:szCs w:val="22"/>
          <w:lang w:eastAsia="en-US"/>
        </w:rPr>
        <w:t xml:space="preserve"> to mobilise the </w:t>
      </w:r>
      <w:r w:rsidRPr="00D022F4" w:rsidR="00B12126">
        <w:rPr>
          <w:rFonts w:eastAsia="Calibri"/>
          <w:szCs w:val="22"/>
          <w:lang w:eastAsia="en-US"/>
        </w:rPr>
        <w:t xml:space="preserve">Fund </w:t>
      </w:r>
      <w:r w:rsidRPr="00D022F4">
        <w:rPr>
          <w:rFonts w:eastAsia="Calibri"/>
          <w:szCs w:val="22"/>
          <w:lang w:eastAsia="en-US"/>
        </w:rPr>
        <w:t>following the storms in January and February 2026.</w:t>
      </w:r>
    </w:p>
    <w:p w:rsidR="00B14D3B" w:rsidRPr="00D022F4" w:rsidP="000B3473" w14:paraId="0AF40152" w14:textId="6DD2473D">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6</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On 17 April 2026, Spain </w:t>
      </w:r>
      <w:r w:rsidRPr="00D022F4">
        <w:rPr>
          <w:rFonts w:eastAsia="Calibri"/>
          <w:szCs w:val="22"/>
          <w:lang w:eastAsia="en-US"/>
        </w:rPr>
        <w:t>submitted an application</w:t>
      </w:r>
      <w:r w:rsidRPr="00D022F4">
        <w:rPr>
          <w:rFonts w:eastAsia="Calibri"/>
          <w:szCs w:val="22"/>
          <w:lang w:eastAsia="en-US"/>
        </w:rPr>
        <w:t xml:space="preserve"> to mobilise the </w:t>
      </w:r>
      <w:r w:rsidRPr="00D022F4" w:rsidR="00B12126">
        <w:rPr>
          <w:rFonts w:eastAsia="Calibri"/>
          <w:szCs w:val="22"/>
          <w:lang w:eastAsia="en-US"/>
        </w:rPr>
        <w:t xml:space="preserve">Fund </w:t>
      </w:r>
      <w:r w:rsidRPr="00D022F4">
        <w:rPr>
          <w:rFonts w:eastAsia="Calibri"/>
          <w:szCs w:val="22"/>
          <w:lang w:eastAsia="en-US"/>
        </w:rPr>
        <w:t>following the storms in January and February 2026.</w:t>
      </w:r>
    </w:p>
    <w:p w:rsidR="00B14D3B" w:rsidRPr="00D022F4" w:rsidP="000B3473" w14:paraId="4DE362CE" w14:textId="3703E09A">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7</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Those applications meet the conditions for providing a financial contribution from the </w:t>
      </w:r>
      <w:r w:rsidRPr="00D022F4" w:rsidR="00B12126">
        <w:rPr>
          <w:rFonts w:eastAsia="Calibri"/>
          <w:szCs w:val="22"/>
          <w:lang w:eastAsia="en-US"/>
        </w:rPr>
        <w:t>Fund</w:t>
      </w:r>
      <w:r w:rsidRPr="00D022F4">
        <w:rPr>
          <w:rFonts w:eastAsia="Calibri"/>
          <w:szCs w:val="22"/>
          <w:lang w:eastAsia="en-US"/>
        </w:rPr>
        <w:t>, as laid down in Article 4 of Regulation (EC) No 2012/2002.</w:t>
      </w:r>
    </w:p>
    <w:p w:rsidR="00B14D3B" w:rsidRPr="00D022F4" w:rsidP="000B3473" w14:paraId="275265A2" w14:textId="2ACC4E16">
      <w:pPr>
        <w:widowControl/>
        <w:tabs>
          <w:tab w:val="left" w:pos="709"/>
        </w:tabs>
        <w:spacing w:before="120" w:after="120"/>
        <w:ind w:left="709" w:hanging="709"/>
        <w:jc w:val="both"/>
        <w:rPr>
          <w:rFonts w:eastAsia="Calibri"/>
          <w:szCs w:val="22"/>
          <w:lang w:eastAsia="en-US"/>
        </w:rPr>
      </w:pPr>
      <w:r w:rsidRPr="00D022F4">
        <w:rPr>
          <w:rFonts w:eastAsia="Calibri"/>
          <w:szCs w:val="22"/>
          <w:lang w:eastAsia="en-US"/>
        </w:rPr>
        <w:t>(</w:t>
      </w:r>
      <w:r w:rsidRPr="00D022F4" w:rsidR="00294518">
        <w:rPr>
          <w:rFonts w:eastAsia="Calibri"/>
          <w:szCs w:val="22"/>
          <w:lang w:eastAsia="en-US"/>
        </w:rPr>
        <w:t>8</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The </w:t>
      </w:r>
      <w:r w:rsidRPr="00D022F4" w:rsidR="00B12126">
        <w:rPr>
          <w:rFonts w:eastAsia="Calibri"/>
          <w:szCs w:val="22"/>
          <w:lang w:eastAsia="en-US"/>
        </w:rPr>
        <w:t xml:space="preserve">Fund </w:t>
      </w:r>
      <w:r w:rsidRPr="00D022F4">
        <w:rPr>
          <w:rFonts w:eastAsia="Calibri"/>
          <w:szCs w:val="22"/>
          <w:lang w:eastAsia="en-US"/>
        </w:rPr>
        <w:t>should therefore be mobilised to provide a financial contribution to Malta, Italy, Portugal and Spain.</w:t>
      </w:r>
    </w:p>
    <w:p w:rsidR="00B14D3B" w:rsidRPr="00D022F4" w:rsidP="000B3473" w14:paraId="1F11C7CD" w14:textId="7ADC692C">
      <w:pPr>
        <w:widowControl/>
        <w:tabs>
          <w:tab w:val="left" w:pos="709"/>
        </w:tabs>
        <w:spacing w:before="120" w:after="120"/>
        <w:ind w:left="709" w:hanging="709"/>
        <w:jc w:val="both"/>
        <w:rPr>
          <w:rFonts w:eastAsia="Calibri"/>
          <w:szCs w:val="22"/>
          <w:lang w:eastAsia="en-US"/>
        </w:rPr>
      </w:pPr>
      <w:bookmarkStart w:id="2" w:name="_Hlk228958840"/>
      <w:r w:rsidRPr="00D022F4">
        <w:rPr>
          <w:rFonts w:eastAsia="Calibri"/>
          <w:szCs w:val="22"/>
          <w:lang w:eastAsia="en-US"/>
        </w:rPr>
        <w:t>(</w:t>
      </w:r>
      <w:r w:rsidRPr="00D022F4" w:rsidR="00294518">
        <w:rPr>
          <w:rFonts w:eastAsia="Calibri"/>
          <w:szCs w:val="22"/>
          <w:lang w:eastAsia="en-US"/>
        </w:rPr>
        <w:t>9</w:t>
      </w:r>
      <w:r w:rsidRPr="00D022F4">
        <w:rPr>
          <w:rFonts w:eastAsia="Calibri"/>
          <w:szCs w:val="22"/>
          <w:lang w:eastAsia="en-US"/>
        </w:rPr>
        <w:t>)</w:t>
      </w:r>
      <w:r w:rsidRPr="00D022F4">
        <w:rPr>
          <w:rFonts w:eastAsia="Calibri"/>
          <w:szCs w:val="22"/>
          <w:lang w:eastAsia="en-US"/>
        </w:rPr>
        <w:tab/>
      </w:r>
      <w:r w:rsidRPr="00D022F4">
        <w:rPr>
          <w:rFonts w:eastAsia="Calibri"/>
          <w:szCs w:val="22"/>
          <w:lang w:eastAsia="en-US"/>
        </w:rPr>
        <w:t xml:space="preserve">In order to ensure that the Union financial assistance can be made available as rapidly as possible to the Member States affected and to avoid any delay in the mobilisation of the Fund, this Decision should enter into force as a matter of urgency on the day of its publication in the </w:t>
      </w:r>
      <w:r w:rsidRPr="00D022F4">
        <w:rPr>
          <w:rFonts w:eastAsia="Calibri"/>
          <w:i/>
          <w:iCs/>
          <w:szCs w:val="22"/>
          <w:lang w:eastAsia="en-US"/>
        </w:rPr>
        <w:t>Official Journal of the European Union</w:t>
      </w:r>
      <w:r w:rsidRPr="00D022F4">
        <w:rPr>
          <w:rFonts w:eastAsia="Calibri"/>
          <w:szCs w:val="22"/>
          <w:lang w:eastAsia="en-US"/>
        </w:rPr>
        <w:t xml:space="preserve"> and should apply from the date of its adoption,</w:t>
      </w:r>
    </w:p>
    <w:bookmarkEnd w:id="2"/>
    <w:p w:rsidR="00B14D3B" w:rsidRPr="00D022F4" w:rsidP="00B14D3B" w14:paraId="082AD60C" w14:textId="77777777">
      <w:pPr>
        <w:keepNext/>
        <w:widowControl/>
        <w:spacing w:before="120" w:after="120"/>
        <w:jc w:val="both"/>
        <w:rPr>
          <w:rFonts w:eastAsia="Calibri"/>
          <w:noProof/>
          <w:szCs w:val="22"/>
          <w:lang w:eastAsia="en-US"/>
        </w:rPr>
      </w:pPr>
      <w:r w:rsidRPr="00D022F4">
        <w:rPr>
          <w:rFonts w:eastAsia="Calibri"/>
          <w:noProof/>
          <w:szCs w:val="22"/>
          <w:lang w:eastAsia="en-US"/>
        </w:rPr>
        <w:t>HAVE ADOPTED THIS DECISION:</w:t>
      </w:r>
    </w:p>
    <w:p w:rsidR="00B14D3B" w:rsidRPr="00D022F4" w:rsidP="00B14D3B" w14:paraId="6E624447" w14:textId="77777777">
      <w:pPr>
        <w:keepNext/>
        <w:widowControl/>
        <w:spacing w:before="360" w:after="120"/>
        <w:jc w:val="center"/>
        <w:rPr>
          <w:rFonts w:eastAsia="Calibri"/>
          <w:i/>
          <w:noProof/>
          <w:szCs w:val="22"/>
          <w:lang w:eastAsia="en-US"/>
        </w:rPr>
      </w:pPr>
      <w:r w:rsidRPr="00D022F4">
        <w:rPr>
          <w:rFonts w:eastAsia="Calibri"/>
          <w:i/>
          <w:noProof/>
          <w:szCs w:val="22"/>
          <w:lang w:eastAsia="en-US"/>
        </w:rPr>
        <w:t>Article 1</w:t>
      </w:r>
    </w:p>
    <w:p w:rsidR="00B14D3B" w:rsidRPr="00D022F4" w:rsidP="00B14D3B" w14:paraId="4AE2414B" w14:textId="57513EC3">
      <w:pPr>
        <w:widowControl/>
        <w:spacing w:before="120" w:after="120"/>
        <w:jc w:val="both"/>
        <w:rPr>
          <w:rFonts w:eastAsia="Calibri"/>
          <w:noProof/>
          <w:szCs w:val="24"/>
          <w:lang w:eastAsia="en-US"/>
        </w:rPr>
      </w:pPr>
      <w:r w:rsidRPr="00D022F4">
        <w:rPr>
          <w:rFonts w:eastAsia="Calibri"/>
          <w:noProof/>
          <w:szCs w:val="24"/>
          <w:lang w:eastAsia="en-US"/>
        </w:rPr>
        <w:t>For the general budget of the Union</w:t>
      </w:r>
      <w:r w:rsidRPr="00D022F4" w:rsidR="00B12126">
        <w:rPr>
          <w:rFonts w:eastAsia="Calibri"/>
          <w:noProof/>
          <w:szCs w:val="24"/>
          <w:lang w:eastAsia="en-US"/>
        </w:rPr>
        <w:t xml:space="preserve"> for the financial year 2026</w:t>
      </w:r>
      <w:r w:rsidRPr="00D022F4">
        <w:rPr>
          <w:rFonts w:eastAsia="Calibri"/>
          <w:noProof/>
          <w:szCs w:val="24"/>
          <w:lang w:eastAsia="en-US"/>
        </w:rPr>
        <w:t>, the European Union Solidarity Fund shall be mobilised as follows in commitment and payment appropriations in relation to natural disasters:</w:t>
      </w:r>
    </w:p>
    <w:p w:rsidR="00B14D3B" w:rsidRPr="00D022F4" w:rsidP="000B3473" w14:paraId="64EFAA7E" w14:textId="6C0BE993">
      <w:pPr>
        <w:widowControl/>
        <w:tabs>
          <w:tab w:val="left" w:pos="1417"/>
        </w:tabs>
        <w:spacing w:before="120" w:after="120"/>
        <w:ind w:left="1417" w:hanging="567"/>
        <w:jc w:val="both"/>
      </w:pPr>
      <w:r w:rsidRPr="00D022F4">
        <w:t>(a)</w:t>
      </w:r>
      <w:r w:rsidRPr="00D022F4">
        <w:tab/>
      </w:r>
      <w:r w:rsidRPr="00D022F4">
        <w:t>the amount of EUR 3 724 057 shall be provided to Malta following storm Harry in January 2026;</w:t>
      </w:r>
    </w:p>
    <w:p w:rsidR="00B14D3B" w:rsidRPr="00D022F4" w:rsidP="000B3473" w14:paraId="596C9237" w14:textId="416F75ED">
      <w:pPr>
        <w:widowControl/>
        <w:tabs>
          <w:tab w:val="left" w:pos="1417"/>
        </w:tabs>
        <w:spacing w:before="120" w:after="120"/>
        <w:ind w:left="1417" w:hanging="567"/>
        <w:jc w:val="both"/>
      </w:pPr>
      <w:r w:rsidRPr="00D022F4">
        <w:t>(b)</w:t>
      </w:r>
      <w:r w:rsidRPr="00D022F4">
        <w:tab/>
      </w:r>
      <w:r w:rsidRPr="00D022F4">
        <w:t>the amount of EUR 74 884 983 shall be provided to Italy following storm Harry in January 2026;</w:t>
      </w:r>
    </w:p>
    <w:p w:rsidR="00B14D3B" w:rsidRPr="00D022F4" w:rsidP="000B3473" w14:paraId="35323E25" w14:textId="2893995E">
      <w:pPr>
        <w:widowControl/>
        <w:tabs>
          <w:tab w:val="left" w:pos="1417"/>
        </w:tabs>
        <w:spacing w:before="120" w:after="120"/>
        <w:ind w:left="1417" w:hanging="567"/>
        <w:jc w:val="both"/>
      </w:pPr>
      <w:r w:rsidRPr="00D022F4">
        <w:t>(c)</w:t>
      </w:r>
      <w:r w:rsidRPr="00D022F4">
        <w:tab/>
      </w:r>
      <w:r w:rsidRPr="00D022F4">
        <w:t>the amount of EUR 261 483 810 shall be provided to Portugal following the storms in January and February 2026;</w:t>
      </w:r>
    </w:p>
    <w:p w:rsidR="00B14D3B" w:rsidRPr="00D022F4" w:rsidP="000B3473" w14:paraId="6386D613" w14:textId="3CE14151">
      <w:pPr>
        <w:widowControl/>
        <w:tabs>
          <w:tab w:val="left" w:pos="1417"/>
        </w:tabs>
        <w:spacing w:before="120" w:after="120"/>
        <w:ind w:left="1417" w:hanging="567"/>
        <w:jc w:val="both"/>
      </w:pPr>
      <w:r w:rsidRPr="00D022F4">
        <w:t>(d)</w:t>
      </w:r>
      <w:r w:rsidRPr="00D022F4">
        <w:tab/>
      </w:r>
      <w:r w:rsidRPr="00D022F4">
        <w:t>the amount of EUR 149 055 370 shall be provided to Spain following the storms in January and February 2026.</w:t>
      </w:r>
    </w:p>
    <w:p w:rsidR="00B14D3B" w:rsidRPr="00D022F4" w:rsidP="00B14D3B" w14:paraId="46CF7F6D" w14:textId="77777777">
      <w:pPr>
        <w:keepNext/>
        <w:widowControl/>
        <w:spacing w:before="360" w:after="120"/>
        <w:jc w:val="center"/>
        <w:rPr>
          <w:rFonts w:eastAsia="Calibri"/>
          <w:i/>
          <w:noProof/>
          <w:szCs w:val="22"/>
          <w:lang w:eastAsia="en-US"/>
        </w:rPr>
      </w:pPr>
      <w:r w:rsidRPr="00D022F4">
        <w:rPr>
          <w:rFonts w:eastAsia="Calibri"/>
          <w:i/>
          <w:noProof/>
          <w:szCs w:val="22"/>
          <w:lang w:eastAsia="en-US"/>
        </w:rPr>
        <w:t>Article 2</w:t>
      </w:r>
    </w:p>
    <w:p w:rsidR="00B14D3B" w:rsidRPr="00D022F4" w:rsidP="00B14D3B" w14:paraId="21586159" w14:textId="77777777">
      <w:pPr>
        <w:widowControl/>
        <w:spacing w:before="120" w:after="120"/>
        <w:jc w:val="both"/>
        <w:rPr>
          <w:rFonts w:eastAsia="Calibri"/>
          <w:noProof/>
          <w:szCs w:val="22"/>
          <w:lang w:eastAsia="en-US"/>
        </w:rPr>
      </w:pPr>
      <w:r w:rsidRPr="00D022F4">
        <w:rPr>
          <w:rFonts w:eastAsia="Calibri"/>
          <w:noProof/>
          <w:szCs w:val="22"/>
          <w:lang w:eastAsia="en-US"/>
        </w:rPr>
        <w:t xml:space="preserve">This Decision shall enter into force on the day of its publication in the </w:t>
      </w:r>
      <w:r w:rsidRPr="00D022F4">
        <w:rPr>
          <w:rFonts w:eastAsia="Calibri"/>
          <w:i/>
          <w:noProof/>
          <w:szCs w:val="22"/>
          <w:lang w:eastAsia="en-US"/>
        </w:rPr>
        <w:t>Official Journal of the European Union</w:t>
      </w:r>
      <w:r w:rsidRPr="00D022F4">
        <w:rPr>
          <w:rFonts w:eastAsia="Calibri"/>
          <w:noProof/>
          <w:szCs w:val="22"/>
          <w:lang w:eastAsia="en-US"/>
        </w:rPr>
        <w:t>.</w:t>
      </w:r>
    </w:p>
    <w:p w:rsidR="00B14D3B" w:rsidRPr="00D022F4" w:rsidP="00B14D3B" w14:paraId="569B6A9F" w14:textId="77777777">
      <w:pPr>
        <w:keepNext/>
        <w:keepLines/>
        <w:widowControl/>
        <w:spacing w:before="120" w:after="120"/>
        <w:jc w:val="both"/>
        <w:rPr>
          <w:rFonts w:eastAsia="Calibri"/>
          <w:i/>
          <w:noProof/>
          <w:szCs w:val="22"/>
          <w:lang w:eastAsia="en-US"/>
        </w:rPr>
      </w:pPr>
      <w:r w:rsidRPr="00D022F4">
        <w:rPr>
          <w:rFonts w:eastAsia="Calibri"/>
          <w:noProof/>
          <w:szCs w:val="22"/>
          <w:lang w:eastAsia="en-US"/>
        </w:rPr>
        <w:t>It shall apply from  [</w:t>
      </w:r>
      <w:r w:rsidRPr="00D022F4">
        <w:rPr>
          <w:rFonts w:eastAsia="Calibri"/>
          <w:i/>
          <w:noProof/>
          <w:szCs w:val="22"/>
          <w:lang w:eastAsia="en-US"/>
        </w:rPr>
        <w:t>the date of its adoption</w:t>
      </w:r>
      <w:r w:rsidRPr="00D022F4">
        <w:rPr>
          <w:rFonts w:eastAsia="Calibri"/>
          <w:noProof/>
          <w:szCs w:val="22"/>
          <w:lang w:eastAsia="en-US"/>
        </w:rPr>
        <w:t>]</w:t>
      </w:r>
      <w:r w:rsidRPr="00D022F4">
        <w:rPr>
          <w:rFonts w:eastAsia="Calibri"/>
          <w:i/>
          <w:noProof/>
          <w:szCs w:val="22"/>
          <w:lang w:eastAsia="en-US"/>
        </w:rPr>
        <w:t>.</w:t>
      </w:r>
    </w:p>
    <w:p w:rsidR="00B14D3B" w:rsidRPr="00D022F4" w:rsidP="00B14D3B" w14:paraId="2356470E" w14:textId="77777777">
      <w:pPr>
        <w:keepNext/>
        <w:keepLines/>
        <w:widowControl/>
        <w:spacing w:before="120" w:after="120"/>
        <w:jc w:val="both"/>
        <w:rPr>
          <w:rFonts w:eastAsia="Calibri"/>
          <w:i/>
          <w:noProof/>
          <w:szCs w:val="22"/>
          <w:lang w:eastAsia="en-US"/>
        </w:rPr>
      </w:pPr>
    </w:p>
    <w:p w:rsidR="00B14D3B" w:rsidRPr="00D022F4" w:rsidP="00B14D3B" w14:paraId="3FF0B023" w14:textId="77777777">
      <w:pPr>
        <w:keepNext/>
        <w:widowControl/>
        <w:spacing w:before="120"/>
        <w:jc w:val="both"/>
        <w:rPr>
          <w:rFonts w:eastAsia="Calibri"/>
          <w:noProof/>
          <w:szCs w:val="22"/>
          <w:lang w:eastAsia="en-US"/>
        </w:rPr>
      </w:pPr>
      <w:r w:rsidRPr="00D022F4">
        <w:rPr>
          <w:rFonts w:eastAsia="Calibri"/>
          <w:szCs w:val="22"/>
          <w:lang w:eastAsia="en-US"/>
        </w:rPr>
        <w:t>Done at Brussels,</w:t>
      </w:r>
    </w:p>
    <w:p w:rsidR="00B14D3B" w:rsidRPr="00D022F4" w:rsidP="00B14D3B" w14:paraId="0FA21692" w14:textId="77777777">
      <w:pPr>
        <w:keepNext/>
        <w:widowControl/>
        <w:tabs>
          <w:tab w:val="left" w:pos="4252"/>
        </w:tabs>
        <w:spacing w:before="720"/>
        <w:rPr>
          <w:rFonts w:eastAsia="Calibri"/>
          <w:i/>
          <w:noProof/>
          <w:szCs w:val="22"/>
          <w:lang w:eastAsia="en-US"/>
        </w:rPr>
      </w:pPr>
      <w:r w:rsidRPr="00D022F4">
        <w:rPr>
          <w:rFonts w:eastAsia="Calibri"/>
          <w:i/>
          <w:noProof/>
          <w:szCs w:val="22"/>
          <w:lang w:eastAsia="en-US"/>
        </w:rPr>
        <w:t>For the European Parliament</w:t>
      </w:r>
      <w:r w:rsidRPr="00D022F4">
        <w:rPr>
          <w:rFonts w:eastAsia="Calibri"/>
          <w:i/>
          <w:noProof/>
          <w:szCs w:val="22"/>
          <w:lang w:eastAsia="en-US"/>
        </w:rPr>
        <w:tab/>
        <w:t>For the Council</w:t>
      </w:r>
    </w:p>
    <w:p w:rsidR="00B14D3B" w:rsidRPr="00D022F4" w:rsidP="00B14D3B" w14:paraId="58488913" w14:textId="77777777">
      <w:pPr>
        <w:keepNext/>
        <w:widowControl/>
        <w:tabs>
          <w:tab w:val="left" w:pos="4252"/>
        </w:tabs>
        <w:spacing w:before="720"/>
        <w:jc w:val="both"/>
        <w:rPr>
          <w:rFonts w:eastAsia="Calibri"/>
          <w:i/>
          <w:noProof/>
          <w:szCs w:val="22"/>
          <w:lang w:eastAsia="en-US"/>
        </w:rPr>
      </w:pPr>
      <w:r w:rsidRPr="00D022F4">
        <w:rPr>
          <w:rFonts w:eastAsia="Calibri"/>
          <w:i/>
          <w:szCs w:val="22"/>
          <w:lang w:eastAsia="en-US"/>
        </w:rPr>
        <w:t>The President</w:t>
      </w:r>
      <w:r w:rsidRPr="00D022F4">
        <w:rPr>
          <w:rFonts w:eastAsia="Calibri"/>
          <w:i/>
          <w:szCs w:val="22"/>
          <w:lang w:eastAsia="en-US"/>
        </w:rPr>
        <w:tab/>
      </w:r>
      <w:r w:rsidRPr="00D022F4">
        <w:rPr>
          <w:rFonts w:eastAsia="Calibri"/>
          <w:i/>
          <w:szCs w:val="22"/>
          <w:lang w:eastAsia="en-US"/>
        </w:rPr>
        <w:tab/>
      </w:r>
      <w:r w:rsidRPr="00D022F4">
        <w:rPr>
          <w:rFonts w:eastAsia="Calibri"/>
          <w:i/>
          <w:szCs w:val="22"/>
          <w:lang w:eastAsia="en-US"/>
        </w:rPr>
        <w:t>The</w:t>
      </w:r>
      <w:r w:rsidRPr="00D022F4">
        <w:rPr>
          <w:rFonts w:eastAsia="Calibri"/>
          <w:i/>
          <w:szCs w:val="22"/>
          <w:lang w:eastAsia="en-US"/>
        </w:rPr>
        <w:t xml:space="preserve"> President</w:t>
      </w:r>
    </w:p>
    <w:p w:rsidR="000B3473" w:rsidRPr="00D022F4" w14:paraId="23743127" w14:textId="5F70C6DD">
      <w:pPr>
        <w:widowControl/>
      </w:pPr>
      <w:r w:rsidRPr="00D022F4">
        <w:br w:type="page"/>
      </w:r>
    </w:p>
    <w:p w:rsidR="000B3473" w:rsidRPr="00D022F4" w:rsidP="000B3473" w14:paraId="7DB809C3" w14:textId="77777777">
      <w:pPr>
        <w:pStyle w:val="PageHeading"/>
        <w:rPr>
          <w:noProof/>
        </w:rPr>
      </w:pPr>
      <w:bookmarkStart w:id="3" w:name="_Toc210902842"/>
      <w:bookmarkStart w:id="4" w:name="_Toc242881399"/>
      <w:r w:rsidRPr="00D022F4">
        <w:rPr>
          <w:noProof/>
        </w:rPr>
        <w:t>EXPLANATORY STATEMENT</w:t>
      </w:r>
      <w:bookmarkEnd w:id="3"/>
      <w:bookmarkEnd w:id="4"/>
    </w:p>
    <w:p w:rsidR="000B3473" w:rsidRPr="00D022F4" w:rsidP="000B3473" w14:paraId="185B8B88" w14:textId="77777777">
      <w:pPr>
        <w:jc w:val="both"/>
      </w:pPr>
      <w:r w:rsidRPr="00D022F4">
        <w:t xml:space="preserve">The Commission proposes to mobilise the European Union Solidarity Fund (EUSF) in accordance with Council Regulation (EC) No 2012/2002 for an amount of EUR 489 148 220 to </w:t>
      </w:r>
      <w:r w:rsidRPr="00D022F4">
        <w:t>provide assistance to</w:t>
      </w:r>
      <w:r w:rsidRPr="00D022F4">
        <w:t xml:space="preserve"> Malta and Italy following storm Harry in January 2026 and to Portugal and Spain following the storms in January and February 2026.</w:t>
      </w:r>
    </w:p>
    <w:p w:rsidR="000B3473" w:rsidRPr="00D022F4" w:rsidP="000B3473" w14:paraId="0B04A678" w14:textId="77777777"/>
    <w:p w:rsidR="000B3473" w:rsidRPr="00D022F4" w:rsidP="000B3473" w14:paraId="4C72F6B3" w14:textId="77777777">
      <w:pPr>
        <w:rPr>
          <w:b/>
          <w:bCs/>
          <w:kern w:val="2"/>
          <w:szCs w:val="24"/>
          <w:lang w:eastAsia="en-US"/>
          <w14:ligatures w14:val="standardContextual"/>
        </w:rPr>
      </w:pPr>
      <w:r w:rsidRPr="00D022F4">
        <w:rPr>
          <w:b/>
          <w:bCs/>
        </w:rPr>
        <w:t>Malta – major natural disaster: storm Harry in January 2026</w:t>
      </w:r>
    </w:p>
    <w:p w:rsidR="000B3473" w:rsidRPr="00D022F4" w:rsidP="000B3473" w14:paraId="716F1833" w14:textId="77777777">
      <w:pPr>
        <w:rPr>
          <w:b/>
          <w:bCs/>
        </w:rPr>
      </w:pPr>
    </w:p>
    <w:p w:rsidR="000B3473" w:rsidRPr="00D022F4" w:rsidP="000B3473" w14:paraId="4E00614D" w14:textId="77777777">
      <w:pPr>
        <w:jc w:val="both"/>
      </w:pPr>
      <w:r w:rsidRPr="00D022F4">
        <w:t>Between 18 and 21 January 2026, Storm Harry struck the Maltese islands bringing strong winds, heavy rainfall, increased sea levels and wave activity. The event caused widespread damage across Malta and Gozo, affecting many municipalities, especially coastal and harbour areas. The storm led to significant disruption to the normal functioning of essential services, such as blocked roads and interrupted transport links. Damage to the agricultural sector, aquaculture and the fishery industry was also recorded.</w:t>
      </w:r>
    </w:p>
    <w:p w:rsidR="000B3473" w:rsidRPr="00D022F4" w:rsidP="000B3473" w14:paraId="7FA19BB7" w14:textId="77777777"/>
    <w:p w:rsidR="000B3473" w:rsidRPr="00D022F4" w:rsidP="000B3473" w14:paraId="75DFA607" w14:textId="77777777">
      <w:pPr>
        <w:jc w:val="both"/>
        <w:rPr>
          <w:rFonts w:eastAsiaTheme="minorHAnsi"/>
          <w:lang w:eastAsia="en-US"/>
        </w:rPr>
      </w:pPr>
      <w:r w:rsidRPr="00D022F4">
        <w:t>The Maltese authorities estimated the total direct damage caused by the disaster at about EUR 132.97 million. This amount exceeds the 'major natural disaster' threshold for Malta of 0.6% of its Gross National Income, which was EUR 121.55 million in 2026. The disaster therefore qualifies as a major natural disaster under Article 2(2) of the EUSF Regulation.</w:t>
      </w:r>
    </w:p>
    <w:p w:rsidR="000B3473" w:rsidRPr="00D022F4" w:rsidP="000B3473" w14:paraId="1FF13FC6" w14:textId="77777777"/>
    <w:p w:rsidR="000B3473" w:rsidRPr="00D022F4" w:rsidP="000B3473" w14:paraId="052851B2" w14:textId="77777777">
      <w:pPr>
        <w:rPr>
          <w:b/>
          <w:bCs/>
          <w:kern w:val="2"/>
          <w:szCs w:val="24"/>
          <w:lang w:eastAsia="en-US"/>
          <w14:ligatures w14:val="standardContextual"/>
        </w:rPr>
      </w:pPr>
      <w:r w:rsidRPr="00D022F4">
        <w:rPr>
          <w:b/>
          <w:bCs/>
        </w:rPr>
        <w:t>Italy – regional natural disaster: storm Harry in January 2026</w:t>
      </w:r>
    </w:p>
    <w:p w:rsidR="000B3473" w:rsidRPr="00D022F4" w:rsidP="000B3473" w14:paraId="76D2C711" w14:textId="77777777">
      <w:pPr>
        <w:rPr>
          <w:b/>
          <w:bCs/>
        </w:rPr>
      </w:pPr>
    </w:p>
    <w:p w:rsidR="000B3473" w:rsidRPr="00D022F4" w:rsidP="000B3473" w14:paraId="0F2BDA3B" w14:textId="77777777">
      <w:pPr>
        <w:jc w:val="both"/>
        <w:rPr>
          <w:lang w:eastAsia="en-US"/>
        </w:rPr>
      </w:pPr>
      <w:r w:rsidRPr="00D022F4">
        <w:t xml:space="preserve">Between 18 and 21 January 2026, the regions of Sardinia, Sicily and Calabria were affected by Storm Harry, which brought about intense and persistent rainfall, strong winds and storm surges. The most severe damage occurred in coastal areas and along rivers, where rising water levels significantly affected several dams. As a result, thousands of people were </w:t>
      </w:r>
      <w:r w:rsidRPr="00D022F4">
        <w:t>evacuated</w:t>
      </w:r>
      <w:r w:rsidRPr="00D022F4">
        <w:t xml:space="preserve"> and hundreds of homes were declared uninhabitable. The storm also destroyed public buildings, railway lines, port infrastructure and roads, which led to the temporary isolation of some communities.</w:t>
      </w:r>
    </w:p>
    <w:p w:rsidR="000B3473" w:rsidRPr="00D022F4" w:rsidP="000B3473" w14:paraId="205FB113" w14:textId="77777777"/>
    <w:p w:rsidR="000B3473" w:rsidRPr="00D022F4" w:rsidP="000B3473" w14:paraId="1218DCC1" w14:textId="77777777">
      <w:pPr>
        <w:jc w:val="both"/>
      </w:pPr>
      <w:r w:rsidRPr="00D022F4">
        <w:t>The Italian authorities estimated the total direct damage caused by the disaster at about EUR 2 995.4 million. According to the Commission, the direct damage expressed as a percentage of the total weighted regional GDP of the Calabria, Sardinia and Sicily regions is 3.256%, which exceeds the 1.5% threshold applicable to regional natural disasters under Article 2(3) of the EUSF Regulation. The disaster therefore qualifies as a regional natural disaster within the meaning of the Regulation.</w:t>
      </w:r>
    </w:p>
    <w:p w:rsidR="000B3473" w:rsidRPr="00D022F4" w:rsidP="000B3473" w14:paraId="5ED98A17" w14:textId="77777777"/>
    <w:p w:rsidR="000B3473" w:rsidRPr="00D022F4" w:rsidP="000B3473" w14:paraId="5A93741D" w14:textId="77777777">
      <w:pPr>
        <w:rPr>
          <w:b/>
          <w:bCs/>
          <w:lang w:eastAsia="en-US"/>
        </w:rPr>
      </w:pPr>
      <w:r w:rsidRPr="00D022F4">
        <w:rPr>
          <w:b/>
          <w:bCs/>
        </w:rPr>
        <w:t>Portugal – major natural disaster: storms in January and February 2026</w:t>
      </w:r>
    </w:p>
    <w:p w:rsidR="000B3473" w:rsidRPr="00D022F4" w:rsidP="000B3473" w14:paraId="65DA5B9E" w14:textId="77777777">
      <w:pPr>
        <w:rPr>
          <w:kern w:val="2"/>
          <w14:ligatures w14:val="standardContextual"/>
        </w:rPr>
      </w:pPr>
    </w:p>
    <w:p w:rsidR="000B3473" w:rsidRPr="00D022F4" w:rsidP="000B3473" w14:paraId="04F9A97F" w14:textId="77777777">
      <w:pPr>
        <w:jc w:val="both"/>
      </w:pPr>
      <w:r w:rsidRPr="00D022F4">
        <w:t>Between 22 January and 15 February 2026, Portugal experienced a succession of severe storms bringing strong winds and intense precipitation, which caused devastating floods and landslides. The storms created significant material damage in public and private infrastructure and destroyed numerous homes. Additionally, essential infrastructure and services in the fields of energy, water, wastewater, transport, healthcare and education were interrupted. The disaster also led to the evacuation of thousands of people and to 18 fatalities. The Portuguese authorities requested the activation of satellite Earth Observation data from the Copernicus programme to map the flooded areas and the storm impact zone through the Union Civil Protection Mechanism.</w:t>
      </w:r>
    </w:p>
    <w:p w:rsidR="000B3473" w:rsidRPr="00D022F4" w:rsidP="000B3473" w14:paraId="78E83298" w14:textId="77777777"/>
    <w:p w:rsidR="000B3473" w:rsidRPr="00D022F4" w:rsidP="000B3473" w14:paraId="7EE9D9AA" w14:textId="77777777">
      <w:pPr>
        <w:jc w:val="both"/>
      </w:pPr>
      <w:r w:rsidRPr="00D022F4">
        <w:t>The Portuguese authorities estimated the total direct damage caused by the disaster at about EUR 5 351.97 million. This amount exceeds the 'major natural disaster' threshold for Portugal of 0.6% of its Gross National Income, which was EUR 1 703.84 million in 2026. The disaster therefore qualifies as a major natural disaster under Article 2(2) of the EUSF Regulation.</w:t>
      </w:r>
    </w:p>
    <w:p w:rsidR="000B3473" w:rsidRPr="00D022F4" w:rsidP="000B3473" w14:paraId="6C50570D" w14:textId="77777777"/>
    <w:p w:rsidR="000B3473" w:rsidRPr="00D022F4" w:rsidP="000B3473" w14:paraId="61287725" w14:textId="77777777">
      <w:pPr>
        <w:rPr>
          <w:b/>
          <w:bCs/>
        </w:rPr>
      </w:pPr>
      <w:r w:rsidRPr="00D022F4">
        <w:rPr>
          <w:b/>
          <w:bCs/>
        </w:rPr>
        <w:t>Spain – major natural disaster: storms in January and February 2026</w:t>
      </w:r>
    </w:p>
    <w:p w:rsidR="000B3473" w:rsidRPr="00D022F4" w:rsidP="000B3473" w14:paraId="686FB628" w14:textId="77777777"/>
    <w:p w:rsidR="000B3473" w:rsidRPr="00D022F4" w:rsidP="000B3473" w14:paraId="20AC1611" w14:textId="77777777">
      <w:pPr>
        <w:jc w:val="both"/>
      </w:pPr>
      <w:r w:rsidRPr="00D022F4">
        <w:t>Between 22 January and 14 February 2026, Spain was hit by a succession of severe storms. The storms caused the greatest damage in the Autonomous Communities of Andalusia and Extremadura. The intense rainfall associated with the storms led to the evacuation of thousands of people, the closure of over 150 roads and significant structural damage to people's homes. Additionally, electricity, water and telecommunications infrastructure were cut off for a prolonged amount of time, which caused significant economic damage and left communities isolated.</w:t>
      </w:r>
    </w:p>
    <w:p w:rsidR="000B3473" w:rsidRPr="00D022F4" w:rsidP="000B3473" w14:paraId="04D7557C" w14:textId="77777777"/>
    <w:p w:rsidR="000B3473" w:rsidRPr="00D022F4" w:rsidP="000B3473" w14:paraId="53F71837" w14:textId="77777777">
      <w:pPr>
        <w:jc w:val="both"/>
      </w:pPr>
      <w:r w:rsidRPr="00D022F4">
        <w:t>The Spanish authorities estimated the total direct damage caused by the disaster at about EUR 4 839.53 million. This amount exceeds the threshold applicable to Spain for a major natural disaster, namely EUR 3 000 million in 2011 prices, corresponding to EUR 4 037.61 million in 2026. The disaster therefore qualifies as a major natural disaster under Article 2(2) of the EUSF Regulation.</w:t>
      </w:r>
    </w:p>
    <w:p w:rsidR="000B3473" w:rsidRPr="00D022F4" w:rsidP="000B3473" w14:paraId="4968C93A" w14:textId="77777777"/>
    <w:p w:rsidR="000B3473" w:rsidRPr="00D022F4" w:rsidP="000B3473" w14:paraId="6051FFFD" w14:textId="77777777">
      <w:pPr>
        <w:rPr>
          <w:b/>
        </w:rPr>
      </w:pPr>
      <w:r w:rsidRPr="00D022F4">
        <w:rPr>
          <w:b/>
        </w:rPr>
        <w:t>Conclusion</w:t>
      </w:r>
    </w:p>
    <w:p w:rsidR="000B3473" w:rsidRPr="00D022F4" w:rsidP="000B3473" w14:paraId="44D66F24" w14:textId="77777777"/>
    <w:p w:rsidR="000B3473" w:rsidRPr="00D022F4" w:rsidP="000B3473" w14:paraId="717296EF" w14:textId="77777777">
      <w:pPr>
        <w:jc w:val="both"/>
        <w:rPr>
          <w:szCs w:val="24"/>
          <w:lang w:eastAsia="en-US"/>
        </w:rPr>
      </w:pPr>
      <w:r w:rsidRPr="00D022F4">
        <w:t>The methodology for calculating EUSF aid was set out in the 2002–2003 Annual Report on the EUSF and accepted by the European Parliament and the Council. The EUSF contribution may not exceed the estimated total cost of eligible operations. Applying the methodology outlined above, the Commission has evaluated the EUSF aid in response to the four applications submitted by Malta, Italy, Portugal and Spain, and therefore concludes that the disasters referred to in the application submitted by Malta, Italy, Portugal and Spain meet the conditions set out in the EUSF Regulation for mobilising the EUSF. The Commission proposes to the budget authority to mobilise the following amounts:</w:t>
      </w:r>
    </w:p>
    <w:p w:rsidR="000B3473" w:rsidRPr="00D022F4" w:rsidP="000B3473" w14:paraId="576CF99C" w14:textId="77777777">
      <w:pPr>
        <w:pStyle w:val="ListParagraph"/>
        <w:kinsoku w:val="0"/>
        <w:overflowPunct w:val="0"/>
        <w:spacing w:before="3"/>
        <w:rPr>
          <w:sz w:val="14"/>
          <w:szCs w:val="14"/>
        </w:rPr>
      </w:pPr>
    </w:p>
    <w:tbl>
      <w:tblPr>
        <w:tblW w:w="9900" w:type="dxa"/>
        <w:tblInd w:w="-427" w:type="dxa"/>
        <w:tblLook w:val="04A0"/>
      </w:tblPr>
      <w:tblGrid>
        <w:gridCol w:w="1534"/>
        <w:gridCol w:w="1079"/>
        <w:gridCol w:w="1216"/>
        <w:gridCol w:w="1213"/>
        <w:gridCol w:w="1213"/>
        <w:gridCol w:w="1395"/>
        <w:gridCol w:w="1035"/>
        <w:gridCol w:w="1215"/>
      </w:tblGrid>
      <w:tr w14:paraId="1C86A6A6" w14:textId="77777777" w:rsidTr="000B3473">
        <w:tblPrEx>
          <w:tblW w:w="9900" w:type="dxa"/>
          <w:tblInd w:w="-427" w:type="dxa"/>
          <w:tblLook w:val="04A0"/>
        </w:tblPrEx>
        <w:trPr>
          <w:trHeight w:val="1050"/>
        </w:trPr>
        <w:tc>
          <w:tcPr>
            <w:tcW w:w="1534" w:type="dxa"/>
            <w:tcBorders>
              <w:top w:val="single" w:sz="8" w:space="0" w:color="auto"/>
              <w:left w:val="single" w:sz="8" w:space="0" w:color="auto"/>
              <w:bottom w:val="nil"/>
              <w:right w:val="single" w:sz="8" w:space="0" w:color="auto"/>
            </w:tcBorders>
            <w:shd w:val="clear" w:color="auto" w:fill="EEECE1"/>
            <w:vAlign w:val="center"/>
            <w:hideMark/>
          </w:tcPr>
          <w:p w:rsidR="000B3473" w:rsidRPr="00D022F4" w14:paraId="0AB0C9E4" w14:textId="77777777">
            <w:pPr>
              <w:widowControl/>
              <w:jc w:val="center"/>
              <w:rPr>
                <w:b/>
                <w:bCs/>
                <w:color w:val="000000"/>
                <w:sz w:val="16"/>
                <w:szCs w:val="16"/>
                <w:lang w:eastAsia="en-IE"/>
              </w:rPr>
            </w:pPr>
            <w:r w:rsidRPr="00D022F4">
              <w:rPr>
                <w:b/>
                <w:bCs/>
                <w:color w:val="000000"/>
                <w:sz w:val="16"/>
                <w:szCs w:val="16"/>
                <w:lang w:eastAsia="en-IE"/>
              </w:rPr>
              <w:t>Country/ Disaster</w:t>
            </w:r>
          </w:p>
        </w:tc>
        <w:tc>
          <w:tcPr>
            <w:tcW w:w="1079" w:type="dxa"/>
            <w:tcBorders>
              <w:top w:val="single" w:sz="8" w:space="0" w:color="auto"/>
              <w:left w:val="nil"/>
              <w:bottom w:val="nil"/>
              <w:right w:val="single" w:sz="8" w:space="0" w:color="auto"/>
            </w:tcBorders>
            <w:shd w:val="clear" w:color="auto" w:fill="EEECE1"/>
            <w:vAlign w:val="center"/>
            <w:hideMark/>
          </w:tcPr>
          <w:p w:rsidR="000B3473" w:rsidRPr="00D022F4" w14:paraId="3B3DD8BD" w14:textId="77777777">
            <w:pPr>
              <w:widowControl/>
              <w:jc w:val="center"/>
              <w:rPr>
                <w:b/>
                <w:bCs/>
                <w:color w:val="000000"/>
                <w:sz w:val="16"/>
                <w:szCs w:val="16"/>
                <w:lang w:eastAsia="en-IE"/>
              </w:rPr>
            </w:pPr>
            <w:r w:rsidRPr="00D022F4">
              <w:rPr>
                <w:b/>
                <w:bCs/>
                <w:color w:val="000000"/>
                <w:sz w:val="16"/>
                <w:szCs w:val="16"/>
                <w:lang w:eastAsia="en-IE"/>
              </w:rPr>
              <w:t>Total direct damage</w:t>
            </w:r>
          </w:p>
        </w:tc>
        <w:tc>
          <w:tcPr>
            <w:tcW w:w="1216" w:type="dxa"/>
            <w:tcBorders>
              <w:top w:val="single" w:sz="8" w:space="0" w:color="auto"/>
              <w:left w:val="nil"/>
              <w:bottom w:val="nil"/>
              <w:right w:val="single" w:sz="8" w:space="0" w:color="auto"/>
            </w:tcBorders>
            <w:shd w:val="clear" w:color="auto" w:fill="EEECE1"/>
            <w:vAlign w:val="center"/>
            <w:hideMark/>
          </w:tcPr>
          <w:p w:rsidR="000B3473" w:rsidRPr="00D022F4" w14:paraId="4EB0AB3E" w14:textId="77777777">
            <w:pPr>
              <w:widowControl/>
              <w:jc w:val="center"/>
              <w:rPr>
                <w:b/>
                <w:bCs/>
                <w:color w:val="000000"/>
                <w:sz w:val="16"/>
                <w:szCs w:val="16"/>
                <w:lang w:eastAsia="en-IE"/>
              </w:rPr>
            </w:pPr>
            <w:r w:rsidRPr="00D022F4">
              <w:rPr>
                <w:b/>
                <w:bCs/>
                <w:color w:val="000000"/>
                <w:sz w:val="16"/>
                <w:szCs w:val="16"/>
                <w:lang w:eastAsia="en-IE"/>
              </w:rPr>
              <w:t>Applied disaster threshold</w:t>
            </w:r>
          </w:p>
        </w:tc>
        <w:tc>
          <w:tcPr>
            <w:tcW w:w="1213" w:type="dxa"/>
            <w:tcBorders>
              <w:top w:val="single" w:sz="8" w:space="0" w:color="auto"/>
              <w:left w:val="nil"/>
              <w:bottom w:val="nil"/>
              <w:right w:val="single" w:sz="8" w:space="0" w:color="auto"/>
            </w:tcBorders>
            <w:shd w:val="clear" w:color="auto" w:fill="EEECE1"/>
            <w:vAlign w:val="center"/>
            <w:hideMark/>
          </w:tcPr>
          <w:p w:rsidR="000B3473" w:rsidRPr="00D022F4" w14:paraId="6AA64888" w14:textId="77777777">
            <w:pPr>
              <w:widowControl/>
              <w:jc w:val="center"/>
              <w:rPr>
                <w:b/>
                <w:bCs/>
                <w:color w:val="000000"/>
                <w:sz w:val="16"/>
                <w:szCs w:val="16"/>
                <w:lang w:eastAsia="en-IE"/>
              </w:rPr>
            </w:pPr>
            <w:r w:rsidRPr="00D022F4">
              <w:rPr>
                <w:b/>
                <w:bCs/>
                <w:color w:val="000000"/>
                <w:sz w:val="16"/>
                <w:szCs w:val="16"/>
                <w:lang w:eastAsia="en-IE"/>
              </w:rPr>
              <w:t>2.5% of total direct damage</w:t>
            </w:r>
            <w:r w:rsidRPr="00D022F4">
              <w:rPr>
                <w:color w:val="000000"/>
                <w:sz w:val="16"/>
                <w:szCs w:val="16"/>
                <w:lang w:eastAsia="en-IE"/>
              </w:rPr>
              <w:t xml:space="preserve"> </w:t>
            </w:r>
            <w:r w:rsidRPr="00D022F4">
              <w:rPr>
                <w:i/>
                <w:iCs/>
                <w:color w:val="000000"/>
                <w:sz w:val="16"/>
                <w:szCs w:val="16"/>
                <w:lang w:eastAsia="en-IE"/>
              </w:rPr>
              <w:t xml:space="preserve">[up to the threshold for major disasters] </w:t>
            </w:r>
          </w:p>
        </w:tc>
        <w:tc>
          <w:tcPr>
            <w:tcW w:w="1213" w:type="dxa"/>
            <w:tcBorders>
              <w:top w:val="single" w:sz="8" w:space="0" w:color="auto"/>
              <w:left w:val="nil"/>
              <w:bottom w:val="nil"/>
              <w:right w:val="single" w:sz="8" w:space="0" w:color="auto"/>
            </w:tcBorders>
            <w:shd w:val="clear" w:color="auto" w:fill="EEECE1"/>
            <w:vAlign w:val="center"/>
            <w:hideMark/>
          </w:tcPr>
          <w:p w:rsidR="000B3473" w:rsidRPr="00D022F4" w14:paraId="08396F8A" w14:textId="77777777">
            <w:pPr>
              <w:widowControl/>
              <w:jc w:val="center"/>
              <w:rPr>
                <w:b/>
                <w:bCs/>
                <w:color w:val="000000"/>
                <w:sz w:val="16"/>
                <w:szCs w:val="16"/>
                <w:lang w:eastAsia="en-IE"/>
              </w:rPr>
            </w:pPr>
            <w:r w:rsidRPr="00D022F4">
              <w:rPr>
                <w:b/>
                <w:bCs/>
                <w:color w:val="000000"/>
                <w:sz w:val="16"/>
                <w:szCs w:val="16"/>
                <w:lang w:eastAsia="en-IE"/>
              </w:rPr>
              <w:t xml:space="preserve">6% of total direct damage above the threshold for major disasters </w:t>
            </w:r>
          </w:p>
        </w:tc>
        <w:tc>
          <w:tcPr>
            <w:tcW w:w="1395" w:type="dxa"/>
            <w:tcBorders>
              <w:top w:val="single" w:sz="8" w:space="0" w:color="auto"/>
              <w:left w:val="nil"/>
              <w:bottom w:val="nil"/>
              <w:right w:val="single" w:sz="8" w:space="0" w:color="auto"/>
            </w:tcBorders>
            <w:shd w:val="clear" w:color="auto" w:fill="EEECE1"/>
            <w:vAlign w:val="center"/>
            <w:hideMark/>
          </w:tcPr>
          <w:p w:rsidR="000B3473" w:rsidRPr="00D022F4" w14:paraId="1E78A45A" w14:textId="77777777">
            <w:pPr>
              <w:widowControl/>
              <w:jc w:val="center"/>
              <w:rPr>
                <w:b/>
                <w:bCs/>
                <w:color w:val="000000"/>
                <w:sz w:val="16"/>
                <w:szCs w:val="16"/>
                <w:lang w:eastAsia="en-IE"/>
              </w:rPr>
            </w:pPr>
            <w:r w:rsidRPr="00D022F4">
              <w:rPr>
                <w:b/>
                <w:bCs/>
                <w:color w:val="000000"/>
                <w:sz w:val="16"/>
                <w:szCs w:val="16"/>
                <w:lang w:eastAsia="en-IE"/>
              </w:rPr>
              <w:t>Total amount of proposed aid</w:t>
            </w:r>
          </w:p>
        </w:tc>
        <w:tc>
          <w:tcPr>
            <w:tcW w:w="1035" w:type="dxa"/>
            <w:tcBorders>
              <w:top w:val="single" w:sz="8" w:space="0" w:color="auto"/>
              <w:left w:val="nil"/>
              <w:bottom w:val="nil"/>
              <w:right w:val="single" w:sz="8" w:space="0" w:color="auto"/>
            </w:tcBorders>
            <w:shd w:val="clear" w:color="auto" w:fill="EEECE1"/>
            <w:vAlign w:val="center"/>
            <w:hideMark/>
          </w:tcPr>
          <w:p w:rsidR="000B3473" w:rsidRPr="00D022F4" w14:paraId="1545D269" w14:textId="77777777">
            <w:pPr>
              <w:widowControl/>
              <w:jc w:val="center"/>
              <w:rPr>
                <w:b/>
                <w:bCs/>
                <w:color w:val="000000"/>
                <w:sz w:val="16"/>
                <w:szCs w:val="16"/>
                <w:lang w:eastAsia="en-IE"/>
              </w:rPr>
            </w:pPr>
            <w:r w:rsidRPr="00D022F4">
              <w:rPr>
                <w:b/>
                <w:bCs/>
                <w:color w:val="000000"/>
                <w:sz w:val="16"/>
                <w:szCs w:val="16"/>
                <w:lang w:eastAsia="en-IE"/>
              </w:rPr>
              <w:t>Advance paid</w:t>
            </w:r>
          </w:p>
        </w:tc>
        <w:tc>
          <w:tcPr>
            <w:tcW w:w="1215" w:type="dxa"/>
            <w:tcBorders>
              <w:top w:val="single" w:sz="8" w:space="0" w:color="auto"/>
              <w:left w:val="nil"/>
              <w:bottom w:val="nil"/>
              <w:right w:val="single" w:sz="8" w:space="0" w:color="auto"/>
            </w:tcBorders>
            <w:shd w:val="clear" w:color="auto" w:fill="EEECE1"/>
            <w:vAlign w:val="center"/>
            <w:hideMark/>
          </w:tcPr>
          <w:p w:rsidR="000B3473" w:rsidRPr="00D022F4" w14:paraId="32A5C516" w14:textId="77777777">
            <w:pPr>
              <w:widowControl/>
              <w:jc w:val="center"/>
              <w:rPr>
                <w:b/>
                <w:bCs/>
                <w:color w:val="000000"/>
                <w:sz w:val="16"/>
                <w:szCs w:val="16"/>
                <w:lang w:eastAsia="en-IE"/>
              </w:rPr>
            </w:pPr>
            <w:r w:rsidRPr="00D022F4">
              <w:rPr>
                <w:b/>
                <w:bCs/>
                <w:color w:val="000000"/>
                <w:sz w:val="16"/>
                <w:szCs w:val="16"/>
                <w:lang w:eastAsia="en-IE"/>
              </w:rPr>
              <w:t>Balance to be paid</w:t>
            </w:r>
          </w:p>
        </w:tc>
      </w:tr>
      <w:tr w14:paraId="39FB4C25" w14:textId="77777777" w:rsidTr="000B3473">
        <w:tblPrEx>
          <w:tblW w:w="9900" w:type="dxa"/>
          <w:tblInd w:w="-427" w:type="dxa"/>
          <w:tblLook w:val="04A0"/>
        </w:tblPrEx>
        <w:trPr>
          <w:trHeight w:val="240"/>
        </w:trPr>
        <w:tc>
          <w:tcPr>
            <w:tcW w:w="1534"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74B3F6FB" w14:textId="77777777">
            <w:pPr>
              <w:widowControl/>
              <w:jc w:val="center"/>
              <w:rPr>
                <w:b/>
                <w:bCs/>
                <w:color w:val="000000"/>
                <w:sz w:val="16"/>
                <w:szCs w:val="16"/>
                <w:lang w:eastAsia="en-IE"/>
              </w:rPr>
            </w:pPr>
            <w:r w:rsidRPr="00D022F4">
              <w:rPr>
                <w:b/>
                <w:bCs/>
                <w:color w:val="000000"/>
                <w:sz w:val="16"/>
                <w:szCs w:val="16"/>
                <w:lang w:eastAsia="en-IE"/>
              </w:rPr>
              <w:t> </w:t>
            </w:r>
          </w:p>
        </w:tc>
        <w:tc>
          <w:tcPr>
            <w:tcW w:w="1079" w:type="dxa"/>
            <w:tcBorders>
              <w:top w:val="nil"/>
              <w:left w:val="nil"/>
              <w:bottom w:val="single" w:sz="8" w:space="0" w:color="auto"/>
              <w:right w:val="nil"/>
            </w:tcBorders>
            <w:shd w:val="clear" w:color="auto" w:fill="EEECE1"/>
            <w:vAlign w:val="center"/>
            <w:hideMark/>
          </w:tcPr>
          <w:p w:rsidR="000B3473" w:rsidRPr="00D022F4" w14:paraId="371702BB" w14:textId="77777777">
            <w:pPr>
              <w:widowControl/>
              <w:jc w:val="center"/>
              <w:rPr>
                <w:b/>
                <w:bCs/>
                <w:color w:val="000000"/>
                <w:sz w:val="16"/>
                <w:szCs w:val="16"/>
                <w:lang w:eastAsia="en-IE"/>
              </w:rPr>
            </w:pPr>
            <w:r w:rsidRPr="00D022F4">
              <w:rPr>
                <w:b/>
                <w:bCs/>
                <w:color w:val="000000"/>
                <w:sz w:val="16"/>
                <w:szCs w:val="16"/>
                <w:lang w:eastAsia="en-IE"/>
              </w:rPr>
              <w:t>(EUR)</w:t>
            </w:r>
          </w:p>
        </w:tc>
        <w:tc>
          <w:tcPr>
            <w:tcW w:w="1216"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08D08A0B" w14:textId="77777777">
            <w:pPr>
              <w:widowControl/>
              <w:jc w:val="center"/>
              <w:rPr>
                <w:b/>
                <w:bCs/>
                <w:color w:val="000000"/>
                <w:sz w:val="16"/>
                <w:szCs w:val="16"/>
                <w:lang w:eastAsia="en-IE"/>
              </w:rPr>
            </w:pPr>
            <w:r w:rsidRPr="00D022F4">
              <w:rPr>
                <w:b/>
                <w:bCs/>
                <w:color w:val="000000"/>
                <w:sz w:val="16"/>
                <w:szCs w:val="16"/>
                <w:lang w:eastAsia="en-IE"/>
              </w:rPr>
              <w:t>(EUR)</w:t>
            </w:r>
          </w:p>
        </w:tc>
        <w:tc>
          <w:tcPr>
            <w:tcW w:w="1213" w:type="dxa"/>
            <w:tcBorders>
              <w:top w:val="nil"/>
              <w:left w:val="nil"/>
              <w:bottom w:val="single" w:sz="8" w:space="0" w:color="auto"/>
              <w:right w:val="single" w:sz="8" w:space="0" w:color="auto"/>
            </w:tcBorders>
            <w:shd w:val="clear" w:color="auto" w:fill="EEECE1"/>
            <w:vAlign w:val="center"/>
            <w:hideMark/>
          </w:tcPr>
          <w:p w:rsidR="000B3473" w:rsidRPr="00D022F4" w14:paraId="434C6DC3" w14:textId="77777777">
            <w:pPr>
              <w:widowControl/>
              <w:jc w:val="center"/>
              <w:rPr>
                <w:b/>
                <w:bCs/>
                <w:color w:val="000000"/>
                <w:sz w:val="16"/>
                <w:szCs w:val="16"/>
                <w:lang w:eastAsia="en-IE"/>
              </w:rPr>
            </w:pPr>
            <w:r w:rsidRPr="00D022F4">
              <w:rPr>
                <w:b/>
                <w:bCs/>
                <w:color w:val="000000"/>
                <w:sz w:val="16"/>
                <w:szCs w:val="16"/>
                <w:lang w:eastAsia="en-IE"/>
              </w:rPr>
              <w:t>(EUR)</w:t>
            </w:r>
          </w:p>
        </w:tc>
        <w:tc>
          <w:tcPr>
            <w:tcW w:w="1213" w:type="dxa"/>
            <w:tcBorders>
              <w:top w:val="nil"/>
              <w:left w:val="nil"/>
              <w:bottom w:val="single" w:sz="8" w:space="0" w:color="auto"/>
              <w:right w:val="single" w:sz="8" w:space="0" w:color="auto"/>
            </w:tcBorders>
            <w:shd w:val="clear" w:color="auto" w:fill="EEECE1"/>
            <w:vAlign w:val="center"/>
            <w:hideMark/>
          </w:tcPr>
          <w:p w:rsidR="000B3473" w:rsidRPr="00D022F4" w14:paraId="661B9A4B" w14:textId="77777777">
            <w:pPr>
              <w:widowControl/>
              <w:jc w:val="center"/>
              <w:rPr>
                <w:b/>
                <w:bCs/>
                <w:color w:val="000000"/>
                <w:sz w:val="16"/>
                <w:szCs w:val="16"/>
                <w:lang w:eastAsia="en-IE"/>
              </w:rPr>
            </w:pPr>
            <w:r w:rsidRPr="00D022F4">
              <w:rPr>
                <w:b/>
                <w:bCs/>
                <w:color w:val="000000"/>
                <w:sz w:val="16"/>
                <w:szCs w:val="16"/>
                <w:lang w:eastAsia="en-IE"/>
              </w:rPr>
              <w:t>(EUR)</w:t>
            </w:r>
          </w:p>
        </w:tc>
        <w:tc>
          <w:tcPr>
            <w:tcW w:w="1395" w:type="dxa"/>
            <w:tcBorders>
              <w:top w:val="nil"/>
              <w:left w:val="nil"/>
              <w:bottom w:val="single" w:sz="8" w:space="0" w:color="auto"/>
              <w:right w:val="nil"/>
            </w:tcBorders>
            <w:shd w:val="clear" w:color="auto" w:fill="EEECE1"/>
            <w:vAlign w:val="center"/>
            <w:hideMark/>
          </w:tcPr>
          <w:p w:rsidR="000B3473" w:rsidRPr="00D022F4" w14:paraId="4BFB21E3" w14:textId="77777777">
            <w:pPr>
              <w:widowControl/>
              <w:jc w:val="center"/>
              <w:rPr>
                <w:b/>
                <w:bCs/>
                <w:color w:val="000000"/>
                <w:sz w:val="16"/>
                <w:szCs w:val="16"/>
                <w:lang w:eastAsia="en-IE"/>
              </w:rPr>
            </w:pPr>
            <w:r w:rsidRPr="00D022F4">
              <w:rPr>
                <w:b/>
                <w:bCs/>
                <w:color w:val="000000"/>
                <w:sz w:val="16"/>
                <w:szCs w:val="16"/>
                <w:lang w:eastAsia="en-IE"/>
              </w:rPr>
              <w:t>(EUR)</w:t>
            </w:r>
          </w:p>
        </w:tc>
        <w:tc>
          <w:tcPr>
            <w:tcW w:w="1035" w:type="dxa"/>
            <w:tcBorders>
              <w:top w:val="nil"/>
              <w:left w:val="single" w:sz="8" w:space="0" w:color="auto"/>
              <w:bottom w:val="single" w:sz="8" w:space="0" w:color="auto"/>
              <w:right w:val="nil"/>
            </w:tcBorders>
            <w:shd w:val="clear" w:color="auto" w:fill="EEECE1"/>
            <w:vAlign w:val="center"/>
            <w:hideMark/>
          </w:tcPr>
          <w:p w:rsidR="000B3473" w:rsidRPr="00D022F4" w14:paraId="7C4FD7DB" w14:textId="77777777">
            <w:pPr>
              <w:widowControl/>
              <w:jc w:val="center"/>
              <w:rPr>
                <w:b/>
                <w:bCs/>
                <w:color w:val="000000"/>
                <w:sz w:val="16"/>
                <w:szCs w:val="16"/>
                <w:lang w:eastAsia="en-IE"/>
              </w:rPr>
            </w:pPr>
            <w:r w:rsidRPr="00D022F4">
              <w:rPr>
                <w:b/>
                <w:bCs/>
                <w:color w:val="000000"/>
                <w:sz w:val="16"/>
                <w:szCs w:val="16"/>
                <w:lang w:eastAsia="en-IE"/>
              </w:rPr>
              <w:t>(EUR)</w:t>
            </w:r>
          </w:p>
        </w:tc>
        <w:tc>
          <w:tcPr>
            <w:tcW w:w="1215"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1E18D6F6" w14:textId="77777777">
            <w:pPr>
              <w:widowControl/>
              <w:jc w:val="center"/>
              <w:rPr>
                <w:b/>
                <w:bCs/>
                <w:color w:val="000000"/>
                <w:sz w:val="16"/>
                <w:szCs w:val="16"/>
                <w:lang w:eastAsia="en-IE"/>
              </w:rPr>
            </w:pPr>
            <w:r w:rsidRPr="00D022F4">
              <w:rPr>
                <w:b/>
                <w:bCs/>
                <w:color w:val="000000"/>
                <w:sz w:val="16"/>
                <w:szCs w:val="16"/>
                <w:lang w:eastAsia="en-IE"/>
              </w:rPr>
              <w:t>(EUR)</w:t>
            </w:r>
          </w:p>
        </w:tc>
      </w:tr>
      <w:tr w14:paraId="111F2D76" w14:textId="77777777" w:rsidTr="000B3473">
        <w:tblPrEx>
          <w:tblW w:w="9900" w:type="dxa"/>
          <w:tblInd w:w="-427" w:type="dxa"/>
          <w:tblLook w:val="04A0"/>
        </w:tblPrEx>
        <w:trPr>
          <w:trHeight w:val="240"/>
        </w:trPr>
        <w:tc>
          <w:tcPr>
            <w:tcW w:w="1534" w:type="dxa"/>
            <w:tcBorders>
              <w:top w:val="nil"/>
              <w:left w:val="single" w:sz="8" w:space="0" w:color="auto"/>
              <w:bottom w:val="nil"/>
              <w:right w:val="single" w:sz="8" w:space="0" w:color="auto"/>
            </w:tcBorders>
            <w:shd w:val="clear" w:color="auto" w:fill="EEECE1"/>
            <w:vAlign w:val="center"/>
            <w:hideMark/>
          </w:tcPr>
          <w:p w:rsidR="000B3473" w:rsidRPr="00D022F4" w14:paraId="78A50ACB" w14:textId="77777777">
            <w:pPr>
              <w:widowControl/>
              <w:ind w:firstLine="150" w:firstLineChars="100"/>
              <w:rPr>
                <w:b/>
                <w:bCs/>
                <w:color w:val="000000"/>
                <w:sz w:val="15"/>
                <w:szCs w:val="15"/>
                <w:lang w:eastAsia="en-IE"/>
              </w:rPr>
            </w:pPr>
            <w:r w:rsidRPr="00D022F4">
              <w:rPr>
                <w:b/>
                <w:bCs/>
                <w:color w:val="000000"/>
                <w:sz w:val="15"/>
                <w:szCs w:val="15"/>
                <w:lang w:eastAsia="en-IE"/>
              </w:rPr>
              <w:t>Malta – storm</w:t>
            </w:r>
          </w:p>
        </w:tc>
        <w:tc>
          <w:tcPr>
            <w:tcW w:w="1079" w:type="dxa"/>
            <w:vMerge w:val="restart"/>
            <w:tcBorders>
              <w:top w:val="nil"/>
              <w:left w:val="single" w:sz="8" w:space="0" w:color="auto"/>
              <w:bottom w:val="single" w:sz="8" w:space="0" w:color="000000"/>
              <w:right w:val="single" w:sz="8" w:space="0" w:color="auto"/>
            </w:tcBorders>
            <w:vAlign w:val="center"/>
            <w:hideMark/>
          </w:tcPr>
          <w:p w:rsidR="000B3473" w:rsidRPr="00D022F4" w14:paraId="6E9C0867" w14:textId="77777777">
            <w:pPr>
              <w:widowControl/>
              <w:jc w:val="center"/>
              <w:rPr>
                <w:color w:val="000000"/>
                <w:sz w:val="15"/>
                <w:szCs w:val="15"/>
                <w:lang w:eastAsia="en-IE"/>
              </w:rPr>
            </w:pPr>
            <w:r w:rsidRPr="00D022F4">
              <w:rPr>
                <w:color w:val="000000"/>
                <w:sz w:val="15"/>
                <w:szCs w:val="15"/>
                <w:lang w:eastAsia="en-IE"/>
              </w:rPr>
              <w:t>132,970,625</w:t>
            </w:r>
          </w:p>
        </w:tc>
        <w:tc>
          <w:tcPr>
            <w:tcW w:w="1216" w:type="dxa"/>
            <w:vMerge w:val="restart"/>
            <w:tcBorders>
              <w:top w:val="nil"/>
              <w:left w:val="single" w:sz="8" w:space="0" w:color="auto"/>
              <w:bottom w:val="single" w:sz="8" w:space="0" w:color="000000"/>
              <w:right w:val="single" w:sz="8" w:space="0" w:color="auto"/>
            </w:tcBorders>
            <w:vAlign w:val="center"/>
            <w:hideMark/>
          </w:tcPr>
          <w:p w:rsidR="000B3473" w:rsidRPr="00D022F4" w14:paraId="72FB3E97" w14:textId="77777777">
            <w:pPr>
              <w:widowControl/>
              <w:jc w:val="center"/>
              <w:rPr>
                <w:color w:val="000000"/>
                <w:sz w:val="15"/>
                <w:szCs w:val="15"/>
                <w:lang w:eastAsia="en-IE"/>
              </w:rPr>
            </w:pPr>
            <w:r w:rsidRPr="00D022F4">
              <w:rPr>
                <w:color w:val="000000"/>
                <w:sz w:val="15"/>
                <w:szCs w:val="15"/>
                <w:lang w:eastAsia="en-IE"/>
              </w:rPr>
              <w:t>121,548,000</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2B9D2BB4" w14:textId="77777777">
            <w:pPr>
              <w:widowControl/>
              <w:jc w:val="center"/>
              <w:rPr>
                <w:color w:val="000000"/>
                <w:sz w:val="15"/>
                <w:szCs w:val="15"/>
                <w:lang w:eastAsia="en-IE"/>
              </w:rPr>
            </w:pPr>
            <w:r w:rsidRPr="00D022F4">
              <w:rPr>
                <w:color w:val="000000"/>
                <w:sz w:val="15"/>
                <w:szCs w:val="15"/>
                <w:lang w:eastAsia="en-IE"/>
              </w:rPr>
              <w:t>3,038,700</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47A2742D" w14:textId="77777777">
            <w:pPr>
              <w:widowControl/>
              <w:jc w:val="center"/>
              <w:rPr>
                <w:color w:val="000000"/>
                <w:sz w:val="15"/>
                <w:szCs w:val="15"/>
                <w:lang w:eastAsia="en-IE"/>
              </w:rPr>
            </w:pPr>
            <w:r w:rsidRPr="00D022F4">
              <w:rPr>
                <w:color w:val="000000"/>
                <w:sz w:val="15"/>
                <w:szCs w:val="15"/>
                <w:lang w:eastAsia="en-IE"/>
              </w:rPr>
              <w:t>685,357</w:t>
            </w:r>
          </w:p>
        </w:tc>
        <w:tc>
          <w:tcPr>
            <w:tcW w:w="1395" w:type="dxa"/>
            <w:vMerge w:val="restart"/>
            <w:tcBorders>
              <w:top w:val="nil"/>
              <w:left w:val="single" w:sz="8" w:space="0" w:color="auto"/>
              <w:bottom w:val="single" w:sz="8" w:space="0" w:color="000000"/>
              <w:right w:val="single" w:sz="8" w:space="0" w:color="auto"/>
            </w:tcBorders>
            <w:vAlign w:val="center"/>
            <w:hideMark/>
          </w:tcPr>
          <w:p w:rsidR="000B3473" w:rsidRPr="00D022F4" w14:paraId="3E4FCFBE" w14:textId="77777777">
            <w:pPr>
              <w:widowControl/>
              <w:jc w:val="center"/>
              <w:rPr>
                <w:b/>
                <w:bCs/>
                <w:color w:val="000000"/>
                <w:sz w:val="15"/>
                <w:szCs w:val="15"/>
                <w:lang w:eastAsia="en-IE"/>
              </w:rPr>
            </w:pPr>
            <w:r w:rsidRPr="00D022F4">
              <w:rPr>
                <w:b/>
                <w:bCs/>
                <w:color w:val="000000"/>
                <w:sz w:val="15"/>
                <w:szCs w:val="15"/>
                <w:lang w:eastAsia="en-IE"/>
              </w:rPr>
              <w:t>3,724,057</w:t>
            </w:r>
          </w:p>
        </w:tc>
        <w:tc>
          <w:tcPr>
            <w:tcW w:w="1035" w:type="dxa"/>
            <w:vMerge w:val="restart"/>
            <w:tcBorders>
              <w:top w:val="nil"/>
              <w:left w:val="single" w:sz="8" w:space="0" w:color="auto"/>
              <w:bottom w:val="single" w:sz="8" w:space="0" w:color="000000"/>
              <w:right w:val="single" w:sz="8" w:space="0" w:color="auto"/>
            </w:tcBorders>
            <w:vAlign w:val="center"/>
            <w:hideMark/>
          </w:tcPr>
          <w:p w:rsidR="000B3473" w:rsidRPr="00D022F4" w14:paraId="16E18D5C" w14:textId="77777777">
            <w:pPr>
              <w:widowControl/>
              <w:jc w:val="center"/>
              <w:rPr>
                <w:b/>
                <w:bCs/>
                <w:color w:val="000000"/>
                <w:sz w:val="15"/>
                <w:szCs w:val="15"/>
                <w:lang w:eastAsia="en-IE"/>
              </w:rPr>
            </w:pPr>
            <w:r w:rsidRPr="00D022F4">
              <w:rPr>
                <w:b/>
                <w:bCs/>
                <w:color w:val="000000"/>
                <w:sz w:val="15"/>
                <w:szCs w:val="15"/>
                <w:lang w:eastAsia="en-IE"/>
              </w:rPr>
              <w:t>931,014</w:t>
            </w:r>
          </w:p>
        </w:tc>
        <w:tc>
          <w:tcPr>
            <w:tcW w:w="1215" w:type="dxa"/>
            <w:vMerge w:val="restart"/>
            <w:tcBorders>
              <w:top w:val="nil"/>
              <w:left w:val="single" w:sz="8" w:space="0" w:color="auto"/>
              <w:bottom w:val="single" w:sz="8" w:space="0" w:color="000000"/>
              <w:right w:val="single" w:sz="8" w:space="0" w:color="auto"/>
            </w:tcBorders>
            <w:vAlign w:val="center"/>
            <w:hideMark/>
          </w:tcPr>
          <w:p w:rsidR="000B3473" w:rsidRPr="00D022F4" w14:paraId="65F8B406" w14:textId="77777777">
            <w:pPr>
              <w:widowControl/>
              <w:jc w:val="center"/>
              <w:rPr>
                <w:b/>
                <w:bCs/>
                <w:color w:val="000000"/>
                <w:sz w:val="15"/>
                <w:szCs w:val="15"/>
                <w:lang w:eastAsia="en-IE"/>
              </w:rPr>
            </w:pPr>
            <w:r w:rsidRPr="00D022F4">
              <w:rPr>
                <w:b/>
                <w:bCs/>
                <w:color w:val="000000"/>
                <w:sz w:val="15"/>
                <w:szCs w:val="15"/>
                <w:lang w:eastAsia="en-IE"/>
              </w:rPr>
              <w:t>2,793,043</w:t>
            </w:r>
          </w:p>
        </w:tc>
      </w:tr>
      <w:tr w14:paraId="55F3270B" w14:textId="77777777" w:rsidTr="000B3473">
        <w:tblPrEx>
          <w:tblW w:w="9900" w:type="dxa"/>
          <w:tblInd w:w="-427" w:type="dxa"/>
          <w:tblLook w:val="04A0"/>
        </w:tblPrEx>
        <w:trPr>
          <w:trHeight w:val="240"/>
        </w:trPr>
        <w:tc>
          <w:tcPr>
            <w:tcW w:w="1534"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741FD531" w14:textId="77777777">
            <w:pPr>
              <w:widowControl/>
              <w:ind w:firstLine="150" w:firstLineChars="100"/>
              <w:rPr>
                <w:i/>
                <w:iCs/>
                <w:color w:val="000000"/>
                <w:sz w:val="15"/>
                <w:szCs w:val="15"/>
                <w:lang w:eastAsia="en-IE"/>
              </w:rPr>
            </w:pPr>
            <w:r w:rsidRPr="00D022F4">
              <w:rPr>
                <w:i/>
                <w:iCs/>
                <w:color w:val="000000"/>
                <w:sz w:val="15"/>
                <w:szCs w:val="15"/>
                <w:lang w:eastAsia="en-IE"/>
              </w:rPr>
              <w:t>(major disaster)</w:t>
            </w: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0442A407"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0B9B5153"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608B9A24"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66A551BC"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6F3D8065"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2573A07F"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5FE10113" w14:textId="77777777">
            <w:pPr>
              <w:widowControl/>
              <w:rPr>
                <w:b/>
                <w:bCs/>
                <w:color w:val="000000"/>
                <w:sz w:val="15"/>
                <w:szCs w:val="15"/>
                <w:lang w:eastAsia="en-IE"/>
              </w:rPr>
            </w:pPr>
          </w:p>
        </w:tc>
      </w:tr>
      <w:tr w14:paraId="50D53C4D" w14:textId="77777777" w:rsidTr="000B3473">
        <w:tblPrEx>
          <w:tblW w:w="9900" w:type="dxa"/>
          <w:tblInd w:w="-427" w:type="dxa"/>
          <w:tblLook w:val="04A0"/>
        </w:tblPrEx>
        <w:trPr>
          <w:trHeight w:val="240"/>
        </w:trPr>
        <w:tc>
          <w:tcPr>
            <w:tcW w:w="1534" w:type="dxa"/>
            <w:tcBorders>
              <w:top w:val="nil"/>
              <w:left w:val="single" w:sz="8" w:space="0" w:color="auto"/>
              <w:bottom w:val="nil"/>
              <w:right w:val="single" w:sz="8" w:space="0" w:color="auto"/>
            </w:tcBorders>
            <w:shd w:val="clear" w:color="auto" w:fill="EEECE1"/>
            <w:vAlign w:val="center"/>
            <w:hideMark/>
          </w:tcPr>
          <w:p w:rsidR="000B3473" w:rsidRPr="00D022F4" w14:paraId="6C2DB579" w14:textId="77777777">
            <w:pPr>
              <w:widowControl/>
              <w:ind w:firstLine="150" w:firstLineChars="100"/>
              <w:rPr>
                <w:b/>
                <w:bCs/>
                <w:color w:val="000000"/>
                <w:sz w:val="15"/>
                <w:szCs w:val="15"/>
                <w:lang w:eastAsia="en-IE"/>
              </w:rPr>
            </w:pPr>
            <w:r w:rsidRPr="00D022F4">
              <w:rPr>
                <w:b/>
                <w:bCs/>
                <w:color w:val="000000"/>
                <w:sz w:val="15"/>
                <w:szCs w:val="15"/>
                <w:lang w:eastAsia="en-IE"/>
              </w:rPr>
              <w:t xml:space="preserve">Italy – storm </w:t>
            </w:r>
          </w:p>
        </w:tc>
        <w:tc>
          <w:tcPr>
            <w:tcW w:w="1079" w:type="dxa"/>
            <w:vMerge w:val="restart"/>
            <w:tcBorders>
              <w:top w:val="nil"/>
              <w:left w:val="single" w:sz="8" w:space="0" w:color="auto"/>
              <w:bottom w:val="single" w:sz="8" w:space="0" w:color="000000"/>
              <w:right w:val="single" w:sz="8" w:space="0" w:color="auto"/>
            </w:tcBorders>
            <w:vAlign w:val="center"/>
            <w:hideMark/>
          </w:tcPr>
          <w:p w:rsidR="000B3473" w:rsidRPr="00D022F4" w14:paraId="3097D30D" w14:textId="77777777">
            <w:pPr>
              <w:widowControl/>
              <w:jc w:val="center"/>
              <w:rPr>
                <w:color w:val="000000"/>
                <w:sz w:val="15"/>
                <w:szCs w:val="15"/>
                <w:lang w:eastAsia="en-IE"/>
              </w:rPr>
            </w:pPr>
            <w:r w:rsidRPr="00D022F4">
              <w:rPr>
                <w:color w:val="000000"/>
                <w:sz w:val="15"/>
                <w:szCs w:val="15"/>
                <w:lang w:eastAsia="en-IE"/>
              </w:rPr>
              <w:t>2,995,399,358</w:t>
            </w:r>
          </w:p>
        </w:tc>
        <w:tc>
          <w:tcPr>
            <w:tcW w:w="1216" w:type="dxa"/>
            <w:vMerge w:val="restart"/>
            <w:tcBorders>
              <w:top w:val="nil"/>
              <w:left w:val="single" w:sz="8" w:space="0" w:color="auto"/>
              <w:bottom w:val="single" w:sz="8" w:space="0" w:color="000000"/>
              <w:right w:val="single" w:sz="8" w:space="0" w:color="auto"/>
            </w:tcBorders>
            <w:vAlign w:val="center"/>
            <w:hideMark/>
          </w:tcPr>
          <w:p w:rsidR="000B3473" w:rsidRPr="00D022F4" w14:paraId="4B88695F" w14:textId="77777777">
            <w:pPr>
              <w:widowControl/>
              <w:jc w:val="center"/>
              <w:rPr>
                <w:color w:val="000000"/>
                <w:sz w:val="15"/>
                <w:szCs w:val="15"/>
                <w:lang w:eastAsia="en-IE"/>
              </w:rPr>
            </w:pPr>
            <w:r w:rsidRPr="00D022F4">
              <w:rPr>
                <w:color w:val="000000"/>
                <w:sz w:val="15"/>
                <w:szCs w:val="15"/>
                <w:lang w:eastAsia="en-IE"/>
              </w:rPr>
              <w:t>1,379,823,036</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4B3F3E93" w14:textId="77777777">
            <w:pPr>
              <w:widowControl/>
              <w:jc w:val="center"/>
              <w:rPr>
                <w:color w:val="000000"/>
                <w:sz w:val="15"/>
                <w:szCs w:val="15"/>
                <w:lang w:eastAsia="en-IE"/>
              </w:rPr>
            </w:pPr>
            <w:r w:rsidRPr="00D022F4">
              <w:rPr>
                <w:color w:val="000000"/>
                <w:sz w:val="15"/>
                <w:szCs w:val="15"/>
                <w:lang w:eastAsia="en-IE"/>
              </w:rPr>
              <w:t>74,884,983</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545057CE" w14:textId="77777777">
            <w:pPr>
              <w:widowControl/>
              <w:jc w:val="center"/>
              <w:rPr>
                <w:color w:val="000000"/>
                <w:sz w:val="15"/>
                <w:szCs w:val="15"/>
                <w:lang w:eastAsia="en-IE"/>
              </w:rPr>
            </w:pPr>
            <w:r w:rsidRPr="00D022F4">
              <w:rPr>
                <w:color w:val="000000"/>
                <w:sz w:val="15"/>
                <w:szCs w:val="15"/>
                <w:lang w:eastAsia="en-IE"/>
              </w:rPr>
              <w:t>N/A</w:t>
            </w:r>
          </w:p>
        </w:tc>
        <w:tc>
          <w:tcPr>
            <w:tcW w:w="1395" w:type="dxa"/>
            <w:vMerge w:val="restart"/>
            <w:tcBorders>
              <w:top w:val="nil"/>
              <w:left w:val="single" w:sz="8" w:space="0" w:color="auto"/>
              <w:bottom w:val="single" w:sz="8" w:space="0" w:color="000000"/>
              <w:right w:val="single" w:sz="8" w:space="0" w:color="auto"/>
            </w:tcBorders>
            <w:vAlign w:val="center"/>
            <w:hideMark/>
          </w:tcPr>
          <w:p w:rsidR="000B3473" w:rsidRPr="00D022F4" w14:paraId="294561D7" w14:textId="77777777">
            <w:pPr>
              <w:widowControl/>
              <w:jc w:val="center"/>
              <w:rPr>
                <w:b/>
                <w:bCs/>
                <w:color w:val="000000"/>
                <w:sz w:val="15"/>
                <w:szCs w:val="15"/>
                <w:lang w:eastAsia="en-IE"/>
              </w:rPr>
            </w:pPr>
            <w:r w:rsidRPr="00D022F4">
              <w:rPr>
                <w:b/>
                <w:bCs/>
                <w:color w:val="000000"/>
                <w:sz w:val="15"/>
                <w:szCs w:val="15"/>
                <w:lang w:eastAsia="en-IE"/>
              </w:rPr>
              <w:t>74,884,983</w:t>
            </w:r>
          </w:p>
        </w:tc>
        <w:tc>
          <w:tcPr>
            <w:tcW w:w="1035" w:type="dxa"/>
            <w:vMerge w:val="restart"/>
            <w:tcBorders>
              <w:top w:val="nil"/>
              <w:left w:val="single" w:sz="8" w:space="0" w:color="auto"/>
              <w:bottom w:val="single" w:sz="8" w:space="0" w:color="000000"/>
              <w:right w:val="single" w:sz="8" w:space="0" w:color="auto"/>
            </w:tcBorders>
            <w:vAlign w:val="center"/>
            <w:hideMark/>
          </w:tcPr>
          <w:p w:rsidR="000B3473" w:rsidRPr="00D022F4" w14:paraId="65C72D13" w14:textId="77777777">
            <w:pPr>
              <w:widowControl/>
              <w:jc w:val="center"/>
              <w:rPr>
                <w:b/>
                <w:bCs/>
                <w:color w:val="000000"/>
                <w:sz w:val="15"/>
                <w:szCs w:val="15"/>
                <w:lang w:eastAsia="en-IE"/>
              </w:rPr>
            </w:pPr>
            <w:r w:rsidRPr="00D022F4">
              <w:rPr>
                <w:b/>
                <w:bCs/>
                <w:color w:val="000000"/>
                <w:sz w:val="15"/>
                <w:szCs w:val="15"/>
                <w:lang w:eastAsia="en-IE"/>
              </w:rPr>
              <w:t>not requested</w:t>
            </w:r>
          </w:p>
        </w:tc>
        <w:tc>
          <w:tcPr>
            <w:tcW w:w="1215" w:type="dxa"/>
            <w:vMerge w:val="restart"/>
            <w:tcBorders>
              <w:top w:val="nil"/>
              <w:left w:val="single" w:sz="8" w:space="0" w:color="auto"/>
              <w:bottom w:val="single" w:sz="8" w:space="0" w:color="000000"/>
              <w:right w:val="single" w:sz="8" w:space="0" w:color="auto"/>
            </w:tcBorders>
            <w:vAlign w:val="center"/>
            <w:hideMark/>
          </w:tcPr>
          <w:p w:rsidR="000B3473" w:rsidRPr="00D022F4" w14:paraId="2519260B" w14:textId="77777777">
            <w:pPr>
              <w:widowControl/>
              <w:jc w:val="center"/>
              <w:rPr>
                <w:b/>
                <w:bCs/>
                <w:color w:val="000000"/>
                <w:sz w:val="15"/>
                <w:szCs w:val="15"/>
                <w:lang w:eastAsia="en-IE"/>
              </w:rPr>
            </w:pPr>
            <w:r w:rsidRPr="00D022F4">
              <w:rPr>
                <w:b/>
                <w:bCs/>
                <w:color w:val="000000"/>
                <w:sz w:val="15"/>
                <w:szCs w:val="15"/>
                <w:lang w:eastAsia="en-IE"/>
              </w:rPr>
              <w:t>74,884,983</w:t>
            </w:r>
          </w:p>
        </w:tc>
      </w:tr>
      <w:tr w14:paraId="64457EEC" w14:textId="77777777" w:rsidTr="000B3473">
        <w:tblPrEx>
          <w:tblW w:w="9900" w:type="dxa"/>
          <w:tblInd w:w="-427" w:type="dxa"/>
          <w:tblLook w:val="04A0"/>
        </w:tblPrEx>
        <w:trPr>
          <w:trHeight w:val="240"/>
        </w:trPr>
        <w:tc>
          <w:tcPr>
            <w:tcW w:w="1534"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1F773AAE" w14:textId="77777777">
            <w:pPr>
              <w:widowControl/>
              <w:ind w:firstLine="150" w:firstLineChars="100"/>
              <w:rPr>
                <w:i/>
                <w:iCs/>
                <w:color w:val="000000"/>
                <w:sz w:val="15"/>
                <w:szCs w:val="15"/>
                <w:lang w:eastAsia="en-IE"/>
              </w:rPr>
            </w:pPr>
            <w:r w:rsidRPr="00D022F4">
              <w:rPr>
                <w:i/>
                <w:iCs/>
                <w:color w:val="000000"/>
                <w:sz w:val="15"/>
                <w:szCs w:val="15"/>
                <w:lang w:eastAsia="en-IE"/>
              </w:rPr>
              <w:t>(regional disaster)</w:t>
            </w: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3C12DD7C"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3AC7A155"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17851811"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67F90403"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571BDE00"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632089F4"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72593B51" w14:textId="77777777">
            <w:pPr>
              <w:widowControl/>
              <w:rPr>
                <w:b/>
                <w:bCs/>
                <w:color w:val="000000"/>
                <w:sz w:val="15"/>
                <w:szCs w:val="15"/>
                <w:lang w:eastAsia="en-IE"/>
              </w:rPr>
            </w:pPr>
          </w:p>
        </w:tc>
      </w:tr>
      <w:tr w14:paraId="178F480A" w14:textId="77777777" w:rsidTr="000B3473">
        <w:tblPrEx>
          <w:tblW w:w="9900" w:type="dxa"/>
          <w:tblInd w:w="-427" w:type="dxa"/>
          <w:tblLook w:val="04A0"/>
        </w:tblPrEx>
        <w:trPr>
          <w:trHeight w:val="240"/>
        </w:trPr>
        <w:tc>
          <w:tcPr>
            <w:tcW w:w="1534" w:type="dxa"/>
            <w:tcBorders>
              <w:top w:val="nil"/>
              <w:left w:val="single" w:sz="8" w:space="0" w:color="auto"/>
              <w:bottom w:val="nil"/>
              <w:right w:val="single" w:sz="8" w:space="0" w:color="auto"/>
            </w:tcBorders>
            <w:shd w:val="clear" w:color="auto" w:fill="EEECE1"/>
            <w:vAlign w:val="center"/>
            <w:hideMark/>
          </w:tcPr>
          <w:p w:rsidR="000B3473" w:rsidRPr="00D022F4" w14:paraId="5922FE2C" w14:textId="77777777">
            <w:pPr>
              <w:widowControl/>
              <w:ind w:firstLine="150" w:firstLineChars="100"/>
              <w:rPr>
                <w:b/>
                <w:bCs/>
                <w:color w:val="000000"/>
                <w:sz w:val="15"/>
                <w:szCs w:val="15"/>
                <w:lang w:eastAsia="en-IE"/>
              </w:rPr>
            </w:pPr>
            <w:r w:rsidRPr="00D022F4">
              <w:rPr>
                <w:b/>
                <w:bCs/>
                <w:color w:val="000000"/>
                <w:sz w:val="15"/>
                <w:szCs w:val="15"/>
                <w:lang w:eastAsia="en-IE"/>
              </w:rPr>
              <w:t xml:space="preserve">Portugal – storm </w:t>
            </w:r>
          </w:p>
        </w:tc>
        <w:tc>
          <w:tcPr>
            <w:tcW w:w="1079" w:type="dxa"/>
            <w:vMerge w:val="restart"/>
            <w:tcBorders>
              <w:top w:val="nil"/>
              <w:left w:val="single" w:sz="8" w:space="0" w:color="auto"/>
              <w:bottom w:val="single" w:sz="8" w:space="0" w:color="000000"/>
              <w:right w:val="single" w:sz="8" w:space="0" w:color="auto"/>
            </w:tcBorders>
            <w:vAlign w:val="center"/>
            <w:hideMark/>
          </w:tcPr>
          <w:p w:rsidR="000B3473" w:rsidRPr="00D022F4" w14:paraId="2E7DC10A" w14:textId="77777777">
            <w:pPr>
              <w:widowControl/>
              <w:jc w:val="center"/>
              <w:rPr>
                <w:color w:val="000000"/>
                <w:sz w:val="15"/>
                <w:szCs w:val="15"/>
                <w:lang w:eastAsia="en-IE"/>
              </w:rPr>
            </w:pPr>
            <w:r w:rsidRPr="00D022F4">
              <w:rPr>
                <w:color w:val="000000"/>
                <w:sz w:val="15"/>
                <w:szCs w:val="15"/>
                <w:lang w:eastAsia="en-IE"/>
              </w:rPr>
              <w:t>5,351,969,000</w:t>
            </w:r>
          </w:p>
        </w:tc>
        <w:tc>
          <w:tcPr>
            <w:tcW w:w="1216" w:type="dxa"/>
            <w:vMerge w:val="restart"/>
            <w:tcBorders>
              <w:top w:val="nil"/>
              <w:left w:val="single" w:sz="8" w:space="0" w:color="auto"/>
              <w:bottom w:val="single" w:sz="8" w:space="0" w:color="000000"/>
              <w:right w:val="single" w:sz="8" w:space="0" w:color="auto"/>
            </w:tcBorders>
            <w:vAlign w:val="center"/>
            <w:hideMark/>
          </w:tcPr>
          <w:p w:rsidR="000B3473" w:rsidRPr="00D022F4" w14:paraId="29637B6B" w14:textId="77777777">
            <w:pPr>
              <w:widowControl/>
              <w:jc w:val="center"/>
              <w:rPr>
                <w:color w:val="000000"/>
                <w:sz w:val="15"/>
                <w:szCs w:val="15"/>
                <w:lang w:eastAsia="en-IE"/>
              </w:rPr>
            </w:pPr>
            <w:r w:rsidRPr="00D022F4">
              <w:rPr>
                <w:color w:val="000000"/>
                <w:sz w:val="15"/>
                <w:szCs w:val="15"/>
                <w:lang w:eastAsia="en-IE"/>
              </w:rPr>
              <w:t>1,703,838,000</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68828917" w14:textId="77777777">
            <w:pPr>
              <w:widowControl/>
              <w:jc w:val="center"/>
              <w:rPr>
                <w:color w:val="000000"/>
                <w:sz w:val="15"/>
                <w:szCs w:val="15"/>
                <w:lang w:eastAsia="en-IE"/>
              </w:rPr>
            </w:pPr>
            <w:r w:rsidRPr="00D022F4">
              <w:rPr>
                <w:color w:val="000000"/>
                <w:sz w:val="15"/>
                <w:szCs w:val="15"/>
                <w:lang w:eastAsia="en-IE"/>
              </w:rPr>
              <w:t>42,595,950</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72D233A9" w14:textId="77777777">
            <w:pPr>
              <w:widowControl/>
              <w:jc w:val="center"/>
              <w:rPr>
                <w:color w:val="000000"/>
                <w:sz w:val="15"/>
                <w:szCs w:val="15"/>
                <w:lang w:eastAsia="en-IE"/>
              </w:rPr>
            </w:pPr>
            <w:r w:rsidRPr="00D022F4">
              <w:rPr>
                <w:color w:val="000000"/>
                <w:sz w:val="15"/>
                <w:szCs w:val="15"/>
                <w:lang w:eastAsia="en-IE"/>
              </w:rPr>
              <w:t>218,887,860</w:t>
            </w:r>
          </w:p>
        </w:tc>
        <w:tc>
          <w:tcPr>
            <w:tcW w:w="1395" w:type="dxa"/>
            <w:vMerge w:val="restart"/>
            <w:tcBorders>
              <w:top w:val="nil"/>
              <w:left w:val="single" w:sz="8" w:space="0" w:color="auto"/>
              <w:bottom w:val="single" w:sz="8" w:space="0" w:color="000000"/>
              <w:right w:val="single" w:sz="8" w:space="0" w:color="auto"/>
            </w:tcBorders>
            <w:vAlign w:val="center"/>
            <w:hideMark/>
          </w:tcPr>
          <w:p w:rsidR="000B3473" w:rsidRPr="00D022F4" w14:paraId="0514C15A" w14:textId="77777777">
            <w:pPr>
              <w:widowControl/>
              <w:jc w:val="center"/>
              <w:rPr>
                <w:b/>
                <w:bCs/>
                <w:color w:val="000000"/>
                <w:sz w:val="15"/>
                <w:szCs w:val="15"/>
                <w:lang w:eastAsia="en-IE"/>
              </w:rPr>
            </w:pPr>
            <w:r w:rsidRPr="00D022F4">
              <w:rPr>
                <w:b/>
                <w:bCs/>
                <w:color w:val="000000"/>
                <w:sz w:val="15"/>
                <w:szCs w:val="15"/>
                <w:lang w:eastAsia="en-IE"/>
              </w:rPr>
              <w:t>261,483,810</w:t>
            </w:r>
          </w:p>
        </w:tc>
        <w:tc>
          <w:tcPr>
            <w:tcW w:w="1035" w:type="dxa"/>
            <w:vMerge w:val="restart"/>
            <w:tcBorders>
              <w:top w:val="nil"/>
              <w:left w:val="single" w:sz="8" w:space="0" w:color="auto"/>
              <w:bottom w:val="single" w:sz="8" w:space="0" w:color="000000"/>
              <w:right w:val="single" w:sz="8" w:space="0" w:color="auto"/>
            </w:tcBorders>
            <w:vAlign w:val="center"/>
            <w:hideMark/>
          </w:tcPr>
          <w:p w:rsidR="000B3473" w:rsidRPr="00D022F4" w14:paraId="084A3CFE" w14:textId="77777777">
            <w:pPr>
              <w:widowControl/>
              <w:jc w:val="center"/>
              <w:rPr>
                <w:b/>
                <w:bCs/>
                <w:color w:val="000000"/>
                <w:sz w:val="15"/>
                <w:szCs w:val="15"/>
                <w:lang w:eastAsia="en-IE"/>
              </w:rPr>
            </w:pPr>
            <w:r w:rsidRPr="00D022F4">
              <w:rPr>
                <w:b/>
                <w:bCs/>
                <w:color w:val="000000"/>
                <w:sz w:val="15"/>
                <w:szCs w:val="15"/>
                <w:lang w:eastAsia="en-IE"/>
              </w:rPr>
              <w:t>65,370,952</w:t>
            </w:r>
          </w:p>
        </w:tc>
        <w:tc>
          <w:tcPr>
            <w:tcW w:w="1215" w:type="dxa"/>
            <w:vMerge w:val="restart"/>
            <w:tcBorders>
              <w:top w:val="nil"/>
              <w:left w:val="single" w:sz="8" w:space="0" w:color="auto"/>
              <w:bottom w:val="single" w:sz="8" w:space="0" w:color="000000"/>
              <w:right w:val="single" w:sz="8" w:space="0" w:color="auto"/>
            </w:tcBorders>
            <w:vAlign w:val="center"/>
            <w:hideMark/>
          </w:tcPr>
          <w:p w:rsidR="000B3473" w:rsidRPr="00D022F4" w14:paraId="23127E98" w14:textId="77777777">
            <w:pPr>
              <w:widowControl/>
              <w:jc w:val="center"/>
              <w:rPr>
                <w:b/>
                <w:bCs/>
                <w:color w:val="000000"/>
                <w:sz w:val="15"/>
                <w:szCs w:val="15"/>
                <w:lang w:eastAsia="en-IE"/>
              </w:rPr>
            </w:pPr>
            <w:r w:rsidRPr="00D022F4">
              <w:rPr>
                <w:b/>
                <w:bCs/>
                <w:color w:val="000000"/>
                <w:sz w:val="15"/>
                <w:szCs w:val="15"/>
                <w:lang w:eastAsia="en-IE"/>
              </w:rPr>
              <w:t>196,112,858</w:t>
            </w:r>
          </w:p>
        </w:tc>
      </w:tr>
      <w:tr w14:paraId="61DC8234" w14:textId="77777777" w:rsidTr="000B3473">
        <w:tblPrEx>
          <w:tblW w:w="9900" w:type="dxa"/>
          <w:tblInd w:w="-427" w:type="dxa"/>
          <w:tblLook w:val="04A0"/>
        </w:tblPrEx>
        <w:trPr>
          <w:trHeight w:val="240"/>
        </w:trPr>
        <w:tc>
          <w:tcPr>
            <w:tcW w:w="1534"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6ECB71A9" w14:textId="77777777">
            <w:pPr>
              <w:widowControl/>
              <w:ind w:firstLine="150" w:firstLineChars="100"/>
              <w:rPr>
                <w:i/>
                <w:iCs/>
                <w:color w:val="000000"/>
                <w:sz w:val="15"/>
                <w:szCs w:val="15"/>
                <w:lang w:eastAsia="en-IE"/>
              </w:rPr>
            </w:pPr>
            <w:r w:rsidRPr="00D022F4">
              <w:rPr>
                <w:i/>
                <w:iCs/>
                <w:color w:val="000000"/>
                <w:sz w:val="15"/>
                <w:szCs w:val="15"/>
                <w:lang w:eastAsia="en-IE"/>
              </w:rPr>
              <w:t>(major disaster)</w:t>
            </w: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0DD44BEC"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24714306"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2825100D"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30E59884"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7318D8F7"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1B4873D8"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4590DF8A" w14:textId="77777777">
            <w:pPr>
              <w:widowControl/>
              <w:rPr>
                <w:b/>
                <w:bCs/>
                <w:color w:val="000000"/>
                <w:sz w:val="15"/>
                <w:szCs w:val="15"/>
                <w:lang w:eastAsia="en-IE"/>
              </w:rPr>
            </w:pPr>
          </w:p>
        </w:tc>
      </w:tr>
      <w:tr w14:paraId="2D9CE4EA" w14:textId="77777777" w:rsidTr="000B3473">
        <w:tblPrEx>
          <w:tblW w:w="9900" w:type="dxa"/>
          <w:tblInd w:w="-427" w:type="dxa"/>
          <w:tblLook w:val="04A0"/>
        </w:tblPrEx>
        <w:trPr>
          <w:trHeight w:val="240"/>
        </w:trPr>
        <w:tc>
          <w:tcPr>
            <w:tcW w:w="1534" w:type="dxa"/>
            <w:tcBorders>
              <w:top w:val="nil"/>
              <w:left w:val="single" w:sz="8" w:space="0" w:color="auto"/>
              <w:bottom w:val="nil"/>
              <w:right w:val="single" w:sz="8" w:space="0" w:color="auto"/>
            </w:tcBorders>
            <w:shd w:val="clear" w:color="auto" w:fill="EEECE1"/>
            <w:vAlign w:val="center"/>
            <w:hideMark/>
          </w:tcPr>
          <w:p w:rsidR="000B3473" w:rsidRPr="00D022F4" w14:paraId="637BF342" w14:textId="77777777">
            <w:pPr>
              <w:widowControl/>
              <w:ind w:firstLine="150" w:firstLineChars="100"/>
              <w:rPr>
                <w:b/>
                <w:bCs/>
                <w:color w:val="000000"/>
                <w:sz w:val="15"/>
                <w:szCs w:val="15"/>
                <w:lang w:eastAsia="en-IE"/>
              </w:rPr>
            </w:pPr>
            <w:r w:rsidRPr="00D022F4">
              <w:rPr>
                <w:b/>
                <w:bCs/>
                <w:color w:val="000000"/>
                <w:sz w:val="15"/>
                <w:szCs w:val="15"/>
                <w:lang w:eastAsia="en-IE"/>
              </w:rPr>
              <w:t>Spain – storm</w:t>
            </w:r>
          </w:p>
        </w:tc>
        <w:tc>
          <w:tcPr>
            <w:tcW w:w="1079" w:type="dxa"/>
            <w:vMerge w:val="restart"/>
            <w:tcBorders>
              <w:top w:val="nil"/>
              <w:left w:val="single" w:sz="8" w:space="0" w:color="auto"/>
              <w:bottom w:val="single" w:sz="8" w:space="0" w:color="000000"/>
              <w:right w:val="single" w:sz="8" w:space="0" w:color="auto"/>
            </w:tcBorders>
            <w:vAlign w:val="center"/>
            <w:hideMark/>
          </w:tcPr>
          <w:p w:rsidR="000B3473" w:rsidRPr="00D022F4" w14:paraId="25301A2C" w14:textId="77777777">
            <w:pPr>
              <w:widowControl/>
              <w:jc w:val="center"/>
              <w:rPr>
                <w:color w:val="000000"/>
                <w:sz w:val="15"/>
                <w:szCs w:val="15"/>
                <w:lang w:eastAsia="en-IE"/>
              </w:rPr>
            </w:pPr>
            <w:r w:rsidRPr="00D022F4">
              <w:rPr>
                <w:color w:val="000000"/>
                <w:sz w:val="15"/>
                <w:szCs w:val="15"/>
                <w:lang w:eastAsia="en-IE"/>
              </w:rPr>
              <w:t>4,839,525,763</w:t>
            </w:r>
          </w:p>
        </w:tc>
        <w:tc>
          <w:tcPr>
            <w:tcW w:w="1216" w:type="dxa"/>
            <w:vMerge w:val="restart"/>
            <w:tcBorders>
              <w:top w:val="nil"/>
              <w:left w:val="single" w:sz="8" w:space="0" w:color="auto"/>
              <w:bottom w:val="single" w:sz="8" w:space="0" w:color="000000"/>
              <w:right w:val="single" w:sz="8" w:space="0" w:color="auto"/>
            </w:tcBorders>
            <w:vAlign w:val="center"/>
            <w:hideMark/>
          </w:tcPr>
          <w:p w:rsidR="000B3473" w:rsidRPr="00D022F4" w14:paraId="4168D2BD" w14:textId="77777777">
            <w:pPr>
              <w:widowControl/>
              <w:jc w:val="center"/>
              <w:rPr>
                <w:color w:val="000000"/>
                <w:sz w:val="15"/>
                <w:szCs w:val="15"/>
                <w:lang w:eastAsia="en-IE"/>
              </w:rPr>
            </w:pPr>
            <w:r w:rsidRPr="00D022F4">
              <w:rPr>
                <w:color w:val="000000"/>
                <w:sz w:val="15"/>
                <w:szCs w:val="15"/>
                <w:lang w:eastAsia="en-IE"/>
              </w:rPr>
              <w:t>4,037,605,000</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6D6984CF" w14:textId="77777777">
            <w:pPr>
              <w:widowControl/>
              <w:jc w:val="center"/>
              <w:rPr>
                <w:color w:val="000000"/>
                <w:sz w:val="15"/>
                <w:szCs w:val="15"/>
                <w:lang w:eastAsia="en-IE"/>
              </w:rPr>
            </w:pPr>
            <w:r w:rsidRPr="00D022F4">
              <w:rPr>
                <w:color w:val="000000"/>
                <w:sz w:val="15"/>
                <w:szCs w:val="15"/>
                <w:lang w:eastAsia="en-IE"/>
              </w:rPr>
              <w:t>100,940,125</w:t>
            </w:r>
          </w:p>
        </w:tc>
        <w:tc>
          <w:tcPr>
            <w:tcW w:w="1213" w:type="dxa"/>
            <w:vMerge w:val="restart"/>
            <w:tcBorders>
              <w:top w:val="nil"/>
              <w:left w:val="single" w:sz="8" w:space="0" w:color="auto"/>
              <w:bottom w:val="single" w:sz="8" w:space="0" w:color="000000"/>
              <w:right w:val="single" w:sz="8" w:space="0" w:color="auto"/>
            </w:tcBorders>
            <w:vAlign w:val="center"/>
            <w:hideMark/>
          </w:tcPr>
          <w:p w:rsidR="000B3473" w:rsidRPr="00D022F4" w14:paraId="0418E579" w14:textId="77777777">
            <w:pPr>
              <w:widowControl/>
              <w:jc w:val="center"/>
              <w:rPr>
                <w:color w:val="000000"/>
                <w:sz w:val="15"/>
                <w:szCs w:val="15"/>
                <w:lang w:eastAsia="en-IE"/>
              </w:rPr>
            </w:pPr>
            <w:r w:rsidRPr="00D022F4">
              <w:rPr>
                <w:color w:val="000000"/>
                <w:sz w:val="15"/>
                <w:szCs w:val="15"/>
                <w:lang w:eastAsia="en-IE"/>
              </w:rPr>
              <w:t>48,115,245</w:t>
            </w:r>
          </w:p>
        </w:tc>
        <w:tc>
          <w:tcPr>
            <w:tcW w:w="1395" w:type="dxa"/>
            <w:vMerge w:val="restart"/>
            <w:tcBorders>
              <w:top w:val="nil"/>
              <w:left w:val="single" w:sz="8" w:space="0" w:color="auto"/>
              <w:bottom w:val="single" w:sz="8" w:space="0" w:color="000000"/>
              <w:right w:val="single" w:sz="8" w:space="0" w:color="auto"/>
            </w:tcBorders>
            <w:vAlign w:val="center"/>
            <w:hideMark/>
          </w:tcPr>
          <w:p w:rsidR="000B3473" w:rsidRPr="00D022F4" w14:paraId="4A281891" w14:textId="77777777">
            <w:pPr>
              <w:widowControl/>
              <w:jc w:val="center"/>
              <w:rPr>
                <w:b/>
                <w:bCs/>
                <w:color w:val="000000"/>
                <w:sz w:val="15"/>
                <w:szCs w:val="15"/>
                <w:lang w:eastAsia="en-IE"/>
              </w:rPr>
            </w:pPr>
            <w:r w:rsidRPr="00D022F4">
              <w:rPr>
                <w:b/>
                <w:bCs/>
                <w:color w:val="000000"/>
                <w:sz w:val="15"/>
                <w:szCs w:val="15"/>
                <w:lang w:eastAsia="en-IE"/>
              </w:rPr>
              <w:t>149,055,370</w:t>
            </w:r>
          </w:p>
        </w:tc>
        <w:tc>
          <w:tcPr>
            <w:tcW w:w="1035" w:type="dxa"/>
            <w:vMerge w:val="restart"/>
            <w:tcBorders>
              <w:top w:val="nil"/>
              <w:left w:val="single" w:sz="8" w:space="0" w:color="auto"/>
              <w:bottom w:val="single" w:sz="8" w:space="0" w:color="000000"/>
              <w:right w:val="single" w:sz="8" w:space="0" w:color="auto"/>
            </w:tcBorders>
            <w:vAlign w:val="center"/>
            <w:hideMark/>
          </w:tcPr>
          <w:p w:rsidR="000B3473" w:rsidRPr="00D022F4" w14:paraId="7F4342B2" w14:textId="77777777">
            <w:pPr>
              <w:widowControl/>
              <w:jc w:val="center"/>
              <w:rPr>
                <w:b/>
                <w:bCs/>
                <w:color w:val="000000"/>
                <w:sz w:val="15"/>
                <w:szCs w:val="15"/>
                <w:lang w:eastAsia="en-IE"/>
              </w:rPr>
            </w:pPr>
            <w:r w:rsidRPr="00D022F4">
              <w:rPr>
                <w:b/>
                <w:bCs/>
                <w:color w:val="000000"/>
                <w:sz w:val="15"/>
                <w:szCs w:val="15"/>
                <w:lang w:eastAsia="en-IE"/>
              </w:rPr>
              <w:t>37,263,842</w:t>
            </w:r>
          </w:p>
        </w:tc>
        <w:tc>
          <w:tcPr>
            <w:tcW w:w="1215" w:type="dxa"/>
            <w:vMerge w:val="restart"/>
            <w:tcBorders>
              <w:top w:val="nil"/>
              <w:left w:val="single" w:sz="8" w:space="0" w:color="auto"/>
              <w:bottom w:val="single" w:sz="8" w:space="0" w:color="000000"/>
              <w:right w:val="single" w:sz="8" w:space="0" w:color="auto"/>
            </w:tcBorders>
            <w:vAlign w:val="center"/>
            <w:hideMark/>
          </w:tcPr>
          <w:p w:rsidR="000B3473" w:rsidRPr="00D022F4" w14:paraId="5262A691" w14:textId="77777777">
            <w:pPr>
              <w:widowControl/>
              <w:jc w:val="center"/>
              <w:rPr>
                <w:b/>
                <w:bCs/>
                <w:color w:val="000000"/>
                <w:sz w:val="15"/>
                <w:szCs w:val="15"/>
                <w:lang w:eastAsia="en-IE"/>
              </w:rPr>
            </w:pPr>
            <w:r w:rsidRPr="00D022F4">
              <w:rPr>
                <w:b/>
                <w:bCs/>
                <w:color w:val="000000"/>
                <w:sz w:val="15"/>
                <w:szCs w:val="15"/>
                <w:lang w:eastAsia="en-IE"/>
              </w:rPr>
              <w:t>111,791,528</w:t>
            </w:r>
          </w:p>
        </w:tc>
      </w:tr>
      <w:tr w14:paraId="13719E80" w14:textId="77777777" w:rsidTr="000B3473">
        <w:tblPrEx>
          <w:tblW w:w="9900" w:type="dxa"/>
          <w:tblInd w:w="-427" w:type="dxa"/>
          <w:tblLook w:val="04A0"/>
        </w:tblPrEx>
        <w:trPr>
          <w:trHeight w:val="240"/>
        </w:trPr>
        <w:tc>
          <w:tcPr>
            <w:tcW w:w="1534" w:type="dxa"/>
            <w:tcBorders>
              <w:top w:val="nil"/>
              <w:left w:val="single" w:sz="8" w:space="0" w:color="auto"/>
              <w:bottom w:val="single" w:sz="8" w:space="0" w:color="auto"/>
              <w:right w:val="single" w:sz="8" w:space="0" w:color="auto"/>
            </w:tcBorders>
            <w:shd w:val="clear" w:color="auto" w:fill="EEECE1"/>
            <w:vAlign w:val="center"/>
            <w:hideMark/>
          </w:tcPr>
          <w:p w:rsidR="000B3473" w:rsidRPr="00D022F4" w14:paraId="7706AF7C" w14:textId="77777777">
            <w:pPr>
              <w:widowControl/>
              <w:ind w:firstLine="150" w:firstLineChars="100"/>
              <w:rPr>
                <w:i/>
                <w:iCs/>
                <w:color w:val="000000"/>
                <w:sz w:val="15"/>
                <w:szCs w:val="15"/>
                <w:lang w:eastAsia="en-IE"/>
              </w:rPr>
            </w:pPr>
            <w:r w:rsidRPr="00D022F4">
              <w:rPr>
                <w:i/>
                <w:iCs/>
                <w:color w:val="000000"/>
                <w:sz w:val="15"/>
                <w:szCs w:val="15"/>
                <w:lang w:eastAsia="en-IE"/>
              </w:rPr>
              <w:t>(major disaster)</w:t>
            </w: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56871704"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178ACEBF"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432A2424"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42B9601B" w14:textId="77777777">
            <w:pPr>
              <w:widowControl/>
              <w:rPr>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5CA8BC48"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504BF324" w14:textId="77777777">
            <w:pPr>
              <w:widowControl/>
              <w:rPr>
                <w:b/>
                <w:bCs/>
                <w:color w:val="000000"/>
                <w:sz w:val="15"/>
                <w:szCs w:val="15"/>
                <w:lang w:eastAsia="en-IE"/>
              </w:rPr>
            </w:pPr>
          </w:p>
        </w:tc>
        <w:tc>
          <w:tcPr>
            <w:tcW w:w="0" w:type="auto"/>
            <w:vMerge/>
            <w:tcBorders>
              <w:top w:val="nil"/>
              <w:left w:val="single" w:sz="8" w:space="0" w:color="auto"/>
              <w:bottom w:val="single" w:sz="8" w:space="0" w:color="000000"/>
              <w:right w:val="single" w:sz="8" w:space="0" w:color="auto"/>
            </w:tcBorders>
            <w:vAlign w:val="center"/>
            <w:hideMark/>
          </w:tcPr>
          <w:p w:rsidR="000B3473" w:rsidRPr="00D022F4" w14:paraId="0CBB95E1" w14:textId="77777777">
            <w:pPr>
              <w:widowControl/>
              <w:rPr>
                <w:b/>
                <w:bCs/>
                <w:color w:val="000000"/>
                <w:sz w:val="15"/>
                <w:szCs w:val="15"/>
                <w:lang w:eastAsia="en-IE"/>
              </w:rPr>
            </w:pPr>
          </w:p>
        </w:tc>
      </w:tr>
      <w:tr w14:paraId="064CED19" w14:textId="77777777" w:rsidTr="000B3473">
        <w:tblPrEx>
          <w:tblW w:w="9900" w:type="dxa"/>
          <w:tblInd w:w="-427" w:type="dxa"/>
          <w:tblLook w:val="04A0"/>
        </w:tblPrEx>
        <w:trPr>
          <w:trHeight w:val="300"/>
        </w:trPr>
        <w:tc>
          <w:tcPr>
            <w:tcW w:w="6255" w:type="dxa"/>
            <w:gridSpan w:val="5"/>
            <w:tcBorders>
              <w:top w:val="single" w:sz="8" w:space="0" w:color="auto"/>
              <w:left w:val="single" w:sz="8" w:space="0" w:color="auto"/>
              <w:bottom w:val="single" w:sz="8" w:space="0" w:color="auto"/>
              <w:right w:val="single" w:sz="8" w:space="0" w:color="000000"/>
            </w:tcBorders>
            <w:shd w:val="clear" w:color="auto" w:fill="EEECE1"/>
            <w:vAlign w:val="center"/>
            <w:hideMark/>
          </w:tcPr>
          <w:p w:rsidR="000B3473" w:rsidRPr="00D022F4" w14:paraId="08DA4C1A" w14:textId="77777777">
            <w:pPr>
              <w:widowControl/>
              <w:ind w:firstLine="320" w:firstLineChars="200"/>
              <w:jc w:val="right"/>
              <w:rPr>
                <w:b/>
                <w:bCs/>
                <w:color w:val="000000"/>
                <w:sz w:val="16"/>
                <w:szCs w:val="16"/>
                <w:lang w:eastAsia="en-IE"/>
              </w:rPr>
            </w:pPr>
            <w:r w:rsidRPr="00D022F4">
              <w:rPr>
                <w:b/>
                <w:bCs/>
                <w:color w:val="000000"/>
                <w:sz w:val="16"/>
                <w:szCs w:val="16"/>
                <w:lang w:eastAsia="en-IE"/>
              </w:rPr>
              <w:t>TOTAL</w:t>
            </w:r>
          </w:p>
        </w:tc>
        <w:tc>
          <w:tcPr>
            <w:tcW w:w="1395" w:type="dxa"/>
            <w:tcBorders>
              <w:top w:val="nil"/>
              <w:left w:val="nil"/>
              <w:bottom w:val="single" w:sz="8" w:space="0" w:color="auto"/>
              <w:right w:val="single" w:sz="8" w:space="0" w:color="auto"/>
            </w:tcBorders>
            <w:shd w:val="clear" w:color="auto" w:fill="EEECE1"/>
            <w:vAlign w:val="center"/>
            <w:hideMark/>
          </w:tcPr>
          <w:p w:rsidR="000B3473" w:rsidRPr="00D022F4" w14:paraId="39A62C61" w14:textId="77777777">
            <w:pPr>
              <w:widowControl/>
              <w:jc w:val="center"/>
              <w:rPr>
                <w:b/>
                <w:bCs/>
                <w:color w:val="000000"/>
                <w:sz w:val="16"/>
                <w:szCs w:val="16"/>
                <w:lang w:eastAsia="en-IE"/>
              </w:rPr>
            </w:pPr>
            <w:r w:rsidRPr="00D022F4">
              <w:rPr>
                <w:b/>
                <w:bCs/>
                <w:color w:val="000000"/>
                <w:sz w:val="16"/>
                <w:szCs w:val="16"/>
                <w:lang w:eastAsia="en-IE"/>
              </w:rPr>
              <w:t>489,148,220</w:t>
            </w:r>
          </w:p>
        </w:tc>
        <w:tc>
          <w:tcPr>
            <w:tcW w:w="1035" w:type="dxa"/>
            <w:tcBorders>
              <w:top w:val="nil"/>
              <w:left w:val="nil"/>
              <w:bottom w:val="single" w:sz="8" w:space="0" w:color="auto"/>
              <w:right w:val="single" w:sz="8" w:space="0" w:color="auto"/>
            </w:tcBorders>
            <w:shd w:val="clear" w:color="auto" w:fill="EEECE1"/>
            <w:vAlign w:val="center"/>
            <w:hideMark/>
          </w:tcPr>
          <w:p w:rsidR="000B3473" w:rsidRPr="00D022F4" w14:paraId="37016226" w14:textId="77777777">
            <w:pPr>
              <w:widowControl/>
              <w:jc w:val="center"/>
              <w:rPr>
                <w:b/>
                <w:bCs/>
                <w:color w:val="000000"/>
                <w:sz w:val="16"/>
                <w:szCs w:val="16"/>
                <w:lang w:eastAsia="en-IE"/>
              </w:rPr>
            </w:pPr>
            <w:r w:rsidRPr="00D022F4">
              <w:rPr>
                <w:b/>
                <w:bCs/>
                <w:color w:val="000000"/>
                <w:sz w:val="16"/>
                <w:szCs w:val="16"/>
                <w:lang w:eastAsia="en-IE"/>
              </w:rPr>
              <w:t>103,565,808</w:t>
            </w:r>
          </w:p>
        </w:tc>
        <w:tc>
          <w:tcPr>
            <w:tcW w:w="1215" w:type="dxa"/>
            <w:tcBorders>
              <w:top w:val="nil"/>
              <w:left w:val="nil"/>
              <w:bottom w:val="single" w:sz="8" w:space="0" w:color="auto"/>
              <w:right w:val="single" w:sz="8" w:space="0" w:color="auto"/>
            </w:tcBorders>
            <w:shd w:val="clear" w:color="auto" w:fill="EEECE1"/>
            <w:vAlign w:val="center"/>
            <w:hideMark/>
          </w:tcPr>
          <w:p w:rsidR="000B3473" w:rsidRPr="00D022F4" w14:paraId="4B1F2EA2" w14:textId="77777777">
            <w:pPr>
              <w:widowControl/>
              <w:jc w:val="center"/>
              <w:rPr>
                <w:b/>
                <w:bCs/>
                <w:color w:val="000000"/>
                <w:sz w:val="16"/>
                <w:szCs w:val="16"/>
                <w:lang w:eastAsia="en-IE"/>
              </w:rPr>
            </w:pPr>
            <w:r w:rsidRPr="00D022F4">
              <w:rPr>
                <w:b/>
                <w:bCs/>
                <w:color w:val="000000"/>
                <w:sz w:val="16"/>
                <w:szCs w:val="16"/>
                <w:lang w:eastAsia="en-IE"/>
              </w:rPr>
              <w:t>385,582,412</w:t>
            </w:r>
          </w:p>
        </w:tc>
      </w:tr>
    </w:tbl>
    <w:p w:rsidR="0058028A" w:rsidRPr="00D022F4" w:rsidP="0058028A" w14:paraId="0489F749" w14:textId="77777777"/>
    <w:p w:rsidR="000B3473" w:rsidRPr="00D022F4" w:rsidP="000B3473" w14:paraId="510058F2" w14:textId="77777777">
      <w:pPr>
        <w:widowControl/>
        <w:spacing w:before="120" w:after="120"/>
        <w:jc w:val="both"/>
        <w:rPr>
          <w:rFonts w:eastAsia="Calibri"/>
          <w:szCs w:val="22"/>
          <w:lang w:eastAsia="en-US"/>
        </w:rPr>
      </w:pPr>
      <w:r w:rsidRPr="00D022F4">
        <w:rPr>
          <w:rFonts w:eastAsia="Calibri"/>
          <w:szCs w:val="22"/>
          <w:lang w:eastAsia="en-US"/>
        </w:rPr>
        <w:t>Pursuant to Council Regulation (EU, Euratom) No 2020/2093 of 17 December 2020 laying down the multiannual financial framework for the years 2021-2027</w:t>
      </w:r>
      <w:r>
        <w:rPr>
          <w:rStyle w:val="FootnoteReference"/>
          <w:rFonts w:eastAsia="Calibri"/>
          <w:szCs w:val="22"/>
          <w:lang w:eastAsia="en-US"/>
        </w:rPr>
        <w:footnoteReference w:id="13"/>
      </w:r>
      <w:r w:rsidRPr="00D022F4">
        <w:rPr>
          <w:rFonts w:eastAsia="Calibri"/>
          <w:szCs w:val="22"/>
          <w:lang w:eastAsia="en-US"/>
        </w:rPr>
        <w:t> (hereafter ‘the MFF Regulation’) the Solidarity and Emergency Aid Reserve (SEAR) is constituted of two instruments: the European Solidarity Reserve and the Emergency Aid Reserve.</w:t>
      </w:r>
    </w:p>
    <w:p w:rsidR="000B3473" w:rsidRPr="00D022F4" w:rsidP="000B3473" w14:paraId="156125F1" w14:textId="77777777">
      <w:pPr>
        <w:widowControl/>
        <w:spacing w:before="120" w:after="120"/>
        <w:jc w:val="both"/>
        <w:rPr>
          <w:rFonts w:eastAsia="Calibri"/>
          <w:szCs w:val="22"/>
          <w:lang w:eastAsia="en-US"/>
        </w:rPr>
      </w:pPr>
      <w:r w:rsidRPr="00D022F4">
        <w:rPr>
          <w:rFonts w:eastAsia="Calibri"/>
          <w:szCs w:val="22"/>
          <w:lang w:eastAsia="en-US"/>
        </w:rPr>
        <w:t>The European Solidarity Reserve with an annual amount of EUR 1 016 million in 2018 prices (corresponding to EUR 1 190.4 million in 2026 prices) will be used for assistance to respond to emergency situations covered by the EUSF. Point 10 of the Interinstitutional Agreement of 16 December 2020 between the European Parliament, the Council and the Commission on budgetary discipline, on cooperation on budgetary matters and on sound financial management as well as on new own resources, including a roadmap towards the introduction of new own resources</w:t>
      </w:r>
      <w:r>
        <w:rPr>
          <w:rStyle w:val="FootnoteReference"/>
          <w:rFonts w:eastAsia="Calibri"/>
          <w:szCs w:val="22"/>
          <w:lang w:eastAsia="en-US"/>
        </w:rPr>
        <w:footnoteReference w:id="14"/>
      </w:r>
      <w:r w:rsidRPr="00D022F4">
        <w:rPr>
          <w:rFonts w:eastAsia="Calibri"/>
          <w:szCs w:val="22"/>
          <w:lang w:eastAsia="en-US"/>
        </w:rPr>
        <w:t>, lays down the modalities for the mobilisation of the EUSF in the context of the SEAR.</w:t>
      </w:r>
    </w:p>
    <w:p w:rsidR="000B3473" w:rsidRPr="00D022F4" w:rsidP="000B3473" w14:paraId="4AF942DA" w14:textId="77777777">
      <w:pPr>
        <w:widowControl/>
        <w:spacing w:before="120" w:after="120"/>
        <w:jc w:val="both"/>
        <w:rPr>
          <w:rFonts w:eastAsia="Calibri"/>
          <w:szCs w:val="22"/>
          <w:lang w:eastAsia="en-US"/>
        </w:rPr>
      </w:pPr>
      <w:r w:rsidRPr="00D022F4">
        <w:rPr>
          <w:rFonts w:eastAsia="Calibri"/>
          <w:szCs w:val="22"/>
          <w:lang w:eastAsia="en-US"/>
        </w:rPr>
        <w:t>In order to</w:t>
      </w:r>
      <w:r w:rsidRPr="00D022F4">
        <w:rPr>
          <w:rFonts w:eastAsia="Calibri"/>
          <w:szCs w:val="22"/>
          <w:lang w:eastAsia="en-US"/>
        </w:rPr>
        <w:t xml:space="preserve"> avoid an early depletion of the annual allocation, Article 3(7) of the EUSF Regulation and Article 9(2), </w:t>
      </w:r>
      <w:r w:rsidRPr="00D022F4">
        <w:rPr>
          <w:rFonts w:eastAsia="Calibri"/>
          <w:szCs w:val="22"/>
          <w:lang w:eastAsia="en-US"/>
        </w:rPr>
        <w:t>second subparagraph,</w:t>
      </w:r>
      <w:r w:rsidRPr="00D022F4">
        <w:rPr>
          <w:rFonts w:eastAsia="Calibri"/>
          <w:szCs w:val="22"/>
          <w:lang w:eastAsia="en-US"/>
        </w:rPr>
        <w:t xml:space="preserve"> of the MFF Regulation stipulate that 25% of the annual EUSF allocation must remain available on 1 October of each year (end-of-year-cushion). In 2026, this amount corresponds to EUR 297.6 million.</w:t>
      </w:r>
    </w:p>
    <w:p w:rsidR="000B3473" w:rsidRPr="00D022F4" w:rsidP="000B3473" w14:paraId="578676CB" w14:textId="77777777">
      <w:pPr>
        <w:widowControl/>
        <w:spacing w:before="120" w:after="120"/>
        <w:jc w:val="both"/>
        <w:rPr>
          <w:rFonts w:eastAsia="Calibri"/>
          <w:szCs w:val="22"/>
          <w:lang w:eastAsia="en-US"/>
        </w:rPr>
      </w:pPr>
      <w:r w:rsidRPr="00D022F4">
        <w:rPr>
          <w:rFonts w:eastAsia="Calibri"/>
          <w:szCs w:val="22"/>
          <w:lang w:eastAsia="en-US"/>
        </w:rPr>
        <w:t xml:space="preserve">In accordance with Article 9(2), </w:t>
      </w:r>
      <w:r w:rsidRPr="00D022F4">
        <w:rPr>
          <w:rFonts w:eastAsia="Calibri"/>
          <w:szCs w:val="22"/>
          <w:lang w:eastAsia="en-US"/>
        </w:rPr>
        <w:t>first subparagraph,</w:t>
      </w:r>
      <w:r w:rsidRPr="00D022F4">
        <w:rPr>
          <w:rFonts w:eastAsia="Calibri"/>
          <w:szCs w:val="22"/>
          <w:lang w:eastAsia="en-US"/>
        </w:rPr>
        <w:t xml:space="preserve"> of the MFF Regulation, any portion of the annual amount not used </w:t>
      </w:r>
      <w:r w:rsidRPr="00D022F4">
        <w:rPr>
          <w:rFonts w:eastAsia="Calibri"/>
          <w:szCs w:val="22"/>
          <w:lang w:eastAsia="en-US"/>
        </w:rPr>
        <w:t>in a given year</w:t>
      </w:r>
      <w:r w:rsidRPr="00D022F4">
        <w:rPr>
          <w:rFonts w:eastAsia="Calibri"/>
          <w:szCs w:val="22"/>
          <w:lang w:eastAsia="en-US"/>
        </w:rPr>
        <w:t xml:space="preserve"> n may be used up to year n+1. The amount of EUR 21.3 million has been carried over from 2025 to 2026.</w:t>
      </w:r>
    </w:p>
    <w:p w:rsidR="000B3473" w:rsidRPr="00D022F4" w:rsidP="000B3473" w14:paraId="5C881C2A" w14:textId="77777777">
      <w:pPr>
        <w:widowControl/>
        <w:spacing w:before="120" w:after="120"/>
        <w:jc w:val="both"/>
        <w:rPr>
          <w:noProof/>
          <w:szCs w:val="22"/>
        </w:rPr>
      </w:pPr>
      <w:r w:rsidRPr="00D022F4">
        <w:rPr>
          <w:rFonts w:eastAsia="Calibri"/>
          <w:szCs w:val="22"/>
          <w:lang w:eastAsia="en-US"/>
        </w:rPr>
        <w:t>Moreover, pursuant to Article 4</w:t>
      </w:r>
      <w:r w:rsidRPr="00D022F4">
        <w:rPr>
          <w:rFonts w:eastAsia="Calibri"/>
          <w:szCs w:val="22"/>
          <w:lang w:eastAsia="en-US"/>
        </w:rPr>
        <w:t>a(</w:t>
      </w:r>
      <w:r w:rsidRPr="00D022F4">
        <w:rPr>
          <w:rFonts w:eastAsia="Calibri"/>
          <w:szCs w:val="22"/>
          <w:lang w:eastAsia="en-US"/>
        </w:rPr>
        <w:t xml:space="preserve">4) of the EUSF Regulation, the amount of EUR 50 million has already been inscribed in the General Budget 2026 (in commitments and payments) for the payment of possible advances. </w:t>
      </w:r>
      <w:r w:rsidRPr="00D022F4">
        <w:rPr>
          <w:noProof/>
          <w:szCs w:val="22"/>
        </w:rPr>
        <w:t>In 2026, the Commission has already paid four advances totalling EUR 133.7 million: to Spain regarding the wildfires in 2025, to Malta regarding Storm Harry in January 2026 and to Portugal and Spain regarding the storms in January and February 2026.</w:t>
      </w:r>
    </w:p>
    <w:p w:rsidR="000B3473" w:rsidRPr="00D022F4" w:rsidP="000B3473" w14:paraId="6CAD6FF7" w14:textId="77777777">
      <w:pPr>
        <w:widowControl/>
        <w:spacing w:before="120" w:after="120"/>
        <w:jc w:val="both"/>
        <w:rPr>
          <w:rFonts w:eastAsia="Yu Mincho"/>
          <w:noProof/>
          <w:szCs w:val="24"/>
        </w:rPr>
      </w:pPr>
      <w:r w:rsidRPr="00D022F4">
        <w:rPr>
          <w:rFonts w:eastAsia="Yu Mincho"/>
          <w:noProof/>
          <w:szCs w:val="24"/>
        </w:rPr>
        <w:t xml:space="preserve">Finally, </w:t>
      </w:r>
      <w:r w:rsidRPr="00D022F4">
        <w:rPr>
          <w:rFonts w:eastAsia="Yu Mincho"/>
          <w:noProof/>
          <w:szCs w:val="22"/>
        </w:rPr>
        <w:t>in line with Decision (EU) 2026/1809 of the European Parliament and of the Council of 8 July 2026</w:t>
      </w:r>
      <w:r>
        <w:rPr>
          <w:rStyle w:val="FootnoteReference"/>
          <w:rFonts w:eastAsia="Yu Mincho"/>
          <w:noProof/>
          <w:szCs w:val="22"/>
        </w:rPr>
        <w:footnoteReference w:id="15"/>
      </w:r>
      <w:r w:rsidRPr="00D022F4">
        <w:rPr>
          <w:rFonts w:eastAsia="Yu Mincho"/>
          <w:noProof/>
          <w:szCs w:val="22"/>
        </w:rPr>
        <w:t xml:space="preserve"> </w:t>
      </w:r>
      <w:r w:rsidRPr="00D022F4">
        <w:rPr>
          <w:rFonts w:eastAsia="Yu Mincho"/>
          <w:noProof/>
          <w:szCs w:val="24"/>
        </w:rPr>
        <w:t xml:space="preserve">the EUSF </w:t>
      </w:r>
      <w:r w:rsidRPr="00D022F4">
        <w:rPr>
          <w:rFonts w:eastAsia="Yu Mincho"/>
          <w:noProof/>
          <w:szCs w:val="22"/>
        </w:rPr>
        <w:t>will</w:t>
      </w:r>
      <w:r w:rsidRPr="00D022F4">
        <w:rPr>
          <w:rFonts w:eastAsia="Yu Mincho"/>
          <w:noProof/>
          <w:szCs w:val="24"/>
        </w:rPr>
        <w:t xml:space="preserve"> provide assistance to Romania regarding the floods at the end of May 2025, to Cyprus following the wildfires in July 2025 and to Spain following the wildfires in August 2025 for a total EUR 144.1 million, of which the balance to be paid amounts to EUR 111.6 million. </w:t>
      </w:r>
    </w:p>
    <w:p w:rsidR="000B3473" w:rsidRPr="00D022F4" w:rsidP="000B3473" w14:paraId="54AD4878" w14:textId="77777777">
      <w:pPr>
        <w:widowControl/>
        <w:spacing w:before="120" w:after="120"/>
        <w:jc w:val="both"/>
        <w:rPr>
          <w:rFonts w:eastAsia="Calibri"/>
          <w:szCs w:val="22"/>
          <w:lang w:eastAsia="en-US"/>
        </w:rPr>
      </w:pPr>
      <w:r w:rsidRPr="00D022F4">
        <w:rPr>
          <w:rFonts w:eastAsia="Calibri"/>
          <w:szCs w:val="22"/>
          <w:lang w:eastAsia="en-US"/>
        </w:rPr>
        <w:t>In conclusion, the total available amount before 1 October is EUR 628.1 million (excluding the amount available for advances and end-of-year cushion), which is sufficient to cover the proposed amount for mobilisation.</w:t>
      </w:r>
    </w:p>
    <w:tbl>
      <w:tblPr>
        <w:tblW w:w="9289" w:type="dxa"/>
        <w:tblLook w:val="04A0"/>
      </w:tblPr>
      <w:tblGrid>
        <w:gridCol w:w="7276"/>
        <w:gridCol w:w="2013"/>
      </w:tblGrid>
      <w:tr w14:paraId="247C02EB" w14:textId="77777777" w:rsidTr="000B3473">
        <w:tblPrEx>
          <w:tblW w:w="9289" w:type="dxa"/>
          <w:tblLook w:val="04A0"/>
        </w:tblPrEx>
        <w:trPr>
          <w:trHeight w:val="361"/>
        </w:trPr>
        <w:tc>
          <w:tcPr>
            <w:tcW w:w="7276" w:type="dxa"/>
            <w:tcBorders>
              <w:top w:val="single" w:sz="8" w:space="0" w:color="auto"/>
              <w:left w:val="single" w:sz="8" w:space="0" w:color="auto"/>
              <w:bottom w:val="single" w:sz="8" w:space="0" w:color="auto"/>
              <w:right w:val="nil"/>
            </w:tcBorders>
            <w:shd w:val="clear" w:color="auto" w:fill="E7E6E6"/>
            <w:vAlign w:val="center"/>
            <w:hideMark/>
          </w:tcPr>
          <w:p w:rsidR="000B3473" w:rsidRPr="00D022F4" w14:paraId="16C2199C" w14:textId="77777777">
            <w:pPr>
              <w:widowControl/>
              <w:ind w:firstLine="180" w:firstLineChars="100"/>
              <w:rPr>
                <w:b/>
                <w:bCs/>
                <w:color w:val="000000"/>
                <w:sz w:val="18"/>
                <w:szCs w:val="18"/>
                <w:lang w:eastAsia="en-IE"/>
              </w:rPr>
            </w:pPr>
            <w:bookmarkStart w:id="5" w:name="RANGE!A26"/>
            <w:r w:rsidRPr="00D022F4">
              <w:rPr>
                <w:b/>
                <w:bCs/>
                <w:color w:val="000000"/>
                <w:sz w:val="18"/>
                <w:szCs w:val="18"/>
                <w:lang w:eastAsia="en-IE"/>
              </w:rPr>
              <w:t>Available EUSF resources in 2026 (EUR)</w:t>
            </w:r>
            <w:bookmarkEnd w:id="5"/>
          </w:p>
        </w:tc>
        <w:tc>
          <w:tcPr>
            <w:tcW w:w="2013" w:type="dxa"/>
            <w:tcBorders>
              <w:top w:val="single" w:sz="8" w:space="0" w:color="auto"/>
              <w:left w:val="nil"/>
              <w:bottom w:val="single" w:sz="8" w:space="0" w:color="auto"/>
              <w:right w:val="single" w:sz="8" w:space="0" w:color="auto"/>
            </w:tcBorders>
            <w:shd w:val="clear" w:color="auto" w:fill="E7E6E6"/>
            <w:vAlign w:val="center"/>
            <w:hideMark/>
          </w:tcPr>
          <w:p w:rsidR="000B3473" w:rsidRPr="00D022F4" w14:paraId="2F5D2C5F" w14:textId="77777777">
            <w:pPr>
              <w:widowControl/>
              <w:rPr>
                <w:color w:val="000000"/>
                <w:sz w:val="18"/>
                <w:szCs w:val="18"/>
                <w:lang w:eastAsia="en-IE"/>
              </w:rPr>
            </w:pPr>
            <w:r w:rsidRPr="00D022F4">
              <w:rPr>
                <w:color w:val="000000"/>
                <w:sz w:val="18"/>
                <w:szCs w:val="18"/>
                <w:lang w:eastAsia="en-IE"/>
              </w:rPr>
              <w:t> </w:t>
            </w:r>
          </w:p>
        </w:tc>
      </w:tr>
      <w:tr w14:paraId="2BB55D97"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auto"/>
            </w:tcBorders>
            <w:noWrap/>
            <w:vAlign w:val="center"/>
            <w:hideMark/>
          </w:tcPr>
          <w:p w:rsidR="000B3473" w:rsidRPr="00D022F4" w14:paraId="4488B302" w14:textId="77777777">
            <w:pPr>
              <w:widowControl/>
              <w:ind w:firstLine="180" w:firstLineChars="100"/>
              <w:rPr>
                <w:color w:val="000000"/>
                <w:sz w:val="18"/>
                <w:szCs w:val="18"/>
                <w:lang w:eastAsia="en-IE"/>
              </w:rPr>
            </w:pPr>
            <w:r w:rsidRPr="00D022F4">
              <w:rPr>
                <w:color w:val="000000"/>
                <w:sz w:val="18"/>
                <w:szCs w:val="18"/>
                <w:lang w:eastAsia="en-IE"/>
              </w:rPr>
              <w:t>Total annual allocation in 2026 </w:t>
            </w:r>
          </w:p>
        </w:tc>
        <w:tc>
          <w:tcPr>
            <w:tcW w:w="2013" w:type="dxa"/>
            <w:tcBorders>
              <w:top w:val="nil"/>
              <w:left w:val="nil"/>
              <w:bottom w:val="single" w:sz="8" w:space="0" w:color="auto"/>
              <w:right w:val="single" w:sz="8" w:space="0" w:color="auto"/>
            </w:tcBorders>
            <w:vAlign w:val="center"/>
            <w:hideMark/>
          </w:tcPr>
          <w:p w:rsidR="000B3473" w:rsidRPr="00D022F4" w14:paraId="4B483210" w14:textId="77777777">
            <w:pPr>
              <w:widowControl/>
              <w:ind w:firstLine="180" w:firstLineChars="100"/>
              <w:jc w:val="right"/>
              <w:rPr>
                <w:color w:val="000000"/>
                <w:sz w:val="18"/>
                <w:szCs w:val="18"/>
                <w:lang w:eastAsia="en-IE"/>
              </w:rPr>
            </w:pPr>
            <w:r w:rsidRPr="00D022F4">
              <w:rPr>
                <w:color w:val="000000"/>
                <w:sz w:val="18"/>
                <w:szCs w:val="18"/>
                <w:lang w:eastAsia="en-IE"/>
              </w:rPr>
              <w:t>1,190,405,931</w:t>
            </w:r>
          </w:p>
        </w:tc>
      </w:tr>
      <w:tr w14:paraId="40E95337"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auto"/>
            </w:tcBorders>
            <w:vAlign w:val="center"/>
            <w:hideMark/>
          </w:tcPr>
          <w:p w:rsidR="000B3473" w:rsidRPr="00D022F4" w14:paraId="67D43229" w14:textId="77777777">
            <w:pPr>
              <w:widowControl/>
              <w:ind w:firstLine="180" w:firstLineChars="100"/>
              <w:rPr>
                <w:color w:val="000000"/>
                <w:sz w:val="18"/>
                <w:szCs w:val="18"/>
                <w:lang w:eastAsia="en-IE"/>
              </w:rPr>
            </w:pPr>
            <w:r w:rsidRPr="00D022F4">
              <w:rPr>
                <w:color w:val="000000"/>
                <w:sz w:val="18"/>
                <w:szCs w:val="18"/>
                <w:lang w:eastAsia="en-IE"/>
              </w:rPr>
              <w:t>Carry-over amount from 2025 incl. unused advances (+)</w:t>
            </w:r>
          </w:p>
        </w:tc>
        <w:tc>
          <w:tcPr>
            <w:tcW w:w="2013" w:type="dxa"/>
            <w:tcBorders>
              <w:top w:val="nil"/>
              <w:left w:val="nil"/>
              <w:bottom w:val="single" w:sz="8" w:space="0" w:color="auto"/>
              <w:right w:val="single" w:sz="8" w:space="0" w:color="auto"/>
            </w:tcBorders>
            <w:vAlign w:val="center"/>
            <w:hideMark/>
          </w:tcPr>
          <w:p w:rsidR="000B3473" w:rsidRPr="00D022F4" w14:paraId="52953399" w14:textId="77777777">
            <w:pPr>
              <w:widowControl/>
              <w:ind w:firstLine="180" w:firstLineChars="100"/>
              <w:jc w:val="right"/>
              <w:rPr>
                <w:color w:val="000000"/>
                <w:sz w:val="18"/>
                <w:szCs w:val="18"/>
                <w:lang w:eastAsia="en-IE"/>
              </w:rPr>
            </w:pPr>
            <w:r w:rsidRPr="00D022F4">
              <w:rPr>
                <w:color w:val="000000"/>
                <w:sz w:val="18"/>
                <w:szCs w:val="18"/>
                <w:lang w:eastAsia="en-IE"/>
              </w:rPr>
              <w:t>21,304,355</w:t>
            </w:r>
          </w:p>
        </w:tc>
      </w:tr>
      <w:tr w14:paraId="661830AF"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shd w:val="clear" w:color="auto" w:fill="FFFFFF"/>
            <w:noWrap/>
            <w:vAlign w:val="center"/>
            <w:hideMark/>
          </w:tcPr>
          <w:p w:rsidR="000B3473" w:rsidRPr="00D022F4" w14:paraId="522A4EA1" w14:textId="77777777">
            <w:pPr>
              <w:widowControl/>
              <w:ind w:firstLine="180" w:firstLineChars="100"/>
              <w:rPr>
                <w:color w:val="000000"/>
                <w:sz w:val="18"/>
                <w:szCs w:val="18"/>
                <w:lang w:eastAsia="en-IE"/>
              </w:rPr>
            </w:pPr>
            <w:r w:rsidRPr="00D022F4">
              <w:rPr>
                <w:color w:val="000000"/>
                <w:sz w:val="18"/>
                <w:szCs w:val="18"/>
                <w:lang w:eastAsia="en-IE"/>
              </w:rPr>
              <w:t>Amount already used (-)</w:t>
            </w:r>
          </w:p>
        </w:tc>
        <w:tc>
          <w:tcPr>
            <w:tcW w:w="2013" w:type="dxa"/>
            <w:tcBorders>
              <w:top w:val="nil"/>
              <w:left w:val="nil"/>
              <w:bottom w:val="single" w:sz="8" w:space="0" w:color="auto"/>
              <w:right w:val="single" w:sz="8" w:space="0" w:color="auto"/>
            </w:tcBorders>
            <w:shd w:val="clear" w:color="auto" w:fill="FFFFFF"/>
            <w:vAlign w:val="center"/>
            <w:hideMark/>
          </w:tcPr>
          <w:p w:rsidR="000B3473" w:rsidRPr="00D022F4" w14:paraId="3C1754AC" w14:textId="77777777">
            <w:pPr>
              <w:widowControl/>
              <w:ind w:firstLine="180" w:firstLineChars="100"/>
              <w:jc w:val="right"/>
              <w:rPr>
                <w:color w:val="000000"/>
                <w:sz w:val="18"/>
                <w:szCs w:val="18"/>
                <w:lang w:eastAsia="en-IE"/>
              </w:rPr>
            </w:pPr>
            <w:r w:rsidRPr="00D022F4">
              <w:rPr>
                <w:color w:val="000000"/>
                <w:sz w:val="18"/>
                <w:szCs w:val="18"/>
                <w:lang w:eastAsia="en-IE"/>
              </w:rPr>
              <w:t>245,348,099</w:t>
            </w:r>
          </w:p>
        </w:tc>
      </w:tr>
      <w:tr w14:paraId="259F7AAE"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noWrap/>
            <w:vAlign w:val="center"/>
            <w:hideMark/>
          </w:tcPr>
          <w:p w:rsidR="000B3473" w:rsidRPr="00D022F4" w14:paraId="4910A07C" w14:textId="77777777">
            <w:pPr>
              <w:widowControl/>
              <w:ind w:firstLine="180" w:firstLineChars="100"/>
              <w:rPr>
                <w:b/>
                <w:bCs/>
                <w:color w:val="000000"/>
                <w:sz w:val="18"/>
                <w:szCs w:val="18"/>
                <w:lang w:eastAsia="en-IE"/>
              </w:rPr>
            </w:pPr>
            <w:r w:rsidRPr="00D022F4">
              <w:rPr>
                <w:b/>
                <w:bCs/>
                <w:color w:val="000000"/>
                <w:sz w:val="18"/>
                <w:szCs w:val="18"/>
                <w:lang w:eastAsia="en-IE"/>
              </w:rPr>
              <w:t>Total amount available, of which:</w:t>
            </w:r>
          </w:p>
        </w:tc>
        <w:tc>
          <w:tcPr>
            <w:tcW w:w="2013" w:type="dxa"/>
            <w:tcBorders>
              <w:top w:val="nil"/>
              <w:left w:val="nil"/>
              <w:bottom w:val="single" w:sz="8" w:space="0" w:color="auto"/>
              <w:right w:val="single" w:sz="8" w:space="0" w:color="auto"/>
            </w:tcBorders>
            <w:vAlign w:val="center"/>
            <w:hideMark/>
          </w:tcPr>
          <w:p w:rsidR="000B3473" w:rsidRPr="00D022F4" w14:paraId="1DE99901" w14:textId="77777777">
            <w:pPr>
              <w:widowControl/>
              <w:ind w:firstLine="180" w:firstLineChars="100"/>
              <w:jc w:val="right"/>
              <w:rPr>
                <w:b/>
                <w:bCs/>
                <w:color w:val="000000"/>
                <w:sz w:val="18"/>
                <w:szCs w:val="18"/>
                <w:lang w:eastAsia="en-IE"/>
              </w:rPr>
            </w:pPr>
            <w:r w:rsidRPr="00D022F4">
              <w:rPr>
                <w:b/>
                <w:bCs/>
                <w:color w:val="000000"/>
                <w:sz w:val="18"/>
                <w:szCs w:val="18"/>
                <w:lang w:eastAsia="en-IE"/>
              </w:rPr>
              <w:t>966,362,187</w:t>
            </w:r>
          </w:p>
        </w:tc>
      </w:tr>
      <w:tr w14:paraId="1930DDEA"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noWrap/>
            <w:vAlign w:val="center"/>
            <w:hideMark/>
          </w:tcPr>
          <w:p w:rsidR="000B3473" w:rsidRPr="00D022F4" w14:paraId="72322B57" w14:textId="77777777">
            <w:pPr>
              <w:widowControl/>
              <w:ind w:firstLine="180" w:firstLineChars="100"/>
              <w:rPr>
                <w:color w:val="000000"/>
                <w:sz w:val="18"/>
                <w:szCs w:val="18"/>
                <w:lang w:eastAsia="en-IE"/>
              </w:rPr>
            </w:pPr>
            <w:r w:rsidRPr="00D022F4">
              <w:rPr>
                <w:rFonts w:ascii="Symbol" w:hAnsi="Symbol"/>
                <w:color w:val="000000"/>
                <w:sz w:val="18"/>
                <w:szCs w:val="18"/>
                <w:lang w:eastAsia="en-IE"/>
              </w:rPr>
              <w:t xml:space="preserve">® </w:t>
            </w:r>
            <w:r w:rsidRPr="00D022F4">
              <w:rPr>
                <w:color w:val="000000"/>
                <w:sz w:val="18"/>
                <w:szCs w:val="18"/>
                <w:lang w:eastAsia="en-IE"/>
              </w:rPr>
              <w:t>Amount to be used for advances</w:t>
            </w:r>
          </w:p>
        </w:tc>
        <w:tc>
          <w:tcPr>
            <w:tcW w:w="2013" w:type="dxa"/>
            <w:tcBorders>
              <w:top w:val="nil"/>
              <w:left w:val="nil"/>
              <w:bottom w:val="single" w:sz="8" w:space="0" w:color="auto"/>
              <w:right w:val="single" w:sz="8" w:space="0" w:color="auto"/>
            </w:tcBorders>
            <w:vAlign w:val="center"/>
            <w:hideMark/>
          </w:tcPr>
          <w:p w:rsidR="000B3473" w:rsidRPr="00D022F4" w14:paraId="09B5A969" w14:textId="77777777">
            <w:pPr>
              <w:widowControl/>
              <w:ind w:firstLine="180" w:firstLineChars="100"/>
              <w:jc w:val="right"/>
              <w:rPr>
                <w:color w:val="000000"/>
                <w:sz w:val="18"/>
                <w:szCs w:val="18"/>
                <w:lang w:eastAsia="en-IE"/>
              </w:rPr>
            </w:pPr>
            <w:r w:rsidRPr="00D022F4">
              <w:rPr>
                <w:color w:val="000000"/>
                <w:sz w:val="18"/>
                <w:szCs w:val="18"/>
                <w:lang w:eastAsia="en-IE"/>
              </w:rPr>
              <w:t>40,647,932</w:t>
            </w:r>
          </w:p>
        </w:tc>
      </w:tr>
      <w:tr w14:paraId="464173DA"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noWrap/>
            <w:vAlign w:val="center"/>
            <w:hideMark/>
          </w:tcPr>
          <w:p w:rsidR="000B3473" w:rsidRPr="00D022F4" w14:paraId="02BE1967" w14:textId="77777777">
            <w:pPr>
              <w:widowControl/>
              <w:ind w:firstLine="180" w:firstLineChars="100"/>
              <w:rPr>
                <w:color w:val="000000"/>
                <w:sz w:val="18"/>
                <w:szCs w:val="18"/>
                <w:lang w:eastAsia="en-IE"/>
              </w:rPr>
            </w:pPr>
            <w:r w:rsidRPr="00D022F4">
              <w:rPr>
                <w:rFonts w:ascii="Symbol" w:hAnsi="Symbol"/>
                <w:color w:val="000000"/>
                <w:sz w:val="18"/>
                <w:szCs w:val="18"/>
                <w:lang w:eastAsia="en-IE"/>
              </w:rPr>
              <w:t>®</w:t>
            </w:r>
            <w:r w:rsidRPr="00D022F4">
              <w:rPr>
                <w:color w:val="000000"/>
                <w:sz w:val="18"/>
                <w:szCs w:val="18"/>
                <w:lang w:eastAsia="en-IE"/>
              </w:rPr>
              <w:t xml:space="preserve"> End-of-year cushion, available after 1 October</w:t>
            </w:r>
          </w:p>
        </w:tc>
        <w:tc>
          <w:tcPr>
            <w:tcW w:w="2013" w:type="dxa"/>
            <w:tcBorders>
              <w:top w:val="nil"/>
              <w:left w:val="nil"/>
              <w:bottom w:val="single" w:sz="8" w:space="0" w:color="auto"/>
              <w:right w:val="single" w:sz="8" w:space="0" w:color="auto"/>
            </w:tcBorders>
            <w:vAlign w:val="center"/>
            <w:hideMark/>
          </w:tcPr>
          <w:p w:rsidR="000B3473" w:rsidRPr="00D022F4" w14:paraId="51E12B28" w14:textId="77777777">
            <w:pPr>
              <w:widowControl/>
              <w:ind w:firstLine="180" w:firstLineChars="100"/>
              <w:jc w:val="right"/>
              <w:rPr>
                <w:color w:val="000000"/>
                <w:sz w:val="18"/>
                <w:szCs w:val="18"/>
                <w:lang w:eastAsia="en-IE"/>
              </w:rPr>
            </w:pPr>
            <w:r w:rsidRPr="00D022F4">
              <w:rPr>
                <w:color w:val="000000"/>
                <w:sz w:val="18"/>
                <w:szCs w:val="18"/>
                <w:lang w:eastAsia="en-IE"/>
              </w:rPr>
              <w:t>297,601,483</w:t>
            </w:r>
          </w:p>
        </w:tc>
      </w:tr>
      <w:tr w14:paraId="55720B5C"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noWrap/>
            <w:vAlign w:val="center"/>
            <w:hideMark/>
          </w:tcPr>
          <w:p w:rsidR="000B3473" w:rsidRPr="00D022F4" w14:paraId="58064644" w14:textId="77777777">
            <w:pPr>
              <w:widowControl/>
              <w:ind w:firstLine="180" w:firstLineChars="100"/>
              <w:rPr>
                <w:b/>
                <w:bCs/>
                <w:color w:val="000000"/>
                <w:sz w:val="18"/>
                <w:szCs w:val="18"/>
                <w:lang w:eastAsia="en-IE"/>
              </w:rPr>
            </w:pPr>
            <w:r w:rsidRPr="00D022F4">
              <w:rPr>
                <w:rFonts w:ascii="Symbol" w:hAnsi="Symbol"/>
                <w:b/>
                <w:bCs/>
                <w:color w:val="000000"/>
                <w:sz w:val="18"/>
                <w:szCs w:val="18"/>
                <w:lang w:eastAsia="en-IE"/>
              </w:rPr>
              <w:t>®</w:t>
            </w:r>
            <w:r w:rsidRPr="00D022F4">
              <w:rPr>
                <w:b/>
                <w:bCs/>
                <w:color w:val="000000"/>
                <w:sz w:val="18"/>
                <w:szCs w:val="18"/>
                <w:lang w:eastAsia="en-IE"/>
              </w:rPr>
              <w:t xml:space="preserve"> Amount available before 1 October</w:t>
            </w:r>
          </w:p>
        </w:tc>
        <w:tc>
          <w:tcPr>
            <w:tcW w:w="2013" w:type="dxa"/>
            <w:tcBorders>
              <w:top w:val="nil"/>
              <w:left w:val="nil"/>
              <w:bottom w:val="single" w:sz="8" w:space="0" w:color="auto"/>
              <w:right w:val="single" w:sz="8" w:space="0" w:color="auto"/>
            </w:tcBorders>
            <w:shd w:val="clear" w:color="auto" w:fill="FFFFFF"/>
            <w:vAlign w:val="center"/>
            <w:hideMark/>
          </w:tcPr>
          <w:p w:rsidR="000B3473" w:rsidRPr="00D022F4" w14:paraId="03C270E7" w14:textId="77777777">
            <w:pPr>
              <w:widowControl/>
              <w:ind w:firstLine="180" w:firstLineChars="100"/>
              <w:jc w:val="right"/>
              <w:rPr>
                <w:b/>
                <w:bCs/>
                <w:color w:val="000000"/>
                <w:sz w:val="18"/>
                <w:szCs w:val="18"/>
                <w:lang w:eastAsia="en-IE"/>
              </w:rPr>
            </w:pPr>
            <w:r w:rsidRPr="00D022F4">
              <w:rPr>
                <w:b/>
                <w:bCs/>
                <w:color w:val="000000"/>
                <w:sz w:val="18"/>
                <w:szCs w:val="18"/>
                <w:lang w:eastAsia="en-IE"/>
              </w:rPr>
              <w:t>628,112,772</w:t>
            </w:r>
          </w:p>
        </w:tc>
      </w:tr>
      <w:tr w14:paraId="2B62D58B"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shd w:val="clear" w:color="auto" w:fill="FFFFFF"/>
            <w:noWrap/>
            <w:vAlign w:val="center"/>
            <w:hideMark/>
          </w:tcPr>
          <w:p w:rsidR="000B3473" w:rsidRPr="00D022F4" w14:paraId="132AA02A" w14:textId="77777777">
            <w:pPr>
              <w:widowControl/>
              <w:ind w:firstLine="180" w:firstLineChars="100"/>
              <w:rPr>
                <w:color w:val="000000"/>
                <w:sz w:val="18"/>
                <w:szCs w:val="18"/>
                <w:lang w:eastAsia="en-IE"/>
              </w:rPr>
            </w:pPr>
            <w:r w:rsidRPr="00D022F4">
              <w:rPr>
                <w:color w:val="000000"/>
                <w:sz w:val="18"/>
                <w:szCs w:val="18"/>
                <w:lang w:eastAsia="en-IE"/>
              </w:rPr>
              <w:t>Amount proposed to be mobilised, of which:</w:t>
            </w:r>
          </w:p>
        </w:tc>
        <w:tc>
          <w:tcPr>
            <w:tcW w:w="2013" w:type="dxa"/>
            <w:tcBorders>
              <w:top w:val="nil"/>
              <w:left w:val="nil"/>
              <w:bottom w:val="single" w:sz="8" w:space="0" w:color="auto"/>
              <w:right w:val="single" w:sz="8" w:space="0" w:color="auto"/>
            </w:tcBorders>
            <w:shd w:val="clear" w:color="auto" w:fill="FFFFFF"/>
            <w:vAlign w:val="center"/>
            <w:hideMark/>
          </w:tcPr>
          <w:p w:rsidR="000B3473" w:rsidRPr="00D022F4" w14:paraId="654F39A1" w14:textId="77777777">
            <w:pPr>
              <w:widowControl/>
              <w:ind w:firstLine="180" w:firstLineChars="100"/>
              <w:jc w:val="right"/>
              <w:rPr>
                <w:color w:val="000000"/>
                <w:sz w:val="18"/>
                <w:szCs w:val="18"/>
                <w:lang w:eastAsia="en-IE"/>
              </w:rPr>
            </w:pPr>
            <w:r w:rsidRPr="00D022F4">
              <w:rPr>
                <w:color w:val="000000"/>
                <w:sz w:val="18"/>
                <w:szCs w:val="18"/>
                <w:lang w:eastAsia="en-IE"/>
              </w:rPr>
              <w:t>489,148,220</w:t>
            </w:r>
          </w:p>
        </w:tc>
      </w:tr>
      <w:tr w14:paraId="4C580FA7"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noWrap/>
            <w:vAlign w:val="center"/>
            <w:hideMark/>
          </w:tcPr>
          <w:p w:rsidR="000B3473" w:rsidRPr="00D022F4" w14:paraId="09A6F93C" w14:textId="77777777">
            <w:pPr>
              <w:widowControl/>
              <w:ind w:firstLine="180" w:firstLineChars="100"/>
              <w:rPr>
                <w:b/>
                <w:bCs/>
                <w:color w:val="000000"/>
                <w:sz w:val="18"/>
                <w:szCs w:val="18"/>
                <w:lang w:eastAsia="en-IE"/>
              </w:rPr>
            </w:pPr>
            <w:r w:rsidRPr="00D022F4">
              <w:rPr>
                <w:rFonts w:ascii="Symbol" w:hAnsi="Symbol"/>
                <w:b/>
                <w:bCs/>
                <w:color w:val="000000"/>
                <w:sz w:val="18"/>
                <w:szCs w:val="18"/>
                <w:lang w:eastAsia="en-IE"/>
              </w:rPr>
              <w:t>®</w:t>
            </w:r>
            <w:r w:rsidRPr="00D022F4">
              <w:rPr>
                <w:b/>
                <w:bCs/>
                <w:color w:val="000000"/>
                <w:sz w:val="18"/>
                <w:szCs w:val="18"/>
                <w:lang w:eastAsia="en-IE"/>
              </w:rPr>
              <w:t xml:space="preserve"> Balance to be paid</w:t>
            </w:r>
          </w:p>
        </w:tc>
        <w:tc>
          <w:tcPr>
            <w:tcW w:w="2013" w:type="dxa"/>
            <w:tcBorders>
              <w:top w:val="nil"/>
              <w:left w:val="nil"/>
              <w:bottom w:val="single" w:sz="8" w:space="0" w:color="auto"/>
              <w:right w:val="single" w:sz="8" w:space="0" w:color="auto"/>
            </w:tcBorders>
            <w:shd w:val="clear" w:color="auto" w:fill="FFFFFF"/>
            <w:vAlign w:val="center"/>
            <w:hideMark/>
          </w:tcPr>
          <w:p w:rsidR="000B3473" w:rsidRPr="00D022F4" w14:paraId="65B42E10" w14:textId="77777777">
            <w:pPr>
              <w:widowControl/>
              <w:ind w:firstLine="180" w:firstLineChars="100"/>
              <w:jc w:val="right"/>
              <w:rPr>
                <w:b/>
                <w:bCs/>
                <w:color w:val="000000"/>
                <w:sz w:val="18"/>
                <w:szCs w:val="18"/>
                <w:lang w:eastAsia="en-IE"/>
              </w:rPr>
            </w:pPr>
            <w:r w:rsidRPr="00D022F4">
              <w:rPr>
                <w:b/>
                <w:bCs/>
                <w:color w:val="000000"/>
                <w:sz w:val="18"/>
                <w:szCs w:val="18"/>
                <w:lang w:eastAsia="en-IE"/>
              </w:rPr>
              <w:t>385,582,412</w:t>
            </w:r>
          </w:p>
        </w:tc>
      </w:tr>
      <w:tr w14:paraId="50E53639" w14:textId="77777777" w:rsidTr="000B3473">
        <w:tblPrEx>
          <w:tblW w:w="9289" w:type="dxa"/>
          <w:tblLook w:val="04A0"/>
        </w:tblPrEx>
        <w:trPr>
          <w:trHeight w:val="361"/>
        </w:trPr>
        <w:tc>
          <w:tcPr>
            <w:tcW w:w="7276" w:type="dxa"/>
            <w:tcBorders>
              <w:top w:val="nil"/>
              <w:left w:val="single" w:sz="8" w:space="0" w:color="auto"/>
              <w:bottom w:val="single" w:sz="8" w:space="0" w:color="auto"/>
              <w:right w:val="single" w:sz="8" w:space="0" w:color="000000"/>
            </w:tcBorders>
            <w:noWrap/>
            <w:vAlign w:val="center"/>
            <w:hideMark/>
          </w:tcPr>
          <w:p w:rsidR="000B3473" w:rsidRPr="00D022F4" w14:paraId="695D4C76" w14:textId="77777777">
            <w:pPr>
              <w:widowControl/>
              <w:ind w:firstLine="180" w:firstLineChars="100"/>
              <w:rPr>
                <w:b/>
                <w:bCs/>
                <w:color w:val="000000"/>
                <w:sz w:val="18"/>
                <w:szCs w:val="18"/>
                <w:lang w:eastAsia="en-IE"/>
              </w:rPr>
            </w:pPr>
            <w:r w:rsidRPr="00D022F4">
              <w:rPr>
                <w:b/>
                <w:bCs/>
                <w:color w:val="000000"/>
                <w:sz w:val="18"/>
                <w:szCs w:val="18"/>
                <w:lang w:eastAsia="en-IE"/>
              </w:rPr>
              <w:t>Remaining amount for future applications incl. advances and end-of-year cushion</w:t>
            </w:r>
          </w:p>
        </w:tc>
        <w:tc>
          <w:tcPr>
            <w:tcW w:w="2013" w:type="dxa"/>
            <w:tcBorders>
              <w:top w:val="nil"/>
              <w:left w:val="nil"/>
              <w:bottom w:val="single" w:sz="8" w:space="0" w:color="auto"/>
              <w:right w:val="single" w:sz="8" w:space="0" w:color="auto"/>
            </w:tcBorders>
            <w:shd w:val="clear" w:color="auto" w:fill="FFFFFF"/>
            <w:vAlign w:val="center"/>
            <w:hideMark/>
          </w:tcPr>
          <w:p w:rsidR="000B3473" w:rsidRPr="00D022F4" w14:paraId="3B4B400E" w14:textId="77777777">
            <w:pPr>
              <w:widowControl/>
              <w:ind w:firstLine="180" w:firstLineChars="100"/>
              <w:jc w:val="right"/>
              <w:rPr>
                <w:b/>
                <w:bCs/>
                <w:color w:val="000000"/>
                <w:sz w:val="18"/>
                <w:szCs w:val="18"/>
                <w:lang w:eastAsia="en-IE"/>
              </w:rPr>
            </w:pPr>
            <w:r w:rsidRPr="00D022F4">
              <w:rPr>
                <w:b/>
                <w:bCs/>
                <w:color w:val="000000"/>
                <w:sz w:val="18"/>
                <w:szCs w:val="18"/>
                <w:lang w:eastAsia="en-IE"/>
              </w:rPr>
              <w:t>580,779,775</w:t>
            </w:r>
          </w:p>
        </w:tc>
      </w:tr>
    </w:tbl>
    <w:p w:rsidR="000B3473" w:rsidRPr="00D022F4" w:rsidP="000B3473" w14:paraId="045DFA15" w14:textId="77777777">
      <w:pPr>
        <w:pStyle w:val="NormalHanging12a"/>
        <w:ind w:left="0" w:firstLine="0"/>
        <w:rPr>
          <w:sz w:val="28"/>
          <w:szCs w:val="22"/>
        </w:rPr>
      </w:pPr>
    </w:p>
    <w:p w:rsidR="000B3473" w:rsidRPr="00D022F4" w:rsidP="000B3473" w14:paraId="244FB526" w14:textId="77777777">
      <w:pPr>
        <w:rPr>
          <w:b/>
          <w:bCs/>
          <w:i/>
          <w:iCs/>
        </w:rPr>
      </w:pPr>
      <w:r w:rsidRPr="00D022F4">
        <w:rPr>
          <w:b/>
          <w:bCs/>
          <w:i/>
          <w:iCs/>
        </w:rPr>
        <w:t>The rapporteur supports the swift adoption of the Commission proposal for a decision annexed to this report and the rapid release of the corresponding financial assistance, as a sign of European solidarity with Malta, Italy, Portugal and Spain.</w:t>
      </w:r>
    </w:p>
    <w:p w:rsidR="000B3473" w:rsidRPr="00D022F4" w:rsidP="000B3473" w14:paraId="20E52B27" w14:textId="77777777">
      <w:pPr>
        <w:rPr>
          <w:b/>
          <w:bCs/>
          <w:i/>
          <w:iCs/>
        </w:rPr>
      </w:pPr>
    </w:p>
    <w:p w:rsidR="000B3473" w:rsidRPr="00D022F4" w:rsidP="000B3473" w14:paraId="12B5416D" w14:textId="77777777">
      <w:pPr>
        <w:rPr>
          <w:b/>
          <w:bCs/>
          <w:i/>
          <w:iCs/>
          <w:lang w:eastAsia="en-US"/>
        </w:rPr>
      </w:pPr>
      <w:r w:rsidRPr="00D022F4">
        <w:rPr>
          <w:b/>
          <w:bCs/>
          <w:i/>
          <w:iCs/>
        </w:rPr>
        <w:t xml:space="preserve">The rapporteur calls on the Commission to ensure that this financial contribution is delivered with </w:t>
      </w:r>
      <w:r w:rsidRPr="00D022F4">
        <w:rPr>
          <w:b/>
          <w:bCs/>
          <w:i/>
          <w:iCs/>
        </w:rPr>
        <w:t>particular urgency</w:t>
      </w:r>
      <w:r w:rsidRPr="00D022F4">
        <w:rPr>
          <w:b/>
          <w:bCs/>
          <w:i/>
          <w:iCs/>
        </w:rPr>
        <w:t>.</w:t>
      </w:r>
    </w:p>
    <w:p w:rsidR="000B3473" w:rsidRPr="00D022F4" w:rsidP="00190C1A" w14:paraId="3BC31A02" w14:textId="77777777"/>
    <w:p w:rsidR="005C461F" w:rsidRPr="00D022F4" w14:paraId="6C233788" w14:textId="77777777">
      <w:pPr>
        <w:widowControl/>
        <w:sectPr w:rsidSect="009761F0">
          <w:footnotePr>
            <w:numRestart w:val="eachSect"/>
          </w:footnotePr>
          <w:endnotePr>
            <w:numFmt w:val="decimal"/>
          </w:endnotePr>
          <w:pgSz w:w="11906" w:h="16838" w:code="9"/>
          <w:pgMar w:top="1134" w:right="1418" w:bottom="1418" w:left="1418" w:header="567" w:footer="567" w:gutter="0"/>
          <w:cols w:space="720"/>
          <w:noEndnote/>
          <w:docGrid w:linePitch="326"/>
        </w:sectPr>
      </w:pPr>
    </w:p>
    <w:p w:rsidR="005C461F" w:rsidRPr="00D022F4" w14:paraId="282FF3B8" w14:textId="1E164396">
      <w:pPr>
        <w:widowControl/>
      </w:pPr>
    </w:p>
    <w:p w:rsidR="005C461F" w:rsidRPr="00D022F4" w:rsidP="007041CC" w14:paraId="41DDEA25" w14:textId="25CC26AC">
      <w:pPr>
        <w:pStyle w:val="PageHeading"/>
        <w:rPr>
          <w:noProof/>
        </w:rPr>
      </w:pPr>
      <w:bookmarkStart w:id="6" w:name="FootprintPageRR"/>
      <w:bookmarkStart w:id="7" w:name="_Toc242881400"/>
      <w:r w:rsidRPr="00D022F4">
        <w:rPr>
          <w:noProof/>
        </w:rPr>
        <w:t>ANNEX: DECLARATION OF INPUT</w:t>
      </w:r>
      <w:bookmarkEnd w:id="7"/>
    </w:p>
    <w:p w:rsidR="005C461F" w:rsidRPr="00D022F4" w:rsidP="00B31C6A" w14:paraId="4CB4FE7F" w14:textId="12A1FC6C">
      <w:pPr>
        <w:pStyle w:val="Normal24a"/>
        <w:spacing w:after="240"/>
      </w:pPr>
      <w:r w:rsidRPr="00D022F4">
        <w:rPr>
          <w:rStyle w:val="HideTWBExt"/>
        </w:rPr>
        <w:t>&lt;FootprintIntro&gt;</w:t>
      </w:r>
      <w:r w:rsidRPr="00D022F4">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id="16"/>
      </w:r>
      <w:r w:rsidRPr="00D022F4">
        <w:t>, or from representatives of public authorities of third countries, including their diplomatic missions and embassies, to be listed in this Annex pursuant to Article 8 of Annex I to the Rules of Procedure.</w:t>
      </w:r>
      <w:r w:rsidRPr="00D022F4">
        <w:rPr>
          <w:rStyle w:val="HideTWBExt"/>
        </w:rPr>
        <w:t>&lt;/FootprintIntro&gt;</w:t>
      </w:r>
    </w:p>
    <w:bookmarkEnd w:id="6"/>
    <w:p w:rsidR="00A11F18" w:rsidRPr="00E544F0" w:rsidP="00E544F0" w14:paraId="2FE86033" w14:textId="74297235"/>
    <w:p w:rsidR="00A11F18" w:rsidRPr="00E544F0" w:rsidP="00E544F0" w14:paraId="4C146925" w14:textId="77777777">
      <w:pPr>
        <w:sectPr w:rsidSect="009761F0">
          <w:pgSz w:w="11894" w:h="15840"/>
          <w:pgMar w:top="1700" w:right="1417" w:bottom="1417" w:left="1417" w:header="720" w:footer="720" w:gutter="0"/>
          <w:cols w:space="720"/>
          <w:noEndnote/>
          <w:docGrid w:linePitch="326"/>
        </w:sectPr>
      </w:pPr>
    </w:p>
    <w:p w:rsidR="00BD330E" w:rsidRPr="00D022F4" w:rsidP="00BD330E" w14:paraId="46EE589E" w14:textId="77777777">
      <w:pPr>
        <w:pStyle w:val="PageHeading"/>
      </w:pPr>
      <w:bookmarkStart w:id="8" w:name="_Toc242798726"/>
      <w:bookmarkStart w:id="9" w:name="ProcPageRR"/>
      <w:bookmarkStart w:id="10" w:name="_Toc242881401"/>
      <w:r w:rsidRPr="00D022F4">
        <w:t>INFORMATION ON ADOPTION</w:t>
      </w:r>
      <w:r w:rsidRPr="00D022F4">
        <w:br/>
        <w:t>BY THE COMMITTEE RESPONSIBLE</w:t>
      </w:r>
      <w:bookmarkEnd w:id="8"/>
      <w:bookmarkEnd w:id="10"/>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3D5C34A" w14:textId="77777777" w:rsidTr="0084574A">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D330E" w:rsidRPr="00D022F4" w:rsidP="0084574A" w14:paraId="40CA8C33" w14:textId="77777777">
            <w:pPr>
              <w:autoSpaceDE w:val="0"/>
              <w:autoSpaceDN w:val="0"/>
              <w:adjustRightInd w:val="0"/>
              <w:rPr>
                <w:b/>
                <w:bCs/>
                <w:color w:val="000000"/>
                <w:sz w:val="20"/>
              </w:rPr>
            </w:pPr>
            <w:r w:rsidRPr="00D022F4">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D330E" w:rsidRPr="00D022F4" w:rsidP="0084574A" w14:paraId="35716276" w14:textId="77777777">
            <w:pPr>
              <w:autoSpaceDE w:val="0"/>
              <w:autoSpaceDN w:val="0"/>
              <w:adjustRightInd w:val="0"/>
              <w:rPr>
                <w:color w:val="000000"/>
                <w:sz w:val="20"/>
              </w:rPr>
            </w:pPr>
            <w:r w:rsidRPr="00D022F4">
              <w:rPr>
                <w:color w:val="000000"/>
                <w:sz w:val="20"/>
              </w:rPr>
              <w:t>12.10.2026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D330E" w:rsidRPr="00D022F4" w:rsidP="0084574A" w14:paraId="59DB0BD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D330E" w:rsidRPr="00D022F4" w:rsidP="0084574A" w14:paraId="436292D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D330E" w:rsidRPr="00D022F4" w:rsidP="0084574A" w14:paraId="37A94556" w14:textId="77777777">
            <w:pPr>
              <w:autoSpaceDE w:val="0"/>
              <w:autoSpaceDN w:val="0"/>
              <w:adjustRightInd w:val="0"/>
              <w:rPr>
                <w:rFonts w:ascii="sans-serif" w:hAnsi="sans-serif" w:cs="sans-serif"/>
                <w:color w:val="000000"/>
              </w:rPr>
            </w:pPr>
          </w:p>
        </w:tc>
      </w:tr>
      <w:tr w14:paraId="1F98550E" w14:textId="77777777" w:rsidTr="0084574A">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D330E" w:rsidRPr="00D022F4" w:rsidP="0084574A" w14:paraId="6AB1DFEC" w14:textId="77777777">
            <w:pPr>
              <w:autoSpaceDE w:val="0"/>
              <w:autoSpaceDN w:val="0"/>
              <w:adjustRightInd w:val="0"/>
              <w:rPr>
                <w:b/>
                <w:bCs/>
                <w:color w:val="000000"/>
                <w:sz w:val="20"/>
              </w:rPr>
            </w:pPr>
            <w:r w:rsidRPr="00D022F4">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D330E" w:rsidRPr="00D022F4" w:rsidP="0084574A" w14:paraId="44E84C42" w14:textId="77777777">
            <w:pPr>
              <w:autoSpaceDE w:val="0"/>
              <w:autoSpaceDN w:val="0"/>
              <w:adjustRightInd w:val="0"/>
              <w:rPr>
                <w:color w:val="000000"/>
                <w:sz w:val="20"/>
              </w:rPr>
            </w:pPr>
            <w:r w:rsidRPr="00D022F4">
              <w:rPr>
                <w:color w:val="000000"/>
                <w:sz w:val="20"/>
              </w:rPr>
              <w:t>+:</w:t>
            </w:r>
          </w:p>
          <w:p w:rsidR="00BD330E" w:rsidRPr="00D022F4" w:rsidP="0084574A" w14:paraId="1EC24C8E" w14:textId="77777777">
            <w:pPr>
              <w:autoSpaceDE w:val="0"/>
              <w:autoSpaceDN w:val="0"/>
              <w:adjustRightInd w:val="0"/>
              <w:rPr>
                <w:color w:val="000000"/>
                <w:sz w:val="20"/>
              </w:rPr>
            </w:pPr>
            <w:r w:rsidRPr="00D022F4">
              <w:rPr>
                <w:color w:val="000000"/>
                <w:sz w:val="20"/>
              </w:rPr>
              <w:t>–:</w:t>
            </w:r>
          </w:p>
          <w:p w:rsidR="00BD330E" w:rsidRPr="00D022F4" w:rsidP="0084574A" w14:paraId="1EFFAF7E" w14:textId="77777777">
            <w:pPr>
              <w:autoSpaceDE w:val="0"/>
              <w:autoSpaceDN w:val="0"/>
              <w:adjustRightInd w:val="0"/>
              <w:rPr>
                <w:color w:val="000000"/>
                <w:sz w:val="20"/>
              </w:rPr>
            </w:pPr>
            <w:r w:rsidRPr="00D022F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D330E" w:rsidRPr="00D022F4" w:rsidP="0084574A" w14:paraId="51FC2853" w14:textId="77777777">
            <w:pPr>
              <w:autoSpaceDE w:val="0"/>
              <w:autoSpaceDN w:val="0"/>
              <w:adjustRightInd w:val="0"/>
              <w:rPr>
                <w:color w:val="000000"/>
                <w:sz w:val="20"/>
              </w:rPr>
            </w:pPr>
            <w:r w:rsidRPr="00D022F4">
              <w:rPr>
                <w:color w:val="000000"/>
                <w:sz w:val="20"/>
              </w:rPr>
              <w:t>34</w:t>
            </w:r>
          </w:p>
          <w:p w:rsidR="00BD330E" w:rsidRPr="00D022F4" w:rsidP="0084574A" w14:paraId="51A3D0CB" w14:textId="77777777">
            <w:pPr>
              <w:autoSpaceDE w:val="0"/>
              <w:autoSpaceDN w:val="0"/>
              <w:adjustRightInd w:val="0"/>
              <w:rPr>
                <w:color w:val="000000"/>
                <w:sz w:val="20"/>
              </w:rPr>
            </w:pPr>
            <w:r w:rsidRPr="00D022F4">
              <w:rPr>
                <w:color w:val="000000"/>
                <w:sz w:val="20"/>
              </w:rPr>
              <w:t>0</w:t>
            </w:r>
          </w:p>
          <w:p w:rsidR="00BD330E" w:rsidRPr="00D022F4" w:rsidP="0084574A" w14:paraId="148DD104" w14:textId="77777777">
            <w:pPr>
              <w:autoSpaceDE w:val="0"/>
              <w:autoSpaceDN w:val="0"/>
              <w:adjustRightInd w:val="0"/>
              <w:rPr>
                <w:color w:val="000000"/>
                <w:sz w:val="20"/>
              </w:rPr>
            </w:pPr>
            <w:r w:rsidRPr="00D022F4">
              <w:rPr>
                <w:color w:val="000000"/>
                <w:sz w:val="20"/>
              </w:rPr>
              <w:t>0</w:t>
            </w:r>
          </w:p>
        </w:tc>
      </w:tr>
    </w:tbl>
    <w:p w:rsidR="00BD330E" w:rsidRPr="00D022F4" w:rsidP="00BD330E" w14:paraId="3203C251" w14:textId="77777777"/>
    <w:bookmarkEnd w:id="9"/>
    <w:p w:rsidR="00BD330E" w:rsidRPr="00D022F4" w:rsidP="00BD330E" w14:paraId="55427B29" w14:textId="77777777">
      <w:pPr>
        <w:sectPr w:rsidSect="00BD330E">
          <w:pgSz w:w="11894" w:h="15840"/>
          <w:pgMar w:top="1700" w:right="1417" w:bottom="1417" w:left="1417" w:header="720" w:footer="720" w:gutter="0"/>
          <w:cols w:space="720"/>
          <w:noEndnote/>
          <w:docGrid w:linePitch="326"/>
        </w:sectPr>
      </w:pPr>
    </w:p>
    <w:p w:rsidR="00BD330E" w:rsidRPr="00D022F4" w:rsidP="00BD330E" w14:paraId="727BB6A6" w14:textId="77777777">
      <w:pPr>
        <w:pStyle w:val="PageHeading"/>
      </w:pPr>
      <w:bookmarkStart w:id="11" w:name="_Toc242798727"/>
      <w:bookmarkStart w:id="12" w:name="RollCallPageRR"/>
      <w:bookmarkStart w:id="13" w:name="_Toc242881402"/>
      <w:r w:rsidRPr="00D022F4">
        <w:rPr>
          <w:noProof/>
        </w:rPr>
        <w:t>FINAL VOTE BY ROLL CALL</w:t>
      </w:r>
      <w:r w:rsidRPr="00D022F4">
        <w:rPr>
          <w:noProof/>
        </w:rPr>
        <w:br/>
        <w:t>BY THE COMMITTEE RESPONSIBLE</w:t>
      </w:r>
      <w:bookmarkEnd w:id="11"/>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CC2A846" w14:textId="77777777" w:rsidTr="0084574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D330E" w:rsidRPr="00D022F4" w:rsidP="0084574A" w14:paraId="0F1AE795" w14:textId="77777777">
            <w:pPr>
              <w:pStyle w:val="RollCallVotes"/>
            </w:pPr>
            <w:r w:rsidRPr="00D022F4">
              <w:t>34</w:t>
            </w:r>
          </w:p>
        </w:tc>
        <w:tc>
          <w:tcPr>
            <w:tcW w:w="7371" w:type="dxa"/>
            <w:shd w:val="pct10" w:color="000000" w:fill="FFFFFF"/>
          </w:tcPr>
          <w:p w:rsidR="00BD330E" w:rsidRPr="00D022F4" w:rsidP="0084574A" w14:paraId="1632FA8D" w14:textId="77777777">
            <w:pPr>
              <w:pStyle w:val="RollCallSymbols14pt"/>
            </w:pPr>
            <w:r w:rsidRPr="00D022F4">
              <w:t>+</w:t>
            </w:r>
          </w:p>
        </w:tc>
      </w:tr>
      <w:tr w14:paraId="2701E95B"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12BE4FFD" w14:textId="77777777">
            <w:pPr>
              <w:pStyle w:val="RollCallTable"/>
            </w:pPr>
            <w:r w:rsidRPr="00D022F4">
              <w:t>ECR</w:t>
            </w:r>
          </w:p>
        </w:tc>
        <w:tc>
          <w:tcPr>
            <w:tcW w:w="7371" w:type="dxa"/>
            <w:shd w:val="clear" w:color="auto" w:fill="FFFFFF"/>
          </w:tcPr>
          <w:p w:rsidR="00BD330E" w:rsidRPr="00D022F4" w:rsidP="0084574A" w14:paraId="2A0F461F" w14:textId="77777777">
            <w:pPr>
              <w:pStyle w:val="RollCallTable"/>
            </w:pPr>
            <w:r w:rsidRPr="00D022F4">
              <w:t>Tobiasz Bocheński</w:t>
            </w:r>
          </w:p>
        </w:tc>
      </w:tr>
      <w:tr w14:paraId="19F982F9"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0F621696" w14:textId="77777777">
            <w:pPr>
              <w:pStyle w:val="RollCallTable"/>
            </w:pPr>
            <w:r w:rsidRPr="00D022F4">
              <w:t>ESN</w:t>
            </w:r>
          </w:p>
        </w:tc>
        <w:tc>
          <w:tcPr>
            <w:tcW w:w="7371" w:type="dxa"/>
            <w:shd w:val="clear" w:color="auto" w:fill="FFFFFF"/>
          </w:tcPr>
          <w:p w:rsidR="00BD330E" w:rsidRPr="00D022F4" w:rsidP="0084574A" w14:paraId="410939C1" w14:textId="77777777">
            <w:pPr>
              <w:pStyle w:val="RollCallTable"/>
            </w:pPr>
            <w:r w:rsidRPr="00D022F4">
              <w:t>Tomasz Froelich</w:t>
            </w:r>
          </w:p>
        </w:tc>
      </w:tr>
      <w:tr w14:paraId="681CC80F"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1422467A" w14:textId="77777777">
            <w:pPr>
              <w:pStyle w:val="RollCallTable"/>
            </w:pPr>
            <w:r w:rsidRPr="00D022F4">
              <w:t>NI</w:t>
            </w:r>
          </w:p>
        </w:tc>
        <w:tc>
          <w:tcPr>
            <w:tcW w:w="7371" w:type="dxa"/>
            <w:shd w:val="clear" w:color="auto" w:fill="FFFFFF"/>
          </w:tcPr>
          <w:p w:rsidR="00BD330E" w:rsidRPr="00D022F4" w:rsidP="0084574A" w14:paraId="01F67CC2" w14:textId="77777777">
            <w:pPr>
              <w:pStyle w:val="RollCallTable"/>
            </w:pPr>
            <w:r w:rsidRPr="00D022F4">
              <w:t>Thomas Geisel</w:t>
            </w:r>
          </w:p>
        </w:tc>
      </w:tr>
      <w:tr w14:paraId="2EF912E6"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3333E063" w14:textId="77777777">
            <w:pPr>
              <w:pStyle w:val="RollCallTable"/>
            </w:pPr>
            <w:r w:rsidRPr="00D022F4">
              <w:t>PPE</w:t>
            </w:r>
          </w:p>
        </w:tc>
        <w:tc>
          <w:tcPr>
            <w:tcW w:w="7371" w:type="dxa"/>
            <w:shd w:val="clear" w:color="auto" w:fill="FFFFFF"/>
          </w:tcPr>
          <w:p w:rsidR="00BD330E" w:rsidRPr="00D022F4" w:rsidP="0084574A" w14:paraId="683406E3" w14:textId="77777777">
            <w:pPr>
              <w:pStyle w:val="RollCallTable"/>
            </w:pPr>
            <w:r w:rsidRPr="00D022F4">
              <w:t xml:space="preserve">Georgios </w:t>
            </w:r>
            <w:r w:rsidRPr="00D022F4">
              <w:t>Aftias</w:t>
            </w:r>
            <w:r w:rsidRPr="00D022F4">
              <w:t xml:space="preserve">, Pascal Arimont, Isabel Benjumea </w:t>
            </w:r>
            <w:r w:rsidRPr="00D022F4">
              <w:t>Benjumea</w:t>
            </w:r>
            <w:r w:rsidRPr="00D022F4">
              <w:t xml:space="preserve">, Rosa </w:t>
            </w:r>
            <w:r w:rsidRPr="00D022F4">
              <w:t>Estaràs</w:t>
            </w:r>
            <w:r w:rsidRPr="00D022F4">
              <w:t xml:space="preserve"> Ferragut, Céline Imart, Isabelle Le Callennec, Janusz Lewandowski, Hélder Sousa Silva, Javier Zarzalejos, Milan Zver</w:t>
            </w:r>
          </w:p>
        </w:tc>
      </w:tr>
      <w:tr w14:paraId="412CFAF8"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2456D2A1" w14:textId="77777777">
            <w:pPr>
              <w:pStyle w:val="RollCallTable"/>
            </w:pPr>
            <w:r w:rsidRPr="00D022F4">
              <w:t>PfE</w:t>
            </w:r>
          </w:p>
        </w:tc>
        <w:tc>
          <w:tcPr>
            <w:tcW w:w="7371" w:type="dxa"/>
            <w:shd w:val="clear" w:color="auto" w:fill="FFFFFF"/>
          </w:tcPr>
          <w:p w:rsidR="00BD330E" w:rsidRPr="00D022F4" w:rsidP="0084574A" w14:paraId="31DB327F" w14:textId="77777777">
            <w:pPr>
              <w:pStyle w:val="RollCallTable"/>
            </w:pPr>
            <w:r w:rsidRPr="00D022F4">
              <w:t>Tamás Deutsch, Angéline Furet, Virginie Joron, André Rougé, Julien Sanchez, Annamária Vicsek</w:t>
            </w:r>
          </w:p>
        </w:tc>
      </w:tr>
      <w:tr w14:paraId="77CCA99A"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75A4C4D9" w14:textId="77777777">
            <w:pPr>
              <w:pStyle w:val="RollCallTable"/>
            </w:pPr>
            <w:r w:rsidRPr="00D022F4">
              <w:t>Renew</w:t>
            </w:r>
          </w:p>
        </w:tc>
        <w:tc>
          <w:tcPr>
            <w:tcW w:w="7371" w:type="dxa"/>
            <w:shd w:val="clear" w:color="auto" w:fill="FFFFFF"/>
          </w:tcPr>
          <w:p w:rsidR="00BD330E" w:rsidRPr="00D022F4" w:rsidP="0084574A" w14:paraId="4D20A0FB" w14:textId="77777777">
            <w:pPr>
              <w:pStyle w:val="RollCallTable"/>
            </w:pPr>
            <w:r w:rsidRPr="00D022F4">
              <w:t>Benoit Cassart, Fabienne Keller, Moritz Körner, Lucia Yar</w:t>
            </w:r>
          </w:p>
        </w:tc>
      </w:tr>
      <w:tr w14:paraId="770E50BE"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019372C8" w14:textId="77777777">
            <w:pPr>
              <w:pStyle w:val="RollCallTable"/>
            </w:pPr>
            <w:r w:rsidRPr="00D022F4">
              <w:t>S&amp;D</w:t>
            </w:r>
          </w:p>
        </w:tc>
        <w:tc>
          <w:tcPr>
            <w:tcW w:w="7371" w:type="dxa"/>
            <w:shd w:val="clear" w:color="auto" w:fill="FFFFFF"/>
          </w:tcPr>
          <w:p w:rsidR="00BD330E" w:rsidRPr="00D022F4" w:rsidP="0084574A" w14:paraId="10A7239F" w14:textId="77777777">
            <w:pPr>
              <w:pStyle w:val="RollCallTable"/>
            </w:pPr>
            <w:r w:rsidRPr="00D022F4">
              <w:t xml:space="preserve">Matthias Ecke, Jean-Marc Germain, Giuseppe Lupo, Victor Negrescu, Thomas Pellerin-Carlin, Chloé Ridel, Carla Tavares, Nils </w:t>
            </w:r>
            <w:r w:rsidRPr="00D022F4">
              <w:t>Ušakovs</w:t>
            </w:r>
          </w:p>
        </w:tc>
      </w:tr>
      <w:tr w14:paraId="40394AF9"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7B3C8763" w14:textId="77777777">
            <w:pPr>
              <w:pStyle w:val="RollCallTable"/>
            </w:pPr>
            <w:r w:rsidRPr="00D022F4">
              <w:t>The Left</w:t>
            </w:r>
          </w:p>
        </w:tc>
        <w:tc>
          <w:tcPr>
            <w:tcW w:w="7371" w:type="dxa"/>
            <w:shd w:val="clear" w:color="auto" w:fill="FFFFFF"/>
          </w:tcPr>
          <w:p w:rsidR="00BD330E" w:rsidRPr="00D022F4" w:rsidP="0084574A" w14:paraId="5C22DB06" w14:textId="77777777">
            <w:pPr>
              <w:pStyle w:val="RollCallTable"/>
            </w:pPr>
            <w:r w:rsidRPr="00D022F4">
              <w:t>João Oliveira</w:t>
            </w:r>
          </w:p>
        </w:tc>
      </w:tr>
      <w:tr w14:paraId="080DC3D4"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70FE0B78" w14:textId="77777777">
            <w:pPr>
              <w:pStyle w:val="RollCallTable"/>
            </w:pPr>
            <w:r w:rsidRPr="00D022F4">
              <w:t>Verts/ALE</w:t>
            </w:r>
          </w:p>
        </w:tc>
        <w:tc>
          <w:tcPr>
            <w:tcW w:w="7371" w:type="dxa"/>
            <w:shd w:val="clear" w:color="auto" w:fill="FFFFFF"/>
          </w:tcPr>
          <w:p w:rsidR="00BD330E" w:rsidRPr="00D022F4" w:rsidP="0084574A" w14:paraId="5D0AF2B4" w14:textId="77777777">
            <w:pPr>
              <w:pStyle w:val="RollCallTable"/>
            </w:pPr>
            <w:r w:rsidRPr="00D022F4">
              <w:t>Rasmus Andresen, Rasmus Nordqvist</w:t>
            </w:r>
          </w:p>
        </w:tc>
      </w:tr>
    </w:tbl>
    <w:p w:rsidR="00BD330E" w:rsidRPr="00D022F4" w:rsidP="00BD330E" w14:paraId="131E46B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ED89156" w14:textId="77777777" w:rsidTr="0084574A">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D330E" w:rsidRPr="00D022F4" w:rsidP="0084574A" w14:paraId="0B8C1594" w14:textId="77777777">
            <w:pPr>
              <w:pStyle w:val="RollCallVotes"/>
            </w:pPr>
            <w:r w:rsidRPr="00D022F4">
              <w:t>0</w:t>
            </w:r>
          </w:p>
        </w:tc>
        <w:tc>
          <w:tcPr>
            <w:tcW w:w="7371" w:type="dxa"/>
            <w:shd w:val="pct10" w:color="000000" w:fill="FFFFFF"/>
          </w:tcPr>
          <w:p w:rsidR="00BD330E" w:rsidRPr="00D022F4" w:rsidP="0084574A" w14:paraId="18249799" w14:textId="77777777">
            <w:pPr>
              <w:pStyle w:val="RollCallSymbols14pt"/>
            </w:pPr>
            <w:r w:rsidRPr="00D022F4">
              <w:t>-</w:t>
            </w:r>
          </w:p>
        </w:tc>
      </w:tr>
      <w:tr w14:paraId="1E59597B" w14:textId="77777777" w:rsidTr="0084574A">
        <w:tblPrEx>
          <w:tblW w:w="0" w:type="auto"/>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654C7864" w14:textId="77777777">
            <w:pPr>
              <w:pStyle w:val="RollCallTable"/>
            </w:pPr>
          </w:p>
        </w:tc>
        <w:tc>
          <w:tcPr>
            <w:tcW w:w="7371" w:type="dxa"/>
            <w:shd w:val="clear" w:color="auto" w:fill="FFFFFF"/>
          </w:tcPr>
          <w:p w:rsidR="00BD330E" w:rsidRPr="00D022F4" w:rsidP="0084574A" w14:paraId="41B3809A" w14:textId="77777777">
            <w:pPr>
              <w:pStyle w:val="RollCallTable"/>
            </w:pPr>
          </w:p>
        </w:tc>
      </w:tr>
    </w:tbl>
    <w:p w:rsidR="00BD330E" w:rsidRPr="00D022F4" w:rsidP="00BD330E" w14:paraId="64CA8CBD"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3DED1CC" w14:textId="77777777" w:rsidTr="0084574A">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D330E" w:rsidRPr="00D022F4" w:rsidP="0084574A" w14:paraId="49860C52" w14:textId="77777777">
            <w:pPr>
              <w:pStyle w:val="RollCallVotes"/>
            </w:pPr>
            <w:r w:rsidRPr="00D022F4">
              <w:t>0</w:t>
            </w:r>
          </w:p>
        </w:tc>
        <w:tc>
          <w:tcPr>
            <w:tcW w:w="7371" w:type="dxa"/>
            <w:shd w:val="pct10" w:color="000000" w:fill="FFFFFF"/>
          </w:tcPr>
          <w:p w:rsidR="00BD330E" w:rsidRPr="00D022F4" w:rsidP="0084574A" w14:paraId="36938194" w14:textId="77777777">
            <w:pPr>
              <w:pStyle w:val="RollCallSymbols14pt"/>
            </w:pPr>
            <w:r w:rsidRPr="00D022F4">
              <w:t>0</w:t>
            </w:r>
          </w:p>
        </w:tc>
      </w:tr>
      <w:tr w14:paraId="100F27BD" w14:textId="77777777" w:rsidTr="0084574A">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BD330E" w:rsidRPr="00D022F4" w:rsidP="0084574A" w14:paraId="26236071" w14:textId="77777777">
            <w:pPr>
              <w:pStyle w:val="RollCallTable"/>
            </w:pPr>
          </w:p>
        </w:tc>
        <w:tc>
          <w:tcPr>
            <w:tcW w:w="7371" w:type="dxa"/>
            <w:shd w:val="clear" w:color="auto" w:fill="FFFFFF"/>
          </w:tcPr>
          <w:p w:rsidR="00BD330E" w:rsidRPr="00D022F4" w:rsidP="0084574A" w14:paraId="3637A704" w14:textId="77777777">
            <w:pPr>
              <w:pStyle w:val="RollCallTable"/>
            </w:pPr>
          </w:p>
        </w:tc>
      </w:tr>
    </w:tbl>
    <w:p w:rsidR="00BD330E" w:rsidRPr="00D022F4" w:rsidP="00BD330E" w14:paraId="307424A0" w14:textId="77777777">
      <w:pPr>
        <w:pStyle w:val="Normal12a"/>
      </w:pPr>
    </w:p>
    <w:p w:rsidR="00BD330E" w:rsidRPr="00D022F4" w:rsidP="00BD330E" w14:paraId="72ADD2FB" w14:textId="77777777">
      <w:r w:rsidRPr="00D022F4">
        <w:t>Key to symbols:</w:t>
      </w:r>
    </w:p>
    <w:p w:rsidR="00BD330E" w:rsidRPr="00D022F4" w:rsidP="00BD330E" w14:paraId="1183E49E" w14:textId="77777777">
      <w:pPr>
        <w:pStyle w:val="RollCallTabs"/>
      </w:pPr>
      <w:r w:rsidRPr="00D022F4">
        <w:t>+</w:t>
      </w:r>
      <w:r w:rsidRPr="00D022F4">
        <w:tab/>
        <w:t>:</w:t>
      </w:r>
      <w:r w:rsidRPr="00D022F4">
        <w:tab/>
        <w:t>in favour</w:t>
      </w:r>
    </w:p>
    <w:p w:rsidR="00BD330E" w:rsidRPr="00D022F4" w:rsidP="00BD330E" w14:paraId="0BE63793" w14:textId="77777777">
      <w:pPr>
        <w:pStyle w:val="RollCallTabs"/>
      </w:pPr>
      <w:r w:rsidRPr="00D022F4">
        <w:t>-</w:t>
      </w:r>
      <w:r w:rsidRPr="00D022F4">
        <w:tab/>
        <w:t>:</w:t>
      </w:r>
      <w:r w:rsidRPr="00D022F4">
        <w:tab/>
        <w:t>against</w:t>
      </w:r>
    </w:p>
    <w:p w:rsidR="00BD330E" w:rsidRPr="00D022F4" w:rsidP="00BD330E" w14:paraId="19EEC265" w14:textId="77777777">
      <w:pPr>
        <w:pStyle w:val="RollCallTabs"/>
      </w:pPr>
      <w:r w:rsidRPr="00D022F4">
        <w:t>0</w:t>
      </w:r>
      <w:r w:rsidRPr="00D022F4">
        <w:tab/>
        <w:t>:</w:t>
      </w:r>
      <w:r w:rsidRPr="00D022F4">
        <w:tab/>
        <w:t>abstention</w:t>
      </w:r>
    </w:p>
    <w:p w:rsidR="00BD330E" w:rsidRPr="00D022F4" w:rsidP="00BD330E" w14:paraId="77A454CF" w14:textId="77777777"/>
    <w:bookmarkEnd w:id="12"/>
    <w:p w:rsidR="00BD330E" w:rsidRPr="00D022F4" w:rsidP="00BD330E" w14:paraId="76568B46" w14:textId="77777777"/>
    <w:p w:rsidR="00A11F18" w:rsidRPr="00D022F4" w:rsidP="00BD330E" w14:paraId="70233938" w14:textId="76C97849">
      <w:pPr>
        <w:pStyle w:val="PageHeading"/>
      </w:pPr>
    </w:p>
    <w:sectPr w:rsidSect="00BD330E">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4F0" w:rsidP="00E544F0" w14:paraId="48E6D80B" w14:textId="77777777">
    <w:pPr>
      <w:pStyle w:val="EPFooter"/>
    </w:pPr>
    <w:r>
      <w:t>PE</w:t>
    </w:r>
    <w:r w:rsidRPr="00E544F0">
      <w:rPr>
        <w:rStyle w:val="HideTWBExt"/>
      </w:rPr>
      <w:t>&lt;NoPE&gt;</w:t>
    </w:r>
    <w:r>
      <w:t>796.158</w:t>
    </w:r>
    <w:r w:rsidRPr="00E544F0">
      <w:rPr>
        <w:rStyle w:val="HideTWBExt"/>
      </w:rPr>
      <w:t>&lt;/NoPE&gt;&lt;Version&gt;</w:t>
    </w:r>
    <w:r>
      <w:t>v02-00</w:t>
    </w:r>
    <w:r w:rsidRPr="00E544F0">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6</w:t>
    </w:r>
    <w:r>
      <w:rPr>
        <w:noProof/>
      </w:rPr>
      <w:fldChar w:fldCharType="end"/>
    </w:r>
    <w:r>
      <w:tab/>
    </w:r>
    <w:r w:rsidRPr="00E544F0">
      <w:rPr>
        <w:rStyle w:val="HideTWBExt"/>
      </w:rPr>
      <w:t>&lt;PathFdR&gt;</w:t>
    </w:r>
    <w:r>
      <w:t>RR\1352750EN.docx</w:t>
    </w:r>
    <w:r w:rsidRPr="00E544F0">
      <w:rPr>
        <w:rStyle w:val="HideTWBExt"/>
      </w:rPr>
      <w:t>&lt;/PathFdR&gt;</w:t>
    </w:r>
  </w:p>
  <w:p w:rsidR="00BB725E" w:rsidRPr="00D022F4" w:rsidP="00E544F0" w14:paraId="79833114" w14:textId="574D8BBC">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4F0" w:rsidP="00E544F0" w14:paraId="3E784258" w14:textId="77777777">
    <w:pPr>
      <w:pStyle w:val="EPFooter"/>
    </w:pPr>
    <w:r w:rsidRPr="00E544F0">
      <w:rPr>
        <w:rStyle w:val="HideTWBExt"/>
      </w:rPr>
      <w:t>&lt;PathFdR&gt;</w:t>
    </w:r>
    <w:r>
      <w:t>RR\1352750EN.docx</w:t>
    </w:r>
    <w:r w:rsidRPr="00E544F0">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6</w:t>
    </w:r>
    <w:r>
      <w:rPr>
        <w:noProof/>
      </w:rPr>
      <w:fldChar w:fldCharType="end"/>
    </w:r>
    <w:r>
      <w:tab/>
      <w:t>PE</w:t>
    </w:r>
    <w:r w:rsidRPr="00E544F0">
      <w:rPr>
        <w:rStyle w:val="HideTWBExt"/>
      </w:rPr>
      <w:t>&lt;NoPE&gt;</w:t>
    </w:r>
    <w:r>
      <w:t>796.158</w:t>
    </w:r>
    <w:r w:rsidRPr="00E544F0">
      <w:rPr>
        <w:rStyle w:val="HideTWBExt"/>
      </w:rPr>
      <w:t>&lt;/NoPE&gt;&lt;Version&gt;</w:t>
    </w:r>
    <w:r>
      <w:t>v02-00</w:t>
    </w:r>
    <w:r w:rsidRPr="00E544F0">
      <w:rPr>
        <w:rStyle w:val="HideTWBExt"/>
      </w:rPr>
      <w:t>&lt;/Version&gt;</w:t>
    </w:r>
  </w:p>
  <w:p w:rsidR="00BB725E" w:rsidRPr="00D022F4" w:rsidP="00E544F0" w14:paraId="126FA890" w14:textId="0E472B71">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4F0" w:rsidP="00E544F0" w14:paraId="33B3EBF5" w14:textId="77777777">
    <w:pPr>
      <w:pStyle w:val="EPFooter"/>
    </w:pPr>
    <w:r w:rsidRPr="00E544F0">
      <w:rPr>
        <w:rStyle w:val="HideTWBExt"/>
      </w:rPr>
      <w:t>&lt;PathFdR&gt;</w:t>
    </w:r>
    <w:r>
      <w:t>RR\1352750EN.docx</w:t>
    </w:r>
    <w:r w:rsidRPr="00E544F0">
      <w:rPr>
        <w:rStyle w:val="HideTWBExt"/>
      </w:rPr>
      <w:t>&lt;/PathFdR&gt;</w:t>
    </w:r>
    <w:r>
      <w:tab/>
    </w:r>
    <w:r>
      <w:tab/>
      <w:t>PE</w:t>
    </w:r>
    <w:r w:rsidRPr="00E544F0">
      <w:rPr>
        <w:rStyle w:val="HideTWBExt"/>
      </w:rPr>
      <w:t>&lt;NoPE&gt;</w:t>
    </w:r>
    <w:r>
      <w:t>796.158</w:t>
    </w:r>
    <w:r w:rsidRPr="00E544F0">
      <w:rPr>
        <w:rStyle w:val="HideTWBExt"/>
      </w:rPr>
      <w:t>&lt;/NoPE&gt;&lt;Version&gt;</w:t>
    </w:r>
    <w:r>
      <w:t>v02-00</w:t>
    </w:r>
    <w:r w:rsidRPr="00E544F0">
      <w:rPr>
        <w:rStyle w:val="HideTWBExt"/>
      </w:rPr>
      <w:t>&lt;/Version&gt;</w:t>
    </w:r>
  </w:p>
  <w:p w:rsidR="00BB725E" w:rsidRPr="00D022F4" w:rsidP="00E544F0" w14:paraId="7061F768" w14:textId="0CCD4253">
    <w:pPr>
      <w:pStyle w:val="EPFooter2"/>
    </w:pPr>
    <w:r>
      <w:t>EN</w:t>
    </w:r>
    <w:r>
      <w:tab/>
    </w:r>
    <w:r w:rsidRPr="00E544F0">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C2751" w:rsidRPr="00D022F4" w14:paraId="115B1989" w14:textId="77777777">
      <w:r w:rsidRPr="00D022F4">
        <w:separator/>
      </w:r>
    </w:p>
  </w:footnote>
  <w:footnote w:type="continuationSeparator" w:id="1">
    <w:p w:rsidR="007C2751" w:rsidRPr="00D022F4" w14:paraId="706FF554" w14:textId="77777777">
      <w:r w:rsidRPr="00D022F4">
        <w:continuationSeparator/>
      </w:r>
    </w:p>
  </w:footnote>
  <w:footnote w:id="2">
    <w:p w:rsidR="00424ADA" w:rsidRPr="00FA0428" w14:paraId="604EFFC8" w14:textId="43EC6354">
      <w:pPr>
        <w:pStyle w:val="FootnoteText"/>
        <w:rPr>
          <w:lang w:val="fi-FI"/>
        </w:rPr>
      </w:pPr>
      <w:r w:rsidRPr="00D022F4">
        <w:rPr>
          <w:rStyle w:val="FootnoteReference"/>
        </w:rPr>
        <w:footnoteRef/>
      </w:r>
      <w:r w:rsidRPr="00FA0428">
        <w:rPr>
          <w:lang w:val="fi-FI"/>
        </w:rPr>
        <w:t xml:space="preserve"> OJ L 311, 14.11.2002, p. 3, ELI: </w:t>
      </w:r>
      <w:hyperlink r:id="rId1" w:tooltip="http://data.europa.eu/eli/reg/2002/2012/oj" w:history="1">
        <w:r w:rsidRPr="00FA0428">
          <w:rPr>
            <w:rStyle w:val="Hyperlink"/>
            <w:lang w:val="fi-FI"/>
          </w:rPr>
          <w:t>http://data.europa.eu/eli/reg/2002/2012/oj</w:t>
        </w:r>
      </w:hyperlink>
      <w:r w:rsidRPr="00FA0428">
        <w:rPr>
          <w:lang w:val="fi-FI"/>
        </w:rPr>
        <w:t>.</w:t>
      </w:r>
    </w:p>
  </w:footnote>
  <w:footnote w:id="3">
    <w:p w:rsidR="00424ADA" w:rsidRPr="00FA0428" w:rsidP="00424ADA" w14:paraId="178E2F04" w14:textId="7149D87C">
      <w:pPr>
        <w:pStyle w:val="FootnoteText"/>
        <w:rPr>
          <w:lang w:val="fi-FI"/>
        </w:rPr>
      </w:pPr>
      <w:r w:rsidRPr="00D022F4">
        <w:rPr>
          <w:rStyle w:val="FootnoteReference"/>
        </w:rPr>
        <w:footnoteRef/>
      </w:r>
      <w:r w:rsidRPr="00FA0428">
        <w:rPr>
          <w:lang w:val="fi-FI"/>
        </w:rPr>
        <w:t xml:space="preserve"> OJ L 433 I, 22.12.2020, p. 11, ELI: </w:t>
      </w:r>
      <w:hyperlink r:id="rId2" w:tooltip="Gives access to this document through its ELI URI." w:history="1">
        <w:r w:rsidRPr="00FA0428" w:rsidR="003C308A">
          <w:rPr>
            <w:rStyle w:val="Hyperlink"/>
            <w:lang w:val="fi-FI"/>
          </w:rPr>
          <w:t>http://data.europa.eu/eli/reg/2020/2093/oj</w:t>
        </w:r>
      </w:hyperlink>
      <w:r w:rsidRPr="00D022F4">
        <w:fldChar w:fldCharType="begin"/>
      </w:r>
      <w:r w:rsidRPr="00FA0428">
        <w:rPr>
          <w:lang w:val="fi-FI"/>
        </w:rPr>
        <w:instrText>http://data.europa.eu/eli/reg/2020/2093/oj" \o "http://data.europa.eu/eli/reg/2020/2093/oj"</w:instrText>
      </w:r>
      <w:r w:rsidRPr="00D022F4">
        <w:fldChar w:fldCharType="separate"/>
      </w:r>
      <w:r w:rsidRPr="00FA0428">
        <w:rPr>
          <w:rStyle w:val="Hyperlink"/>
          <w:lang w:val="fi-FI"/>
        </w:rPr>
        <w:t>http://data.europa.eu/eli/reg/2020/2093/oj</w:t>
      </w:r>
      <w:r w:rsidRPr="00D022F4">
        <w:fldChar w:fldCharType="end"/>
      </w:r>
      <w:r w:rsidRPr="00FA0428">
        <w:rPr>
          <w:lang w:val="fi-FI"/>
        </w:rPr>
        <w:t>.</w:t>
      </w:r>
    </w:p>
  </w:footnote>
  <w:footnote w:id="4">
    <w:p w:rsidR="00424ADA" w:rsidRPr="00FA0428" w:rsidP="00424ADA" w14:paraId="307FE56A" w14:textId="44F7E3CF">
      <w:pPr>
        <w:pStyle w:val="FootnoteText"/>
        <w:rPr>
          <w:lang w:val="fi-FI"/>
        </w:rPr>
      </w:pPr>
      <w:r w:rsidRPr="00D022F4">
        <w:rPr>
          <w:rStyle w:val="FootnoteReference"/>
        </w:rPr>
        <w:footnoteRef/>
      </w:r>
      <w:r w:rsidRPr="00FA0428">
        <w:rPr>
          <w:lang w:val="fi-FI"/>
        </w:rPr>
        <w:t xml:space="preserve"> OJ L 433 I, 22.12.2020, p. 28, ELI: </w:t>
      </w:r>
      <w:hyperlink r:id="rId3" w:history="1">
        <w:r w:rsidRPr="00FA0428">
          <w:rPr>
            <w:rStyle w:val="Hyperlink"/>
            <w:color w:val="auto"/>
            <w:lang w:val="fi-FI"/>
          </w:rPr>
          <w:t>http://data.europa.eu/eli/agree_interinstit/2020/1222/oj</w:t>
        </w:r>
      </w:hyperlink>
      <w:r w:rsidRPr="00FA0428">
        <w:rPr>
          <w:lang w:val="fi-FI"/>
        </w:rPr>
        <w:t xml:space="preserve">. </w:t>
      </w:r>
    </w:p>
  </w:footnote>
  <w:footnote w:id="5">
    <w:p w:rsidR="00424ADA" w:rsidRPr="00FA0428" w:rsidP="00424ADA" w14:paraId="3590D06D" w14:textId="017084E8">
      <w:pPr>
        <w:pStyle w:val="FootnoteText"/>
        <w:rPr>
          <w:lang w:val="fi-FI"/>
        </w:rPr>
      </w:pPr>
      <w:r w:rsidRPr="00D022F4">
        <w:rPr>
          <w:rStyle w:val="FootnoteReference"/>
        </w:rPr>
        <w:footnoteRef/>
      </w:r>
      <w:r w:rsidRPr="00FA0428">
        <w:rPr>
          <w:lang w:val="fi-FI"/>
        </w:rPr>
        <w:t xml:space="preserve"> OJ L 231, 30.6.2021, p. 60, ELI: </w:t>
      </w:r>
      <w:hyperlink r:id="rId4" w:history="1">
        <w:r w:rsidRPr="00FA0428">
          <w:rPr>
            <w:rStyle w:val="Hyperlink"/>
            <w:color w:val="auto"/>
            <w:lang w:val="fi-FI"/>
          </w:rPr>
          <w:t>http://data.europa.eu/eli/reg/2021/1058/oj</w:t>
        </w:r>
      </w:hyperlink>
      <w:r w:rsidRPr="00FA0428">
        <w:rPr>
          <w:lang w:val="fi-FI"/>
        </w:rPr>
        <w:t>.</w:t>
      </w:r>
    </w:p>
  </w:footnote>
  <w:footnote w:id="6">
    <w:p w:rsidR="00424ADA" w:rsidRPr="00FA0428" w:rsidP="00424ADA" w14:paraId="0F98B2ED" w14:textId="357647CE">
      <w:pPr>
        <w:pStyle w:val="FootnoteText"/>
        <w:rPr>
          <w:lang w:val="fi-FI"/>
        </w:rPr>
      </w:pPr>
      <w:r w:rsidRPr="00D022F4">
        <w:rPr>
          <w:rStyle w:val="FootnoteReference"/>
        </w:rPr>
        <w:footnoteRef/>
      </w:r>
      <w:r w:rsidRPr="00FA0428">
        <w:rPr>
          <w:lang w:val="fi-FI"/>
        </w:rPr>
        <w:t xml:space="preserve"> OJ L 231, 30.6.2021, p. 21, ELI: </w:t>
      </w:r>
      <w:hyperlink r:id="rId5" w:history="1">
        <w:r w:rsidRPr="00FA0428">
          <w:rPr>
            <w:rStyle w:val="Hyperlink"/>
            <w:color w:val="auto"/>
            <w:lang w:val="fi-FI"/>
          </w:rPr>
          <w:t>http://data.europa.eu/eli/reg/2021/1057/oj</w:t>
        </w:r>
      </w:hyperlink>
      <w:r w:rsidRPr="00FA0428">
        <w:rPr>
          <w:lang w:val="fi-FI"/>
        </w:rPr>
        <w:t>.</w:t>
      </w:r>
    </w:p>
  </w:footnote>
  <w:footnote w:id="7">
    <w:p w:rsidR="00557FD7" w:rsidRPr="00FA0428" w:rsidP="00557FD7" w14:paraId="7BE4D2F4" w14:textId="39AFC5C0">
      <w:pPr>
        <w:pStyle w:val="FootnoteText"/>
        <w:rPr>
          <w:lang w:val="fi-FI"/>
        </w:rPr>
      </w:pPr>
      <w:r w:rsidRPr="00D022F4">
        <w:rPr>
          <w:rStyle w:val="FootnoteReference"/>
        </w:rPr>
        <w:footnoteRef/>
      </w:r>
      <w:r w:rsidRPr="00FA0428">
        <w:rPr>
          <w:lang w:val="fi-FI"/>
        </w:rPr>
        <w:t xml:space="preserve"> https://www.eea.europa.eu/en/analysis/publications/european-climate-risk-assessment</w:t>
      </w:r>
    </w:p>
  </w:footnote>
  <w:footnote w:id="8">
    <w:p w:rsidR="00557FD7" w:rsidRPr="00FA0428" w14:paraId="30B3A983" w14:textId="4163C295">
      <w:pPr>
        <w:pStyle w:val="FootnoteText"/>
        <w:rPr>
          <w:lang w:val="fi-FI"/>
        </w:rPr>
      </w:pPr>
      <w:r w:rsidRPr="00D022F4">
        <w:rPr>
          <w:rStyle w:val="FootnoteReference"/>
        </w:rPr>
        <w:footnoteRef/>
      </w:r>
      <w:r w:rsidRPr="00FA0428">
        <w:rPr>
          <w:lang w:val="fi-FI"/>
        </w:rPr>
        <w:t xml:space="preserve"> https://www.eea.europa.eu/en/analysis/publications/climate-resilience-in-europe-2025-progress-and-challenges</w:t>
      </w:r>
    </w:p>
  </w:footnote>
  <w:footnote w:id="9">
    <w:p w:rsidR="00B14D3B" w:rsidRPr="00FA0428" w:rsidP="00B14D3B" w14:paraId="71BF73EB" w14:textId="54F6D72A">
      <w:pPr>
        <w:pStyle w:val="Footer"/>
        <w:rPr>
          <w:sz w:val="20"/>
          <w:lang w:val="fi-FI"/>
        </w:rPr>
      </w:pPr>
      <w:r w:rsidRPr="00D022F4">
        <w:rPr>
          <w:sz w:val="20"/>
          <w:vertAlign w:val="superscript"/>
        </w:rPr>
        <w:footnoteRef/>
      </w:r>
      <w:r w:rsidRPr="00FA0428">
        <w:rPr>
          <w:sz w:val="20"/>
          <w:lang w:val="fi-FI"/>
        </w:rPr>
        <w:t xml:space="preserve"> OJ L 311, 14.11.2002, p. 3, ELI: http://data.europa.eu/eli/reg/2002/2012/oj.</w:t>
      </w:r>
    </w:p>
  </w:footnote>
  <w:footnote w:id="10">
    <w:p w:rsidR="00B12126" w:rsidRPr="00FA0428" w:rsidP="00B12126" w14:paraId="2DAB0183" w14:textId="3D846B4E">
      <w:pPr>
        <w:pStyle w:val="FootnoteText"/>
        <w:ind w:left="567" w:hanging="567"/>
        <w:rPr>
          <w:lang w:val="fi-FI"/>
        </w:rPr>
      </w:pPr>
      <w:r w:rsidRPr="00D022F4">
        <w:rPr>
          <w:rStyle w:val="FootnoteReference"/>
        </w:rPr>
        <w:footnoteRef/>
      </w:r>
      <w:r w:rsidRPr="00FA0428">
        <w:rPr>
          <w:lang w:val="fi-FI"/>
        </w:rPr>
        <w:t xml:space="preserve"> OJ L 433 I, 22.12.2020, p. 11, ELI: </w:t>
      </w:r>
      <w:hyperlink r:id="rId2" w:history="1">
        <w:r w:rsidRPr="00FA0428">
          <w:rPr>
            <w:rStyle w:val="Hyperlink"/>
            <w:lang w:val="fi-FI"/>
          </w:rPr>
          <w:t>http://data.europa.eu/eli/reg/2020/2093/oj</w:t>
        </w:r>
      </w:hyperlink>
      <w:r w:rsidRPr="00FA0428">
        <w:rPr>
          <w:lang w:val="fi-FI"/>
        </w:rPr>
        <w:t>.</w:t>
      </w:r>
    </w:p>
  </w:footnote>
  <w:footnote w:id="11">
    <w:p w:rsidR="00B14D3B" w:rsidRPr="00FA0428" w:rsidP="00B14D3B" w14:paraId="58CEEC4A" w14:textId="267C94B1">
      <w:pPr>
        <w:pStyle w:val="Footer"/>
        <w:rPr>
          <w:sz w:val="20"/>
          <w:lang w:val="fi-FI"/>
        </w:rPr>
      </w:pPr>
      <w:r w:rsidRPr="00D022F4">
        <w:rPr>
          <w:sz w:val="20"/>
          <w:vertAlign w:val="superscript"/>
        </w:rPr>
        <w:footnoteRef/>
      </w:r>
      <w:r w:rsidRPr="00FA0428">
        <w:rPr>
          <w:sz w:val="20"/>
          <w:lang w:val="fi-FI"/>
        </w:rPr>
        <w:t xml:space="preserve"> OJ L 433I, 22.12.2020, p. 28, ELI: http://data.europa.eu/eli/agree_interinstit/2020/1222/oj.</w:t>
      </w:r>
    </w:p>
  </w:footnote>
  <w:footnote w:id="12">
    <w:p w:rsidR="00B12126" w:rsidRPr="00D022F4" w14:paraId="4805EC31" w14:textId="4F622038">
      <w:pPr>
        <w:pStyle w:val="FootnoteText"/>
      </w:pPr>
      <w:r w:rsidRPr="00D022F4">
        <w:rPr>
          <w:rStyle w:val="FootnoteReference"/>
        </w:rPr>
        <w:footnoteRef/>
      </w:r>
      <w:r w:rsidRPr="00D022F4">
        <w:t xml:space="preserve"> Council Regulation (EU, Euratom) 2024/765 of 29 February 2024 amending Regulation (EU, Euratom) 2020/2093 laying down the multiannual financial framework for the years 2021 to 2027 (OJ L, 2024/765, 29.2.2024, p. 11, ELI: http://data.europa.eu/eli/reg/2024/765/oj).</w:t>
      </w:r>
    </w:p>
  </w:footnote>
  <w:footnote w:id="13">
    <w:p w:rsidR="000B3473" w:rsidRPr="00FA0428" w:rsidP="000B3473" w14:paraId="4E9BA64C" w14:textId="77777777">
      <w:pPr>
        <w:pStyle w:val="FootnoteText"/>
        <w:rPr>
          <w:lang w:val="pl-PL"/>
        </w:rPr>
      </w:pPr>
      <w:r w:rsidRPr="00D022F4">
        <w:rPr>
          <w:rStyle w:val="FootnoteReference"/>
        </w:rPr>
        <w:footnoteRef/>
      </w:r>
      <w:r w:rsidRPr="00FA0428">
        <w:rPr>
          <w:lang w:val="pl-PL"/>
        </w:rPr>
        <w:t xml:space="preserve"> OJ L 433I, 22.12.2020, p. 11, ELI: http://data.europa.eu/eli/reg/2020/2093/oj.</w:t>
      </w:r>
    </w:p>
  </w:footnote>
  <w:footnote w:id="14">
    <w:p w:rsidR="000B3473" w:rsidRPr="00FA0428" w:rsidP="000B3473" w14:paraId="44479830" w14:textId="77777777">
      <w:pPr>
        <w:pStyle w:val="FootnoteText"/>
        <w:rPr>
          <w:lang w:val="pl-PL"/>
        </w:rPr>
      </w:pPr>
      <w:r w:rsidRPr="00D022F4">
        <w:rPr>
          <w:rStyle w:val="FootnoteReference"/>
        </w:rPr>
        <w:footnoteRef/>
      </w:r>
      <w:r w:rsidRPr="00FA0428">
        <w:rPr>
          <w:lang w:val="pl-PL"/>
        </w:rPr>
        <w:t xml:space="preserve"> OJ C 433I, 22.12.2020, p. 28</w:t>
      </w:r>
    </w:p>
  </w:footnote>
  <w:footnote w:id="15">
    <w:p w:rsidR="000B3473" w:rsidRPr="00FA0428" w:rsidP="000B3473" w14:paraId="09A63678" w14:textId="77777777">
      <w:pPr>
        <w:pStyle w:val="FootnoteText"/>
        <w:rPr>
          <w:lang w:val="fi-FI"/>
        </w:rPr>
      </w:pPr>
      <w:r w:rsidRPr="00D022F4">
        <w:rPr>
          <w:rStyle w:val="FootnoteReference"/>
        </w:rPr>
        <w:footnoteRef/>
      </w:r>
      <w:r w:rsidRPr="00FA0428">
        <w:rPr>
          <w:lang w:val="fi-FI"/>
        </w:rPr>
        <w:t xml:space="preserve"> OJ L, 2026/1809, 21.7.2026, ELI: http://data.europa.eu/eli/dec/2026/1809/oj.</w:t>
      </w:r>
    </w:p>
  </w:footnote>
  <w:footnote w:id="16">
    <w:p w:rsidR="005C461F" w:rsidRPr="00D022F4" w14:paraId="6B5D7860" w14:textId="7993B5FF">
      <w:pPr>
        <w:pStyle w:val="FootnoteText"/>
      </w:pPr>
      <w:r w:rsidRPr="00D022F4">
        <w:rPr>
          <w:rStyle w:val="FootnoteReference"/>
        </w:rPr>
        <w:footnoteRef/>
      </w:r>
      <w:r w:rsidRPr="00D022F4">
        <w:t xml:space="preserve"> Interinstitutional Agreement of 20 May 2021 between the European Parliament, the Council of the European Union and the European Commission on a mandatory transparency register (OJ L 207, 11.6.2021, p. 1, ELI: </w:t>
      </w:r>
      <w:hyperlink r:id="rId6" w:tooltip="http://data.europa.eu/eli/agree_interinstit/2021/611/oj" w:history="1">
        <w:r w:rsidRPr="00D022F4">
          <w:rPr>
            <w:rStyle w:val="Hyperlink"/>
          </w:rPr>
          <w:t>http://data.europa.eu/eli/agree_interinstit/2021/611/oj</w:t>
        </w:r>
      </w:hyperlink>
      <w:r w:rsidRPr="00D022F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4F0" w14:paraId="5B1F81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4F0" w14:paraId="028DD1A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4F0" w14:paraId="2B7AD6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2B423060"/>
    <w:multiLevelType w:val="hybridMultilevel"/>
    <w:tmpl w:val="96A60050"/>
    <w:lvl w:ilvl="0">
      <w:start w:val="1"/>
      <w:numFmt w:val="decimal"/>
      <w:lvlText w:val="%1."/>
      <w:lvlJc w:val="left"/>
      <w:pPr>
        <w:ind w:left="570" w:hanging="57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A87"/>
    <w:rsid w:val="00017581"/>
    <w:rsid w:val="00046E67"/>
    <w:rsid w:val="000555E6"/>
    <w:rsid w:val="00074D07"/>
    <w:rsid w:val="000B3473"/>
    <w:rsid w:val="000E069F"/>
    <w:rsid w:val="000F2650"/>
    <w:rsid w:val="001212A1"/>
    <w:rsid w:val="001232DB"/>
    <w:rsid w:val="001408EA"/>
    <w:rsid w:val="00155B2F"/>
    <w:rsid w:val="00162623"/>
    <w:rsid w:val="00167F25"/>
    <w:rsid w:val="00190C1A"/>
    <w:rsid w:val="00215C42"/>
    <w:rsid w:val="0022041B"/>
    <w:rsid w:val="002327E1"/>
    <w:rsid w:val="00274562"/>
    <w:rsid w:val="00292A1D"/>
    <w:rsid w:val="00294518"/>
    <w:rsid w:val="002C2DB2"/>
    <w:rsid w:val="002D7967"/>
    <w:rsid w:val="00300158"/>
    <w:rsid w:val="003523E4"/>
    <w:rsid w:val="00390E97"/>
    <w:rsid w:val="00396BD0"/>
    <w:rsid w:val="003B4F3D"/>
    <w:rsid w:val="003B5885"/>
    <w:rsid w:val="003C308A"/>
    <w:rsid w:val="003D0649"/>
    <w:rsid w:val="003D1260"/>
    <w:rsid w:val="003D5173"/>
    <w:rsid w:val="003F207F"/>
    <w:rsid w:val="003F5936"/>
    <w:rsid w:val="0041613F"/>
    <w:rsid w:val="00424ADA"/>
    <w:rsid w:val="00430A87"/>
    <w:rsid w:val="004318BB"/>
    <w:rsid w:val="00470DFE"/>
    <w:rsid w:val="004D2440"/>
    <w:rsid w:val="0050453C"/>
    <w:rsid w:val="0052720D"/>
    <w:rsid w:val="00533501"/>
    <w:rsid w:val="00536441"/>
    <w:rsid w:val="00557FD7"/>
    <w:rsid w:val="0058028A"/>
    <w:rsid w:val="00581E60"/>
    <w:rsid w:val="00590998"/>
    <w:rsid w:val="005B0658"/>
    <w:rsid w:val="005B0AFE"/>
    <w:rsid w:val="005B6947"/>
    <w:rsid w:val="005C09F1"/>
    <w:rsid w:val="005C461F"/>
    <w:rsid w:val="005F27D5"/>
    <w:rsid w:val="00601E96"/>
    <w:rsid w:val="00611B44"/>
    <w:rsid w:val="00616E75"/>
    <w:rsid w:val="006400E6"/>
    <w:rsid w:val="0066089E"/>
    <w:rsid w:val="006800DF"/>
    <w:rsid w:val="006A20BA"/>
    <w:rsid w:val="006D4750"/>
    <w:rsid w:val="006E4E08"/>
    <w:rsid w:val="006F3A60"/>
    <w:rsid w:val="00703318"/>
    <w:rsid w:val="007041CC"/>
    <w:rsid w:val="00713DEB"/>
    <w:rsid w:val="007260CD"/>
    <w:rsid w:val="00731ECF"/>
    <w:rsid w:val="00761A6D"/>
    <w:rsid w:val="00795668"/>
    <w:rsid w:val="007C2751"/>
    <w:rsid w:val="007F63FC"/>
    <w:rsid w:val="00843D7C"/>
    <w:rsid w:val="0084574A"/>
    <w:rsid w:val="00861675"/>
    <w:rsid w:val="00862BAB"/>
    <w:rsid w:val="00872DA8"/>
    <w:rsid w:val="008A3711"/>
    <w:rsid w:val="008E1AD6"/>
    <w:rsid w:val="008F1614"/>
    <w:rsid w:val="008F25B2"/>
    <w:rsid w:val="00917358"/>
    <w:rsid w:val="00921B78"/>
    <w:rsid w:val="0093380B"/>
    <w:rsid w:val="00945699"/>
    <w:rsid w:val="009761F0"/>
    <w:rsid w:val="0097750B"/>
    <w:rsid w:val="0097776D"/>
    <w:rsid w:val="009C01D2"/>
    <w:rsid w:val="009F0E1E"/>
    <w:rsid w:val="00A06B03"/>
    <w:rsid w:val="00A11F18"/>
    <w:rsid w:val="00A205D2"/>
    <w:rsid w:val="00A27E62"/>
    <w:rsid w:val="00A92850"/>
    <w:rsid w:val="00AC5680"/>
    <w:rsid w:val="00AD09A2"/>
    <w:rsid w:val="00AD53F1"/>
    <w:rsid w:val="00AE2ABE"/>
    <w:rsid w:val="00AF4089"/>
    <w:rsid w:val="00AF6B2F"/>
    <w:rsid w:val="00B12126"/>
    <w:rsid w:val="00B12873"/>
    <w:rsid w:val="00B14D3B"/>
    <w:rsid w:val="00B2118B"/>
    <w:rsid w:val="00B26559"/>
    <w:rsid w:val="00B31C6A"/>
    <w:rsid w:val="00B44310"/>
    <w:rsid w:val="00B5725D"/>
    <w:rsid w:val="00B67944"/>
    <w:rsid w:val="00BA6BC7"/>
    <w:rsid w:val="00BB725E"/>
    <w:rsid w:val="00BD3192"/>
    <w:rsid w:val="00BD330E"/>
    <w:rsid w:val="00C12A09"/>
    <w:rsid w:val="00C12CB1"/>
    <w:rsid w:val="00C16925"/>
    <w:rsid w:val="00C327B5"/>
    <w:rsid w:val="00C54775"/>
    <w:rsid w:val="00C753BD"/>
    <w:rsid w:val="00C85D0F"/>
    <w:rsid w:val="00CA4836"/>
    <w:rsid w:val="00CC2A52"/>
    <w:rsid w:val="00CE05FC"/>
    <w:rsid w:val="00D022F4"/>
    <w:rsid w:val="00D17520"/>
    <w:rsid w:val="00D3309A"/>
    <w:rsid w:val="00D461B7"/>
    <w:rsid w:val="00D63FD3"/>
    <w:rsid w:val="00D82527"/>
    <w:rsid w:val="00DD1344"/>
    <w:rsid w:val="00DE1BE3"/>
    <w:rsid w:val="00DF46ED"/>
    <w:rsid w:val="00E20F2E"/>
    <w:rsid w:val="00E26C15"/>
    <w:rsid w:val="00E544F0"/>
    <w:rsid w:val="00E70719"/>
    <w:rsid w:val="00E71B80"/>
    <w:rsid w:val="00E77FC0"/>
    <w:rsid w:val="00E96B4F"/>
    <w:rsid w:val="00E9757B"/>
    <w:rsid w:val="00EA7BAF"/>
    <w:rsid w:val="00EB1C38"/>
    <w:rsid w:val="00ED2631"/>
    <w:rsid w:val="00ED3BE1"/>
    <w:rsid w:val="00EE24DE"/>
    <w:rsid w:val="00EE62A2"/>
    <w:rsid w:val="00EF5487"/>
    <w:rsid w:val="00F130D9"/>
    <w:rsid w:val="00F17C55"/>
    <w:rsid w:val="00F77515"/>
    <w:rsid w:val="00F83DEC"/>
    <w:rsid w:val="00FA0428"/>
    <w:rsid w:val="00FB2E5E"/>
    <w:rsid w:val="00FC056F"/>
    <w:rsid w:val="00FC4A1F"/>
    <w:rsid w:val="00FC56AB"/>
    <w:rsid w:val="00FC5BA7"/>
    <w:rsid w:val="00FC7626"/>
    <w:rsid w:val="00FF4EA9"/>
  </w:rsids>
  <w:docVars>
    <w:docVar w:name="AUTHORMFPMNU" w:val=" 2"/>
    <w:docVar w:name="CONTRIBUTIONMNU" w:val=" 2"/>
    <w:docVar w:name="CopyToNetwork" w:val="-1"/>
    <w:docVar w:name="DOCDT" w:val="13/10/2026"/>
    <w:docVar w:name="LastEditedSection" w:val=" 1"/>
    <w:docVar w:name="NVAR1" w:val="0"/>
    <w:docVar w:name="PARAMNU" w:val=" 1"/>
    <w:docVar w:name="strSubDir" w:val="796"/>
    <w:docVar w:name="TITLEMNU" w:val=" 1"/>
    <w:docVar w:name="TXTAUTHOR" w:val="Lucia Yar"/>
    <w:docVar w:name="TXTLANGUE" w:val="EN"/>
    <w:docVar w:name="TXTLANGUEMIN" w:val="en"/>
    <w:docVar w:name="TXTNRBUD" w:val="2026/0284"/>
    <w:docVar w:name="TXTNRC" w:val="0226/2026"/>
    <w:docVar w:name="TXTNRCOM" w:val="(2026)7001"/>
    <w:docVar w:name="TXTNRPE" w:val="796.158"/>
    <w:docVar w:name="TXTPEorAP" w:val="PE"/>
    <w:docVar w:name="TXTROUTE" w:val="RR\796158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C3FCF92-9BA0-4863-89D7-CAD719243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424ADA"/>
    <w:rPr>
      <w:sz w:val="20"/>
    </w:rPr>
  </w:style>
  <w:style w:type="character" w:customStyle="1" w:styleId="FootnoteTextChar">
    <w:name w:val="Footnote Text Char"/>
    <w:basedOn w:val="DefaultParagraphFont"/>
    <w:link w:val="FootnoteText"/>
    <w:uiPriority w:val="99"/>
    <w:rsid w:val="00424ADA"/>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basedOn w:val="DefaultParagraphFont"/>
    <w:uiPriority w:val="99"/>
    <w:rsid w:val="00424ADA"/>
    <w:rPr>
      <w:vertAlign w:val="superscript"/>
    </w:rPr>
  </w:style>
  <w:style w:type="character" w:styleId="Hyperlink">
    <w:name w:val="Hyperlink"/>
    <w:basedOn w:val="DefaultParagraphFont"/>
    <w:uiPriority w:val="99"/>
    <w:rsid w:val="00424ADA"/>
    <w:rPr>
      <w:color w:val="0563C1" w:themeColor="hyperlink"/>
      <w:u w:val="single"/>
    </w:rPr>
  </w:style>
  <w:style w:type="character" w:customStyle="1" w:styleId="UnresolvedMention">
    <w:name w:val="Unresolved Mention"/>
    <w:basedOn w:val="DefaultParagraphFont"/>
    <w:uiPriority w:val="99"/>
    <w:semiHidden/>
    <w:unhideWhenUsed/>
    <w:rsid w:val="00424ADA"/>
    <w:rPr>
      <w:color w:val="605E5C"/>
      <w:shd w:val="clear" w:color="auto" w:fill="E1DFDD"/>
    </w:rPr>
  </w:style>
  <w:style w:type="paragraph" w:styleId="CommentText">
    <w:name w:val="annotation text"/>
    <w:basedOn w:val="Normal"/>
    <w:link w:val="CommentTextChar"/>
    <w:uiPriority w:val="99"/>
    <w:unhideWhenUsed/>
    <w:rsid w:val="00424ADA"/>
    <w:pPr>
      <w:widowControl/>
      <w:jc w:val="both"/>
    </w:pPr>
    <w:rPr>
      <w:rFonts w:eastAsiaTheme="minorHAnsi"/>
      <w:kern w:val="2"/>
      <w:sz w:val="20"/>
      <w:lang w:eastAsia="en-US"/>
      <w14:ligatures w14:val="standardContextual"/>
    </w:rPr>
  </w:style>
  <w:style w:type="character" w:customStyle="1" w:styleId="CommentTextChar">
    <w:name w:val="Comment Text Char"/>
    <w:basedOn w:val="DefaultParagraphFont"/>
    <w:link w:val="CommentText"/>
    <w:uiPriority w:val="99"/>
    <w:rsid w:val="00424ADA"/>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424ADA"/>
    <w:rPr>
      <w:sz w:val="16"/>
      <w:szCs w:val="16"/>
    </w:rPr>
  </w:style>
  <w:style w:type="paragraph" w:styleId="ListParagraph">
    <w:name w:val="List Paragraph"/>
    <w:basedOn w:val="Normal"/>
    <w:uiPriority w:val="1"/>
    <w:qFormat/>
    <w:rsid w:val="00B14D3B"/>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unhideWhenUsed/>
    <w:rsid w:val="00B14D3B"/>
    <w:pPr>
      <w:tabs>
        <w:tab w:val="center" w:pos="4513"/>
        <w:tab w:val="right" w:pos="9026"/>
      </w:tabs>
    </w:pPr>
  </w:style>
  <w:style w:type="character" w:customStyle="1" w:styleId="FooterChar">
    <w:name w:val="Footer Char"/>
    <w:basedOn w:val="DefaultParagraphFont"/>
    <w:link w:val="Footer"/>
    <w:semiHidden/>
    <w:rsid w:val="00B14D3B"/>
    <w:rPr>
      <w:sz w:val="24"/>
    </w:rPr>
  </w:style>
  <w:style w:type="paragraph" w:customStyle="1" w:styleId="Considrant">
    <w:name w:val="Considérant"/>
    <w:basedOn w:val="Normal"/>
    <w:rsid w:val="00B14D3B"/>
    <w:pPr>
      <w:widowControl/>
      <w:numPr>
        <w:numId w:val="42"/>
      </w:numPr>
      <w:tabs>
        <w:tab w:val="num" w:pos="360"/>
      </w:tabs>
      <w:spacing w:before="120" w:after="120"/>
      <w:ind w:left="360" w:hanging="360"/>
      <w:jc w:val="both"/>
    </w:pPr>
    <w:rPr>
      <w:rFonts w:eastAsia="Calibri"/>
      <w:szCs w:val="22"/>
      <w:lang w:eastAsia="en-US"/>
    </w:rPr>
  </w:style>
  <w:style w:type="paragraph" w:customStyle="1" w:styleId="Point0number">
    <w:name w:val="Point 0 (number)"/>
    <w:basedOn w:val="Normal"/>
    <w:rsid w:val="00B14D3B"/>
    <w:pPr>
      <w:widowControl/>
      <w:numPr>
        <w:numId w:val="43"/>
      </w:numPr>
      <w:spacing w:before="120" w:after="120"/>
      <w:jc w:val="both"/>
    </w:pPr>
    <w:rPr>
      <w:rFonts w:eastAsiaTheme="minorHAnsi"/>
      <w:szCs w:val="22"/>
      <w:lang w:eastAsia="en-US"/>
    </w:rPr>
  </w:style>
  <w:style w:type="paragraph" w:customStyle="1" w:styleId="Point1number">
    <w:name w:val="Point 1 (number)"/>
    <w:basedOn w:val="Normal"/>
    <w:rsid w:val="00B14D3B"/>
    <w:pPr>
      <w:widowControl/>
      <w:numPr>
        <w:ilvl w:val="2"/>
        <w:numId w:val="43"/>
      </w:numPr>
      <w:spacing w:before="120" w:after="120"/>
      <w:jc w:val="both"/>
    </w:pPr>
    <w:rPr>
      <w:rFonts w:eastAsiaTheme="minorHAnsi"/>
      <w:szCs w:val="22"/>
      <w:lang w:eastAsia="en-US"/>
    </w:rPr>
  </w:style>
  <w:style w:type="paragraph" w:customStyle="1" w:styleId="Point2number">
    <w:name w:val="Point 2 (number)"/>
    <w:basedOn w:val="Normal"/>
    <w:rsid w:val="00B14D3B"/>
    <w:pPr>
      <w:widowControl/>
      <w:numPr>
        <w:ilvl w:val="4"/>
        <w:numId w:val="43"/>
      </w:numPr>
      <w:spacing w:before="120" w:after="120"/>
      <w:jc w:val="both"/>
    </w:pPr>
    <w:rPr>
      <w:rFonts w:eastAsiaTheme="minorHAnsi"/>
      <w:szCs w:val="22"/>
      <w:lang w:eastAsia="en-US"/>
    </w:rPr>
  </w:style>
  <w:style w:type="paragraph" w:customStyle="1" w:styleId="Point3number">
    <w:name w:val="Point 3 (number)"/>
    <w:basedOn w:val="Normal"/>
    <w:rsid w:val="00B14D3B"/>
    <w:pPr>
      <w:widowControl/>
      <w:numPr>
        <w:ilvl w:val="6"/>
        <w:numId w:val="43"/>
      </w:numPr>
      <w:spacing w:before="120" w:after="120"/>
      <w:jc w:val="both"/>
    </w:pPr>
    <w:rPr>
      <w:rFonts w:eastAsiaTheme="minorHAnsi"/>
      <w:szCs w:val="22"/>
      <w:lang w:eastAsia="en-US"/>
    </w:rPr>
  </w:style>
  <w:style w:type="paragraph" w:customStyle="1" w:styleId="Point0letter">
    <w:name w:val="Point 0 (letter)"/>
    <w:basedOn w:val="Normal"/>
    <w:rsid w:val="00B14D3B"/>
    <w:pPr>
      <w:widowControl/>
      <w:numPr>
        <w:ilvl w:val="1"/>
        <w:numId w:val="43"/>
      </w:numPr>
      <w:spacing w:before="120" w:after="120"/>
      <w:jc w:val="both"/>
    </w:pPr>
    <w:rPr>
      <w:rFonts w:eastAsiaTheme="minorHAnsi"/>
      <w:szCs w:val="22"/>
      <w:lang w:eastAsia="en-US"/>
    </w:rPr>
  </w:style>
  <w:style w:type="paragraph" w:customStyle="1" w:styleId="Point1letter">
    <w:name w:val="Point 1 (letter)"/>
    <w:basedOn w:val="Normal"/>
    <w:rsid w:val="00B14D3B"/>
    <w:pPr>
      <w:widowControl/>
      <w:numPr>
        <w:ilvl w:val="3"/>
        <w:numId w:val="43"/>
      </w:numPr>
      <w:spacing w:before="120" w:after="120"/>
      <w:jc w:val="both"/>
    </w:pPr>
    <w:rPr>
      <w:rFonts w:eastAsiaTheme="minorHAnsi"/>
      <w:szCs w:val="22"/>
      <w:lang w:eastAsia="en-US"/>
    </w:rPr>
  </w:style>
  <w:style w:type="paragraph" w:customStyle="1" w:styleId="Point2letter">
    <w:name w:val="Point 2 (letter)"/>
    <w:basedOn w:val="Normal"/>
    <w:rsid w:val="00B14D3B"/>
    <w:pPr>
      <w:widowControl/>
      <w:numPr>
        <w:ilvl w:val="5"/>
        <w:numId w:val="43"/>
      </w:numPr>
      <w:spacing w:before="120" w:after="120"/>
      <w:jc w:val="both"/>
    </w:pPr>
    <w:rPr>
      <w:rFonts w:eastAsiaTheme="minorHAnsi"/>
      <w:szCs w:val="22"/>
      <w:lang w:eastAsia="en-US"/>
    </w:rPr>
  </w:style>
  <w:style w:type="paragraph" w:customStyle="1" w:styleId="Point3letter">
    <w:name w:val="Point 3 (letter)"/>
    <w:basedOn w:val="Normal"/>
    <w:rsid w:val="00B14D3B"/>
    <w:pPr>
      <w:widowControl/>
      <w:numPr>
        <w:ilvl w:val="7"/>
        <w:numId w:val="43"/>
      </w:numPr>
      <w:spacing w:before="120" w:after="120"/>
      <w:jc w:val="both"/>
    </w:pPr>
    <w:rPr>
      <w:rFonts w:eastAsiaTheme="minorHAnsi"/>
      <w:szCs w:val="22"/>
      <w:lang w:eastAsia="en-US"/>
    </w:rPr>
  </w:style>
  <w:style w:type="paragraph" w:customStyle="1" w:styleId="Point4letter">
    <w:name w:val="Point 4 (letter)"/>
    <w:basedOn w:val="Normal"/>
    <w:rsid w:val="00B14D3B"/>
    <w:pPr>
      <w:widowControl/>
      <w:numPr>
        <w:ilvl w:val="8"/>
        <w:numId w:val="43"/>
      </w:numPr>
      <w:spacing w:before="120" w:after="120"/>
      <w:jc w:val="both"/>
    </w:pPr>
    <w:rPr>
      <w:rFonts w:eastAsiaTheme="minorHAnsi"/>
      <w:szCs w:val="22"/>
      <w:lang w:eastAsia="en-US"/>
    </w:rPr>
  </w:style>
  <w:style w:type="paragraph" w:styleId="Revision">
    <w:name w:val="Revision"/>
    <w:hidden/>
    <w:uiPriority w:val="99"/>
    <w:semiHidden/>
    <w:rsid w:val="003C308A"/>
    <w:rPr>
      <w:sz w:val="24"/>
    </w:rPr>
  </w:style>
  <w:style w:type="paragraph" w:customStyle="1" w:styleId="Normal24a">
    <w:name w:val="Normal24a"/>
    <w:basedOn w:val="Normal"/>
    <w:rsid w:val="005C461F"/>
    <w:pPr>
      <w:spacing w:after="480"/>
    </w:pPr>
  </w:style>
  <w:style w:type="paragraph" w:customStyle="1" w:styleId="NormalBoldCenter">
    <w:name w:val="NormalBoldCenter"/>
    <w:basedOn w:val="Normal"/>
    <w:rsid w:val="005C461F"/>
    <w:pPr>
      <w:jc w:val="center"/>
    </w:pPr>
    <w:rPr>
      <w:b/>
    </w:rPr>
  </w:style>
  <w:style w:type="paragraph" w:customStyle="1" w:styleId="Footprint12b">
    <w:name w:val="Footprint12b"/>
    <w:basedOn w:val="Normal"/>
    <w:rsid w:val="005C461F"/>
    <w:pPr>
      <w:spacing w:before="240"/>
    </w:pPr>
    <w:rPr>
      <w:szCs w:val="24"/>
    </w:rPr>
  </w:style>
  <w:style w:type="paragraph" w:customStyle="1" w:styleId="NormalSingle">
    <w:name w:val="NormalSingle"/>
    <w:basedOn w:val="Normal"/>
    <w:qFormat/>
    <w:rsid w:val="005C461F"/>
    <w:rPr>
      <w:szCs w:val="24"/>
    </w:rPr>
  </w:style>
  <w:style w:type="character" w:customStyle="1" w:styleId="NormalHanging12aChar">
    <w:name w:val="NormalHanging12a Char"/>
    <w:basedOn w:val="DefaultParagraphFont"/>
    <w:link w:val="NormalHanging12a"/>
    <w:locked/>
    <w:rsid w:val="00DD1344"/>
    <w:rPr>
      <w:sz w:val="24"/>
    </w:rPr>
  </w:style>
  <w:style w:type="paragraph" w:customStyle="1" w:styleId="Normal12a">
    <w:name w:val="Normal12a"/>
    <w:basedOn w:val="Normal"/>
    <w:rsid w:val="00A11F18"/>
    <w:pPr>
      <w:spacing w:after="240"/>
    </w:pPr>
  </w:style>
  <w:style w:type="paragraph" w:customStyle="1" w:styleId="RollCallVotes">
    <w:name w:val="RollCallVotes"/>
    <w:basedOn w:val="Normal"/>
    <w:rsid w:val="00A11F18"/>
    <w:pPr>
      <w:spacing w:before="120" w:after="120"/>
      <w:jc w:val="center"/>
    </w:pPr>
    <w:rPr>
      <w:b/>
      <w:bCs/>
      <w:snapToGrid w:val="0"/>
      <w:sz w:val="16"/>
      <w:lang w:eastAsia="en-US"/>
    </w:rPr>
  </w:style>
  <w:style w:type="paragraph" w:customStyle="1" w:styleId="RollCallTabs">
    <w:name w:val="RollCallTabs"/>
    <w:basedOn w:val="Normal"/>
    <w:qFormat/>
    <w:rsid w:val="00A11F18"/>
    <w:pPr>
      <w:tabs>
        <w:tab w:val="center" w:pos="284"/>
        <w:tab w:val="left" w:pos="426"/>
      </w:tabs>
    </w:pPr>
    <w:rPr>
      <w:snapToGrid w:val="0"/>
      <w:lang w:eastAsia="en-US"/>
    </w:rPr>
  </w:style>
  <w:style w:type="paragraph" w:customStyle="1" w:styleId="RollCallSymbols14pt">
    <w:name w:val="RollCallSymbols14pt"/>
    <w:basedOn w:val="Normal"/>
    <w:rsid w:val="00A11F18"/>
    <w:pPr>
      <w:spacing w:before="120" w:after="120"/>
      <w:jc w:val="center"/>
    </w:pPr>
    <w:rPr>
      <w:rFonts w:ascii="Arial" w:hAnsi="Arial"/>
      <w:b/>
      <w:bCs/>
      <w:snapToGrid w:val="0"/>
      <w:sz w:val="28"/>
      <w:lang w:eastAsia="en-US"/>
    </w:rPr>
  </w:style>
  <w:style w:type="paragraph" w:customStyle="1" w:styleId="RollCallTable">
    <w:name w:val="RollCallTable"/>
    <w:basedOn w:val="Normal"/>
    <w:rsid w:val="00A11F18"/>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2/2012/oj" TargetMode="External" /><Relationship Id="rId2" Type="http://schemas.openxmlformats.org/officeDocument/2006/relationships/hyperlink" Target="http://data.europa.eu/eli/reg/2020/2093/oj" TargetMode="External" /><Relationship Id="rId3" Type="http://schemas.openxmlformats.org/officeDocument/2006/relationships/hyperlink" Target="http://data.europa.eu/eli/agree_interinstit/2020/1222/oj" TargetMode="External" /><Relationship Id="rId4" Type="http://schemas.openxmlformats.org/officeDocument/2006/relationships/hyperlink" Target="http://data.europa.eu/eli/reg/2021/1058/oj" TargetMode="External" /><Relationship Id="rId5" Type="http://schemas.openxmlformats.org/officeDocument/2006/relationships/hyperlink" Target="http://data.europa.eu/eli/reg/2021/1057/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26391-C7E0-4F61-A76B-448C8C785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4808</Words>
  <Characters>27406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3</cp:revision>
  <cp:lastPrinted>2004-12-08T15:27:00Z</cp:lastPrinted>
  <dcterms:created xsi:type="dcterms:W3CDTF">2026-10-14T12:42:00Z</dcterms:created>
  <dcterms:modified xsi:type="dcterms:W3CDTF">2026-10-14T12:43:00Z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1352750</vt:lpwstr>
  </property>
  <property fmtid="{D5CDD505-2E9C-101B-9397-08002B2CF9AE}" pid="4" name="&lt;Model&gt;">
    <vt:lpwstr>PR_BUD_Funds</vt:lpwstr>
  </property>
  <property fmtid="{D5CDD505-2E9C-101B-9397-08002B2CF9AE}" pid="5" name="&lt;ModelCod&gt;">
    <vt:lpwstr>\\eiciBRUpr1\pdocep$\DocEP\DOCS\General\PR\PR_BUD\BUDGET\BUD\PR_BUD_Funds.dotx(05/07/2024 10:40:03)</vt:lpwstr>
  </property>
  <property fmtid="{D5CDD505-2E9C-101B-9397-08002B2CF9AE}" pid="6" name="&lt;ModelTra&gt;">
    <vt:lpwstr>\\eiciBRUpr1\pdocep$\DocEP\TRANSFIL\EN\PR_BUD_Funds.EN(03/03/2026 15:20:18)</vt:lpwstr>
  </property>
  <property fmtid="{D5CDD505-2E9C-101B-9397-08002B2CF9AE}" pid="7" name="&lt;Type&gt;">
    <vt:lpwstr>RR</vt:lpwstr>
  </property>
  <property fmtid="{D5CDD505-2E9C-101B-9397-08002B2CF9AE}" pid="8" name="Created with">
    <vt:lpwstr>10.3.1 Build [20260902]</vt:lpwstr>
  </property>
  <property fmtid="{D5CDD505-2E9C-101B-9397-08002B2CF9AE}" pid="9" name="FooterPath">
    <vt:lpwstr>RR\796158EN.docx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796.158</vt:lpwstr>
  </property>
  <property fmtid="{D5CDD505-2E9C-101B-9397-08002B2CF9AE}" pid="13" name="RegistreCheck">
    <vt:lpwstr>OK</vt:lpwstr>
  </property>
  <property fmtid="{D5CDD505-2E9C-101B-9397-08002B2CF9AE}" pid="14" name="SendToEpades">
    <vt:lpwstr/>
  </property>
</Properties>
</file>