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9FD3D5D" w14:textId="77777777" w:rsidTr="00C85D0F">
        <w:tblPrEx>
          <w:tblW w:w="9072" w:type="dxa"/>
          <w:tblCellMar>
            <w:left w:w="0" w:type="dxa"/>
            <w:right w:w="0" w:type="dxa"/>
          </w:tblCellMar>
          <w:tblLook w:val="01E0"/>
        </w:tblPrEx>
        <w:trPr>
          <w:trHeight w:hRule="exact" w:val="1418"/>
        </w:trPr>
        <w:tc>
          <w:tcPr>
            <w:tcW w:w="6804" w:type="dxa"/>
            <w:vAlign w:val="center"/>
          </w:tcPr>
          <w:p w:rsidR="00B13D6F" w:rsidRPr="0015397B" w:rsidP="00C85D0F" w14:paraId="71E6FE1D" w14:textId="71C01228">
            <w:pPr>
              <w:pStyle w:val="EPName"/>
            </w:pPr>
            <w:r w:rsidRPr="0015397B">
              <w:t>European Parliament</w:t>
            </w:r>
          </w:p>
          <w:p w:rsidR="00B13D6F" w:rsidRPr="0015397B" w:rsidP="00C85D0F" w14:paraId="45AFA362" w14:textId="734EB6C7">
            <w:pPr>
              <w:pStyle w:val="EPTerm"/>
            </w:pPr>
            <w:r w:rsidRPr="0015397B">
              <w:t>2024-2029</w:t>
            </w:r>
          </w:p>
        </w:tc>
        <w:tc>
          <w:tcPr>
            <w:tcW w:w="2268" w:type="dxa"/>
          </w:tcPr>
          <w:p w:rsidR="00B13D6F" w:rsidRPr="0015397B" w:rsidP="00C85D0F" w14:paraId="7E1BC263" w14:textId="77777777">
            <w:pPr>
              <w:pStyle w:val="EPLogo"/>
            </w:pPr>
            <w:r w:rsidRPr="0015397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8569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5397B" w:rsidP="00461601" w14:paraId="5327D3C1" w14:textId="77777777">
      <w:pPr>
        <w:pStyle w:val="LineTop"/>
      </w:pPr>
    </w:p>
    <w:p w:rsidR="00461601" w:rsidRPr="0015397B" w:rsidP="00461601" w14:paraId="39F36B14" w14:textId="35C5F492">
      <w:pPr>
        <w:pStyle w:val="EPBody"/>
      </w:pPr>
      <w:r w:rsidRPr="0015397B">
        <w:t>Plenary sitting</w:t>
      </w:r>
    </w:p>
    <w:p w:rsidR="00461601" w:rsidRPr="0015397B" w:rsidP="00461601" w14:paraId="4A5FC18C" w14:textId="77777777">
      <w:pPr>
        <w:pStyle w:val="LineBottom"/>
      </w:pPr>
    </w:p>
    <w:p w:rsidR="00793EA9" w:rsidRPr="0015397B" w14:paraId="5690E52F" w14:textId="560213D6">
      <w:pPr>
        <w:pStyle w:val="CoverReference"/>
      </w:pPr>
      <w:r w:rsidRPr="0015397B">
        <w:rPr>
          <w:rStyle w:val="HideTWBExt"/>
        </w:rPr>
        <w:t>&lt;NoDocSe&gt;</w:t>
      </w:r>
      <w:r w:rsidR="00B975BF">
        <w:t>A10-0276/2026</w:t>
      </w:r>
      <w:r w:rsidRPr="0015397B">
        <w:rPr>
          <w:rStyle w:val="HideTWBExt"/>
        </w:rPr>
        <w:t>&lt;/NoDocSe&gt;</w:t>
      </w:r>
    </w:p>
    <w:p w:rsidR="00793EA9" w:rsidRPr="0015397B" w14:paraId="0FB5274D" w14:textId="526424A7">
      <w:pPr>
        <w:pStyle w:val="CoverDate"/>
      </w:pPr>
      <w:r w:rsidRPr="0015397B">
        <w:rPr>
          <w:rStyle w:val="HideTWBExt"/>
        </w:rPr>
        <w:t>&lt;Date&gt;</w:t>
      </w:r>
      <w:r w:rsidRPr="0015397B" w:rsidR="006A4D20">
        <w:rPr>
          <w:rStyle w:val="HideTWBInt"/>
        </w:rPr>
        <w:t>{19/10/2026}</w:t>
      </w:r>
      <w:r w:rsidRPr="0015397B" w:rsidR="006A4D20">
        <w:t>19.10.2026</w:t>
      </w:r>
      <w:r w:rsidRPr="0015397B">
        <w:rPr>
          <w:rStyle w:val="HideTWBExt"/>
        </w:rPr>
        <w:t>&lt;/Date&gt;</w:t>
      </w:r>
    </w:p>
    <w:p w:rsidR="00793EA9" w:rsidRPr="0015397B" w14:paraId="33B165AD" w14:textId="77777777">
      <w:pPr>
        <w:pStyle w:val="CoverDocType"/>
      </w:pPr>
      <w:r w:rsidRPr="0015397B">
        <w:rPr>
          <w:rStyle w:val="HideTWBExt"/>
          <w:b w:val="0"/>
        </w:rPr>
        <w:t>&lt;RefProcLect&gt;</w:t>
      </w:r>
      <w:r w:rsidRPr="0015397B">
        <w:t>***I</w:t>
      </w:r>
      <w:r w:rsidRPr="0015397B">
        <w:rPr>
          <w:rStyle w:val="HideTWBExt"/>
          <w:b w:val="0"/>
        </w:rPr>
        <w:t>&lt;/RefProcLect&gt;</w:t>
      </w:r>
    </w:p>
    <w:p w:rsidR="00793EA9" w:rsidRPr="0015397B" w14:paraId="37967A3C" w14:textId="744ED041">
      <w:pPr>
        <w:pStyle w:val="CoverDocType24a"/>
      </w:pPr>
      <w:r w:rsidRPr="0015397B">
        <w:rPr>
          <w:rStyle w:val="HideTWBExt"/>
          <w:b w:val="0"/>
        </w:rPr>
        <w:t>&lt;TitreType&gt;</w:t>
      </w:r>
      <w:r w:rsidRPr="0015397B" w:rsidR="00FD0492">
        <w:t>REPORT</w:t>
      </w:r>
      <w:r w:rsidRPr="0015397B">
        <w:rPr>
          <w:rStyle w:val="HideTWBExt"/>
          <w:b w:val="0"/>
        </w:rPr>
        <w:t>&lt;/TitreType&gt;</w:t>
      </w:r>
    </w:p>
    <w:p w:rsidR="00793EA9" w:rsidRPr="0015397B" w14:paraId="22DC2837" w14:textId="65D2F209">
      <w:pPr>
        <w:pStyle w:val="CoverNormal"/>
      </w:pPr>
      <w:r w:rsidRPr="0015397B">
        <w:rPr>
          <w:rStyle w:val="HideTWBExt"/>
        </w:rPr>
        <w:t>&lt;Titre&gt;</w:t>
      </w:r>
      <w:r w:rsidRPr="0015397B" w:rsidR="00F05FAF">
        <w:t xml:space="preserve">on the proposal for a </w:t>
      </w:r>
      <w:r w:rsidRPr="0015397B" w:rsidR="000F7E0A">
        <w:t>regulation</w:t>
      </w:r>
      <w:r w:rsidRPr="0015397B" w:rsidR="00F05FAF">
        <w:t xml:space="preserve"> of the European Parliament and of the Council </w:t>
      </w:r>
      <w:r w:rsidRPr="0015397B" w:rsidR="000F7E0A">
        <w:t>amending Directive 2003/87/EC as regards revised benchmark values for the heat and fuel benchmarks for the period from 2026 to 2030</w:t>
      </w:r>
      <w:r w:rsidRPr="0015397B">
        <w:rPr>
          <w:rStyle w:val="HideTWBExt"/>
        </w:rPr>
        <w:t>&lt;/Titre&gt;</w:t>
      </w:r>
    </w:p>
    <w:p w:rsidR="00793EA9" w:rsidRPr="007434A0" w14:paraId="72FF8657" w14:textId="452D93A6">
      <w:pPr>
        <w:pStyle w:val="CoverNormal24a"/>
        <w:rPr>
          <w:lang w:val="pt-PT"/>
        </w:rPr>
      </w:pPr>
      <w:r w:rsidRPr="007434A0">
        <w:rPr>
          <w:rStyle w:val="HideTWBExt"/>
          <w:lang w:val="pt-PT"/>
        </w:rPr>
        <w:t>&lt;DocRef&gt;</w:t>
      </w:r>
      <w:r w:rsidRPr="007434A0" w:rsidR="00F05FAF">
        <w:rPr>
          <w:lang w:val="pt-PT"/>
        </w:rPr>
        <w:t>(COM</w:t>
      </w:r>
      <w:r w:rsidRPr="007434A0" w:rsidR="000F7E0A">
        <w:rPr>
          <w:lang w:val="pt-PT"/>
        </w:rPr>
        <w:t>(2026)0619</w:t>
      </w:r>
      <w:r w:rsidRPr="007434A0" w:rsidR="00F05FAF">
        <w:rPr>
          <w:lang w:val="pt-PT"/>
        </w:rPr>
        <w:t xml:space="preserve"> </w:t>
      </w:r>
      <w:r w:rsidRPr="007434A0" w:rsidR="000F7E0A">
        <w:rPr>
          <w:lang w:val="pt-PT"/>
        </w:rPr>
        <w:t>–</w:t>
      </w:r>
      <w:r w:rsidRPr="007434A0" w:rsidR="00F05FAF">
        <w:rPr>
          <w:lang w:val="pt-PT"/>
        </w:rPr>
        <w:t xml:space="preserve"> </w:t>
      </w:r>
      <w:r w:rsidRPr="007434A0" w:rsidR="00FA1344">
        <w:rPr>
          <w:lang w:val="pt-PT"/>
        </w:rPr>
        <w:t>C10-0189/2026</w:t>
      </w:r>
      <w:r w:rsidRPr="007434A0" w:rsidR="00F05FAF">
        <w:rPr>
          <w:lang w:val="pt-PT"/>
        </w:rPr>
        <w:t xml:space="preserve"> </w:t>
      </w:r>
      <w:r w:rsidRPr="007434A0" w:rsidR="000F7E0A">
        <w:rPr>
          <w:lang w:val="pt-PT"/>
        </w:rPr>
        <w:t>–</w:t>
      </w:r>
      <w:r w:rsidRPr="007434A0" w:rsidR="00F05FAF">
        <w:rPr>
          <w:lang w:val="pt-PT"/>
        </w:rPr>
        <w:t xml:space="preserve"> </w:t>
      </w:r>
      <w:r w:rsidRPr="007434A0" w:rsidR="00FA1344">
        <w:rPr>
          <w:lang w:val="pt-PT"/>
        </w:rPr>
        <w:t>2026/0211(COD)</w:t>
      </w:r>
      <w:r w:rsidRPr="007434A0" w:rsidR="00F05FAF">
        <w:rPr>
          <w:lang w:val="pt-PT"/>
        </w:rPr>
        <w:t>)</w:t>
      </w:r>
      <w:r w:rsidRPr="007434A0">
        <w:rPr>
          <w:rStyle w:val="HideTWBExt"/>
          <w:lang w:val="pt-PT"/>
        </w:rPr>
        <w:t>&lt;/DocRef&gt;</w:t>
      </w:r>
    </w:p>
    <w:p w:rsidR="00793EA9" w:rsidRPr="0015397B" w14:paraId="4FD1B8EE" w14:textId="2B82BA4C">
      <w:pPr>
        <w:pStyle w:val="CoverNormal24a"/>
      </w:pPr>
      <w:r w:rsidRPr="0015397B">
        <w:rPr>
          <w:rStyle w:val="HideTWBExt"/>
        </w:rPr>
        <w:t>&lt;Commission&gt;</w:t>
      </w:r>
      <w:r w:rsidRPr="0015397B" w:rsidR="000F7E0A">
        <w:rPr>
          <w:rStyle w:val="HideTWBInt"/>
        </w:rPr>
        <w:t>{ENVI}</w:t>
      </w:r>
      <w:r w:rsidRPr="0015397B" w:rsidR="000F7E0A">
        <w:t>Committee on the Environment, Climate and Food Safety</w:t>
      </w:r>
      <w:r w:rsidRPr="0015397B">
        <w:rPr>
          <w:rStyle w:val="HideTWBExt"/>
        </w:rPr>
        <w:t>&lt;/Commission&gt;</w:t>
      </w:r>
    </w:p>
    <w:p w:rsidR="00793EA9" w:rsidRPr="0015397B" w14:paraId="3BB07015" w14:textId="017F256D">
      <w:pPr>
        <w:pStyle w:val="CoverNormal24a"/>
      </w:pPr>
      <w:r w:rsidRPr="0015397B">
        <w:t>Rapporteur:</w:t>
      </w:r>
      <w:r w:rsidRPr="0015397B">
        <w:t xml:space="preserve"> </w:t>
      </w:r>
      <w:r w:rsidRPr="0015397B">
        <w:rPr>
          <w:rStyle w:val="HideTWBExt"/>
        </w:rPr>
        <w:t>&lt;Depute&gt;</w:t>
      </w:r>
      <w:r w:rsidRPr="0015397B" w:rsidR="000F7E0A">
        <w:t>Adam Jarubas</w:t>
      </w:r>
      <w:r w:rsidRPr="0015397B">
        <w:rPr>
          <w:rStyle w:val="HideTWBExt"/>
        </w:rPr>
        <w:t>&lt;/Depute&gt;</w:t>
      </w:r>
    </w:p>
    <w:p w:rsidR="007642D6" w:rsidRPr="0015397B" w:rsidP="007642D6" w14:paraId="5B7C1AC3" w14:textId="77777777">
      <w:pPr>
        <w:pStyle w:val="CoverNormal24a"/>
      </w:pPr>
      <w:r w:rsidRPr="0015397B">
        <w:t>(Simplified procedure – Rule 52(2) of the Rules of Procedure)</w:t>
      </w:r>
    </w:p>
    <w:p w:rsidR="000F7E0A" w:rsidRPr="0015397B" w:rsidP="007642D6" w14:paraId="10C0198D" w14:textId="77777777">
      <w:pPr>
        <w:pStyle w:val="CoverNormal24a"/>
        <w:ind w:left="0"/>
      </w:pPr>
    </w:p>
    <w:p w:rsidR="001C5B44" w:rsidRPr="0015397B" w:rsidP="001C5B44" w14:paraId="7AC8A580" w14:textId="77777777">
      <w:pPr>
        <w:pStyle w:val="CoverNormal"/>
      </w:pPr>
    </w:p>
    <w:p w:rsidR="000F7E0A" w:rsidRPr="0015397B" w:rsidP="00894923" w14:paraId="159D7166" w14:textId="17987E56">
      <w:r w:rsidRPr="0015397B">
        <w:br w:type="page"/>
      </w:r>
      <w:r>
        <w:fldChar w:fldCharType="begin"/>
      </w:r>
      <w:r>
        <w:instrText xml:space="preserve"> TITLE  \* MERGEFORMAT </w:instrText>
      </w:r>
      <w:r>
        <w:fldChar w:fldCharType="separate"/>
      </w:r>
      <w:r w:rsidR="00B975BF">
        <w:t>PR_COD_1amCom</w:t>
      </w:r>
      <w:r w:rsidR="00B975BF">
        <w:fldChar w:fldCharType="end"/>
      </w:r>
    </w:p>
    <w:p w:rsidR="000F7E0A" w:rsidRPr="0015397B" w:rsidP="00894923" w14:paraId="54141FEF" w14:textId="77777777"/>
    <w:p w:rsidR="000F7E0A" w:rsidRPr="0015397B" w:rsidP="00894923" w14:paraId="2319F169"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373D57E2"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0F7E0A" w:rsidRPr="0015397B" w:rsidP="00894923" w14:paraId="354F1DF7" w14:textId="77777777">
            <w:pPr>
              <w:pStyle w:val="Lgendetitre"/>
            </w:pPr>
            <w:r w:rsidRPr="0015397B">
              <w:t>Symbols for procedures</w:t>
            </w:r>
          </w:p>
        </w:tc>
      </w:tr>
      <w:tr w14:paraId="6DC3F6AC"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0F7E0A" w:rsidRPr="0015397B" w:rsidP="003506ED" w14:paraId="47615A0F" w14:textId="77777777">
            <w:pPr>
              <w:pStyle w:val="Lgendesigne"/>
            </w:pPr>
            <w:r w:rsidRPr="0015397B">
              <w:tab/>
              <w:t>*</w:t>
            </w:r>
            <w:r w:rsidRPr="0015397B">
              <w:tab/>
              <w:t>Consultation procedure</w:t>
            </w:r>
          </w:p>
          <w:p w:rsidR="000F7E0A" w:rsidRPr="0015397B" w:rsidP="003506ED" w14:paraId="7CC8CCEF" w14:textId="77777777">
            <w:pPr>
              <w:pStyle w:val="Lgendesigne"/>
            </w:pPr>
            <w:r w:rsidRPr="0015397B">
              <w:tab/>
              <w:t>***</w:t>
            </w:r>
            <w:r w:rsidRPr="0015397B">
              <w:tab/>
              <w:t>Consent procedure</w:t>
            </w:r>
          </w:p>
          <w:p w:rsidR="000F7E0A" w:rsidRPr="0015397B" w:rsidP="003506ED" w14:paraId="3E6AE4B6" w14:textId="77777777">
            <w:pPr>
              <w:pStyle w:val="Lgendesigne"/>
            </w:pPr>
            <w:r w:rsidRPr="0015397B">
              <w:tab/>
              <w:t>***I</w:t>
            </w:r>
            <w:r w:rsidRPr="0015397B">
              <w:tab/>
              <w:t>Ordinary legislative procedure (first reading)</w:t>
            </w:r>
          </w:p>
          <w:p w:rsidR="000F7E0A" w:rsidRPr="0015397B" w:rsidP="003506ED" w14:paraId="25D4E592" w14:textId="77777777">
            <w:pPr>
              <w:pStyle w:val="Lgendesigne"/>
            </w:pPr>
            <w:r w:rsidRPr="0015397B">
              <w:tab/>
              <w:t>***II</w:t>
            </w:r>
            <w:r w:rsidRPr="0015397B">
              <w:tab/>
              <w:t>Ordinary legislative procedure (second reading)</w:t>
            </w:r>
          </w:p>
          <w:p w:rsidR="000F7E0A" w:rsidRPr="0015397B" w:rsidP="003506ED" w14:paraId="7377E881" w14:textId="77777777">
            <w:pPr>
              <w:pStyle w:val="Lgendesigne"/>
            </w:pPr>
            <w:r w:rsidRPr="0015397B">
              <w:tab/>
              <w:t>***III</w:t>
            </w:r>
            <w:r w:rsidRPr="0015397B">
              <w:tab/>
              <w:t>Ordinary legislative procedure (third reading)</w:t>
            </w:r>
          </w:p>
          <w:p w:rsidR="000F7E0A" w:rsidRPr="0015397B" w:rsidP="003506ED" w14:paraId="5A1F8E3B" w14:textId="77777777">
            <w:pPr>
              <w:pStyle w:val="Lgendestandard"/>
            </w:pPr>
          </w:p>
          <w:p w:rsidR="000F7E0A" w:rsidRPr="0015397B" w:rsidP="003506ED" w14:paraId="07A04088" w14:textId="77777777">
            <w:pPr>
              <w:pStyle w:val="Lgendestandard"/>
            </w:pPr>
            <w:r w:rsidRPr="0015397B">
              <w:t>(The type of procedure depends on the legal basis proposed by the draft act.)</w:t>
            </w:r>
          </w:p>
          <w:p w:rsidR="000F7E0A" w:rsidRPr="0015397B" w:rsidP="00B54EAF" w14:paraId="29D865BE" w14:textId="77777777">
            <w:pPr>
              <w:pStyle w:val="Lgendestandard"/>
            </w:pPr>
          </w:p>
        </w:tc>
      </w:tr>
    </w:tbl>
    <w:p w:rsidR="000F7E0A" w:rsidRPr="0015397B" w:rsidP="00894923" w14:paraId="11DB1DB9" w14:textId="77777777"/>
    <w:p w:rsidR="000F7E0A" w:rsidRPr="0015397B" w:rsidP="00894923" w14:paraId="1E0FF1CA" w14:textId="77777777"/>
    <w:p w:rsidR="000F7E0A" w:rsidRPr="0015397B" w:rsidP="00894923" w14:paraId="64BB92F8" w14:textId="77777777"/>
    <w:p w:rsidR="000F7E0A" w:rsidRPr="0015397B" w:rsidP="00894923" w14:paraId="0B0223F7"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33E98C62"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0F7E0A" w:rsidRPr="0015397B" w:rsidP="00894923" w14:paraId="6C2A7579" w14:textId="77777777">
            <w:pPr>
              <w:pStyle w:val="Lgendetitre"/>
            </w:pPr>
            <w:r w:rsidRPr="0015397B">
              <w:t>Amendments to a draft act</w:t>
            </w:r>
          </w:p>
        </w:tc>
      </w:tr>
      <w:tr w14:paraId="4CFEAE0A" w14:textId="77777777" w:rsidTr="00554250">
        <w:tblPrEx>
          <w:tblW w:w="0" w:type="auto"/>
          <w:tblInd w:w="1668" w:type="dxa"/>
          <w:tblLayout w:type="fixed"/>
          <w:tblLook w:val="0000"/>
        </w:tblPrEx>
        <w:trPr>
          <w:trHeight w:val="4496"/>
        </w:trPr>
        <w:tc>
          <w:tcPr>
            <w:tcW w:w="5811" w:type="dxa"/>
          </w:tcPr>
          <w:p w:rsidR="000F7E0A" w:rsidRPr="0015397B" w:rsidP="003506ED" w14:paraId="21BB54F5" w14:textId="77777777">
            <w:pPr>
              <w:pStyle w:val="Lgendestandard"/>
              <w:rPr>
                <w:szCs w:val="24"/>
              </w:rPr>
            </w:pPr>
            <w:r w:rsidRPr="0015397B">
              <w:rPr>
                <w:b/>
                <w:szCs w:val="24"/>
              </w:rPr>
              <w:t>Amendments by Parliament set out in two columns</w:t>
            </w:r>
          </w:p>
          <w:p w:rsidR="000F7E0A" w:rsidRPr="0015397B" w:rsidP="003506ED" w14:paraId="2AB70E2D" w14:textId="77777777">
            <w:pPr>
              <w:pStyle w:val="Lgendestandard"/>
              <w:rPr>
                <w:szCs w:val="24"/>
              </w:rPr>
            </w:pPr>
          </w:p>
          <w:p w:rsidR="000F7E0A" w:rsidRPr="0015397B" w:rsidP="003506ED" w14:paraId="4BA79FA6" w14:textId="77777777">
            <w:pPr>
              <w:pStyle w:val="Lgendestandard"/>
              <w:rPr>
                <w:szCs w:val="24"/>
              </w:rPr>
            </w:pPr>
            <w:r w:rsidRPr="0015397B">
              <w:rPr>
                <w:szCs w:val="24"/>
              </w:rPr>
              <w:t xml:space="preserve">Deletions are indicated in </w:t>
            </w:r>
            <w:r w:rsidRPr="0015397B">
              <w:rPr>
                <w:b/>
                <w:i/>
                <w:szCs w:val="24"/>
              </w:rPr>
              <w:t>bold italics</w:t>
            </w:r>
            <w:r w:rsidRPr="0015397B">
              <w:rPr>
                <w:szCs w:val="24"/>
              </w:rPr>
              <w:t xml:space="preserve"> in the left-hand column. Replacements are indicated in </w:t>
            </w:r>
            <w:r w:rsidRPr="0015397B">
              <w:rPr>
                <w:b/>
                <w:i/>
                <w:szCs w:val="24"/>
              </w:rPr>
              <w:t>bold italics</w:t>
            </w:r>
            <w:r w:rsidRPr="0015397B">
              <w:rPr>
                <w:szCs w:val="24"/>
              </w:rPr>
              <w:t xml:space="preserve"> in both columns. New text is indicated in </w:t>
            </w:r>
            <w:r w:rsidRPr="0015397B">
              <w:rPr>
                <w:b/>
                <w:i/>
                <w:szCs w:val="24"/>
              </w:rPr>
              <w:t>bold italics</w:t>
            </w:r>
            <w:r w:rsidRPr="0015397B">
              <w:rPr>
                <w:szCs w:val="24"/>
              </w:rPr>
              <w:t xml:space="preserve"> in the right-hand column.</w:t>
            </w:r>
          </w:p>
          <w:p w:rsidR="000F7E0A" w:rsidRPr="0015397B" w:rsidP="003506ED" w14:paraId="78A49232" w14:textId="77777777">
            <w:pPr>
              <w:pStyle w:val="Lgendestandard"/>
              <w:rPr>
                <w:szCs w:val="24"/>
              </w:rPr>
            </w:pPr>
          </w:p>
          <w:p w:rsidR="000F7E0A" w:rsidRPr="0015397B" w:rsidP="003506ED" w14:paraId="5C8981C5" w14:textId="77777777">
            <w:pPr>
              <w:pStyle w:val="Lgendestandard"/>
              <w:rPr>
                <w:szCs w:val="24"/>
              </w:rPr>
            </w:pPr>
            <w:r w:rsidRPr="0015397B">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0F7E0A" w:rsidRPr="0015397B" w:rsidP="003506ED" w14:paraId="22445B47" w14:textId="77777777">
            <w:pPr>
              <w:pStyle w:val="Lgendestandard"/>
              <w:rPr>
                <w:szCs w:val="24"/>
              </w:rPr>
            </w:pPr>
          </w:p>
          <w:p w:rsidR="000F7E0A" w:rsidRPr="0015397B" w:rsidP="003506ED" w14:paraId="336E7E2C" w14:textId="77777777">
            <w:pPr>
              <w:pStyle w:val="Lgendestandard"/>
              <w:rPr>
                <w:b/>
                <w:szCs w:val="24"/>
              </w:rPr>
            </w:pPr>
            <w:r w:rsidRPr="0015397B">
              <w:rPr>
                <w:b/>
                <w:szCs w:val="24"/>
              </w:rPr>
              <w:t>Amendments by Parliament in the form of a consolidated text</w:t>
            </w:r>
          </w:p>
          <w:p w:rsidR="000F7E0A" w:rsidRPr="0015397B" w:rsidP="003506ED" w14:paraId="30EB2D7C" w14:textId="77777777">
            <w:pPr>
              <w:pStyle w:val="Lgendestandard"/>
              <w:rPr>
                <w:szCs w:val="24"/>
              </w:rPr>
            </w:pPr>
          </w:p>
          <w:p w:rsidR="000F7E0A" w:rsidRPr="0015397B" w:rsidP="003506ED" w14:paraId="493CBD2C" w14:textId="77777777">
            <w:pPr>
              <w:pStyle w:val="Lgendestandard"/>
              <w:rPr>
                <w:szCs w:val="24"/>
              </w:rPr>
            </w:pPr>
            <w:r w:rsidRPr="0015397B">
              <w:rPr>
                <w:szCs w:val="24"/>
              </w:rPr>
              <w:t xml:space="preserve">New text is highlighted in </w:t>
            </w:r>
            <w:r w:rsidRPr="0015397B">
              <w:rPr>
                <w:b/>
                <w:i/>
                <w:szCs w:val="24"/>
              </w:rPr>
              <w:t>bold italics</w:t>
            </w:r>
            <w:r w:rsidRPr="0015397B">
              <w:rPr>
                <w:szCs w:val="24"/>
              </w:rPr>
              <w:t xml:space="preserve">. Deletions are indicated using either the ▌symbol or strikeout. Replacements are indicated by highlighting the new text in </w:t>
            </w:r>
            <w:r w:rsidRPr="0015397B">
              <w:rPr>
                <w:b/>
                <w:i/>
                <w:szCs w:val="24"/>
              </w:rPr>
              <w:t>bold italics</w:t>
            </w:r>
            <w:r w:rsidRPr="0015397B">
              <w:rPr>
                <w:szCs w:val="24"/>
              </w:rPr>
              <w:t xml:space="preserve"> and by deleting or striking out the text that has been replaced. </w:t>
            </w:r>
          </w:p>
          <w:p w:rsidR="000F7E0A" w:rsidRPr="0015397B" w:rsidP="003506ED" w14:paraId="3A3213A2" w14:textId="77777777">
            <w:pPr>
              <w:pStyle w:val="Lgendestandard"/>
            </w:pPr>
            <w:r w:rsidRPr="0015397B">
              <w:rPr>
                <w:szCs w:val="24"/>
              </w:rPr>
              <w:t>By way of exception, purely technical changes made by the drafting departments in preparing the final text are not highlighted.</w:t>
            </w:r>
          </w:p>
          <w:p w:rsidR="000F7E0A" w:rsidRPr="0015397B" w:rsidP="0069092A" w14:paraId="2E27EEBE" w14:textId="77777777">
            <w:pPr>
              <w:pStyle w:val="Lgendestandard"/>
            </w:pPr>
          </w:p>
        </w:tc>
      </w:tr>
    </w:tbl>
    <w:p w:rsidR="000F7E0A" w:rsidRPr="0015397B" w:rsidP="00894923" w14:paraId="61678641" w14:textId="77777777"/>
    <w:p w:rsidR="00793EA9" w:rsidRPr="0015397B" w:rsidP="00012351" w14:paraId="7E821176" w14:textId="5B965689">
      <w:pPr>
        <w:widowControl/>
        <w:tabs>
          <w:tab w:val="center" w:pos="4677"/>
        </w:tabs>
      </w:pPr>
    </w:p>
    <w:p w:rsidR="00793EA9" w:rsidRPr="0015397B" w14:paraId="5EE4E6B5" w14:textId="2EA1A4E1">
      <w:pPr>
        <w:pStyle w:val="TOCHeading"/>
      </w:pPr>
      <w:r w:rsidRPr="0015397B">
        <w:br w:type="page"/>
      </w:r>
      <w:r w:rsidRPr="0015397B" w:rsidR="00F05FAF">
        <w:t>CONTENTS</w:t>
      </w:r>
    </w:p>
    <w:p w:rsidR="00793EA9" w:rsidRPr="0015397B" w14:paraId="0E739DED" w14:textId="33A58F89">
      <w:pPr>
        <w:pStyle w:val="TOCPage"/>
      </w:pPr>
      <w:r w:rsidRPr="0015397B">
        <w:t>Page</w:t>
      </w:r>
    </w:p>
    <w:p w:rsidR="00B975BF" w14:paraId="7E42AD75" w14:textId="61DCBDF3">
      <w:pPr>
        <w:pStyle w:val="TOC1"/>
        <w:tabs>
          <w:tab w:val="right" w:leader="dot" w:pos="9060"/>
        </w:tabs>
        <w:rPr>
          <w:rFonts w:asciiTheme="minorHAnsi" w:eastAsiaTheme="minorEastAsia" w:hAnsiTheme="minorHAnsi" w:cstheme="minorBidi"/>
          <w:noProof/>
          <w:kern w:val="2"/>
          <w:szCs w:val="24"/>
          <w14:ligatures w14:val="standardContextual"/>
        </w:rPr>
      </w:pPr>
      <w:r w:rsidRPr="0015397B">
        <w:rPr>
          <w:b/>
        </w:rPr>
        <w:fldChar w:fldCharType="begin"/>
      </w:r>
      <w:r w:rsidRPr="0015397B">
        <w:rPr>
          <w:b/>
        </w:rPr>
        <w:instrText xml:space="preserve"> TOC \t "PageHeading</w:instrText>
      </w:r>
      <w:r w:rsidR="00292B92">
        <w:rPr>
          <w:b/>
        </w:rPr>
        <w:instrText>;</w:instrText>
      </w:r>
      <w:r w:rsidRPr="0015397B">
        <w:rPr>
          <w:b/>
        </w:rPr>
        <w:instrText xml:space="preserve">1" </w:instrText>
      </w:r>
      <w:r w:rsidRPr="0015397B">
        <w:rPr>
          <w:b/>
        </w:rPr>
        <w:fldChar w:fldCharType="separate"/>
      </w:r>
      <w:r>
        <w:rPr>
          <w:noProof/>
        </w:rPr>
        <w:t>DRAFT EUROPEAN PARLIAMENT LEGISLATIVE RESOLUTION</w:t>
      </w:r>
      <w:r>
        <w:rPr>
          <w:noProof/>
        </w:rPr>
        <w:tab/>
      </w:r>
      <w:r>
        <w:rPr>
          <w:noProof/>
        </w:rPr>
        <w:fldChar w:fldCharType="begin"/>
      </w:r>
      <w:r>
        <w:rPr>
          <w:noProof/>
        </w:rPr>
        <w:instrText xml:space="preserve"> PAGEREF _Toc243333717 \h </w:instrText>
      </w:r>
      <w:r>
        <w:rPr>
          <w:noProof/>
        </w:rPr>
        <w:fldChar w:fldCharType="separate"/>
      </w:r>
      <w:r>
        <w:rPr>
          <w:noProof/>
        </w:rPr>
        <w:t>5</w:t>
      </w:r>
      <w:r>
        <w:rPr>
          <w:noProof/>
        </w:rPr>
        <w:fldChar w:fldCharType="end"/>
      </w:r>
    </w:p>
    <w:p w:rsidR="00B975BF" w14:paraId="5F056095" w14:textId="1CD44A7A">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_Toc243333718 \h </w:instrText>
      </w:r>
      <w:r>
        <w:rPr>
          <w:noProof/>
        </w:rPr>
        <w:fldChar w:fldCharType="separate"/>
      </w:r>
      <w:r>
        <w:rPr>
          <w:noProof/>
        </w:rPr>
        <w:t>12</w:t>
      </w:r>
      <w:r>
        <w:rPr>
          <w:noProof/>
        </w:rPr>
        <w:fldChar w:fldCharType="end"/>
      </w:r>
    </w:p>
    <w:p w:rsidR="00B975BF" w14:paraId="6C57105D" w14:textId="2642FBA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PROCEDURE – COMMITTEE RESPONSIBLE</w:t>
      </w:r>
      <w:r>
        <w:rPr>
          <w:noProof/>
        </w:rPr>
        <w:tab/>
      </w:r>
      <w:r>
        <w:rPr>
          <w:noProof/>
        </w:rPr>
        <w:fldChar w:fldCharType="begin"/>
      </w:r>
      <w:r>
        <w:rPr>
          <w:noProof/>
        </w:rPr>
        <w:instrText xml:space="preserve"> PAGEREF _Toc243333719 \h </w:instrText>
      </w:r>
      <w:r>
        <w:rPr>
          <w:noProof/>
        </w:rPr>
        <w:fldChar w:fldCharType="separate"/>
      </w:r>
      <w:r>
        <w:rPr>
          <w:noProof/>
        </w:rPr>
        <w:t>13</w:t>
      </w:r>
      <w:r>
        <w:rPr>
          <w:noProof/>
        </w:rPr>
        <w:fldChar w:fldCharType="end"/>
      </w:r>
    </w:p>
    <w:p w:rsidR="00B975BF" w14:paraId="631BB0A0" w14:textId="4400FDA3">
      <w:pPr>
        <w:pStyle w:val="TOC1"/>
        <w:tabs>
          <w:tab w:val="right" w:leader="dot" w:pos="9060"/>
        </w:tabs>
        <w:rPr>
          <w:rFonts w:asciiTheme="minorHAnsi" w:eastAsiaTheme="minorEastAsia" w:hAnsiTheme="minorHAnsi" w:cstheme="minorBidi"/>
          <w:noProof/>
          <w:kern w:val="2"/>
          <w:szCs w:val="24"/>
          <w14:ligatures w14:val="standardContextual"/>
        </w:rPr>
      </w:pPr>
      <w:r>
        <w:rPr>
          <w:noProof/>
        </w:rPr>
        <w:t>FINAL VOTE BY ROLL CALL BY THE COMMITTEE RESPONSIBLE</w:t>
      </w:r>
      <w:r>
        <w:rPr>
          <w:noProof/>
        </w:rPr>
        <w:tab/>
      </w:r>
      <w:r>
        <w:rPr>
          <w:noProof/>
        </w:rPr>
        <w:fldChar w:fldCharType="begin"/>
      </w:r>
      <w:r>
        <w:rPr>
          <w:noProof/>
        </w:rPr>
        <w:instrText xml:space="preserve"> PAGEREF _Toc243333720 \h </w:instrText>
      </w:r>
      <w:r>
        <w:rPr>
          <w:noProof/>
        </w:rPr>
        <w:fldChar w:fldCharType="separate"/>
      </w:r>
      <w:r>
        <w:rPr>
          <w:noProof/>
        </w:rPr>
        <w:t>14</w:t>
      </w:r>
      <w:r>
        <w:rPr>
          <w:noProof/>
        </w:rPr>
        <w:fldChar w:fldCharType="end"/>
      </w:r>
    </w:p>
    <w:p w:rsidR="00482028" w:rsidRPr="0015397B" w:rsidP="00482028" w14:paraId="135F863B" w14:textId="3853D93F">
      <w:pPr>
        <w:pStyle w:val="PageHeading"/>
      </w:pPr>
      <w:r w:rsidRPr="0015397B">
        <w:rPr>
          <w:b w:val="0"/>
        </w:rPr>
        <w:fldChar w:fldCharType="end"/>
      </w:r>
      <w:r w:rsidRPr="0015397B">
        <w:br w:type="page"/>
      </w:r>
      <w:r w:rsidRPr="0015397B">
        <w:br w:type="page"/>
      </w:r>
      <w:bookmarkStart w:id="0" w:name="_Toc243333717"/>
      <w:r w:rsidRPr="0015397B">
        <w:t>DRAFT EUROPEAN PARLIAMENT LEGISLATIVE RESOLUTION</w:t>
      </w:r>
      <w:bookmarkEnd w:id="0"/>
    </w:p>
    <w:p w:rsidR="00482028" w:rsidRPr="0015397B" w:rsidP="00482028" w14:paraId="52AD4ECA" w14:textId="77777777">
      <w:pPr>
        <w:pStyle w:val="NormalBold"/>
      </w:pPr>
      <w:r w:rsidRPr="0015397B">
        <w:t>on the proposal for a regulation of the European Parliament and of the Council amending Directive 2003/87/EC as regards revised benchmark values for the heat and fuel benchmarks for the period from 2026 to 2030</w:t>
      </w:r>
    </w:p>
    <w:p w:rsidR="00482028" w:rsidRPr="0015397B" w:rsidP="00482028" w14:paraId="5DB46E8D" w14:textId="652010BB">
      <w:pPr>
        <w:pStyle w:val="NormalBold12a"/>
      </w:pPr>
      <w:r w:rsidRPr="0015397B">
        <w:t>(</w:t>
      </w:r>
      <w:r w:rsidRPr="0015397B" w:rsidR="00FA1344">
        <w:t>COM(2026)0619 – C10-0189/2026 – 2026/0211(COD)</w:t>
      </w:r>
      <w:r w:rsidRPr="0015397B">
        <w:t>)</w:t>
      </w:r>
    </w:p>
    <w:p w:rsidR="00482028" w:rsidRPr="0015397B" w:rsidP="00482028" w14:paraId="6E0208E3" w14:textId="77777777">
      <w:pPr>
        <w:pStyle w:val="NormalBold"/>
      </w:pPr>
      <w:r w:rsidRPr="0015397B">
        <w:t>(Ordinary legislative procedure: first reading)</w:t>
      </w:r>
    </w:p>
    <w:p w:rsidR="00482028" w:rsidRPr="0015397B" w:rsidP="00482028" w14:paraId="5F1BDB5B" w14:textId="77777777">
      <w:pPr>
        <w:pStyle w:val="EPComma"/>
      </w:pPr>
      <w:r w:rsidRPr="0015397B">
        <w:rPr>
          <w:i/>
        </w:rPr>
        <w:t>The European Parliament</w:t>
      </w:r>
      <w:r w:rsidRPr="0015397B">
        <w:t>,</w:t>
      </w:r>
    </w:p>
    <w:p w:rsidR="00482028" w:rsidRPr="0015397B" w:rsidP="00482028" w14:paraId="4ABB2BAB" w14:textId="44A8F9A0">
      <w:pPr>
        <w:pStyle w:val="NormalHanging12a"/>
      </w:pPr>
      <w:r w:rsidRPr="0015397B">
        <w:t>–</w:t>
      </w:r>
      <w:r w:rsidRPr="0015397B">
        <w:tab/>
        <w:t>having regard to the Commission proposal to Parliament and the Council (COM(2026)0619),</w:t>
      </w:r>
    </w:p>
    <w:p w:rsidR="00482028" w:rsidRPr="0015397B" w:rsidP="00482028" w14:paraId="09871165" w14:textId="3525E131">
      <w:pPr>
        <w:pStyle w:val="NormalHanging12a"/>
      </w:pPr>
      <w:r w:rsidRPr="0015397B">
        <w:t>–</w:t>
      </w:r>
      <w:r w:rsidRPr="0015397B">
        <w:tab/>
        <w:t>having regard to Article 294(2) and Article </w:t>
      </w:r>
      <w:r w:rsidRPr="0015397B" w:rsidR="004A24BF">
        <w:t>192(1)</w:t>
      </w:r>
      <w:r w:rsidRPr="0015397B">
        <w:t xml:space="preserve"> of the Treaty on the Functioning of the European Union, pursuant to which the Commission submitted the proposal to Parliament (</w:t>
      </w:r>
      <w:r w:rsidRPr="0015397B" w:rsidR="004A24BF">
        <w:t>C10-0189/2026</w:t>
      </w:r>
      <w:r w:rsidRPr="0015397B">
        <w:t>),</w:t>
      </w:r>
    </w:p>
    <w:p w:rsidR="00482028" w:rsidRPr="0015397B" w:rsidP="00482028" w14:paraId="1DB3141A" w14:textId="77777777">
      <w:pPr>
        <w:pStyle w:val="NormalHanging12a"/>
      </w:pPr>
      <w:r w:rsidRPr="0015397B">
        <w:t>–</w:t>
      </w:r>
      <w:r w:rsidRPr="0015397B">
        <w:tab/>
        <w:t>having regard to Article 294(3) of the Treaty on the Functioning of the European Union,</w:t>
      </w:r>
    </w:p>
    <w:p w:rsidR="00141B2C" w:rsidRPr="0015397B" w:rsidP="00482028" w14:paraId="1F52C464" w14:textId="3BC15309">
      <w:pPr>
        <w:pStyle w:val="NormalHanging12a"/>
      </w:pPr>
      <w:r w:rsidRPr="0015397B">
        <w:t>–</w:t>
      </w:r>
      <w:r w:rsidRPr="0015397B">
        <w:tab/>
        <w:t>having regard to the opinion of the European Economic and Social Committee of 23 September 2026</w:t>
      </w:r>
      <w:r>
        <w:rPr>
          <w:rStyle w:val="FootnoteReference"/>
        </w:rPr>
        <w:footnoteReference w:id="2"/>
      </w:r>
      <w:r w:rsidRPr="0015397B">
        <w:t>,</w:t>
      </w:r>
    </w:p>
    <w:p w:rsidR="00141B2C" w:rsidRPr="0015397B" w:rsidP="00141B2C" w14:paraId="21B0123F" w14:textId="0A999BEF">
      <w:pPr>
        <w:pStyle w:val="NormalHanging12a"/>
      </w:pPr>
      <w:r w:rsidRPr="0015397B">
        <w:t>–</w:t>
      </w:r>
      <w:r w:rsidRPr="0015397B">
        <w:tab/>
        <w:t>after consulting the Committee of the Regions,</w:t>
      </w:r>
    </w:p>
    <w:p w:rsidR="00482028" w:rsidRPr="0015397B" w:rsidP="00482028" w14:paraId="7A16FD10" w14:textId="5A513DEE">
      <w:pPr>
        <w:pStyle w:val="NormalHanging12a"/>
      </w:pPr>
      <w:r w:rsidRPr="0015397B">
        <w:t>–</w:t>
      </w:r>
      <w:r w:rsidRPr="0015397B">
        <w:tab/>
        <w:t>having regard to Rule</w:t>
      </w:r>
      <w:r w:rsidRPr="0015397B" w:rsidR="00463AC9">
        <w:t>s</w:t>
      </w:r>
      <w:r w:rsidRPr="0015397B">
        <w:t xml:space="preserve"> 60</w:t>
      </w:r>
      <w:r w:rsidRPr="0015397B" w:rsidR="00463AC9">
        <w:t xml:space="preserve"> and 170</w:t>
      </w:r>
      <w:r w:rsidRPr="0015397B">
        <w:t xml:space="preserve"> of its Rules of Procedure,</w:t>
      </w:r>
    </w:p>
    <w:p w:rsidR="00482028" w:rsidRPr="0015397B" w:rsidP="00482028" w14:paraId="5EF743ED" w14:textId="6500CD24">
      <w:pPr>
        <w:pStyle w:val="NormalHanging12a"/>
      </w:pPr>
      <w:r w:rsidRPr="0015397B">
        <w:t>–</w:t>
      </w:r>
      <w:r w:rsidRPr="0015397B">
        <w:tab/>
        <w:t>having regard to the report of the Committee on the Environment, Climate and Food Safety (</w:t>
      </w:r>
      <w:r w:rsidR="00B975BF">
        <w:t>A10-0276/2026</w:t>
      </w:r>
      <w:r w:rsidRPr="0015397B">
        <w:t>),</w:t>
      </w:r>
    </w:p>
    <w:p w:rsidR="00482028" w:rsidRPr="0015397B" w:rsidP="00482028" w14:paraId="4EF5B157" w14:textId="77777777">
      <w:pPr>
        <w:pStyle w:val="NormalHanging12a"/>
      </w:pPr>
      <w:r w:rsidRPr="0015397B">
        <w:t>1.</w:t>
      </w:r>
      <w:r w:rsidRPr="0015397B">
        <w:tab/>
        <w:t>Adopts its position at first reading hereinafter set out;</w:t>
      </w:r>
    </w:p>
    <w:p w:rsidR="004A24BF" w:rsidRPr="0015397B" w:rsidP="004A24BF" w14:paraId="582DB21F" w14:textId="77777777">
      <w:pPr>
        <w:pStyle w:val="NormalHanging12a"/>
      </w:pPr>
      <w:r w:rsidRPr="0015397B">
        <w:t>2.</w:t>
      </w:r>
      <w:r w:rsidRPr="0015397B">
        <w:tab/>
        <w:t>Calls on the Commission to refer the matter to Parliament again if it replaces, substantially amends or intends to substantially amend its proposal;</w:t>
      </w:r>
    </w:p>
    <w:p w:rsidR="004A24BF" w:rsidRPr="0015397B" w:rsidP="003E6BC0" w14:paraId="3C664F85" w14:textId="77B52BDF">
      <w:pPr>
        <w:pStyle w:val="NormalHanging12a"/>
      </w:pPr>
      <w:r w:rsidRPr="0015397B">
        <w:t>3.</w:t>
      </w:r>
      <w:r w:rsidRPr="0015397B">
        <w:tab/>
        <w:t>Instructs its President to forward its position to the Council, the Commission and the national parliaments.</w:t>
      </w:r>
    </w:p>
    <w:p w:rsidR="00482028" w:rsidRPr="0015397B" w:rsidP="00482028" w14:paraId="19D63A8F" w14:textId="77777777">
      <w:pPr>
        <w:widowControl/>
      </w:pPr>
      <w:r w:rsidRPr="0015397B">
        <w:br w:type="page"/>
      </w:r>
    </w:p>
    <w:p w:rsidR="00482028" w:rsidRPr="0015397B" w:rsidP="00482028" w14:paraId="4A9134EC" w14:textId="77777777">
      <w:pPr>
        <w:pStyle w:val="AMNumberTabs0"/>
        <w:keepNext/>
        <w:rPr>
          <w:lang w:val="en-GB"/>
        </w:rPr>
      </w:pPr>
      <w:r w:rsidRPr="0015397B">
        <w:rPr>
          <w:rStyle w:val="HideTWBExt"/>
          <w:b w:val="0"/>
          <w:lang w:val="en-GB"/>
        </w:rPr>
        <w:t>&lt;RepeatBlock-Amend&gt;&lt;Amend&gt;</w:t>
      </w:r>
      <w:r w:rsidRPr="0015397B">
        <w:rPr>
          <w:lang w:val="en-GB"/>
        </w:rPr>
        <w:t>Amendment</w:t>
      </w:r>
      <w:r w:rsidRPr="0015397B">
        <w:rPr>
          <w:lang w:val="en-GB"/>
        </w:rPr>
        <w:tab/>
      </w:r>
      <w:r w:rsidRPr="0015397B">
        <w:rPr>
          <w:lang w:val="en-GB"/>
        </w:rPr>
        <w:tab/>
      </w:r>
      <w:r w:rsidRPr="0015397B">
        <w:rPr>
          <w:rStyle w:val="HideTWBExt"/>
          <w:b w:val="0"/>
          <w:lang w:val="en-GB"/>
        </w:rPr>
        <w:t>&lt;NumAm&gt;</w:t>
      </w:r>
      <w:r w:rsidRPr="0015397B">
        <w:rPr>
          <w:color w:val="000000"/>
          <w:lang w:val="en-GB"/>
        </w:rPr>
        <w:t>1</w:t>
      </w:r>
      <w:r w:rsidRPr="0015397B">
        <w:rPr>
          <w:rStyle w:val="HideTWBExt"/>
          <w:b w:val="0"/>
          <w:lang w:val="en-GB"/>
        </w:rPr>
        <w:t>&lt;/NumAm&gt;</w:t>
      </w:r>
    </w:p>
    <w:p w:rsidR="00482028" w:rsidRPr="0015397B" w:rsidP="00482028" w14:paraId="3FA82BAF" w14:textId="77777777"/>
    <w:p w:rsidR="00482028" w:rsidRPr="0015397B" w:rsidP="00482028" w14:paraId="31A0AC45" w14:textId="77777777">
      <w:pPr>
        <w:pStyle w:val="NormalBold"/>
        <w:keepNext/>
      </w:pPr>
      <w:r w:rsidRPr="0015397B">
        <w:rPr>
          <w:rStyle w:val="HideTWBExt"/>
          <w:b w:val="0"/>
        </w:rPr>
        <w:t>&lt;DocAmend&gt;</w:t>
      </w:r>
      <w:r w:rsidRPr="0015397B">
        <w:t>Proposal for a regulation</w:t>
      </w:r>
      <w:r w:rsidRPr="0015397B">
        <w:rPr>
          <w:rStyle w:val="HideTWBExt"/>
          <w:b w:val="0"/>
        </w:rPr>
        <w:t>&lt;/DocAmend&gt;</w:t>
      </w:r>
    </w:p>
    <w:p w:rsidR="00482028" w:rsidRPr="0015397B" w:rsidP="00482028" w14:paraId="7BFDA8C8" w14:textId="77777777">
      <w:pPr>
        <w:pStyle w:val="NormalBold"/>
      </w:pPr>
      <w:r w:rsidRPr="0015397B">
        <w:rPr>
          <w:rStyle w:val="HideTWBExt"/>
          <w:b w:val="0"/>
        </w:rPr>
        <w:t>&lt;Article&gt;</w:t>
      </w:r>
      <w:r w:rsidRPr="0015397B">
        <w:t>Recital 2</w:t>
      </w:r>
      <w:r w:rsidRPr="0015397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9FD71E" w14:textId="77777777" w:rsidTr="00E0449B">
        <w:tblPrEx>
          <w:tblW w:w="0" w:type="auto"/>
          <w:jc w:val="center"/>
          <w:tblLayout w:type="fixed"/>
          <w:tblCellMar>
            <w:left w:w="340" w:type="dxa"/>
            <w:right w:w="340" w:type="dxa"/>
          </w:tblCellMar>
          <w:tblLook w:val="04A0"/>
        </w:tblPrEx>
        <w:trPr>
          <w:jc w:val="center"/>
        </w:trPr>
        <w:tc>
          <w:tcPr>
            <w:tcW w:w="9752" w:type="dxa"/>
            <w:gridSpan w:val="2"/>
          </w:tcPr>
          <w:p w:rsidR="00482028" w:rsidRPr="0015397B" w:rsidP="00E0449B" w14:paraId="4D40F911" w14:textId="77777777">
            <w:pPr>
              <w:keepNext/>
            </w:pPr>
          </w:p>
        </w:tc>
      </w:tr>
      <w:tr w14:paraId="55335822" w14:textId="77777777" w:rsidTr="00E0449B">
        <w:tblPrEx>
          <w:tblW w:w="0" w:type="auto"/>
          <w:jc w:val="center"/>
          <w:tblLayout w:type="fixed"/>
          <w:tblCellMar>
            <w:left w:w="340" w:type="dxa"/>
            <w:right w:w="340" w:type="dxa"/>
          </w:tblCellMar>
          <w:tblLook w:val="04A0"/>
        </w:tblPrEx>
        <w:trPr>
          <w:jc w:val="center"/>
        </w:trPr>
        <w:tc>
          <w:tcPr>
            <w:tcW w:w="4876" w:type="dxa"/>
            <w:hideMark/>
          </w:tcPr>
          <w:p w:rsidR="00482028" w:rsidRPr="0015397B" w:rsidP="00E0449B" w14:paraId="1F0C80DA" w14:textId="77777777">
            <w:pPr>
              <w:pStyle w:val="ColumnHeading"/>
              <w:keepNext/>
              <w:rPr>
                <w:lang w:val="en-GB"/>
              </w:rPr>
            </w:pPr>
            <w:r w:rsidRPr="0015397B">
              <w:rPr>
                <w:lang w:val="en-GB"/>
              </w:rPr>
              <w:t>Text proposed by the Commission</w:t>
            </w:r>
          </w:p>
        </w:tc>
        <w:tc>
          <w:tcPr>
            <w:tcW w:w="4876" w:type="dxa"/>
            <w:hideMark/>
          </w:tcPr>
          <w:p w:rsidR="00482028" w:rsidRPr="0015397B" w:rsidP="00E0449B" w14:paraId="3DB7F4B3" w14:textId="77777777">
            <w:pPr>
              <w:pStyle w:val="ColumnHeading"/>
              <w:keepNext/>
              <w:rPr>
                <w:lang w:val="en-GB"/>
              </w:rPr>
            </w:pPr>
            <w:r w:rsidRPr="0015397B">
              <w:rPr>
                <w:lang w:val="en-GB"/>
              </w:rPr>
              <w:t>Amendment</w:t>
            </w:r>
          </w:p>
        </w:tc>
      </w:tr>
      <w:tr w14:paraId="663FA39A" w14:textId="77777777" w:rsidTr="00E0449B">
        <w:tblPrEx>
          <w:tblW w:w="0" w:type="auto"/>
          <w:jc w:val="center"/>
          <w:tblLayout w:type="fixed"/>
          <w:tblCellMar>
            <w:left w:w="340" w:type="dxa"/>
            <w:right w:w="340" w:type="dxa"/>
          </w:tblCellMar>
          <w:tblLook w:val="04A0"/>
        </w:tblPrEx>
        <w:trPr>
          <w:jc w:val="center"/>
        </w:trPr>
        <w:tc>
          <w:tcPr>
            <w:tcW w:w="4876" w:type="dxa"/>
            <w:hideMark/>
          </w:tcPr>
          <w:p w:rsidR="00482028" w:rsidRPr="0015397B" w:rsidP="00E0449B" w14:paraId="2DC8F9C7" w14:textId="77777777">
            <w:pPr>
              <w:pStyle w:val="Normal6"/>
              <w:rPr>
                <w:lang w:val="en-GB"/>
              </w:rPr>
            </w:pPr>
            <w:r w:rsidRPr="0015397B">
              <w:rPr>
                <w:lang w:val="en-GB"/>
              </w:rPr>
              <w:t>(2)</w:t>
            </w:r>
            <w:r w:rsidRPr="0015397B">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15397B">
              <w:rPr>
                <w:b/>
                <w:i/>
                <w:vertAlign w:val="superscript"/>
                <w:lang w:val="en-GB"/>
              </w:rPr>
              <w:t>4</w:t>
            </w:r>
            <w:r w:rsidRPr="0015397B">
              <w:rPr>
                <w:lang w:val="en-GB"/>
              </w:rPr>
              <w:t xml:space="preserve"> [CSCF Decision], amounting to around </w:t>
            </w:r>
            <w:r w:rsidRPr="0015397B">
              <w:rPr>
                <w:b/>
                <w:i/>
                <w:lang w:val="en-GB"/>
              </w:rPr>
              <w:t>80</w:t>
            </w:r>
            <w:r w:rsidRPr="0015397B">
              <w:rPr>
                <w:lang w:val="en-GB"/>
              </w:rPr>
              <w:t xml:space="preserve"> million allowances.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c>
          <w:tcPr>
            <w:tcW w:w="4876" w:type="dxa"/>
            <w:hideMark/>
          </w:tcPr>
          <w:p w:rsidR="00482028" w:rsidRPr="0015397B" w:rsidP="00E0449B" w14:paraId="12231093" w14:textId="117361BB">
            <w:pPr>
              <w:pStyle w:val="Normal6"/>
              <w:rPr>
                <w:szCs w:val="24"/>
                <w:lang w:val="en-GB"/>
              </w:rPr>
            </w:pPr>
            <w:r w:rsidRPr="0015397B">
              <w:rPr>
                <w:lang w:val="en-GB"/>
              </w:rPr>
              <w:t>(2)</w:t>
            </w:r>
            <w:r w:rsidRPr="0015397B">
              <w:rPr>
                <w:lang w:val="en-GB"/>
              </w:rPr>
              <w:tab/>
              <w:t xml:space="preserve">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 [CSCF Decision], amounting to around </w:t>
            </w:r>
            <w:r w:rsidRPr="0015397B">
              <w:rPr>
                <w:b/>
                <w:i/>
                <w:lang w:val="en-GB"/>
              </w:rPr>
              <w:t>88</w:t>
            </w:r>
            <w:r w:rsidRPr="0015397B">
              <w:rPr>
                <w:lang w:val="en-GB"/>
              </w:rPr>
              <w:t xml:space="preserve"> million allowances</w:t>
            </w:r>
            <w:r w:rsidRPr="0015397B">
              <w:rPr>
                <w:b/>
                <w:i/>
                <w:lang w:val="en-GB"/>
              </w:rPr>
              <w:t>, as well as a third of the allowances that are not allocated in that period as a result of the reduction of free allocation under the third and fifth subparagraphs of Article 10a(1) of Directive 2003/87/EC, amounting to around 11 million allowances. Another third of those allowances, amounting to around 11 million allowances, should be transferred to the Modernisation Fund established under Article 10d of Directive 2003/87/EC and should be used to support investments, inter alia, in the modernisation of district heating systems. The last third should remain allocated to the Innovation Fund, established under Article 10a(8) of that Directive. The use of the additional allowances for free allocation corresponds to an indicative 12</w:t>
            </w:r>
            <w:r w:rsidRPr="0015397B" w:rsidR="004B73E7">
              <w:rPr>
                <w:b/>
                <w:i/>
                <w:lang w:val="en-GB"/>
              </w:rPr>
              <w:t>,</w:t>
            </w:r>
            <w:r w:rsidRPr="0015397B">
              <w:rPr>
                <w:b/>
                <w:i/>
                <w:lang w:val="en-GB"/>
              </w:rPr>
              <w:t>5</w:t>
            </w:r>
            <w:r w:rsidRPr="0015397B" w:rsidR="004B73E7">
              <w:rPr>
                <w:b/>
                <w:i/>
                <w:lang w:val="en-GB"/>
              </w:rPr>
              <w:t> </w:t>
            </w:r>
            <w:r w:rsidRPr="0015397B">
              <w:rPr>
                <w:b/>
                <w:i/>
                <w:lang w:val="en-GB"/>
              </w:rPr>
              <w:t xml:space="preserve">% reduction </w:t>
            </w:r>
            <w:r w:rsidRPr="0015397B" w:rsidR="00920AB4">
              <w:rPr>
                <w:b/>
                <w:i/>
                <w:lang w:val="en-GB"/>
              </w:rPr>
              <w:t>to</w:t>
            </w:r>
            <w:r w:rsidRPr="0015397B">
              <w:rPr>
                <w:b/>
                <w:i/>
                <w:lang w:val="en-GB"/>
              </w:rPr>
              <w:t xml:space="preserve"> the fallback benchmarks compared to</w:t>
            </w:r>
            <w:r w:rsidRPr="0015397B" w:rsidR="00920AB4">
              <w:rPr>
                <w:b/>
                <w:i/>
                <w:lang w:val="en-GB"/>
              </w:rPr>
              <w:t xml:space="preserve"> the</w:t>
            </w:r>
            <w:r w:rsidRPr="0015397B" w:rsidR="00226B9B">
              <w:rPr>
                <w:b/>
                <w:i/>
                <w:lang w:val="en-GB"/>
              </w:rPr>
              <w:t xml:space="preserve"> values for the period from</w:t>
            </w:r>
            <w:r w:rsidRPr="0015397B">
              <w:rPr>
                <w:b/>
                <w:i/>
                <w:lang w:val="en-GB"/>
              </w:rPr>
              <w:t xml:space="preserve"> 2021</w:t>
            </w:r>
            <w:r w:rsidRPr="0015397B" w:rsidR="00226B9B">
              <w:rPr>
                <w:b/>
                <w:i/>
                <w:lang w:val="en-GB"/>
              </w:rPr>
              <w:t xml:space="preserve"> to </w:t>
            </w:r>
            <w:r w:rsidRPr="0015397B">
              <w:rPr>
                <w:b/>
                <w:i/>
                <w:lang w:val="en-GB"/>
              </w:rPr>
              <w:t xml:space="preserve">2025, namely an indicative average value heat and fuel benchmarks </w:t>
            </w:r>
            <w:r w:rsidRPr="0015397B" w:rsidR="00920AB4">
              <w:rPr>
                <w:b/>
                <w:i/>
                <w:lang w:val="en-GB"/>
              </w:rPr>
              <w:t xml:space="preserve">for the period from 2026 to 2030 </w:t>
            </w:r>
            <w:r w:rsidRPr="0015397B">
              <w:rPr>
                <w:b/>
                <w:i/>
                <w:lang w:val="en-GB"/>
              </w:rPr>
              <w:t>of 41,4 and 37,3 allowances/TJ, respectively</w:t>
            </w:r>
            <w:r w:rsidRPr="0015397B">
              <w:rPr>
                <w:lang w:val="en-GB"/>
              </w:rPr>
              <w:t xml:space="preserve">.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 </w:t>
            </w:r>
            <w:r w:rsidRPr="0015397B">
              <w:rPr>
                <w:b/>
                <w:i/>
                <w:lang w:val="en-GB"/>
              </w:rPr>
              <w:t>In specific cases, it is possible that the Union-wide ex-ante fuel benchmark do not adequately reflect the characteristics and emission performance of manufacturing processes within certain industrial sectors. Where significant discrepancies are clearly documented, sector-specific sub-benchmarks should be established to ensure that free allocation reflect</w:t>
            </w:r>
            <w:r w:rsidRPr="0015397B" w:rsidR="00920AB4">
              <w:rPr>
                <w:b/>
                <w:i/>
                <w:lang w:val="en-GB"/>
              </w:rPr>
              <w:t>s</w:t>
            </w:r>
            <w:r w:rsidRPr="0015397B">
              <w:rPr>
                <w:b/>
                <w:i/>
                <w:lang w:val="en-GB"/>
              </w:rPr>
              <w:t xml:space="preserve"> the performance of the most efficient sub-installations within a sufficiently homogeneous peer group. To th</w:t>
            </w:r>
            <w:r w:rsidRPr="0015397B" w:rsidR="00920AB4">
              <w:rPr>
                <w:b/>
                <w:i/>
                <w:lang w:val="en-GB"/>
              </w:rPr>
              <w:t>at</w:t>
            </w:r>
            <w:r w:rsidRPr="0015397B">
              <w:rPr>
                <w:b/>
                <w:i/>
                <w:lang w:val="en-GB"/>
              </w:rPr>
              <w:t xml:space="preserve"> end, with a view to already</w:t>
            </w:r>
            <w:r w:rsidRPr="0015397B" w:rsidR="00920AB4">
              <w:rPr>
                <w:b/>
                <w:i/>
                <w:lang w:val="en-GB"/>
              </w:rPr>
              <w:t xml:space="preserve"> applying such sub-benchmarks</w:t>
            </w:r>
            <w:r w:rsidRPr="0015397B">
              <w:rPr>
                <w:b/>
                <w:i/>
                <w:lang w:val="en-GB"/>
              </w:rPr>
              <w:t xml:space="preserve"> during the period</w:t>
            </w:r>
            <w:r w:rsidRPr="0015397B" w:rsidR="00920AB4">
              <w:rPr>
                <w:b/>
                <w:i/>
                <w:lang w:val="en-GB"/>
              </w:rPr>
              <w:t xml:space="preserve"> from 2026 to 2030</w:t>
            </w:r>
            <w:r w:rsidRPr="0015397B">
              <w:rPr>
                <w:b/>
                <w:i/>
                <w:lang w:val="en-GB"/>
              </w:rPr>
              <w:t>, the Commission should establish as soon as possible, by means of implementing acts, the updated sub-benchmark values for the relevant subsector, giving priority to installations whose economic activities fall within NACE codes 23.20 and 23.31 set out in Annex I to Regulation (EC) No</w:t>
            </w:r>
            <w:r w:rsidRPr="0015397B" w:rsidR="004B73E7">
              <w:rPr>
                <w:b/>
                <w:i/>
                <w:lang w:val="en-GB"/>
              </w:rPr>
              <w:t> </w:t>
            </w:r>
            <w:r w:rsidRPr="0015397B">
              <w:rPr>
                <w:b/>
                <w:i/>
                <w:lang w:val="en-GB"/>
              </w:rPr>
              <w:t>1893/2006. Those sub-benchmark values should be determined on the basis</w:t>
            </w:r>
            <w:r w:rsidRPr="0015397B" w:rsidR="003D607A">
              <w:rPr>
                <w:b/>
                <w:i/>
                <w:lang w:val="en-GB"/>
              </w:rPr>
              <w:t xml:space="preserve"> </w:t>
            </w:r>
            <w:r w:rsidRPr="0015397B">
              <w:rPr>
                <w:b/>
                <w:i/>
                <w:lang w:val="en-GB"/>
              </w:rPr>
              <w:t>of the average greenhouse gas emission intensity of the 10 % most efficient installations in the respective sector, using the same reference period, dataset and methodology as the ex-ante fuel benchmark.</w:t>
            </w:r>
            <w:r w:rsidRPr="0015397B">
              <w:rPr>
                <w:lang w:val="en-GB"/>
              </w:rPr>
              <w:t xml:space="preserve"> </w:t>
            </w:r>
          </w:p>
        </w:tc>
      </w:tr>
      <w:tr w14:paraId="3DBD1CE8" w14:textId="77777777" w:rsidTr="00E0449B">
        <w:tblPrEx>
          <w:tblW w:w="0" w:type="auto"/>
          <w:jc w:val="center"/>
          <w:tblLayout w:type="fixed"/>
          <w:tblCellMar>
            <w:left w:w="340" w:type="dxa"/>
            <w:right w:w="340" w:type="dxa"/>
          </w:tblCellMar>
          <w:tblLook w:val="04A0"/>
        </w:tblPrEx>
        <w:trPr>
          <w:jc w:val="center"/>
        </w:trPr>
        <w:tc>
          <w:tcPr>
            <w:tcW w:w="4876" w:type="dxa"/>
            <w:hideMark/>
          </w:tcPr>
          <w:p w:rsidR="00482028" w:rsidRPr="0015397B" w:rsidP="00E0449B" w14:paraId="327440BC" w14:textId="77777777">
            <w:pPr>
              <w:pStyle w:val="Normal6"/>
              <w:rPr>
                <w:lang w:val="en-GB"/>
              </w:rPr>
            </w:pPr>
            <w:r w:rsidRPr="0015397B">
              <w:rPr>
                <w:lang w:val="en-GB"/>
              </w:rPr>
              <w:t>__________________</w:t>
            </w:r>
          </w:p>
        </w:tc>
        <w:tc>
          <w:tcPr>
            <w:tcW w:w="4876" w:type="dxa"/>
            <w:hideMark/>
          </w:tcPr>
          <w:p w:rsidR="00482028" w:rsidRPr="0015397B" w:rsidP="00E0449B" w14:paraId="30E43474" w14:textId="77777777">
            <w:pPr>
              <w:pStyle w:val="Normal6"/>
              <w:rPr>
                <w:szCs w:val="24"/>
                <w:lang w:val="en-GB"/>
              </w:rPr>
            </w:pPr>
            <w:r w:rsidRPr="0015397B">
              <w:rPr>
                <w:lang w:val="en-GB"/>
              </w:rPr>
              <w:t>__________________</w:t>
            </w:r>
          </w:p>
        </w:tc>
      </w:tr>
      <w:tr w14:paraId="64831B30" w14:textId="77777777" w:rsidTr="00E0449B">
        <w:tblPrEx>
          <w:tblW w:w="0" w:type="auto"/>
          <w:jc w:val="center"/>
          <w:tblLayout w:type="fixed"/>
          <w:tblCellMar>
            <w:left w:w="340" w:type="dxa"/>
            <w:right w:w="340" w:type="dxa"/>
          </w:tblCellMar>
          <w:tblLook w:val="04A0"/>
        </w:tblPrEx>
        <w:trPr>
          <w:jc w:val="center"/>
        </w:trPr>
        <w:tc>
          <w:tcPr>
            <w:tcW w:w="4876" w:type="dxa"/>
            <w:hideMark/>
          </w:tcPr>
          <w:p w:rsidR="00482028" w:rsidRPr="0015397B" w:rsidP="00E0449B" w14:paraId="1B0AD729" w14:textId="77777777">
            <w:pPr>
              <w:pStyle w:val="Normal6"/>
              <w:rPr>
                <w:lang w:val="en-GB"/>
              </w:rPr>
            </w:pPr>
            <w:r w:rsidRPr="0015397B">
              <w:rPr>
                <w:vertAlign w:val="superscript"/>
                <w:lang w:val="en-GB"/>
              </w:rPr>
              <w:t>4</w:t>
            </w:r>
            <w:r w:rsidRPr="0015397B">
              <w:rPr>
                <w:lang w:val="en-GB"/>
              </w:rPr>
              <w:t xml:space="preserve"> [please insert the full reference once available – CSCF Decision]</w:t>
            </w:r>
          </w:p>
        </w:tc>
        <w:tc>
          <w:tcPr>
            <w:tcW w:w="4876" w:type="dxa"/>
            <w:hideMark/>
          </w:tcPr>
          <w:p w:rsidR="00482028" w:rsidRPr="0015397B" w:rsidP="00E0449B" w14:paraId="09ED026F" w14:textId="77777777">
            <w:pPr>
              <w:pStyle w:val="Normal6"/>
              <w:rPr>
                <w:szCs w:val="24"/>
                <w:lang w:val="en-GB"/>
              </w:rPr>
            </w:pPr>
            <w:r w:rsidRPr="0015397B">
              <w:rPr>
                <w:vertAlign w:val="superscript"/>
                <w:lang w:val="en-GB"/>
              </w:rPr>
              <w:t>4</w:t>
            </w:r>
            <w:r w:rsidRPr="0015397B">
              <w:rPr>
                <w:lang w:val="en-GB"/>
              </w:rPr>
              <w:t xml:space="preserve"> [please insert the full reference once available – CSCF Decision]</w:t>
            </w:r>
          </w:p>
        </w:tc>
      </w:tr>
    </w:tbl>
    <w:p w:rsidR="00482028" w:rsidRPr="0015397B" w:rsidP="00482028" w14:paraId="14B6E97D" w14:textId="77777777">
      <w:pPr>
        <w:rPr>
          <w:szCs w:val="24"/>
        </w:rPr>
      </w:pPr>
      <w:r w:rsidRPr="0015397B">
        <w:rPr>
          <w:rStyle w:val="HideTWBExt"/>
        </w:rPr>
        <w:t>&lt;/Amend&gt;</w:t>
      </w:r>
    </w:p>
    <w:p w:rsidR="00482028" w:rsidRPr="0015397B" w:rsidP="00482028" w14:paraId="48282D36" w14:textId="77777777">
      <w:pPr>
        <w:pStyle w:val="AMNumberTabs0"/>
        <w:keepNext/>
        <w:rPr>
          <w:lang w:val="en-GB"/>
        </w:rPr>
      </w:pPr>
      <w:r w:rsidRPr="0015397B">
        <w:rPr>
          <w:rStyle w:val="HideTWBExt"/>
          <w:b w:val="0"/>
          <w:lang w:val="en-GB"/>
        </w:rPr>
        <w:t>&lt;Amend&gt;</w:t>
      </w:r>
      <w:r w:rsidRPr="0015397B">
        <w:rPr>
          <w:lang w:val="en-GB"/>
        </w:rPr>
        <w:t>Amendment</w:t>
      </w:r>
      <w:r w:rsidRPr="0015397B">
        <w:rPr>
          <w:lang w:val="en-GB"/>
        </w:rPr>
        <w:tab/>
      </w:r>
      <w:r w:rsidRPr="0015397B">
        <w:rPr>
          <w:lang w:val="en-GB"/>
        </w:rPr>
        <w:tab/>
      </w:r>
      <w:r w:rsidRPr="0015397B">
        <w:rPr>
          <w:rStyle w:val="HideTWBExt"/>
          <w:b w:val="0"/>
          <w:lang w:val="en-GB"/>
        </w:rPr>
        <w:t>&lt;NumAm&gt;</w:t>
      </w:r>
      <w:r w:rsidRPr="0015397B">
        <w:rPr>
          <w:color w:val="000000"/>
          <w:lang w:val="en-GB"/>
        </w:rPr>
        <w:t>2</w:t>
      </w:r>
      <w:r w:rsidRPr="0015397B">
        <w:rPr>
          <w:rStyle w:val="HideTWBExt"/>
          <w:b w:val="0"/>
          <w:lang w:val="en-GB"/>
        </w:rPr>
        <w:t>&lt;/NumAm&gt;</w:t>
      </w:r>
    </w:p>
    <w:p w:rsidR="00482028" w:rsidRPr="0015397B" w:rsidP="00482028" w14:paraId="485B516D" w14:textId="77777777"/>
    <w:p w:rsidR="00482028" w:rsidRPr="0015397B" w:rsidP="00482028" w14:paraId="724F9025" w14:textId="77777777">
      <w:pPr>
        <w:pStyle w:val="NormalBold"/>
        <w:keepNext/>
      </w:pPr>
      <w:r w:rsidRPr="0015397B">
        <w:rPr>
          <w:rStyle w:val="HideTWBExt"/>
          <w:b w:val="0"/>
        </w:rPr>
        <w:t>&lt;DocAmend&gt;</w:t>
      </w:r>
      <w:r w:rsidRPr="0015397B">
        <w:t>Proposal for a regulation</w:t>
      </w:r>
      <w:r w:rsidRPr="0015397B">
        <w:rPr>
          <w:rStyle w:val="HideTWBExt"/>
          <w:b w:val="0"/>
        </w:rPr>
        <w:t>&lt;/DocAmend&gt;</w:t>
      </w:r>
    </w:p>
    <w:p w:rsidR="00482028" w:rsidRPr="0015397B" w:rsidP="00482028" w14:paraId="7159DB91" w14:textId="1F128A9B">
      <w:pPr>
        <w:pStyle w:val="NormalBold"/>
      </w:pPr>
      <w:r w:rsidRPr="0015397B">
        <w:rPr>
          <w:rStyle w:val="HideTWBExt"/>
          <w:b w:val="0"/>
        </w:rPr>
        <w:t>&lt;Article&gt;</w:t>
      </w:r>
      <w:r w:rsidRPr="0015397B">
        <w:t xml:space="preserve">Recital </w:t>
      </w:r>
      <w:r w:rsidRPr="0015397B" w:rsidR="00246C18">
        <w:t>2</w:t>
      </w:r>
      <w:r w:rsidRPr="0015397B">
        <w:t xml:space="preserve"> a (new)</w:t>
      </w:r>
      <w:r w:rsidRPr="0015397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652859" w14:textId="77777777" w:rsidTr="00E0449B">
        <w:tblPrEx>
          <w:tblW w:w="0" w:type="auto"/>
          <w:jc w:val="center"/>
          <w:tblLayout w:type="fixed"/>
          <w:tblCellMar>
            <w:left w:w="340" w:type="dxa"/>
            <w:right w:w="340" w:type="dxa"/>
          </w:tblCellMar>
          <w:tblLook w:val="04A0"/>
        </w:tblPrEx>
        <w:trPr>
          <w:jc w:val="center"/>
        </w:trPr>
        <w:tc>
          <w:tcPr>
            <w:tcW w:w="9752" w:type="dxa"/>
            <w:gridSpan w:val="2"/>
          </w:tcPr>
          <w:p w:rsidR="00482028" w:rsidRPr="0015397B" w:rsidP="00E0449B" w14:paraId="1F493AE5" w14:textId="77777777">
            <w:pPr>
              <w:keepNext/>
            </w:pPr>
          </w:p>
        </w:tc>
      </w:tr>
      <w:tr w14:paraId="422734CB" w14:textId="77777777" w:rsidTr="00E0449B">
        <w:tblPrEx>
          <w:tblW w:w="0" w:type="auto"/>
          <w:jc w:val="center"/>
          <w:tblLayout w:type="fixed"/>
          <w:tblCellMar>
            <w:left w:w="340" w:type="dxa"/>
            <w:right w:w="340" w:type="dxa"/>
          </w:tblCellMar>
          <w:tblLook w:val="04A0"/>
        </w:tblPrEx>
        <w:trPr>
          <w:jc w:val="center"/>
        </w:trPr>
        <w:tc>
          <w:tcPr>
            <w:tcW w:w="4876" w:type="dxa"/>
            <w:hideMark/>
          </w:tcPr>
          <w:p w:rsidR="00482028" w:rsidRPr="0015397B" w:rsidP="00E0449B" w14:paraId="5EC9D145" w14:textId="77777777">
            <w:pPr>
              <w:pStyle w:val="ColumnHeading"/>
              <w:keepNext/>
              <w:rPr>
                <w:lang w:val="en-GB"/>
              </w:rPr>
            </w:pPr>
            <w:r w:rsidRPr="0015397B">
              <w:rPr>
                <w:lang w:val="en-GB"/>
              </w:rPr>
              <w:t>Text proposed by the Commission</w:t>
            </w:r>
          </w:p>
        </w:tc>
        <w:tc>
          <w:tcPr>
            <w:tcW w:w="4876" w:type="dxa"/>
            <w:hideMark/>
          </w:tcPr>
          <w:p w:rsidR="00482028" w:rsidRPr="0015397B" w:rsidP="00E0449B" w14:paraId="7F6E3654" w14:textId="77777777">
            <w:pPr>
              <w:pStyle w:val="ColumnHeading"/>
              <w:keepNext/>
              <w:rPr>
                <w:lang w:val="en-GB"/>
              </w:rPr>
            </w:pPr>
            <w:r w:rsidRPr="0015397B">
              <w:rPr>
                <w:lang w:val="en-GB"/>
              </w:rPr>
              <w:t>Amendment</w:t>
            </w:r>
          </w:p>
        </w:tc>
      </w:tr>
      <w:tr w14:paraId="5915538C" w14:textId="77777777" w:rsidTr="00E0449B">
        <w:tblPrEx>
          <w:tblW w:w="0" w:type="auto"/>
          <w:jc w:val="center"/>
          <w:tblLayout w:type="fixed"/>
          <w:tblCellMar>
            <w:left w:w="340" w:type="dxa"/>
            <w:right w:w="340" w:type="dxa"/>
          </w:tblCellMar>
          <w:tblLook w:val="04A0"/>
        </w:tblPrEx>
        <w:trPr>
          <w:jc w:val="center"/>
        </w:trPr>
        <w:tc>
          <w:tcPr>
            <w:tcW w:w="4876" w:type="dxa"/>
          </w:tcPr>
          <w:p w:rsidR="00482028" w:rsidRPr="0015397B" w:rsidP="00E0449B" w14:paraId="75212862" w14:textId="77777777">
            <w:pPr>
              <w:pStyle w:val="Normal6"/>
              <w:rPr>
                <w:lang w:val="en-GB"/>
              </w:rPr>
            </w:pPr>
          </w:p>
        </w:tc>
        <w:tc>
          <w:tcPr>
            <w:tcW w:w="4876" w:type="dxa"/>
            <w:hideMark/>
          </w:tcPr>
          <w:p w:rsidR="00482028" w:rsidRPr="0015397B" w:rsidP="00E0449B" w14:paraId="1417333C" w14:textId="6FC2EFAF">
            <w:pPr>
              <w:pStyle w:val="Normal6"/>
              <w:rPr>
                <w:szCs w:val="24"/>
                <w:lang w:val="en-GB"/>
              </w:rPr>
            </w:pPr>
            <w:r w:rsidRPr="0015397B">
              <w:rPr>
                <w:b/>
                <w:i/>
                <w:lang w:val="en-GB"/>
              </w:rPr>
              <w:t>(</w:t>
            </w:r>
            <w:r w:rsidRPr="0015397B" w:rsidR="00246C18">
              <w:rPr>
                <w:b/>
                <w:i/>
                <w:lang w:val="en-GB"/>
              </w:rPr>
              <w:t>2</w:t>
            </w:r>
            <w:r w:rsidRPr="0015397B">
              <w:rPr>
                <w:b/>
                <w:i/>
                <w:lang w:val="en-GB"/>
              </w:rPr>
              <w:t>a)</w:t>
            </w:r>
            <w:r w:rsidRPr="0015397B">
              <w:rPr>
                <w:b/>
                <w:i/>
                <w:lang w:val="en-GB"/>
              </w:rPr>
              <w:tab/>
              <w:t>As a matter of principle, free allocation needs to be based on product benchmarks rather than inputs in order to maximise greenhouse gas emission reductions and energy-efficiency savings throughout the production process. It is therefore necessary to revise the rules for determining Union-wide ex-ante benchmarks, as the group of the 10</w:t>
            </w:r>
            <w:r w:rsidRPr="0015397B" w:rsidR="004B73E7">
              <w:rPr>
                <w:b/>
                <w:i/>
                <w:lang w:val="en-GB"/>
              </w:rPr>
              <w:t> </w:t>
            </w:r>
            <w:r w:rsidRPr="0015397B">
              <w:rPr>
                <w:b/>
                <w:i/>
                <w:lang w:val="en-GB"/>
              </w:rPr>
              <w:t xml:space="preserve">% most efficient installations </w:t>
            </w:r>
            <w:r w:rsidRPr="0015397B" w:rsidR="003D607A">
              <w:rPr>
                <w:b/>
                <w:i/>
                <w:lang w:val="en-GB"/>
              </w:rPr>
              <w:t>might</w:t>
            </w:r>
            <w:r w:rsidRPr="0015397B">
              <w:rPr>
                <w:b/>
                <w:i/>
                <w:lang w:val="en-GB"/>
              </w:rPr>
              <w:t xml:space="preserve"> not be sufficiently representative of the sector or subsector concerned</w:t>
            </w:r>
            <w:r w:rsidRPr="0015397B" w:rsidR="003D607A">
              <w:rPr>
                <w:b/>
                <w:i/>
                <w:lang w:val="en-GB"/>
              </w:rPr>
              <w:t xml:space="preserve"> in all cases</w:t>
            </w:r>
            <w:r w:rsidRPr="0015397B">
              <w:rPr>
                <w:b/>
                <w:i/>
                <w:lang w:val="en-GB"/>
              </w:rPr>
              <w:t xml:space="preserve">, having regard to the technologies used, the nature and scale of the activity, the share of production covered and the number of installations and sub-installations forming the basis of the benchmark. The amendments to Directive 2003/87/EC seek to ensure the same requirement of representativeness apply to fallback approaches, including the heat and fuel benchmarks. It is therefore important that the determination of those benchmark values </w:t>
            </w:r>
            <w:r w:rsidRPr="0015397B" w:rsidR="003D607A">
              <w:rPr>
                <w:b/>
                <w:i/>
                <w:lang w:val="en-GB"/>
              </w:rPr>
              <w:t>be</w:t>
            </w:r>
            <w:r w:rsidRPr="0015397B">
              <w:rPr>
                <w:b/>
                <w:i/>
                <w:lang w:val="en-GB"/>
              </w:rPr>
              <w:t xml:space="preserve"> conducted in a transparent manner, including as regards the selection rules, the methodology applied, the assumptions made and the aggregated source data used, while ensuring the protection of commercially sensitive information.</w:t>
            </w:r>
          </w:p>
        </w:tc>
      </w:tr>
    </w:tbl>
    <w:p w:rsidR="00482028" w:rsidRPr="0015397B" w:rsidP="00482028" w14:paraId="2232F807" w14:textId="77777777">
      <w:pPr>
        <w:rPr>
          <w:szCs w:val="24"/>
        </w:rPr>
      </w:pPr>
      <w:r w:rsidRPr="0015397B">
        <w:rPr>
          <w:rStyle w:val="HideTWBExt"/>
        </w:rPr>
        <w:t>&lt;/Amend&gt;</w:t>
      </w:r>
    </w:p>
    <w:p w:rsidR="00482028" w:rsidRPr="0015397B" w:rsidP="00482028" w14:paraId="1861FA0A" w14:textId="77777777">
      <w:pPr>
        <w:pStyle w:val="AMNumberTabs0"/>
        <w:keepNext/>
        <w:rPr>
          <w:lang w:val="en-GB"/>
        </w:rPr>
      </w:pPr>
      <w:r w:rsidRPr="0015397B">
        <w:rPr>
          <w:rStyle w:val="HideTWBExt"/>
          <w:b w:val="0"/>
          <w:lang w:val="en-GB"/>
        </w:rPr>
        <w:t>&lt;Amend&gt;</w:t>
      </w:r>
      <w:r w:rsidRPr="0015397B">
        <w:rPr>
          <w:lang w:val="en-GB"/>
        </w:rPr>
        <w:t>Amendment</w:t>
      </w:r>
      <w:r w:rsidRPr="0015397B">
        <w:rPr>
          <w:lang w:val="en-GB"/>
        </w:rPr>
        <w:tab/>
      </w:r>
      <w:r w:rsidRPr="0015397B">
        <w:rPr>
          <w:lang w:val="en-GB"/>
        </w:rPr>
        <w:tab/>
      </w:r>
      <w:r w:rsidRPr="0015397B">
        <w:rPr>
          <w:rStyle w:val="HideTWBExt"/>
          <w:b w:val="0"/>
          <w:lang w:val="en-GB"/>
        </w:rPr>
        <w:t>&lt;NumAm&gt;</w:t>
      </w:r>
      <w:r w:rsidRPr="0015397B">
        <w:rPr>
          <w:color w:val="000000"/>
          <w:lang w:val="en-GB"/>
        </w:rPr>
        <w:t>3</w:t>
      </w:r>
      <w:r w:rsidRPr="0015397B">
        <w:rPr>
          <w:rStyle w:val="HideTWBExt"/>
          <w:b w:val="0"/>
          <w:lang w:val="en-GB"/>
        </w:rPr>
        <w:t>&lt;/NumAm&gt;</w:t>
      </w:r>
    </w:p>
    <w:p w:rsidR="00482028" w:rsidRPr="0015397B" w:rsidP="00482028" w14:paraId="01C20EC7" w14:textId="77777777"/>
    <w:p w:rsidR="00482028" w:rsidRPr="0015397B" w:rsidP="00482028" w14:paraId="0CBDA42A" w14:textId="77777777">
      <w:pPr>
        <w:pStyle w:val="NormalBold"/>
        <w:keepNext/>
      </w:pPr>
      <w:r w:rsidRPr="0015397B">
        <w:rPr>
          <w:rStyle w:val="HideTWBExt"/>
          <w:b w:val="0"/>
        </w:rPr>
        <w:t>&lt;DocAmend&gt;</w:t>
      </w:r>
      <w:r w:rsidRPr="0015397B">
        <w:t>Proposal for a regulation</w:t>
      </w:r>
      <w:r w:rsidRPr="0015397B">
        <w:rPr>
          <w:rStyle w:val="HideTWBExt"/>
          <w:b w:val="0"/>
        </w:rPr>
        <w:t>&lt;/DocAmend&gt;</w:t>
      </w:r>
    </w:p>
    <w:p w:rsidR="00482028" w:rsidRPr="0015397B" w:rsidP="00482028" w14:paraId="624F97C1" w14:textId="2087CF33">
      <w:pPr>
        <w:pStyle w:val="NormalBold"/>
      </w:pPr>
      <w:r w:rsidRPr="0015397B">
        <w:rPr>
          <w:rStyle w:val="HideTWBExt"/>
          <w:b w:val="0"/>
        </w:rPr>
        <w:t>&lt;Article&gt;</w:t>
      </w:r>
      <w:r w:rsidRPr="0015397B" w:rsidR="00AE4B71">
        <w:t>Article 1 – paragraph 1 – point -1 (new)</w:t>
      </w:r>
      <w:r w:rsidRPr="0015397B">
        <w:rPr>
          <w:rStyle w:val="HideTWBExt"/>
          <w:b w:val="0"/>
        </w:rPr>
        <w:t>&lt;/Article&gt;</w:t>
      </w:r>
    </w:p>
    <w:p w:rsidR="00482028" w:rsidRPr="0015397B" w:rsidP="00482028" w14:paraId="227DB64D" w14:textId="77777777">
      <w:pPr>
        <w:keepNext/>
      </w:pPr>
      <w:r w:rsidRPr="0015397B">
        <w:rPr>
          <w:rStyle w:val="HideTWBExt"/>
        </w:rPr>
        <w:t>&lt;DocAmend2&gt;</w:t>
      </w:r>
      <w:r w:rsidRPr="0015397B">
        <w:t>Directive 2003/87/EC</w:t>
      </w:r>
      <w:r w:rsidRPr="0015397B">
        <w:rPr>
          <w:rStyle w:val="HideTWBExt"/>
        </w:rPr>
        <w:t>&lt;/DocAmend2&gt;</w:t>
      </w:r>
    </w:p>
    <w:p w:rsidR="00482028" w:rsidRPr="0015397B" w:rsidP="00482028" w14:paraId="4BC76171" w14:textId="3B5B6656">
      <w:r w:rsidRPr="0015397B">
        <w:rPr>
          <w:rStyle w:val="HideTWBExt"/>
        </w:rPr>
        <w:t>&lt;Article2&gt;</w:t>
      </w:r>
      <w:r w:rsidRPr="0015397B" w:rsidR="00AE4B71">
        <w:rPr>
          <w:bCs/>
        </w:rPr>
        <w:t>Article 10a – paragraph 1 – subparagraph 6</w:t>
      </w:r>
      <w:r w:rsidRPr="0015397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3AD586B" w14:textId="77777777" w:rsidTr="00AE4B71">
        <w:tblPrEx>
          <w:tblW w:w="9752" w:type="dxa"/>
          <w:jc w:val="center"/>
          <w:tblLayout w:type="fixed"/>
          <w:tblCellMar>
            <w:left w:w="340" w:type="dxa"/>
            <w:right w:w="340" w:type="dxa"/>
          </w:tblCellMar>
          <w:tblLook w:val="04A0"/>
        </w:tblPrEx>
        <w:trPr>
          <w:jc w:val="center"/>
        </w:trPr>
        <w:tc>
          <w:tcPr>
            <w:tcW w:w="9752" w:type="dxa"/>
            <w:gridSpan w:val="2"/>
          </w:tcPr>
          <w:p w:rsidR="00482028" w:rsidRPr="0015397B" w:rsidP="00E0449B" w14:paraId="3AF2121B" w14:textId="77777777">
            <w:pPr>
              <w:keepNext/>
            </w:pPr>
          </w:p>
        </w:tc>
      </w:tr>
      <w:tr w14:paraId="6732FAFC" w14:textId="77777777" w:rsidTr="00AE4B71">
        <w:tblPrEx>
          <w:tblW w:w="9752" w:type="dxa"/>
          <w:jc w:val="center"/>
          <w:tblLayout w:type="fixed"/>
          <w:tblCellMar>
            <w:left w:w="340" w:type="dxa"/>
            <w:right w:w="340" w:type="dxa"/>
          </w:tblCellMar>
          <w:tblLook w:val="04A0"/>
        </w:tblPrEx>
        <w:trPr>
          <w:jc w:val="center"/>
        </w:trPr>
        <w:tc>
          <w:tcPr>
            <w:tcW w:w="4876" w:type="dxa"/>
            <w:hideMark/>
          </w:tcPr>
          <w:p w:rsidR="00482028" w:rsidRPr="0015397B" w:rsidP="00E0449B" w14:paraId="5C25ED11" w14:textId="2C3E3D34">
            <w:pPr>
              <w:pStyle w:val="ColumnHeading"/>
              <w:keepNext/>
              <w:rPr>
                <w:lang w:val="en-GB"/>
              </w:rPr>
            </w:pPr>
            <w:r w:rsidRPr="0015397B">
              <w:rPr>
                <w:lang w:val="en-GB"/>
              </w:rPr>
              <w:t>Present text</w:t>
            </w:r>
          </w:p>
        </w:tc>
        <w:tc>
          <w:tcPr>
            <w:tcW w:w="4876" w:type="dxa"/>
            <w:hideMark/>
          </w:tcPr>
          <w:p w:rsidR="00482028" w:rsidRPr="0015397B" w:rsidP="00E0449B" w14:paraId="36048A1B" w14:textId="77777777">
            <w:pPr>
              <w:pStyle w:val="ColumnHeading"/>
              <w:keepNext/>
              <w:rPr>
                <w:lang w:val="en-GB"/>
              </w:rPr>
            </w:pPr>
            <w:r w:rsidRPr="0015397B">
              <w:rPr>
                <w:lang w:val="en-GB"/>
              </w:rPr>
              <w:t>Amendment</w:t>
            </w:r>
          </w:p>
        </w:tc>
      </w:tr>
      <w:tr w14:paraId="2CE055F6" w14:textId="77777777" w:rsidTr="00AE4B71">
        <w:tblPrEx>
          <w:tblW w:w="9752" w:type="dxa"/>
          <w:jc w:val="center"/>
          <w:tblLayout w:type="fixed"/>
          <w:tblCellMar>
            <w:left w:w="340" w:type="dxa"/>
            <w:right w:w="340" w:type="dxa"/>
          </w:tblCellMar>
          <w:tblLook w:val="04A0"/>
        </w:tblPrEx>
        <w:trPr>
          <w:jc w:val="center"/>
        </w:trPr>
        <w:tc>
          <w:tcPr>
            <w:tcW w:w="4876" w:type="dxa"/>
          </w:tcPr>
          <w:p w:rsidR="00AE4B71" w:rsidRPr="0015397B" w:rsidP="00E0449B" w14:paraId="2A713EE6" w14:textId="77777777">
            <w:pPr>
              <w:pStyle w:val="Normal6"/>
              <w:rPr>
                <w:lang w:val="en-GB"/>
              </w:rPr>
            </w:pPr>
          </w:p>
        </w:tc>
        <w:tc>
          <w:tcPr>
            <w:tcW w:w="4876" w:type="dxa"/>
          </w:tcPr>
          <w:p w:rsidR="00AE4B71" w:rsidRPr="0015397B" w:rsidP="00AE4B71" w14:paraId="5586BBD2" w14:textId="118D0B25">
            <w:pPr>
              <w:pStyle w:val="Normal6"/>
              <w:rPr>
                <w:b/>
                <w:i/>
                <w:lang w:val="en-GB"/>
              </w:rPr>
            </w:pPr>
            <w:r w:rsidRPr="0015397B">
              <w:rPr>
                <w:b/>
                <w:i/>
                <w:lang w:val="en-GB"/>
              </w:rPr>
              <w:t>(-1)</w:t>
            </w:r>
            <w:r w:rsidRPr="0015397B">
              <w:rPr>
                <w:b/>
                <w:i/>
                <w:lang w:val="en-GB"/>
              </w:rPr>
              <w:tab/>
              <w:t>in Article 10a, paragraph 1, subparagraph 6 is replaced by the following:</w:t>
            </w:r>
          </w:p>
        </w:tc>
      </w:tr>
      <w:tr w14:paraId="20971F94" w14:textId="77777777" w:rsidTr="00AE4B71">
        <w:tblPrEx>
          <w:tblW w:w="9752" w:type="dxa"/>
          <w:jc w:val="center"/>
          <w:tblLayout w:type="fixed"/>
          <w:tblCellMar>
            <w:left w:w="340" w:type="dxa"/>
            <w:right w:w="340" w:type="dxa"/>
          </w:tblCellMar>
          <w:tblLook w:val="04A0"/>
        </w:tblPrEx>
        <w:trPr>
          <w:jc w:val="center"/>
        </w:trPr>
        <w:tc>
          <w:tcPr>
            <w:tcW w:w="4876" w:type="dxa"/>
            <w:hideMark/>
          </w:tcPr>
          <w:p w:rsidR="00482028" w:rsidRPr="0015397B" w:rsidP="00E0449B" w14:paraId="29D372D6" w14:textId="5456274A">
            <w:pPr>
              <w:pStyle w:val="Normal6"/>
              <w:rPr>
                <w:lang w:val="en-GB"/>
              </w:rPr>
            </w:pPr>
            <w:r w:rsidRPr="0015397B">
              <w:rPr>
                <w:lang w:val="en-GB"/>
              </w:rPr>
              <w:t xml:space="preserve">Allowances that are not allocated due to a reduction of free allocation in accordance with the third and fifth subparagraphs of this paragraph shall be used </w:t>
            </w:r>
            <w:r w:rsidRPr="0015397B">
              <w:rPr>
                <w:b/>
                <w:i/>
                <w:lang w:val="en-GB"/>
              </w:rPr>
              <w:t>to exempt installations from the adjustment in accordance with</w:t>
            </w:r>
            <w:r w:rsidRPr="0015397B">
              <w:rPr>
                <w:lang w:val="en-GB"/>
              </w:rPr>
              <w:t xml:space="preserve"> </w:t>
            </w:r>
            <w:r w:rsidRPr="0015397B">
              <w:rPr>
                <w:b/>
                <w:bCs/>
                <w:i/>
                <w:iCs/>
                <w:lang w:val="en-GB"/>
              </w:rPr>
              <w:t>paragraph</w:t>
            </w:r>
            <w:r w:rsidRPr="0015397B">
              <w:rPr>
                <w:lang w:val="en-GB"/>
              </w:rPr>
              <w:t xml:space="preserve"> </w:t>
            </w:r>
            <w:r w:rsidRPr="0015397B">
              <w:rPr>
                <w:b/>
                <w:i/>
                <w:lang w:val="en-GB"/>
              </w:rPr>
              <w:t>5</w:t>
            </w:r>
            <w:r w:rsidRPr="0015397B">
              <w:rPr>
                <w:lang w:val="en-GB"/>
              </w:rPr>
              <w:t xml:space="preserve"> </w:t>
            </w:r>
            <w:r w:rsidRPr="0015397B">
              <w:rPr>
                <w:b/>
                <w:bCs/>
                <w:i/>
                <w:iCs/>
                <w:lang w:val="en-GB"/>
              </w:rPr>
              <w:t>of this Article</w:t>
            </w:r>
            <w:r w:rsidRPr="0015397B">
              <w:rPr>
                <w:lang w:val="en-GB"/>
              </w:rPr>
              <w:t xml:space="preserve">. </w:t>
            </w:r>
            <w:r w:rsidRPr="0015397B">
              <w:rPr>
                <w:b/>
                <w:i/>
                <w:lang w:val="en-GB"/>
              </w:rPr>
              <w:t>Where any such allowances remain, 50 % of those allowances shall be made available to support innovation in accordance with paragraph 8 of this Article. The other 50 % of those allowances shall be auctioned in accordance with Article 10(1) of this Directive and Member States should use the respective revenues to address any residual risk of carbon leakage in the sectors covered by Annex I to Regulation (EU) 2023/956, supporting the transition and promoting their decarbonisation in accordance with State aid rules.</w:t>
            </w:r>
          </w:p>
        </w:tc>
        <w:tc>
          <w:tcPr>
            <w:tcW w:w="4876" w:type="dxa"/>
            <w:hideMark/>
          </w:tcPr>
          <w:p w:rsidR="00482028" w:rsidRPr="0015397B" w:rsidP="00563624" w14:paraId="2FE934B0" w14:textId="13E0FFC3">
            <w:pPr>
              <w:pStyle w:val="Normal6"/>
              <w:rPr>
                <w:lang w:val="en-GB"/>
              </w:rPr>
            </w:pPr>
            <w:r w:rsidRPr="0015397B">
              <w:rPr>
                <w:lang w:val="en-GB"/>
              </w:rPr>
              <w:t>‘</w:t>
            </w:r>
            <w:r w:rsidRPr="0015397B" w:rsidR="00AE4B71">
              <w:rPr>
                <w:lang w:val="en-GB"/>
              </w:rPr>
              <w:t xml:space="preserve">Allowances that are not allocated due to a reduction of free allocation in accordance with the third and fifth subparagraphs of this paragraph shall be used </w:t>
            </w:r>
            <w:r w:rsidRPr="0015397B" w:rsidR="00AE4B71">
              <w:rPr>
                <w:b/>
                <w:bCs/>
                <w:i/>
                <w:iCs/>
                <w:lang w:val="en-GB"/>
              </w:rPr>
              <w:t>as follows:</w:t>
            </w:r>
          </w:p>
        </w:tc>
      </w:tr>
      <w:tr w14:paraId="763D913D" w14:textId="77777777" w:rsidTr="00AE4B71">
        <w:tblPrEx>
          <w:tblW w:w="9752" w:type="dxa"/>
          <w:jc w:val="center"/>
          <w:tblLayout w:type="fixed"/>
          <w:tblCellMar>
            <w:left w:w="340" w:type="dxa"/>
            <w:right w:w="340" w:type="dxa"/>
          </w:tblCellMar>
          <w:tblLook w:val="04A0"/>
        </w:tblPrEx>
        <w:trPr>
          <w:jc w:val="center"/>
        </w:trPr>
        <w:tc>
          <w:tcPr>
            <w:tcW w:w="4876" w:type="dxa"/>
          </w:tcPr>
          <w:p w:rsidR="00563624" w:rsidRPr="0015397B" w:rsidP="00E0449B" w14:paraId="55D238A7" w14:textId="77777777">
            <w:pPr>
              <w:pStyle w:val="Normal6"/>
              <w:rPr>
                <w:lang w:val="en-GB"/>
              </w:rPr>
            </w:pPr>
          </w:p>
        </w:tc>
        <w:tc>
          <w:tcPr>
            <w:tcW w:w="4876" w:type="dxa"/>
          </w:tcPr>
          <w:p w:rsidR="00563624" w:rsidRPr="0015397B" w:rsidP="00AE4B71" w14:paraId="7CD443E5" w14:textId="1C96B501">
            <w:pPr>
              <w:pStyle w:val="Normal6"/>
              <w:rPr>
                <w:b/>
                <w:i/>
                <w:lang w:val="en-GB"/>
              </w:rPr>
            </w:pPr>
            <w:r w:rsidRPr="0015397B">
              <w:rPr>
                <w:b/>
                <w:i/>
                <w:lang w:val="en-GB"/>
              </w:rPr>
              <w:t>(a) one third for the purposes of paragraph 2a</w:t>
            </w:r>
            <w:r w:rsidRPr="0015397B" w:rsidR="003D607A">
              <w:rPr>
                <w:b/>
                <w:i/>
                <w:lang w:val="en-GB"/>
              </w:rPr>
              <w:t xml:space="preserve"> of this Article</w:t>
            </w:r>
            <w:r w:rsidRPr="0015397B">
              <w:rPr>
                <w:b/>
                <w:i/>
                <w:lang w:val="en-GB"/>
              </w:rPr>
              <w:t>;</w:t>
            </w:r>
          </w:p>
        </w:tc>
      </w:tr>
      <w:tr w14:paraId="675CE416" w14:textId="77777777" w:rsidTr="00AE4B71">
        <w:tblPrEx>
          <w:tblW w:w="9752" w:type="dxa"/>
          <w:jc w:val="center"/>
          <w:tblLayout w:type="fixed"/>
          <w:tblCellMar>
            <w:left w:w="340" w:type="dxa"/>
            <w:right w:w="340" w:type="dxa"/>
          </w:tblCellMar>
          <w:tblLook w:val="04A0"/>
        </w:tblPrEx>
        <w:trPr>
          <w:jc w:val="center"/>
        </w:trPr>
        <w:tc>
          <w:tcPr>
            <w:tcW w:w="4876" w:type="dxa"/>
          </w:tcPr>
          <w:p w:rsidR="00563624" w:rsidRPr="0015397B" w:rsidP="00E0449B" w14:paraId="70EF8646" w14:textId="77777777">
            <w:pPr>
              <w:pStyle w:val="Normal6"/>
              <w:rPr>
                <w:lang w:val="en-GB"/>
              </w:rPr>
            </w:pPr>
          </w:p>
        </w:tc>
        <w:tc>
          <w:tcPr>
            <w:tcW w:w="4876" w:type="dxa"/>
          </w:tcPr>
          <w:p w:rsidR="00563624" w:rsidRPr="0015397B" w:rsidP="00AE4B71" w14:paraId="2FFF11DC" w14:textId="24720716">
            <w:pPr>
              <w:pStyle w:val="Normal6"/>
              <w:rPr>
                <w:b/>
                <w:i/>
                <w:lang w:val="en-GB"/>
              </w:rPr>
            </w:pPr>
            <w:r w:rsidRPr="0015397B">
              <w:rPr>
                <w:b/>
                <w:i/>
                <w:lang w:val="en-GB"/>
              </w:rPr>
              <w:t>(b) one third to be auctioned in accordance with Article 10 and the revenues generated from the auctioning to be transferred to the Modernisation Fund referred to in Article 10d</w:t>
            </w:r>
            <w:r w:rsidRPr="0015397B" w:rsidR="003D607A">
              <w:rPr>
                <w:b/>
                <w:i/>
                <w:lang w:val="en-GB"/>
              </w:rPr>
              <w:t>;</w:t>
            </w:r>
          </w:p>
        </w:tc>
      </w:tr>
      <w:tr w14:paraId="3D4EFE75" w14:textId="77777777" w:rsidTr="00AE4B71">
        <w:tblPrEx>
          <w:tblW w:w="9752" w:type="dxa"/>
          <w:jc w:val="center"/>
          <w:tblLayout w:type="fixed"/>
          <w:tblCellMar>
            <w:left w:w="340" w:type="dxa"/>
            <w:right w:w="340" w:type="dxa"/>
          </w:tblCellMar>
          <w:tblLook w:val="04A0"/>
        </w:tblPrEx>
        <w:trPr>
          <w:jc w:val="center"/>
        </w:trPr>
        <w:tc>
          <w:tcPr>
            <w:tcW w:w="4876" w:type="dxa"/>
          </w:tcPr>
          <w:p w:rsidR="00563624" w:rsidRPr="0015397B" w:rsidP="00E0449B" w14:paraId="46A7E610" w14:textId="77777777">
            <w:pPr>
              <w:pStyle w:val="Normal6"/>
              <w:rPr>
                <w:lang w:val="en-GB"/>
              </w:rPr>
            </w:pPr>
          </w:p>
        </w:tc>
        <w:tc>
          <w:tcPr>
            <w:tcW w:w="4876" w:type="dxa"/>
          </w:tcPr>
          <w:p w:rsidR="00563624" w:rsidRPr="0015397B" w:rsidP="00AE4B71" w14:paraId="3231D898" w14:textId="458689DE">
            <w:pPr>
              <w:pStyle w:val="Normal6"/>
              <w:rPr>
                <w:lang w:val="en-GB"/>
              </w:rPr>
            </w:pPr>
            <w:r w:rsidRPr="0015397B">
              <w:rPr>
                <w:b/>
                <w:i/>
                <w:lang w:val="en-GB"/>
              </w:rPr>
              <w:t xml:space="preserve">(c) one third to be transferred to the Innovation </w:t>
            </w:r>
            <w:r w:rsidRPr="0015397B" w:rsidR="00920AB4">
              <w:rPr>
                <w:b/>
                <w:i/>
                <w:lang w:val="en-GB"/>
              </w:rPr>
              <w:t>F</w:t>
            </w:r>
            <w:r w:rsidRPr="0015397B">
              <w:rPr>
                <w:b/>
                <w:i/>
                <w:lang w:val="en-GB"/>
              </w:rPr>
              <w:t>und referred to in paragraph 8 of this Article.</w:t>
            </w:r>
            <w:r w:rsidRPr="0015397B" w:rsidR="004B73E7">
              <w:rPr>
                <w:b/>
                <w:i/>
                <w:lang w:val="en-GB"/>
              </w:rPr>
              <w:t>’;</w:t>
            </w:r>
          </w:p>
        </w:tc>
      </w:tr>
    </w:tbl>
    <w:p w:rsidR="00614119" w:rsidRPr="0015397B" w:rsidP="00614119" w14:paraId="20C13C68" w14:textId="13697ADF">
      <w:pPr>
        <w:pStyle w:val="CrossRef"/>
        <w:rPr>
          <w:lang w:val="en-GB"/>
        </w:rPr>
      </w:pPr>
      <w:r w:rsidRPr="0015397B">
        <w:rPr>
          <w:lang w:val="en-GB"/>
        </w:rPr>
        <w:t>(02003L0087)</w:t>
      </w:r>
    </w:p>
    <w:p w:rsidR="00614119" w:rsidRPr="0015397B" w:rsidP="00614119" w14:paraId="3037219F" w14:textId="77777777">
      <w:r w:rsidRPr="0015397B">
        <w:rPr>
          <w:rStyle w:val="HideTWBExt"/>
        </w:rPr>
        <w:t>&lt;/Amend&gt;</w:t>
      </w:r>
    </w:p>
    <w:p w:rsidR="00FA1344" w:rsidRPr="0015397B" w:rsidP="00FA1344" w14:paraId="44418ED2" w14:textId="19DE3B9A">
      <w:pPr>
        <w:pStyle w:val="AMNumberTabs0"/>
        <w:keepNext/>
        <w:rPr>
          <w:lang w:val="en-GB"/>
        </w:rPr>
      </w:pPr>
      <w:r w:rsidRPr="0015397B">
        <w:rPr>
          <w:rStyle w:val="HideTWBExt"/>
          <w:b w:val="0"/>
          <w:lang w:val="en-GB"/>
        </w:rPr>
        <w:t>&lt;Amend&gt;</w:t>
      </w:r>
      <w:r w:rsidRPr="0015397B">
        <w:rPr>
          <w:lang w:val="en-GB"/>
        </w:rPr>
        <w:t>Amendment</w:t>
      </w:r>
      <w:r w:rsidRPr="0015397B">
        <w:rPr>
          <w:lang w:val="en-GB"/>
        </w:rPr>
        <w:tab/>
      </w:r>
      <w:r w:rsidRPr="0015397B">
        <w:rPr>
          <w:lang w:val="en-GB"/>
        </w:rPr>
        <w:tab/>
      </w:r>
      <w:r w:rsidRPr="0015397B">
        <w:rPr>
          <w:rStyle w:val="HideTWBExt"/>
          <w:b w:val="0"/>
          <w:lang w:val="en-GB"/>
        </w:rPr>
        <w:t>&lt;NumAm&gt;</w:t>
      </w:r>
      <w:r w:rsidRPr="0015397B">
        <w:rPr>
          <w:color w:val="000000"/>
          <w:lang w:val="en-GB"/>
        </w:rPr>
        <w:t>4</w:t>
      </w:r>
      <w:r w:rsidRPr="0015397B">
        <w:rPr>
          <w:rStyle w:val="HideTWBExt"/>
          <w:b w:val="0"/>
          <w:lang w:val="en-GB"/>
        </w:rPr>
        <w:t>&lt;/NumAm&gt;</w:t>
      </w:r>
    </w:p>
    <w:p w:rsidR="00FA1344" w:rsidRPr="0015397B" w:rsidP="00FA1344" w14:paraId="2210F325" w14:textId="77777777"/>
    <w:p w:rsidR="00FA1344" w:rsidRPr="0015397B" w:rsidP="00FA1344" w14:paraId="7F4C98A5" w14:textId="77777777">
      <w:pPr>
        <w:pStyle w:val="NormalBold"/>
        <w:keepNext/>
      </w:pPr>
      <w:r w:rsidRPr="0015397B">
        <w:rPr>
          <w:rStyle w:val="HideTWBExt"/>
          <w:b w:val="0"/>
        </w:rPr>
        <w:t>&lt;DocAmend&gt;</w:t>
      </w:r>
      <w:r w:rsidRPr="0015397B">
        <w:t>Proposal for a regulation</w:t>
      </w:r>
      <w:r w:rsidRPr="0015397B">
        <w:rPr>
          <w:rStyle w:val="HideTWBExt"/>
          <w:b w:val="0"/>
        </w:rPr>
        <w:t>&lt;/DocAmend&gt;</w:t>
      </w:r>
    </w:p>
    <w:p w:rsidR="00FA1344" w:rsidRPr="0015397B" w:rsidP="00FA1344" w14:paraId="3888F9B6" w14:textId="77777777">
      <w:pPr>
        <w:pStyle w:val="NormalBold"/>
      </w:pPr>
      <w:r w:rsidRPr="0015397B">
        <w:rPr>
          <w:rStyle w:val="HideTWBExt"/>
          <w:b w:val="0"/>
        </w:rPr>
        <w:t>&lt;Article&gt;</w:t>
      </w:r>
      <w:r w:rsidRPr="0015397B">
        <w:t>Article 1 – paragraph 1 – point 1</w:t>
      </w:r>
      <w:r w:rsidRPr="0015397B">
        <w:rPr>
          <w:rStyle w:val="HideTWBExt"/>
          <w:b w:val="0"/>
        </w:rPr>
        <w:t>&lt;/Article&gt;</w:t>
      </w:r>
    </w:p>
    <w:p w:rsidR="00FA1344" w:rsidRPr="0015397B" w:rsidP="00FA1344" w14:paraId="79E09A0C" w14:textId="77777777">
      <w:pPr>
        <w:keepNext/>
      </w:pPr>
      <w:r w:rsidRPr="0015397B">
        <w:rPr>
          <w:rStyle w:val="HideTWBExt"/>
        </w:rPr>
        <w:t>&lt;DocAmend2&gt;</w:t>
      </w:r>
      <w:r w:rsidRPr="0015397B">
        <w:t>Directive 2003/87/EC</w:t>
      </w:r>
      <w:r w:rsidRPr="0015397B">
        <w:rPr>
          <w:rStyle w:val="HideTWBExt"/>
        </w:rPr>
        <w:t>&lt;/DocAmend2&gt;</w:t>
      </w:r>
    </w:p>
    <w:p w:rsidR="00FA1344" w:rsidRPr="0015397B" w:rsidP="00FA1344" w14:paraId="3882C3E2" w14:textId="77777777">
      <w:r w:rsidRPr="0015397B">
        <w:rPr>
          <w:rStyle w:val="HideTWBExt"/>
        </w:rPr>
        <w:t>&lt;Article2&gt;</w:t>
      </w:r>
      <w:r w:rsidRPr="0015397B">
        <w:t>Article 10a – paragraph 2a – subparagraph 1</w:t>
      </w:r>
      <w:r w:rsidRPr="0015397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2999EA" w14:textId="77777777" w:rsidTr="00E0449B">
        <w:tblPrEx>
          <w:tblW w:w="0" w:type="auto"/>
          <w:jc w:val="center"/>
          <w:tblLayout w:type="fixed"/>
          <w:tblCellMar>
            <w:left w:w="340" w:type="dxa"/>
            <w:right w:w="340" w:type="dxa"/>
          </w:tblCellMar>
          <w:tblLook w:val="04A0"/>
        </w:tblPrEx>
        <w:trPr>
          <w:jc w:val="center"/>
        </w:trPr>
        <w:tc>
          <w:tcPr>
            <w:tcW w:w="9752" w:type="dxa"/>
            <w:gridSpan w:val="2"/>
          </w:tcPr>
          <w:p w:rsidR="00FA1344" w:rsidRPr="0015397B" w:rsidP="00E0449B" w14:paraId="0BA182F5" w14:textId="77777777">
            <w:pPr>
              <w:keepNext/>
            </w:pPr>
          </w:p>
        </w:tc>
      </w:tr>
      <w:tr w14:paraId="69D65D69" w14:textId="77777777" w:rsidTr="00E0449B">
        <w:tblPrEx>
          <w:tblW w:w="0" w:type="auto"/>
          <w:jc w:val="center"/>
          <w:tblLayout w:type="fixed"/>
          <w:tblCellMar>
            <w:left w:w="340" w:type="dxa"/>
            <w:right w:w="340" w:type="dxa"/>
          </w:tblCellMar>
          <w:tblLook w:val="04A0"/>
        </w:tblPrEx>
        <w:trPr>
          <w:jc w:val="center"/>
        </w:trPr>
        <w:tc>
          <w:tcPr>
            <w:tcW w:w="4876" w:type="dxa"/>
            <w:hideMark/>
          </w:tcPr>
          <w:p w:rsidR="00FA1344" w:rsidRPr="0015397B" w:rsidP="00E0449B" w14:paraId="2D028698" w14:textId="77777777">
            <w:pPr>
              <w:pStyle w:val="ColumnHeading"/>
              <w:keepNext/>
              <w:rPr>
                <w:lang w:val="en-GB"/>
              </w:rPr>
            </w:pPr>
            <w:r w:rsidRPr="0015397B">
              <w:rPr>
                <w:lang w:val="en-GB"/>
              </w:rPr>
              <w:t>Text proposed by the Commission</w:t>
            </w:r>
          </w:p>
        </w:tc>
        <w:tc>
          <w:tcPr>
            <w:tcW w:w="4876" w:type="dxa"/>
            <w:hideMark/>
          </w:tcPr>
          <w:p w:rsidR="00FA1344" w:rsidRPr="0015397B" w:rsidP="00E0449B" w14:paraId="54F22DDD" w14:textId="77777777">
            <w:pPr>
              <w:pStyle w:val="ColumnHeading"/>
              <w:keepNext/>
              <w:rPr>
                <w:lang w:val="en-GB"/>
              </w:rPr>
            </w:pPr>
            <w:r w:rsidRPr="0015397B">
              <w:rPr>
                <w:lang w:val="en-GB"/>
              </w:rPr>
              <w:t>Amendment</w:t>
            </w:r>
          </w:p>
        </w:tc>
      </w:tr>
      <w:tr w14:paraId="5101327A" w14:textId="77777777" w:rsidTr="00E0449B">
        <w:tblPrEx>
          <w:tblW w:w="0" w:type="auto"/>
          <w:jc w:val="center"/>
          <w:tblLayout w:type="fixed"/>
          <w:tblCellMar>
            <w:left w:w="340" w:type="dxa"/>
            <w:right w:w="340" w:type="dxa"/>
          </w:tblCellMar>
          <w:tblLook w:val="04A0"/>
        </w:tblPrEx>
        <w:trPr>
          <w:jc w:val="center"/>
        </w:trPr>
        <w:tc>
          <w:tcPr>
            <w:tcW w:w="4876" w:type="dxa"/>
            <w:hideMark/>
          </w:tcPr>
          <w:p w:rsidR="00FA1344" w:rsidRPr="0015397B" w:rsidP="00E0449B" w14:paraId="5FCA7516" w14:textId="77777777">
            <w:pPr>
              <w:pStyle w:val="Normal6"/>
              <w:rPr>
                <w:lang w:val="en-GB"/>
              </w:rPr>
            </w:pPr>
            <w:r w:rsidRPr="0015397B">
              <w:rPr>
                <w:lang w:val="en-GB"/>
              </w:rPr>
              <w:t>By way of derogation from paragraph 2, third subparagraph, point (d)</w:t>
            </w:r>
            <w:r w:rsidRPr="0015397B">
              <w:rPr>
                <w:b/>
                <w:i/>
                <w:lang w:val="en-GB"/>
              </w:rPr>
              <w:t>, of this Article</w:t>
            </w:r>
            <w:r w:rsidRPr="0015397B">
              <w:rPr>
                <w:lang w:val="en-GB"/>
              </w:rPr>
              <w:t xml:space="preserve">, the maximum annual reduction rate to be applied for the update of the benchmark values for heat and fuel benchmarks for the period from 2027 to 2030 shall be reduced to a percentage rate value that makes full use of the additional amount referred to in </w:t>
            </w:r>
            <w:r w:rsidRPr="0015397B">
              <w:rPr>
                <w:b/>
                <w:i/>
                <w:lang w:val="en-GB"/>
              </w:rPr>
              <w:t>Article 10a(5a)</w:t>
            </w:r>
            <w:r w:rsidRPr="0015397B">
              <w:rPr>
                <w:lang w:val="en-GB"/>
              </w:rPr>
              <w:t xml:space="preserve"> and ensures that no reduction pursuant to </w:t>
            </w:r>
            <w:r w:rsidRPr="0015397B">
              <w:rPr>
                <w:b/>
                <w:i/>
                <w:lang w:val="en-GB"/>
              </w:rPr>
              <w:t>Article 10a(5)</w:t>
            </w:r>
            <w:r w:rsidRPr="0015397B">
              <w:rPr>
                <w:lang w:val="en-GB"/>
              </w:rPr>
              <w:t xml:space="preserve"> applies.</w:t>
            </w:r>
          </w:p>
        </w:tc>
        <w:tc>
          <w:tcPr>
            <w:tcW w:w="4876" w:type="dxa"/>
            <w:hideMark/>
          </w:tcPr>
          <w:p w:rsidR="00FA1344" w:rsidRPr="0015397B" w:rsidP="00E0449B" w14:paraId="74FAB511" w14:textId="77777777">
            <w:pPr>
              <w:pStyle w:val="Normal6"/>
              <w:rPr>
                <w:szCs w:val="24"/>
                <w:lang w:val="en-GB"/>
              </w:rPr>
            </w:pPr>
            <w:r w:rsidRPr="0015397B">
              <w:rPr>
                <w:lang w:val="en-GB"/>
              </w:rPr>
              <w:t>By way of derogation from paragraph 2, third subparagraph, point (d), the maximum annual reduction rate to be applied for the update of the benchmark values for heat and fuel benchmarks for the period from 2027 to 2030 shall be reduced</w:t>
            </w:r>
            <w:r w:rsidRPr="0015397B">
              <w:rPr>
                <w:b/>
                <w:i/>
                <w:lang w:val="en-GB"/>
              </w:rPr>
              <w:t>, after considering the sector-specific benchmarks referred to in paragraph 2ba,</w:t>
            </w:r>
            <w:r w:rsidRPr="0015397B">
              <w:rPr>
                <w:lang w:val="en-GB"/>
              </w:rPr>
              <w:t xml:space="preserve"> to a percentage rate value that makes full use of the additional amount referred to in </w:t>
            </w:r>
            <w:r w:rsidRPr="0015397B">
              <w:rPr>
                <w:b/>
                <w:i/>
                <w:lang w:val="en-GB"/>
              </w:rPr>
              <w:t>paragraph 5a, and of the allowances referred to in the sixth subparagraph of paragraph 1,</w:t>
            </w:r>
            <w:r w:rsidRPr="0015397B">
              <w:rPr>
                <w:lang w:val="en-GB"/>
              </w:rPr>
              <w:t xml:space="preserve"> and ensures that no reduction pursuant to </w:t>
            </w:r>
            <w:r w:rsidRPr="0015397B">
              <w:rPr>
                <w:b/>
                <w:i/>
                <w:lang w:val="en-GB"/>
              </w:rPr>
              <w:t>paragraph 5</w:t>
            </w:r>
            <w:r w:rsidRPr="0015397B">
              <w:rPr>
                <w:lang w:val="en-GB"/>
              </w:rPr>
              <w:t xml:space="preserve"> applies.</w:t>
            </w:r>
          </w:p>
        </w:tc>
      </w:tr>
    </w:tbl>
    <w:p w:rsidR="00FA1344" w:rsidRPr="0015397B" w:rsidP="00FA1344" w14:paraId="35FA6257" w14:textId="77777777">
      <w:pPr>
        <w:rPr>
          <w:szCs w:val="24"/>
        </w:rPr>
      </w:pPr>
      <w:r w:rsidRPr="0015397B">
        <w:rPr>
          <w:rStyle w:val="HideTWBExt"/>
        </w:rPr>
        <w:t>&lt;/Amend&gt;</w:t>
      </w:r>
    </w:p>
    <w:p w:rsidR="00482028" w:rsidRPr="0015397B" w:rsidP="00482028" w14:paraId="6E89C67E" w14:textId="4741C553">
      <w:pPr>
        <w:pStyle w:val="AMNumberTabs0"/>
        <w:keepNext/>
        <w:rPr>
          <w:lang w:val="en-GB"/>
        </w:rPr>
      </w:pPr>
      <w:r w:rsidRPr="0015397B">
        <w:rPr>
          <w:rStyle w:val="HideTWBExt"/>
          <w:b w:val="0"/>
          <w:lang w:val="en-GB"/>
        </w:rPr>
        <w:t>&lt;Amend&gt;</w:t>
      </w:r>
      <w:r w:rsidRPr="0015397B">
        <w:rPr>
          <w:lang w:val="en-GB"/>
        </w:rPr>
        <w:t>Amendment</w:t>
      </w:r>
      <w:r w:rsidRPr="0015397B">
        <w:rPr>
          <w:lang w:val="en-GB"/>
        </w:rPr>
        <w:tab/>
      </w:r>
      <w:r w:rsidRPr="0015397B">
        <w:rPr>
          <w:lang w:val="en-GB"/>
        </w:rPr>
        <w:tab/>
      </w:r>
      <w:r w:rsidRPr="0015397B">
        <w:rPr>
          <w:rStyle w:val="HideTWBExt"/>
          <w:b w:val="0"/>
          <w:lang w:val="en-GB"/>
        </w:rPr>
        <w:t>&lt;NumAm&gt;</w:t>
      </w:r>
      <w:r w:rsidRPr="0015397B" w:rsidR="00FA1344">
        <w:rPr>
          <w:color w:val="000000"/>
          <w:lang w:val="en-GB"/>
        </w:rPr>
        <w:t>5</w:t>
      </w:r>
      <w:r w:rsidRPr="0015397B">
        <w:rPr>
          <w:rStyle w:val="HideTWBExt"/>
          <w:b w:val="0"/>
          <w:lang w:val="en-GB"/>
        </w:rPr>
        <w:t>&lt;/NumAm&gt;</w:t>
      </w:r>
    </w:p>
    <w:p w:rsidR="00482028" w:rsidRPr="0015397B" w:rsidP="00482028" w14:paraId="3690CD5B" w14:textId="77777777"/>
    <w:p w:rsidR="00482028" w:rsidRPr="0015397B" w:rsidP="00482028" w14:paraId="6C22E004" w14:textId="77777777">
      <w:pPr>
        <w:pStyle w:val="NormalBold"/>
        <w:keepNext/>
      </w:pPr>
      <w:r w:rsidRPr="0015397B">
        <w:rPr>
          <w:rStyle w:val="HideTWBExt"/>
          <w:b w:val="0"/>
        </w:rPr>
        <w:t>&lt;DocAmend&gt;</w:t>
      </w:r>
      <w:r w:rsidRPr="0015397B">
        <w:t>Proposal for a regulation</w:t>
      </w:r>
      <w:r w:rsidRPr="0015397B">
        <w:rPr>
          <w:rStyle w:val="HideTWBExt"/>
          <w:b w:val="0"/>
        </w:rPr>
        <w:t>&lt;/DocAmend&gt;</w:t>
      </w:r>
    </w:p>
    <w:p w:rsidR="00482028" w:rsidRPr="0015397B" w:rsidP="00482028" w14:paraId="10F8EFFE" w14:textId="77777777">
      <w:pPr>
        <w:pStyle w:val="NormalBold"/>
      </w:pPr>
      <w:r w:rsidRPr="0015397B">
        <w:rPr>
          <w:rStyle w:val="HideTWBExt"/>
          <w:b w:val="0"/>
        </w:rPr>
        <w:t>&lt;Article&gt;</w:t>
      </w:r>
      <w:r w:rsidRPr="0015397B">
        <w:t>Article 1 – paragraph 1 – point 1</w:t>
      </w:r>
      <w:r w:rsidRPr="0015397B">
        <w:rPr>
          <w:rStyle w:val="HideTWBExt"/>
          <w:b w:val="0"/>
        </w:rPr>
        <w:t>&lt;/Article&gt;</w:t>
      </w:r>
    </w:p>
    <w:p w:rsidR="00482028" w:rsidRPr="0015397B" w:rsidP="00482028" w14:paraId="391BA489" w14:textId="77777777">
      <w:pPr>
        <w:keepNext/>
      </w:pPr>
      <w:r w:rsidRPr="0015397B">
        <w:rPr>
          <w:rStyle w:val="HideTWBExt"/>
        </w:rPr>
        <w:t>&lt;DocAmend2&gt;</w:t>
      </w:r>
      <w:r w:rsidRPr="0015397B">
        <w:t>Directive 2003/87/EC</w:t>
      </w:r>
      <w:r w:rsidRPr="0015397B">
        <w:rPr>
          <w:rStyle w:val="HideTWBExt"/>
        </w:rPr>
        <w:t>&lt;/DocAmend2&gt;</w:t>
      </w:r>
    </w:p>
    <w:p w:rsidR="00482028" w:rsidRPr="0015397B" w:rsidP="00482028" w14:paraId="7483FD9F" w14:textId="77777777">
      <w:r w:rsidRPr="0015397B">
        <w:rPr>
          <w:rStyle w:val="HideTWBExt"/>
        </w:rPr>
        <w:t>&lt;Article2&gt;</w:t>
      </w:r>
      <w:r w:rsidRPr="0015397B">
        <w:t>Article 10a – paragraph 2b a (new)</w:t>
      </w:r>
      <w:r w:rsidRPr="0015397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96D2BD" w14:textId="77777777" w:rsidTr="00E0449B">
        <w:tblPrEx>
          <w:tblW w:w="0" w:type="auto"/>
          <w:jc w:val="center"/>
          <w:tblLayout w:type="fixed"/>
          <w:tblCellMar>
            <w:left w:w="340" w:type="dxa"/>
            <w:right w:w="340" w:type="dxa"/>
          </w:tblCellMar>
          <w:tblLook w:val="04A0"/>
        </w:tblPrEx>
        <w:trPr>
          <w:jc w:val="center"/>
        </w:trPr>
        <w:tc>
          <w:tcPr>
            <w:tcW w:w="9752" w:type="dxa"/>
            <w:gridSpan w:val="2"/>
          </w:tcPr>
          <w:p w:rsidR="00482028" w:rsidRPr="0015397B" w:rsidP="00E0449B" w14:paraId="06A5C582" w14:textId="77777777">
            <w:pPr>
              <w:keepNext/>
            </w:pPr>
          </w:p>
        </w:tc>
      </w:tr>
      <w:tr w14:paraId="75F72D9E" w14:textId="77777777" w:rsidTr="00E0449B">
        <w:tblPrEx>
          <w:tblW w:w="0" w:type="auto"/>
          <w:jc w:val="center"/>
          <w:tblLayout w:type="fixed"/>
          <w:tblCellMar>
            <w:left w:w="340" w:type="dxa"/>
            <w:right w:w="340" w:type="dxa"/>
          </w:tblCellMar>
          <w:tblLook w:val="04A0"/>
        </w:tblPrEx>
        <w:trPr>
          <w:jc w:val="center"/>
        </w:trPr>
        <w:tc>
          <w:tcPr>
            <w:tcW w:w="4876" w:type="dxa"/>
            <w:hideMark/>
          </w:tcPr>
          <w:p w:rsidR="00482028" w:rsidRPr="0015397B" w:rsidP="00E0449B" w14:paraId="551F4D36" w14:textId="77777777">
            <w:pPr>
              <w:pStyle w:val="ColumnHeading"/>
              <w:keepNext/>
              <w:rPr>
                <w:lang w:val="en-GB"/>
              </w:rPr>
            </w:pPr>
            <w:r w:rsidRPr="0015397B">
              <w:rPr>
                <w:lang w:val="en-GB"/>
              </w:rPr>
              <w:t>Text proposed by the Commission</w:t>
            </w:r>
          </w:p>
        </w:tc>
        <w:tc>
          <w:tcPr>
            <w:tcW w:w="4876" w:type="dxa"/>
            <w:hideMark/>
          </w:tcPr>
          <w:p w:rsidR="00482028" w:rsidRPr="0015397B" w:rsidP="00E0449B" w14:paraId="2CE2056F" w14:textId="77777777">
            <w:pPr>
              <w:pStyle w:val="ColumnHeading"/>
              <w:keepNext/>
              <w:rPr>
                <w:lang w:val="en-GB"/>
              </w:rPr>
            </w:pPr>
            <w:r w:rsidRPr="0015397B">
              <w:rPr>
                <w:lang w:val="en-GB"/>
              </w:rPr>
              <w:t>Amendment</w:t>
            </w:r>
          </w:p>
        </w:tc>
      </w:tr>
      <w:tr w14:paraId="7D6B87EC" w14:textId="77777777" w:rsidTr="00E0449B">
        <w:tblPrEx>
          <w:tblW w:w="0" w:type="auto"/>
          <w:jc w:val="center"/>
          <w:tblLayout w:type="fixed"/>
          <w:tblCellMar>
            <w:left w:w="340" w:type="dxa"/>
            <w:right w:w="340" w:type="dxa"/>
          </w:tblCellMar>
          <w:tblLook w:val="04A0"/>
        </w:tblPrEx>
        <w:trPr>
          <w:jc w:val="center"/>
        </w:trPr>
        <w:tc>
          <w:tcPr>
            <w:tcW w:w="4876" w:type="dxa"/>
          </w:tcPr>
          <w:p w:rsidR="00482028" w:rsidRPr="0015397B" w:rsidP="00E0449B" w14:paraId="269DEC61" w14:textId="77777777">
            <w:pPr>
              <w:pStyle w:val="Normal6"/>
              <w:rPr>
                <w:lang w:val="en-GB"/>
              </w:rPr>
            </w:pPr>
          </w:p>
        </w:tc>
        <w:tc>
          <w:tcPr>
            <w:tcW w:w="4876" w:type="dxa"/>
            <w:hideMark/>
          </w:tcPr>
          <w:p w:rsidR="00482028" w:rsidRPr="0015397B" w:rsidP="00E0449B" w14:paraId="138200F6" w14:textId="77777777">
            <w:pPr>
              <w:pStyle w:val="Normal6"/>
              <w:rPr>
                <w:szCs w:val="24"/>
                <w:lang w:val="en-GB"/>
              </w:rPr>
            </w:pPr>
            <w:r w:rsidRPr="0015397B">
              <w:rPr>
                <w:b/>
                <w:i/>
                <w:lang w:val="en-GB"/>
              </w:rPr>
              <w:t>2ba.</w:t>
            </w:r>
            <w:r w:rsidRPr="0015397B">
              <w:rPr>
                <w:b/>
                <w:i/>
                <w:lang w:val="en-GB"/>
              </w:rPr>
              <w:tab/>
              <w:t>Where the Commission identifies significant and clearly documented discrepancies between the Union-wide ex-ante fuel benchmark and the emission performance of sub-installations within a clearly identifiable industrial sector, it shall establish sector-specific sub-benchmarks under the ex-ante fuel benchmark in accordance with this paragraph.</w:t>
            </w:r>
          </w:p>
        </w:tc>
      </w:tr>
      <w:tr w14:paraId="4C01678F" w14:textId="77777777" w:rsidTr="00E0449B">
        <w:tblPrEx>
          <w:tblW w:w="0" w:type="auto"/>
          <w:jc w:val="center"/>
          <w:tblLayout w:type="fixed"/>
          <w:tblCellMar>
            <w:left w:w="340" w:type="dxa"/>
            <w:right w:w="340" w:type="dxa"/>
          </w:tblCellMar>
          <w:tblLook w:val="04A0"/>
        </w:tblPrEx>
        <w:trPr>
          <w:jc w:val="center"/>
        </w:trPr>
        <w:tc>
          <w:tcPr>
            <w:tcW w:w="4876" w:type="dxa"/>
          </w:tcPr>
          <w:p w:rsidR="00482028" w:rsidRPr="0015397B" w:rsidP="00E0449B" w14:paraId="214A6F88" w14:textId="77777777">
            <w:pPr>
              <w:pStyle w:val="Normal6"/>
              <w:rPr>
                <w:lang w:val="en-GB"/>
              </w:rPr>
            </w:pPr>
          </w:p>
        </w:tc>
        <w:tc>
          <w:tcPr>
            <w:tcW w:w="4876" w:type="dxa"/>
            <w:hideMark/>
          </w:tcPr>
          <w:p w:rsidR="00482028" w:rsidRPr="0015397B" w:rsidP="00E0449B" w14:paraId="3FA5858E" w14:textId="5563F04D">
            <w:pPr>
              <w:pStyle w:val="Normal6"/>
              <w:rPr>
                <w:szCs w:val="24"/>
                <w:lang w:val="en-GB"/>
              </w:rPr>
            </w:pPr>
            <w:r w:rsidRPr="0015397B">
              <w:rPr>
                <w:b/>
                <w:i/>
                <w:lang w:val="en-GB"/>
              </w:rPr>
              <w:t>For that purpose, no later than</w:t>
            </w:r>
            <w:r w:rsidRPr="0015397B" w:rsidR="004B73E7">
              <w:rPr>
                <w:b/>
                <w:i/>
                <w:lang w:val="en-GB"/>
              </w:rPr>
              <w:t xml:space="preserve"> …</w:t>
            </w:r>
            <w:r w:rsidRPr="0015397B">
              <w:rPr>
                <w:b/>
                <w:i/>
                <w:lang w:val="en-GB"/>
              </w:rPr>
              <w:t xml:space="preserve"> [</w:t>
            </w:r>
            <w:r w:rsidRPr="0015397B" w:rsidR="004B73E7">
              <w:rPr>
                <w:b/>
                <w:i/>
                <w:lang w:val="en-GB"/>
              </w:rPr>
              <w:t>three</w:t>
            </w:r>
            <w:r w:rsidRPr="0015397B">
              <w:rPr>
                <w:b/>
                <w:i/>
                <w:lang w:val="en-GB"/>
              </w:rPr>
              <w:t xml:space="preserve"> months from the publication of this amending Regulation]</w:t>
            </w:r>
            <w:r w:rsidRPr="0015397B" w:rsidR="004B73E7">
              <w:rPr>
                <w:b/>
                <w:i/>
                <w:lang w:val="en-GB"/>
              </w:rPr>
              <w:t>,</w:t>
            </w:r>
            <w:r w:rsidRPr="0015397B">
              <w:rPr>
                <w:b/>
                <w:i/>
                <w:lang w:val="en-GB"/>
              </w:rPr>
              <w:t xml:space="preserve"> the Commission shall supplement this Directive by providing, in the delegated acts adopted pursuant to paragraph 1, first subparagraph, the criteria for the identification of significant and clearly documented discrepancies, the sector-specific definitions of sector-specific fuel benchmarks, together with the corresponding system boundaries, and the starting point values for determining the annual reduction rate.</w:t>
            </w:r>
          </w:p>
        </w:tc>
      </w:tr>
      <w:tr w14:paraId="01373255" w14:textId="77777777" w:rsidTr="00E0449B">
        <w:tblPrEx>
          <w:tblW w:w="0" w:type="auto"/>
          <w:jc w:val="center"/>
          <w:tblLayout w:type="fixed"/>
          <w:tblCellMar>
            <w:left w:w="340" w:type="dxa"/>
            <w:right w:w="340" w:type="dxa"/>
          </w:tblCellMar>
          <w:tblLook w:val="04A0"/>
        </w:tblPrEx>
        <w:trPr>
          <w:jc w:val="center"/>
        </w:trPr>
        <w:tc>
          <w:tcPr>
            <w:tcW w:w="4876" w:type="dxa"/>
          </w:tcPr>
          <w:p w:rsidR="00482028" w:rsidRPr="0015397B" w:rsidP="00E0449B" w14:paraId="6CEEC405" w14:textId="77777777">
            <w:pPr>
              <w:pStyle w:val="Normal6"/>
              <w:rPr>
                <w:lang w:val="en-GB"/>
              </w:rPr>
            </w:pPr>
          </w:p>
        </w:tc>
        <w:tc>
          <w:tcPr>
            <w:tcW w:w="4876" w:type="dxa"/>
            <w:hideMark/>
          </w:tcPr>
          <w:p w:rsidR="00482028" w:rsidRPr="0015397B" w:rsidP="00E0449B" w14:paraId="1EE2E350" w14:textId="5AF82EEC">
            <w:pPr>
              <w:pStyle w:val="Normal6"/>
              <w:rPr>
                <w:szCs w:val="24"/>
                <w:lang w:val="en-GB"/>
              </w:rPr>
            </w:pPr>
            <w:r w:rsidRPr="0015397B">
              <w:rPr>
                <w:b/>
                <w:i/>
                <w:lang w:val="en-GB"/>
              </w:rPr>
              <w:t>By</w:t>
            </w:r>
            <w:r w:rsidRPr="0015397B" w:rsidR="004B73E7">
              <w:rPr>
                <w:b/>
                <w:i/>
                <w:lang w:val="en-GB"/>
              </w:rPr>
              <w:t xml:space="preserve"> </w:t>
            </w:r>
            <w:r w:rsidRPr="0015397B">
              <w:rPr>
                <w:b/>
                <w:i/>
                <w:lang w:val="en-GB"/>
              </w:rPr>
              <w:t>… [</w:t>
            </w:r>
            <w:r w:rsidRPr="0015397B" w:rsidR="004B73E7">
              <w:rPr>
                <w:b/>
                <w:i/>
                <w:lang w:val="en-GB"/>
              </w:rPr>
              <w:t>six</w:t>
            </w:r>
            <w:r w:rsidRPr="0015397B">
              <w:rPr>
                <w:b/>
                <w:i/>
                <w:lang w:val="en-GB"/>
              </w:rPr>
              <w:t xml:space="preserve"> months from the publication of this amending Regulation], the Commission shall determine the corresponding sub-benchmark values by means of implementing acts adopted in accordance with paragraph 2, third subparagraph</w:t>
            </w:r>
            <w:r w:rsidRPr="0015397B" w:rsidR="003D607A">
              <w:rPr>
                <w:b/>
                <w:i/>
                <w:lang w:val="en-GB"/>
              </w:rPr>
              <w:t>, of this Article</w:t>
            </w:r>
            <w:r w:rsidRPr="0015397B">
              <w:rPr>
                <w:b/>
                <w:i/>
                <w:lang w:val="en-GB"/>
              </w:rPr>
              <w:t>. Those implementing acts shall be in accordance with the criteria established by the Commission in accordance with the second subparagraph of this paragraph. Those implementing acts shall be adopted in accordance with the examination procedure referred to in Article 22a(2).</w:t>
            </w:r>
            <w:r w:rsidRPr="0015397B" w:rsidR="003D607A">
              <w:rPr>
                <w:b/>
                <w:i/>
                <w:lang w:val="en-GB"/>
              </w:rPr>
              <w:t xml:space="preserve"> </w:t>
            </w:r>
            <w:r w:rsidRPr="0015397B">
              <w:rPr>
                <w:b/>
                <w:i/>
                <w:lang w:val="en-GB"/>
              </w:rPr>
              <w:t>The sub-benchmarks referred to in the first subparagraph</w:t>
            </w:r>
            <w:r w:rsidRPr="0015397B" w:rsidR="003D607A">
              <w:rPr>
                <w:b/>
                <w:i/>
                <w:lang w:val="en-GB"/>
              </w:rPr>
              <w:t xml:space="preserve"> of this paragraph</w:t>
            </w:r>
            <w:r w:rsidRPr="0015397B">
              <w:rPr>
                <w:b/>
                <w:i/>
                <w:lang w:val="en-GB"/>
              </w:rPr>
              <w:t xml:space="preserve"> shall correspond to the average greenhouse gas emission intensity of the 10 % most efficient installations in the respective sector and shall be calculated using the same reference period, dataset and methodology as those used to determine the ex-ante fuel benchmark pursuant to paragraph 2</w:t>
            </w:r>
            <w:r w:rsidRPr="0015397B" w:rsidR="001E0C4B">
              <w:rPr>
                <w:b/>
                <w:i/>
                <w:lang w:val="en-GB"/>
              </w:rPr>
              <w:t xml:space="preserve"> of this Article</w:t>
            </w:r>
            <w:r w:rsidRPr="0015397B">
              <w:rPr>
                <w:b/>
                <w:i/>
                <w:lang w:val="en-GB"/>
              </w:rPr>
              <w:t>. As a matter of priority, and as soon as possible, the Commission shall establish such sub-benchmarks for installations whose economic activities fall within NACE codes 23.20 and 23.31 set out in Annex I to Regulation (EC) No</w:t>
            </w:r>
            <w:r w:rsidRPr="0015397B" w:rsidR="004B73E7">
              <w:rPr>
                <w:b/>
                <w:i/>
                <w:lang w:val="en-GB"/>
              </w:rPr>
              <w:t> </w:t>
            </w:r>
            <w:r w:rsidRPr="0015397B">
              <w:rPr>
                <w:b/>
                <w:i/>
                <w:lang w:val="en-GB"/>
              </w:rPr>
              <w:t>1893/2006. The Commission shall carry out open, timely and transparent consultations</w:t>
            </w:r>
            <w:r w:rsidRPr="0015397B" w:rsidR="003D607A">
              <w:rPr>
                <w:b/>
                <w:i/>
                <w:lang w:val="en-GB"/>
              </w:rPr>
              <w:t xml:space="preserve"> in sufficient time</w:t>
            </w:r>
            <w:r w:rsidRPr="0015397B">
              <w:rPr>
                <w:b/>
                <w:i/>
                <w:lang w:val="en-GB"/>
              </w:rPr>
              <w:t xml:space="preserve"> to allow evidence submitted by stakeholders to be effectively taken into account.</w:t>
            </w:r>
          </w:p>
        </w:tc>
      </w:tr>
    </w:tbl>
    <w:p w:rsidR="00482028" w:rsidRPr="0015397B" w:rsidP="00482028" w14:paraId="3D92982F" w14:textId="77777777">
      <w:pPr>
        <w:rPr>
          <w:rStyle w:val="HideTWBExt"/>
        </w:rPr>
      </w:pPr>
      <w:r w:rsidRPr="0015397B">
        <w:rPr>
          <w:rStyle w:val="HideTWBExt"/>
        </w:rPr>
        <w:t>&lt;/Amend&gt;</w:t>
      </w:r>
    </w:p>
    <w:p w:rsidR="00482028" w:rsidRPr="0015397B" w:rsidP="00482028" w14:paraId="3BE50A7C" w14:textId="77777777">
      <w:pPr>
        <w:rPr>
          <w:szCs w:val="24"/>
        </w:rPr>
      </w:pPr>
      <w:r w:rsidRPr="0015397B">
        <w:rPr>
          <w:rStyle w:val="HideTWBExt"/>
        </w:rPr>
        <w:t>&lt;/RepeatBlock-Amend&gt;</w:t>
      </w:r>
    </w:p>
    <w:p w:rsidR="00482028" w:rsidRPr="0015397B" w:rsidP="00482028" w14:paraId="5CCFF9F5" w14:textId="77777777"/>
    <w:p w:rsidR="00482028" w:rsidRPr="0015397B" w:rsidP="00C23324" w14:paraId="5FE0DE60" w14:textId="77777777">
      <w:pPr>
        <w:sectPr w:rsidSect="0015397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482028" w:rsidRPr="0015397B" w:rsidP="007041CC" w14:paraId="0C3085A7" w14:textId="58E0C99B">
      <w:pPr>
        <w:pStyle w:val="PageHeading"/>
        <w:rPr>
          <w:noProof/>
        </w:rPr>
      </w:pPr>
      <w:bookmarkStart w:id="1" w:name="FootprintPageRR"/>
      <w:bookmarkStart w:id="2" w:name="_Toc243333718"/>
      <w:r w:rsidRPr="0015397B">
        <w:rPr>
          <w:noProof/>
        </w:rPr>
        <w:t>ANNEX: DECLARATION OF INPUT</w:t>
      </w:r>
      <w:bookmarkEnd w:id="2"/>
    </w:p>
    <w:p w:rsidR="00482028" w:rsidRPr="0015397B" w:rsidP="00B31C6A" w14:paraId="33C5B86C" w14:textId="39A4A06C">
      <w:pPr>
        <w:pStyle w:val="Normal24a"/>
        <w:spacing w:after="240"/>
      </w:pPr>
      <w:r w:rsidRPr="0015397B">
        <w:rPr>
          <w:rStyle w:val="HideTWBExt"/>
        </w:rPr>
        <w:t>&lt;FootprintIntro&gt;</w:t>
      </w:r>
      <w:r w:rsidRPr="0015397B">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3"/>
      </w:r>
      <w:r w:rsidRPr="0015397B">
        <w:t>, or from representatives of public authorities of third countries, including their diplomatic missions and embassies, to be listed in this Annex pursuant to Article 8 of Annex I to the Rules of Procedure.</w:t>
      </w:r>
      <w:r w:rsidRPr="0015397B">
        <w:rPr>
          <w:rStyle w:val="HideTWBExt"/>
        </w:rPr>
        <w:t>&lt;/FootprintIntro&gt;</w:t>
      </w:r>
    </w:p>
    <w:bookmarkEnd w:id="1"/>
    <w:p w:rsidR="002346B0" w:rsidRPr="00B975BF" w:rsidP="00B975BF" w14:paraId="7A047EA2" w14:textId="7B49B843"/>
    <w:p w:rsidR="006A4D20" w:rsidRPr="00B975BF" w:rsidP="00B975BF" w14:paraId="58694CBE" w14:textId="77777777">
      <w:pPr>
        <w:sectPr w:rsidSect="006A4D2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975BF" w:rsidP="00B975BF" w14:paraId="0DE19BF6" w14:textId="10D441C1">
      <w:pPr>
        <w:pStyle w:val="PageHeading"/>
      </w:pPr>
      <w:bookmarkStart w:id="3" w:name="ProcPageRR"/>
      <w:bookmarkStart w:id="4" w:name="_Toc243333719"/>
      <w:r>
        <w:t>PROCEDURE – COMMITTEE RESPONSIBLE</w:t>
      </w:r>
      <w:bookmarkEnd w:id="4"/>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70225F16"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975BF" w14:paraId="2328D940" w14:textId="77777777">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975BF" w14:paraId="71233E85" w14:textId="77777777">
            <w:pPr>
              <w:autoSpaceDE w:val="0"/>
              <w:autoSpaceDN w:val="0"/>
              <w:adjustRightInd w:val="0"/>
              <w:rPr>
                <w:color w:val="000000"/>
                <w:sz w:val="20"/>
              </w:rPr>
            </w:pPr>
            <w:r>
              <w:rPr>
                <w:color w:val="000000"/>
                <w:sz w:val="20"/>
              </w:rPr>
              <w:t>EU Emissions Trading System: heat and fuel benchmark values for 2026–2030</w:t>
            </w:r>
          </w:p>
        </w:tc>
      </w:tr>
      <w:tr w14:paraId="76881A0A"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975BF" w14:paraId="71A6C90C" w14:textId="77777777">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975BF" w14:paraId="267BCD84" w14:textId="77777777">
            <w:pPr>
              <w:autoSpaceDE w:val="0"/>
              <w:autoSpaceDN w:val="0"/>
              <w:adjustRightInd w:val="0"/>
              <w:rPr>
                <w:color w:val="000000"/>
                <w:sz w:val="20"/>
              </w:rPr>
            </w:pPr>
            <w:r>
              <w:rPr>
                <w:color w:val="000000"/>
                <w:sz w:val="20"/>
              </w:rPr>
              <w:t>COM(2026)0619 – C10-0189/2026 – 2026/0211(COD)</w:t>
            </w:r>
          </w:p>
        </w:tc>
      </w:tr>
      <w:tr w14:paraId="358CF466"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975BF" w14:paraId="5E5BF0B6" w14:textId="77777777">
            <w:pPr>
              <w:autoSpaceDE w:val="0"/>
              <w:autoSpaceDN w:val="0"/>
              <w:adjustRightInd w:val="0"/>
              <w:rPr>
                <w:b/>
                <w:bCs/>
                <w:color w:val="000000"/>
                <w:sz w:val="20"/>
              </w:rPr>
            </w:pPr>
            <w:r>
              <w:rPr>
                <w:b/>
                <w:bCs/>
                <w:color w:val="000000"/>
                <w:sz w:val="20"/>
              </w:rPr>
              <w:t>Date submitted to Parliament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975BF" w14:paraId="082E525C" w14:textId="77777777">
            <w:pPr>
              <w:autoSpaceDE w:val="0"/>
              <w:autoSpaceDN w:val="0"/>
              <w:adjustRightInd w:val="0"/>
              <w:rPr>
                <w:color w:val="000000"/>
                <w:sz w:val="20"/>
              </w:rPr>
            </w:pPr>
            <w:r>
              <w:rPr>
                <w:color w:val="000000"/>
                <w:sz w:val="20"/>
              </w:rPr>
              <w:t>17.7.2026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975BF" w14:paraId="741A378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975BF" w14:paraId="2CD171B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975BF" w14:paraId="7A0539F2" w14:textId="77777777">
            <w:pPr>
              <w:autoSpaceDE w:val="0"/>
              <w:autoSpaceDN w:val="0"/>
              <w:adjustRightInd w:val="0"/>
              <w:rPr>
                <w:rFonts w:ascii="sans-serif" w:hAnsi="sans-serif" w:cs="sans-serif"/>
                <w:color w:val="000000"/>
              </w:rPr>
            </w:pPr>
          </w:p>
        </w:tc>
      </w:tr>
      <w:tr w14:paraId="5224A302"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975BF" w14:paraId="7B88ADB7" w14:textId="77777777">
            <w:pPr>
              <w:autoSpaceDE w:val="0"/>
              <w:autoSpaceDN w:val="0"/>
              <w:adjustRightInd w:val="0"/>
              <w:rPr>
                <w:b/>
                <w:bCs/>
                <w:color w:val="000000"/>
                <w:sz w:val="20"/>
              </w:rPr>
            </w:pPr>
            <w:r>
              <w:rPr>
                <w:b/>
                <w:bCs/>
                <w:color w:val="000000"/>
                <w:sz w:val="20"/>
              </w:rPr>
              <w:t>Committee(s) responsible</w:t>
            </w:r>
          </w:p>
          <w:p w:rsidR="00B975BF" w14:paraId="457D3C51" w14:textId="77777777">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rsidR="00B975BF" w14:paraId="707FCC8F" w14:textId="77777777">
            <w:pPr>
              <w:autoSpaceDE w:val="0"/>
              <w:autoSpaceDN w:val="0"/>
              <w:adjustRightInd w:val="0"/>
              <w:rPr>
                <w:color w:val="000000"/>
                <w:sz w:val="20"/>
              </w:rPr>
            </w:pPr>
            <w:r>
              <w:rPr>
                <w:color w:val="000000"/>
                <w:sz w:val="20"/>
              </w:rPr>
              <w:t>ENVI</w:t>
            </w:r>
          </w:p>
          <w:p w:rsidR="00B975BF" w14:paraId="71D781AF" w14:textId="77777777">
            <w:pPr>
              <w:autoSpaceDE w:val="0"/>
              <w:autoSpaceDN w:val="0"/>
              <w:adjustRightInd w:val="0"/>
              <w:rPr>
                <w:color w:val="000000"/>
                <w:sz w:val="20"/>
              </w:rPr>
            </w:pPr>
            <w:r>
              <w:rPr>
                <w:color w:val="000000"/>
                <w:sz w:val="20"/>
              </w:rPr>
              <w:t>14.9.2026</w:t>
            </w:r>
          </w:p>
        </w:tc>
        <w:tc>
          <w:tcPr>
            <w:tcW w:w="1474" w:type="dxa"/>
            <w:tcBorders>
              <w:top w:val="nil"/>
              <w:left w:val="nil"/>
              <w:bottom w:val="single" w:sz="8" w:space="0" w:color="000000"/>
              <w:right w:val="nil"/>
            </w:tcBorders>
            <w:tcMar>
              <w:top w:w="79" w:type="dxa"/>
              <w:left w:w="79" w:type="dxa"/>
              <w:bottom w:w="79" w:type="dxa"/>
              <w:right w:w="79" w:type="dxa"/>
            </w:tcMar>
          </w:tcPr>
          <w:p w:rsidR="00B975BF" w14:paraId="7396FA9A"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975BF" w14:paraId="0218D2AC"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975BF" w14:paraId="0D56B32E" w14:textId="77777777">
            <w:pPr>
              <w:autoSpaceDE w:val="0"/>
              <w:autoSpaceDN w:val="0"/>
              <w:adjustRightInd w:val="0"/>
              <w:rPr>
                <w:rFonts w:ascii="sans-serif" w:hAnsi="sans-serif" w:cs="sans-serif"/>
                <w:color w:val="000000"/>
              </w:rPr>
            </w:pPr>
          </w:p>
        </w:tc>
      </w:tr>
      <w:tr w14:paraId="1BD7CB2C"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975BF" w14:paraId="628E7681" w14:textId="77777777">
            <w:pPr>
              <w:autoSpaceDE w:val="0"/>
              <w:autoSpaceDN w:val="0"/>
              <w:adjustRightInd w:val="0"/>
              <w:rPr>
                <w:b/>
                <w:bCs/>
                <w:color w:val="000000"/>
                <w:sz w:val="20"/>
              </w:rPr>
            </w:pPr>
            <w:r>
              <w:rPr>
                <w:b/>
                <w:bCs/>
                <w:color w:val="000000"/>
                <w:sz w:val="20"/>
              </w:rPr>
              <w:t>Committees asked for opinions</w:t>
            </w:r>
          </w:p>
          <w:p w:rsidR="00B975BF" w14:paraId="0E652E46" w14:textId="77777777">
            <w:pPr>
              <w:autoSpaceDE w:val="0"/>
              <w:autoSpaceDN w:val="0"/>
              <w:adjustRightInd w:val="0"/>
              <w:rPr>
                <w:color w:val="000000"/>
                <w:sz w:val="20"/>
              </w:rPr>
            </w:pPr>
            <w:r>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975BF" w14:paraId="5AACED20" w14:textId="77777777">
            <w:pPr>
              <w:autoSpaceDE w:val="0"/>
              <w:autoSpaceDN w:val="0"/>
              <w:adjustRightInd w:val="0"/>
              <w:rPr>
                <w:color w:val="000000"/>
                <w:sz w:val="20"/>
              </w:rPr>
            </w:pPr>
            <w:r>
              <w:rPr>
                <w:color w:val="000000"/>
                <w:sz w:val="20"/>
              </w:rPr>
              <w:t>ITRE</w:t>
            </w:r>
          </w:p>
          <w:p w:rsidR="00B975BF" w14:paraId="3711B938" w14:textId="77777777">
            <w:pPr>
              <w:autoSpaceDE w:val="0"/>
              <w:autoSpaceDN w:val="0"/>
              <w:adjustRightInd w:val="0"/>
              <w:rPr>
                <w:color w:val="000000"/>
                <w:sz w:val="20"/>
              </w:rPr>
            </w:pPr>
            <w:r>
              <w:rPr>
                <w:color w:val="000000"/>
                <w:sz w:val="20"/>
              </w:rPr>
              <w:t>14.9.2026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975BF" w14:paraId="3DFB75F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975BF" w14:paraId="72E8FEF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975BF" w14:paraId="6F89FDBA" w14:textId="77777777">
            <w:pPr>
              <w:autoSpaceDE w:val="0"/>
              <w:autoSpaceDN w:val="0"/>
              <w:adjustRightInd w:val="0"/>
              <w:rPr>
                <w:rFonts w:ascii="sans-serif" w:hAnsi="sans-serif" w:cs="sans-serif"/>
                <w:color w:val="000000"/>
              </w:rPr>
            </w:pPr>
          </w:p>
        </w:tc>
      </w:tr>
      <w:tr w14:paraId="264D36A5"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975BF" w14:paraId="409A218A" w14:textId="77777777">
            <w:pPr>
              <w:autoSpaceDE w:val="0"/>
              <w:autoSpaceDN w:val="0"/>
              <w:adjustRightInd w:val="0"/>
              <w:rPr>
                <w:b/>
                <w:bCs/>
                <w:color w:val="000000"/>
                <w:sz w:val="20"/>
              </w:rPr>
            </w:pPr>
            <w:r>
              <w:rPr>
                <w:b/>
                <w:bCs/>
                <w:color w:val="000000"/>
                <w:sz w:val="20"/>
              </w:rPr>
              <w:t>Not delivering opinions</w:t>
            </w:r>
          </w:p>
          <w:p w:rsidR="00B975BF" w14:paraId="74057AB4" w14:textId="77777777">
            <w:pPr>
              <w:autoSpaceDE w:val="0"/>
              <w:autoSpaceDN w:val="0"/>
              <w:adjustRightInd w:val="0"/>
              <w:rPr>
                <w:color w:val="000000"/>
                <w:sz w:val="20"/>
              </w:rPr>
            </w:pPr>
            <w:r>
              <w:rPr>
                <w:color w:val="000000"/>
                <w:sz w:val="20"/>
              </w:rPr>
              <w:t>       Date of decision</w:t>
            </w:r>
          </w:p>
        </w:tc>
        <w:tc>
          <w:tcPr>
            <w:tcW w:w="1530" w:type="dxa"/>
            <w:tcBorders>
              <w:top w:val="nil"/>
              <w:left w:val="nil"/>
              <w:bottom w:val="single" w:sz="8" w:space="0" w:color="000000"/>
              <w:right w:val="nil"/>
            </w:tcBorders>
            <w:tcMar>
              <w:top w:w="79" w:type="dxa"/>
              <w:left w:w="79" w:type="dxa"/>
              <w:bottom w:w="79" w:type="dxa"/>
              <w:right w:w="79" w:type="dxa"/>
            </w:tcMar>
          </w:tcPr>
          <w:p w:rsidR="00B975BF" w14:paraId="114147DA" w14:textId="77777777">
            <w:pPr>
              <w:autoSpaceDE w:val="0"/>
              <w:autoSpaceDN w:val="0"/>
              <w:adjustRightInd w:val="0"/>
              <w:rPr>
                <w:color w:val="000000"/>
                <w:sz w:val="20"/>
              </w:rPr>
            </w:pPr>
            <w:r>
              <w:rPr>
                <w:color w:val="000000"/>
                <w:sz w:val="20"/>
              </w:rPr>
              <w:t>ITRE</w:t>
            </w:r>
          </w:p>
          <w:p w:rsidR="00B975BF" w14:paraId="106E1E6F" w14:textId="77777777">
            <w:pPr>
              <w:autoSpaceDE w:val="0"/>
              <w:autoSpaceDN w:val="0"/>
              <w:adjustRightInd w:val="0"/>
              <w:rPr>
                <w:color w:val="000000"/>
                <w:sz w:val="20"/>
              </w:rPr>
            </w:pPr>
            <w:r>
              <w:rPr>
                <w:color w:val="000000"/>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B975BF" w14:paraId="6B92508E"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975BF" w14:paraId="67293552"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975BF" w14:paraId="32EF6D9F" w14:textId="77777777">
            <w:pPr>
              <w:autoSpaceDE w:val="0"/>
              <w:autoSpaceDN w:val="0"/>
              <w:adjustRightInd w:val="0"/>
              <w:rPr>
                <w:rFonts w:ascii="sans-serif" w:hAnsi="sans-serif" w:cs="sans-serif"/>
                <w:color w:val="000000"/>
              </w:rPr>
            </w:pPr>
          </w:p>
        </w:tc>
      </w:tr>
      <w:tr w14:paraId="2474E857"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975BF" w14:paraId="7B360F29" w14:textId="77777777">
            <w:pPr>
              <w:autoSpaceDE w:val="0"/>
              <w:autoSpaceDN w:val="0"/>
              <w:adjustRightInd w:val="0"/>
              <w:rPr>
                <w:b/>
                <w:bCs/>
                <w:color w:val="000000"/>
                <w:sz w:val="20"/>
              </w:rPr>
            </w:pPr>
            <w:r>
              <w:rPr>
                <w:b/>
                <w:bCs/>
                <w:color w:val="000000"/>
                <w:sz w:val="20"/>
              </w:rPr>
              <w:t>Rapporteurs</w:t>
            </w:r>
          </w:p>
          <w:p w:rsidR="00B975BF" w14:paraId="63F09313" w14:textId="77777777">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975BF" w14:paraId="1F47316C" w14:textId="77777777">
            <w:pPr>
              <w:autoSpaceDE w:val="0"/>
              <w:autoSpaceDN w:val="0"/>
              <w:adjustRightInd w:val="0"/>
              <w:rPr>
                <w:color w:val="000000"/>
                <w:sz w:val="20"/>
              </w:rPr>
            </w:pPr>
            <w:r>
              <w:rPr>
                <w:color w:val="000000"/>
                <w:sz w:val="20"/>
              </w:rPr>
              <w:t>Adam Jarubas</w:t>
            </w:r>
          </w:p>
          <w:p w:rsidR="00B975BF" w14:paraId="093FB6D5" w14:textId="77777777">
            <w:pPr>
              <w:autoSpaceDE w:val="0"/>
              <w:autoSpaceDN w:val="0"/>
              <w:adjustRightInd w:val="0"/>
              <w:rPr>
                <w:color w:val="000000"/>
                <w:sz w:val="20"/>
              </w:rPr>
            </w:pPr>
            <w:r>
              <w:rPr>
                <w:color w:val="000000"/>
                <w:sz w:val="20"/>
              </w:rPr>
              <w:t>2.9.2026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975BF" w14:paraId="6C55BE8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975BF" w14:paraId="307A2C6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975BF" w14:paraId="5A059D6B" w14:textId="77777777">
            <w:pPr>
              <w:autoSpaceDE w:val="0"/>
              <w:autoSpaceDN w:val="0"/>
              <w:adjustRightInd w:val="0"/>
              <w:rPr>
                <w:rFonts w:ascii="sans-serif" w:hAnsi="sans-serif" w:cs="sans-serif"/>
                <w:color w:val="000000"/>
              </w:rPr>
            </w:pPr>
          </w:p>
        </w:tc>
      </w:tr>
      <w:tr w14:paraId="1F33ED08"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975BF" w14:paraId="34021C9C" w14:textId="77777777">
            <w:pPr>
              <w:autoSpaceDE w:val="0"/>
              <w:autoSpaceDN w:val="0"/>
              <w:adjustRightInd w:val="0"/>
              <w:rPr>
                <w:b/>
                <w:bCs/>
                <w:color w:val="000000"/>
                <w:sz w:val="20"/>
              </w:rPr>
            </w:pPr>
            <w:r>
              <w:rPr>
                <w:b/>
                <w:bCs/>
                <w:color w:val="000000"/>
                <w:sz w:val="20"/>
              </w:rPr>
              <w:t>Simplified procedure - date of decision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975BF" w14:paraId="50105FB1" w14:textId="77777777">
            <w:pPr>
              <w:autoSpaceDE w:val="0"/>
              <w:autoSpaceDN w:val="0"/>
              <w:adjustRightInd w:val="0"/>
              <w:rPr>
                <w:color w:val="000000"/>
                <w:sz w:val="20"/>
              </w:rPr>
            </w:pPr>
            <w:r>
              <w:rPr>
                <w:color w:val="000000"/>
                <w:sz w:val="20"/>
              </w:rPr>
              <w:t>1.9.2026</w:t>
            </w:r>
          </w:p>
        </w:tc>
      </w:tr>
      <w:tr w14:paraId="08D88B27"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975BF" w14:paraId="26191CAE"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975BF" w14:paraId="2C6E11B5" w14:textId="77777777">
            <w:pPr>
              <w:autoSpaceDE w:val="0"/>
              <w:autoSpaceDN w:val="0"/>
              <w:adjustRightInd w:val="0"/>
              <w:rPr>
                <w:color w:val="000000"/>
                <w:sz w:val="20"/>
              </w:rPr>
            </w:pPr>
            <w:r>
              <w:rPr>
                <w:color w:val="000000"/>
                <w:sz w:val="20"/>
              </w:rPr>
              <w:t>19.10.2026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975BF" w14:paraId="15AA2612"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975BF" w14:paraId="3B8347C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975BF" w14:paraId="36662CFC" w14:textId="77777777">
            <w:pPr>
              <w:autoSpaceDE w:val="0"/>
              <w:autoSpaceDN w:val="0"/>
              <w:adjustRightInd w:val="0"/>
              <w:rPr>
                <w:rFonts w:ascii="sans-serif" w:hAnsi="sans-serif" w:cs="sans-serif"/>
                <w:color w:val="000000"/>
              </w:rPr>
            </w:pPr>
          </w:p>
        </w:tc>
      </w:tr>
      <w:tr w14:paraId="438D7901"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975BF" w14:paraId="765F1535"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975BF" w14:paraId="38BD7B61" w14:textId="77777777">
            <w:pPr>
              <w:autoSpaceDE w:val="0"/>
              <w:autoSpaceDN w:val="0"/>
              <w:adjustRightInd w:val="0"/>
              <w:rPr>
                <w:color w:val="000000"/>
                <w:sz w:val="20"/>
              </w:rPr>
            </w:pPr>
            <w:r>
              <w:rPr>
                <w:color w:val="000000"/>
                <w:sz w:val="20"/>
              </w:rPr>
              <w:t>+:</w:t>
            </w:r>
          </w:p>
          <w:p w:rsidR="00B975BF" w14:paraId="58330C15" w14:textId="77777777">
            <w:pPr>
              <w:autoSpaceDE w:val="0"/>
              <w:autoSpaceDN w:val="0"/>
              <w:adjustRightInd w:val="0"/>
              <w:rPr>
                <w:color w:val="000000"/>
                <w:sz w:val="20"/>
              </w:rPr>
            </w:pPr>
            <w:r>
              <w:rPr>
                <w:color w:val="000000"/>
                <w:sz w:val="20"/>
              </w:rPr>
              <w:t>–:</w:t>
            </w:r>
          </w:p>
          <w:p w:rsidR="00B975BF" w14:paraId="39636549"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975BF" w14:paraId="35316B53" w14:textId="77777777">
            <w:pPr>
              <w:autoSpaceDE w:val="0"/>
              <w:autoSpaceDN w:val="0"/>
              <w:adjustRightInd w:val="0"/>
              <w:rPr>
                <w:color w:val="000000"/>
                <w:sz w:val="20"/>
              </w:rPr>
            </w:pPr>
            <w:r>
              <w:rPr>
                <w:color w:val="000000"/>
                <w:sz w:val="20"/>
              </w:rPr>
              <w:t>64</w:t>
            </w:r>
          </w:p>
          <w:p w:rsidR="00B975BF" w14:paraId="43EF25C5" w14:textId="77777777">
            <w:pPr>
              <w:autoSpaceDE w:val="0"/>
              <w:autoSpaceDN w:val="0"/>
              <w:adjustRightInd w:val="0"/>
              <w:rPr>
                <w:color w:val="000000"/>
                <w:sz w:val="20"/>
              </w:rPr>
            </w:pPr>
            <w:r>
              <w:rPr>
                <w:color w:val="000000"/>
                <w:sz w:val="20"/>
              </w:rPr>
              <w:t>11</w:t>
            </w:r>
          </w:p>
          <w:p w:rsidR="00B975BF" w14:paraId="4888CF82" w14:textId="77777777">
            <w:pPr>
              <w:autoSpaceDE w:val="0"/>
              <w:autoSpaceDN w:val="0"/>
              <w:adjustRightInd w:val="0"/>
              <w:rPr>
                <w:color w:val="000000"/>
                <w:sz w:val="20"/>
              </w:rPr>
            </w:pPr>
            <w:r>
              <w:rPr>
                <w:color w:val="000000"/>
                <w:sz w:val="20"/>
              </w:rPr>
              <w:t>2</w:t>
            </w:r>
          </w:p>
        </w:tc>
      </w:tr>
      <w:tr w14:paraId="1556332E"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975BF" w14:paraId="2567FFD8" w14:textId="77777777">
            <w:pPr>
              <w:autoSpaceDE w:val="0"/>
              <w:autoSpaceDN w:val="0"/>
              <w:adjustRightInd w:val="0"/>
              <w:rPr>
                <w:b/>
                <w:bCs/>
                <w:color w:val="000000"/>
                <w:sz w:val="20"/>
              </w:rPr>
            </w:pPr>
            <w:r>
              <w:rPr>
                <w:b/>
                <w:bCs/>
                <w:color w:val="000000"/>
                <w:sz w:val="20"/>
              </w:rPr>
              <w:t>Date tabled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975BF" w14:paraId="21CECB33" w14:textId="77777777">
            <w:pPr>
              <w:autoSpaceDE w:val="0"/>
              <w:autoSpaceDN w:val="0"/>
              <w:adjustRightInd w:val="0"/>
              <w:rPr>
                <w:color w:val="000000"/>
                <w:sz w:val="20"/>
              </w:rPr>
            </w:pPr>
            <w:r>
              <w:rPr>
                <w:color w:val="000000"/>
                <w:sz w:val="20"/>
              </w:rPr>
              <w:t>19.10.2026</w:t>
            </w:r>
          </w:p>
        </w:tc>
      </w:tr>
    </w:tbl>
    <w:p w:rsidR="00B975BF" w14:paraId="26F62269" w14:textId="77777777"/>
    <w:bookmarkEnd w:id="3"/>
    <w:p w:rsidR="006A4D20" w:rsidRPr="00B975BF" w:rsidP="00B975BF" w14:paraId="7FFC64D7" w14:textId="63BAD041">
      <w:pPr>
        <w:sectPr w:rsidSect="006A4D20">
          <w:pgSz w:w="11894" w:h="15840"/>
          <w:pgMar w:top="1700" w:right="1417" w:bottom="1417" w:left="1417" w:header="720" w:footer="720" w:gutter="0"/>
          <w:cols w:space="720"/>
          <w:noEndnote/>
          <w:docGrid w:linePitch="326"/>
        </w:sectPr>
      </w:pPr>
    </w:p>
    <w:p w:rsidR="006A4D20" w:rsidRPr="0015397B" w:rsidP="008B71C9" w14:paraId="64EF9B9A" w14:textId="1533B053">
      <w:pPr>
        <w:pStyle w:val="PageHeading"/>
      </w:pPr>
      <w:bookmarkStart w:id="5" w:name="RollCallPageRR"/>
      <w:bookmarkStart w:id="6" w:name="_Toc243333720"/>
      <w:r w:rsidRPr="0015397B">
        <w:rPr>
          <w:noProof/>
        </w:rPr>
        <w:t>FINAL VOTE BY ROLL CALL</w:t>
      </w:r>
      <w:r w:rsidRPr="0015397B">
        <w:rPr>
          <w:noProof/>
        </w:rPr>
        <w:br/>
        <w:t>BY THE COMMITTEE RESPONSIBLE</w:t>
      </w:r>
      <w:bookmarkEnd w:id="6"/>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4E3ADFB"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6A4D20" w:rsidRPr="0015397B" w:rsidP="00E268E4" w14:paraId="573148EC" w14:textId="1CA0DEAC">
            <w:pPr>
              <w:pStyle w:val="RollCallVotes"/>
            </w:pPr>
            <w:r w:rsidRPr="0015397B">
              <w:t>64</w:t>
            </w:r>
          </w:p>
        </w:tc>
        <w:tc>
          <w:tcPr>
            <w:tcW w:w="7371" w:type="dxa"/>
            <w:shd w:val="pct10" w:color="000000" w:fill="FFFFFF"/>
          </w:tcPr>
          <w:p w:rsidR="006A4D20" w:rsidRPr="0015397B" w:rsidP="00E268E4" w14:paraId="18C767BE" w14:textId="77777777">
            <w:pPr>
              <w:pStyle w:val="RollCallSymbols14pt"/>
            </w:pPr>
            <w:r w:rsidRPr="0015397B">
              <w:t>+</w:t>
            </w:r>
          </w:p>
        </w:tc>
      </w:tr>
      <w:tr w14:paraId="68E92DE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6A4D20" w:rsidRPr="0015397B" w:rsidP="00E268E4" w14:paraId="1D963460" w14:textId="75F11C1A">
            <w:pPr>
              <w:pStyle w:val="RollCallTable"/>
            </w:pPr>
            <w:r w:rsidRPr="0015397B">
              <w:t>ECR</w:t>
            </w:r>
          </w:p>
        </w:tc>
        <w:tc>
          <w:tcPr>
            <w:tcW w:w="7371" w:type="dxa"/>
            <w:shd w:val="clear" w:color="auto" w:fill="FFFFFF"/>
          </w:tcPr>
          <w:p w:rsidR="006A4D20" w:rsidRPr="0015397B" w:rsidP="00E268E4" w14:paraId="26641793" w14:textId="6FC97B80">
            <w:pPr>
              <w:pStyle w:val="RollCallTable"/>
            </w:pPr>
            <w:r w:rsidRPr="0015397B">
              <w:t>Sergio Berlato, Paolo Inselvini, Jacek Ozdoba, Michele Picaro, Antonella Sberna, Sander Smit, Beatrice Timgren, Aurelijus Veryga, Alexandr Vondra</w:t>
            </w:r>
          </w:p>
        </w:tc>
      </w:tr>
      <w:tr w14:paraId="3FE362C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6A4D20" w:rsidRPr="0015397B" w:rsidP="00E268E4" w14:paraId="37257BFD" w14:textId="1151ADD6">
            <w:pPr>
              <w:pStyle w:val="RollCallTable"/>
            </w:pPr>
            <w:r w:rsidRPr="0015397B">
              <w:t>ESN</w:t>
            </w:r>
          </w:p>
        </w:tc>
        <w:tc>
          <w:tcPr>
            <w:tcW w:w="7371" w:type="dxa"/>
            <w:shd w:val="clear" w:color="auto" w:fill="FFFFFF"/>
          </w:tcPr>
          <w:p w:rsidR="006A4D20" w:rsidRPr="0015397B" w:rsidP="00E268E4" w14:paraId="34125F6B" w14:textId="0586A50A">
            <w:pPr>
              <w:pStyle w:val="RollCallTable"/>
            </w:pPr>
            <w:r w:rsidRPr="0015397B">
              <w:t>Anja Arndt, Ivan David, Volker Schnurrbusch</w:t>
            </w:r>
          </w:p>
        </w:tc>
      </w:tr>
      <w:tr w14:paraId="5597575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6A4D20" w:rsidRPr="0015397B" w:rsidP="00E268E4" w14:paraId="51B29525" w14:textId="29FE49C6">
            <w:pPr>
              <w:pStyle w:val="RollCallTable"/>
            </w:pPr>
            <w:r w:rsidRPr="0015397B">
              <w:t>NI</w:t>
            </w:r>
          </w:p>
        </w:tc>
        <w:tc>
          <w:tcPr>
            <w:tcW w:w="7371" w:type="dxa"/>
            <w:shd w:val="clear" w:color="auto" w:fill="FFFFFF"/>
          </w:tcPr>
          <w:p w:rsidR="006A4D20" w:rsidRPr="0015397B" w:rsidP="00E268E4" w14:paraId="4B1090FF" w14:textId="1B60E801">
            <w:pPr>
              <w:pStyle w:val="RollCallTable"/>
            </w:pPr>
            <w:r w:rsidRPr="0015397B">
              <w:t>Fernand Kartheiser</w:t>
            </w:r>
          </w:p>
        </w:tc>
      </w:tr>
      <w:tr w14:paraId="05F19E8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6A4D20" w:rsidRPr="0015397B" w:rsidP="00E268E4" w14:paraId="5189FB70" w14:textId="215C97E9">
            <w:pPr>
              <w:pStyle w:val="RollCallTable"/>
            </w:pPr>
            <w:r w:rsidRPr="0015397B">
              <w:t>PPE</w:t>
            </w:r>
          </w:p>
        </w:tc>
        <w:tc>
          <w:tcPr>
            <w:tcW w:w="7371" w:type="dxa"/>
            <w:shd w:val="clear" w:color="auto" w:fill="FFFFFF"/>
          </w:tcPr>
          <w:p w:rsidR="006A4D20" w:rsidRPr="0015397B" w:rsidP="00E268E4" w14:paraId="357FE143" w14:textId="474C5A67">
            <w:pPr>
              <w:pStyle w:val="RollCallTable"/>
            </w:pPr>
            <w:r w:rsidRPr="0015397B">
              <w:t>Magdalena Adamowicz, Bartosz Arłukowicz, Alexander Bernhuber, Zala Černilec Tomašič, Dóra Dávid, Salvatore De Meo, Borja Giménez Larraz, Hanna Gronkiewicz-Waltz, Niels Flemming Hansen, Adam Jarubas, Seán Kelly, Sophia Kircher, Stefan Köhler, Willemien Koning, Jessica Polfjärd, Dennis Radtke, Massimiliano Salini, Oliver Schenk, Susana Solís Pérez, Liesbet Sommen, Dimitris Tsiodras, Andrea Wechsler</w:t>
            </w:r>
          </w:p>
        </w:tc>
      </w:tr>
      <w:tr w14:paraId="57EB5EC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6A4D20" w:rsidRPr="0015397B" w:rsidP="00E268E4" w14:paraId="12B74A3A" w14:textId="7BA0A667">
            <w:pPr>
              <w:pStyle w:val="RollCallTable"/>
            </w:pPr>
            <w:r w:rsidRPr="0015397B">
              <w:t>PfE</w:t>
            </w:r>
          </w:p>
        </w:tc>
        <w:tc>
          <w:tcPr>
            <w:tcW w:w="7371" w:type="dxa"/>
            <w:shd w:val="clear" w:color="auto" w:fill="FFFFFF"/>
          </w:tcPr>
          <w:p w:rsidR="006A4D20" w:rsidRPr="0015397B" w:rsidP="00E268E4" w14:paraId="1CA74413" w14:textId="5D1CA5A4">
            <w:pPr>
              <w:pStyle w:val="RollCallTable"/>
            </w:pPr>
            <w:r w:rsidRPr="0015397B">
              <w:t>Mathilde Androuët, Marie-Luce Brasier-Clain, Viktória Ferenc, Anne-Sophie Frigout, Jana Nagyová</w:t>
            </w:r>
          </w:p>
        </w:tc>
      </w:tr>
      <w:tr w14:paraId="74177A8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6A4D20" w:rsidRPr="0015397B" w:rsidP="00E268E4" w14:paraId="28D050B6" w14:textId="43C3CE41">
            <w:pPr>
              <w:pStyle w:val="RollCallTable"/>
            </w:pPr>
            <w:r w:rsidRPr="0015397B">
              <w:t>Renew</w:t>
            </w:r>
          </w:p>
        </w:tc>
        <w:tc>
          <w:tcPr>
            <w:tcW w:w="7371" w:type="dxa"/>
            <w:shd w:val="clear" w:color="auto" w:fill="FFFFFF"/>
          </w:tcPr>
          <w:p w:rsidR="006A4D20" w:rsidRPr="0015397B" w:rsidP="00E268E4" w14:paraId="5AB530A1" w14:textId="49CC655C">
            <w:pPr>
              <w:pStyle w:val="RollCallTable"/>
            </w:pPr>
            <w:r w:rsidRPr="0015397B">
              <w:t>Jeannette Baljeu, Pascal Canfin, Sigrid Friis, Gerben-Jan Gerbrandy, Martin Hojsík, Karin Karlsbro, Jan-Christoph Oetjen, Brigitte van den Berg, Emma Ytterell</w:t>
            </w:r>
          </w:p>
        </w:tc>
      </w:tr>
      <w:tr w14:paraId="1DB23F8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6A4D20" w:rsidRPr="0015397B" w:rsidP="00E268E4" w14:paraId="3F1828F8" w14:textId="5A3AE7E4">
            <w:pPr>
              <w:pStyle w:val="RollCallTable"/>
            </w:pPr>
            <w:r w:rsidRPr="0015397B">
              <w:t>S&amp;D</w:t>
            </w:r>
          </w:p>
        </w:tc>
        <w:tc>
          <w:tcPr>
            <w:tcW w:w="7371" w:type="dxa"/>
            <w:shd w:val="clear" w:color="auto" w:fill="FFFFFF"/>
          </w:tcPr>
          <w:p w:rsidR="006A4D20" w:rsidRPr="0015397B" w:rsidP="00E268E4" w14:paraId="1CE87A8D" w14:textId="26188837">
            <w:pPr>
              <w:pStyle w:val="RollCallTable"/>
            </w:pPr>
            <w:r w:rsidRPr="0015397B">
              <w:t>Vytenis Povilas Andriukaitis, Thomas Bajada, Mohammed Chahim, Annalisa Corrado, Heléne Fritzon, Romana Jerković, Pierfrancesco Maran, Ana Catarina Mendes, Alessandra Moretti, Leire Pajín, Nikos Papandreou, Thomas Pellerin-Carlin, Sandro Ruotolo, Günther Sidl, Kristian Vigenin</w:t>
            </w:r>
          </w:p>
        </w:tc>
      </w:tr>
    </w:tbl>
    <w:p w:rsidR="006A4D20" w:rsidRPr="0015397B" w:rsidP="00147FBF" w14:paraId="5493E0E5"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2BABFD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6A4D20" w:rsidRPr="0015397B" w:rsidP="00E268E4" w14:paraId="48279E70" w14:textId="1038DC51">
            <w:pPr>
              <w:pStyle w:val="RollCallVotes"/>
            </w:pPr>
            <w:r w:rsidRPr="0015397B">
              <w:t>11</w:t>
            </w:r>
          </w:p>
        </w:tc>
        <w:tc>
          <w:tcPr>
            <w:tcW w:w="7371" w:type="dxa"/>
            <w:shd w:val="pct10" w:color="000000" w:fill="FFFFFF"/>
          </w:tcPr>
          <w:p w:rsidR="006A4D20" w:rsidRPr="0015397B" w:rsidP="00E268E4" w14:paraId="32F60215" w14:textId="77777777">
            <w:pPr>
              <w:pStyle w:val="RollCallSymbols14pt"/>
            </w:pPr>
            <w:r w:rsidRPr="0015397B">
              <w:t>-</w:t>
            </w:r>
          </w:p>
        </w:tc>
      </w:tr>
      <w:tr w14:paraId="7AF73C5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6A4D20" w:rsidRPr="0015397B" w:rsidP="00E268E4" w14:paraId="715E5745" w14:textId="0C97BEC1">
            <w:pPr>
              <w:pStyle w:val="RollCallTable"/>
            </w:pPr>
            <w:r w:rsidRPr="0015397B">
              <w:t>The Left</w:t>
            </w:r>
          </w:p>
        </w:tc>
        <w:tc>
          <w:tcPr>
            <w:tcW w:w="7371" w:type="dxa"/>
            <w:shd w:val="clear" w:color="auto" w:fill="FFFFFF"/>
          </w:tcPr>
          <w:p w:rsidR="006A4D20" w:rsidRPr="0015397B" w:rsidP="00E268E4" w14:paraId="4B46ECCC" w14:textId="55432CA3">
            <w:pPr>
              <w:pStyle w:val="RollCallTable"/>
            </w:pPr>
            <w:r w:rsidRPr="0015397B">
              <w:t>Li Andersson, Per Clausen, Emma Fourreau, Martin Günther, Catarina Martins, Jonas Sjöstedt</w:t>
            </w:r>
          </w:p>
        </w:tc>
      </w:tr>
      <w:tr w14:paraId="576EBF5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6A4D20" w:rsidRPr="0015397B" w:rsidP="00E268E4" w14:paraId="441D284A" w14:textId="4EAEEB2E">
            <w:pPr>
              <w:pStyle w:val="RollCallTable"/>
            </w:pPr>
            <w:r w:rsidRPr="0015397B">
              <w:t>Verts/ALE</w:t>
            </w:r>
          </w:p>
        </w:tc>
        <w:tc>
          <w:tcPr>
            <w:tcW w:w="7371" w:type="dxa"/>
            <w:shd w:val="clear" w:color="auto" w:fill="FFFFFF"/>
          </w:tcPr>
          <w:p w:rsidR="006A4D20" w:rsidRPr="0015397B" w:rsidP="00E268E4" w14:paraId="2D9F683D" w14:textId="2781329B">
            <w:pPr>
              <w:pStyle w:val="RollCallTable"/>
            </w:pPr>
            <w:r w:rsidRPr="0015397B">
              <w:t>Pär Holmgren, Sara Matthieu, Tilly Metz, Rasmus Nordqvist, Majdouline Sbai</w:t>
            </w:r>
          </w:p>
        </w:tc>
      </w:tr>
    </w:tbl>
    <w:p w:rsidR="006A4D20" w:rsidRPr="0015397B" w:rsidP="00147FBF" w14:paraId="79D243C5"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C83391B"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6A4D20" w:rsidRPr="0015397B" w:rsidP="00E268E4" w14:paraId="127ED415" w14:textId="7DB3AD77">
            <w:pPr>
              <w:pStyle w:val="RollCallVotes"/>
            </w:pPr>
            <w:r w:rsidRPr="0015397B">
              <w:t>2</w:t>
            </w:r>
          </w:p>
        </w:tc>
        <w:tc>
          <w:tcPr>
            <w:tcW w:w="7371" w:type="dxa"/>
            <w:shd w:val="pct10" w:color="000000" w:fill="FFFFFF"/>
          </w:tcPr>
          <w:p w:rsidR="006A4D20" w:rsidRPr="0015397B" w:rsidP="00E268E4" w14:paraId="269AD251" w14:textId="77777777">
            <w:pPr>
              <w:pStyle w:val="RollCallSymbols14pt"/>
            </w:pPr>
            <w:r w:rsidRPr="0015397B">
              <w:t>0</w:t>
            </w:r>
          </w:p>
        </w:tc>
      </w:tr>
      <w:tr w14:paraId="721F899A"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6A4D20" w:rsidRPr="0015397B" w:rsidP="00E268E4" w14:paraId="713285D1" w14:textId="058314DC">
            <w:pPr>
              <w:pStyle w:val="RollCallTable"/>
            </w:pPr>
            <w:r w:rsidRPr="0015397B">
              <w:t>PfE</w:t>
            </w:r>
          </w:p>
        </w:tc>
        <w:tc>
          <w:tcPr>
            <w:tcW w:w="7371" w:type="dxa"/>
            <w:shd w:val="clear" w:color="auto" w:fill="FFFFFF"/>
          </w:tcPr>
          <w:p w:rsidR="006A4D20" w:rsidRPr="0015397B" w:rsidP="00E268E4" w14:paraId="3A4487EE" w14:textId="4A4D9080">
            <w:pPr>
              <w:pStyle w:val="RollCallTable"/>
            </w:pPr>
            <w:r w:rsidRPr="0015397B">
              <w:t>Roman Haider, Margarita de la Pisa Carrión</w:t>
            </w:r>
          </w:p>
        </w:tc>
      </w:tr>
    </w:tbl>
    <w:p w:rsidR="006A4D20" w:rsidRPr="0015397B" w:rsidP="00147FBF" w14:paraId="3EEED879" w14:textId="77777777">
      <w:pPr>
        <w:pStyle w:val="Normal12a"/>
      </w:pPr>
    </w:p>
    <w:p w:rsidR="006A4D20" w:rsidRPr="0015397B" w:rsidP="00B735E3" w14:paraId="6BF379CA" w14:textId="16158BB9">
      <w:r w:rsidRPr="0015397B">
        <w:t>Key to symbols:</w:t>
      </w:r>
    </w:p>
    <w:p w:rsidR="006A4D20" w:rsidRPr="0015397B" w:rsidP="001C6342" w14:paraId="7694206F" w14:textId="6B2578BA">
      <w:pPr>
        <w:pStyle w:val="RollCallTabs"/>
      </w:pPr>
      <w:r w:rsidRPr="0015397B">
        <w:t>+</w:t>
      </w:r>
      <w:r w:rsidRPr="0015397B">
        <w:tab/>
        <w:t>:</w:t>
      </w:r>
      <w:r w:rsidRPr="0015397B">
        <w:tab/>
        <w:t>in favour</w:t>
      </w:r>
    </w:p>
    <w:p w:rsidR="006A4D20" w:rsidRPr="0015397B" w:rsidP="001C6342" w14:paraId="2BAD2B73" w14:textId="5C3D7762">
      <w:pPr>
        <w:pStyle w:val="RollCallTabs"/>
      </w:pPr>
      <w:r w:rsidRPr="0015397B">
        <w:t>-</w:t>
      </w:r>
      <w:r w:rsidRPr="0015397B">
        <w:tab/>
        <w:t>:</w:t>
      </w:r>
      <w:r w:rsidRPr="0015397B">
        <w:tab/>
        <w:t>against</w:t>
      </w:r>
    </w:p>
    <w:p w:rsidR="006A4D20" w:rsidRPr="0015397B" w:rsidP="001C6342" w14:paraId="2D68AEA0" w14:textId="211ECE63">
      <w:pPr>
        <w:pStyle w:val="RollCallTabs"/>
      </w:pPr>
      <w:r w:rsidRPr="0015397B">
        <w:t>0</w:t>
      </w:r>
      <w:r w:rsidRPr="0015397B">
        <w:tab/>
        <w:t>:</w:t>
      </w:r>
      <w:r w:rsidRPr="0015397B">
        <w:tab/>
        <w:t>abstention</w:t>
      </w:r>
    </w:p>
    <w:bookmarkEnd w:id="5"/>
    <w:p w:rsidR="006A4D20" w:rsidRPr="0015397B" w:rsidP="006A4D20" w14:paraId="3910E68C" w14:textId="6DE152E1"/>
    <w:sectPr w:rsidSect="006A4D20">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75BF" w:rsidP="00B975BF" w14:paraId="0EA72296" w14:textId="77777777">
    <w:pPr>
      <w:pStyle w:val="EPFooter"/>
    </w:pPr>
    <w:r>
      <w:t>PE</w:t>
    </w:r>
    <w:r w:rsidRPr="00B975BF">
      <w:rPr>
        <w:rStyle w:val="HideTWBExt"/>
      </w:rPr>
      <w:t>&lt;NoPE&gt;</w:t>
    </w:r>
    <w:r>
      <w:t>796.403</w:t>
    </w:r>
    <w:r w:rsidRPr="00B975BF">
      <w:rPr>
        <w:rStyle w:val="HideTWBExt"/>
      </w:rPr>
      <w:t>&lt;/NoPE&gt;&lt;Version&gt;</w:t>
    </w:r>
    <w:r>
      <w:t>v01-00</w:t>
    </w:r>
    <w:r w:rsidRPr="00B975BF">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B975BF">
      <w:rPr>
        <w:rStyle w:val="HideTWBExt"/>
      </w:rPr>
      <w:t>&lt;PathFdR&gt;</w:t>
    </w:r>
    <w:r>
      <w:t>RR\1353115EN.docx</w:t>
    </w:r>
    <w:r w:rsidRPr="00B975BF">
      <w:rPr>
        <w:rStyle w:val="HideTWBExt"/>
      </w:rPr>
      <w:t>&lt;/PathFdR&gt;</w:t>
    </w:r>
  </w:p>
  <w:p w:rsidR="00FB52FE" w:rsidRPr="0015397B" w:rsidP="00B975BF" w14:paraId="29D58B96" w14:textId="34F8FCB4">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75BF" w:rsidP="00B975BF" w14:paraId="6830C525" w14:textId="77777777">
    <w:pPr>
      <w:pStyle w:val="EPFooter"/>
    </w:pPr>
    <w:r w:rsidRPr="00B975BF">
      <w:rPr>
        <w:rStyle w:val="HideTWBExt"/>
      </w:rPr>
      <w:t>&lt;PathFdR&gt;</w:t>
    </w:r>
    <w:r>
      <w:t>RR\1353115EN.docx</w:t>
    </w:r>
    <w:r w:rsidRPr="00B975BF">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B975BF">
      <w:rPr>
        <w:rStyle w:val="HideTWBExt"/>
      </w:rPr>
      <w:t>&lt;NoPE&gt;</w:t>
    </w:r>
    <w:r>
      <w:t>796.403</w:t>
    </w:r>
    <w:r w:rsidRPr="00B975BF">
      <w:rPr>
        <w:rStyle w:val="HideTWBExt"/>
      </w:rPr>
      <w:t>&lt;/NoPE&gt;&lt;Version&gt;</w:t>
    </w:r>
    <w:r>
      <w:t>v01-00</w:t>
    </w:r>
    <w:r w:rsidRPr="00B975BF">
      <w:rPr>
        <w:rStyle w:val="HideTWBExt"/>
      </w:rPr>
      <w:t>&lt;/Version&gt;</w:t>
    </w:r>
  </w:p>
  <w:p w:rsidR="00FB52FE" w:rsidRPr="0015397B" w:rsidP="00B975BF" w14:paraId="3CF0ADC1" w14:textId="2030B893">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75BF" w:rsidP="00B975BF" w14:paraId="700E885C" w14:textId="77777777">
    <w:pPr>
      <w:pStyle w:val="EPFooter"/>
    </w:pPr>
    <w:r w:rsidRPr="00B975BF">
      <w:rPr>
        <w:rStyle w:val="HideTWBExt"/>
      </w:rPr>
      <w:t>&lt;PathFdR&gt;</w:t>
    </w:r>
    <w:r>
      <w:t>RR\1353115EN.docx</w:t>
    </w:r>
    <w:r w:rsidRPr="00B975BF">
      <w:rPr>
        <w:rStyle w:val="HideTWBExt"/>
      </w:rPr>
      <w:t>&lt;/PathFdR&gt;</w:t>
    </w:r>
    <w:r>
      <w:tab/>
    </w:r>
    <w:r>
      <w:tab/>
      <w:t>PE</w:t>
    </w:r>
    <w:r w:rsidRPr="00B975BF">
      <w:rPr>
        <w:rStyle w:val="HideTWBExt"/>
      </w:rPr>
      <w:t>&lt;NoPE&gt;</w:t>
    </w:r>
    <w:r>
      <w:t>796.403</w:t>
    </w:r>
    <w:r w:rsidRPr="00B975BF">
      <w:rPr>
        <w:rStyle w:val="HideTWBExt"/>
      </w:rPr>
      <w:t>&lt;/NoPE&gt;&lt;Version&gt;</w:t>
    </w:r>
    <w:r>
      <w:t>v01-00</w:t>
    </w:r>
    <w:r w:rsidRPr="00B975BF">
      <w:rPr>
        <w:rStyle w:val="HideTWBExt"/>
      </w:rPr>
      <w:t>&lt;/Version&gt;</w:t>
    </w:r>
  </w:p>
  <w:p w:rsidR="00FB52FE" w:rsidRPr="0015397B" w:rsidP="00B975BF" w14:paraId="7FCD2742" w14:textId="5397AFA9">
    <w:pPr>
      <w:pStyle w:val="EPFooter2"/>
    </w:pPr>
    <w:r>
      <w:t>EN</w:t>
    </w:r>
    <w:r>
      <w:tab/>
    </w:r>
    <w:r w:rsidRPr="00B975BF">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21273" w:rsidRPr="0015397B" w14:paraId="03083043" w14:textId="77777777">
      <w:r w:rsidRPr="0015397B">
        <w:separator/>
      </w:r>
    </w:p>
  </w:footnote>
  <w:footnote w:type="continuationSeparator" w:id="1">
    <w:p w:rsidR="00321273" w:rsidRPr="0015397B" w14:paraId="1106C955" w14:textId="77777777">
      <w:r w:rsidRPr="0015397B">
        <w:continuationSeparator/>
      </w:r>
    </w:p>
  </w:footnote>
  <w:footnote w:id="2">
    <w:p w:rsidR="00141B2C" w:rsidRPr="0015397B" w:rsidP="00141B2C" w14:paraId="031F3562" w14:textId="0462EB54">
      <w:pPr>
        <w:pStyle w:val="FootnoteText"/>
        <w:ind w:left="851" w:hanging="851"/>
      </w:pPr>
      <w:r w:rsidRPr="0015397B">
        <w:rPr>
          <w:rStyle w:val="FootnoteReference"/>
        </w:rPr>
        <w:footnoteRef/>
      </w:r>
      <w:r w:rsidRPr="0015397B">
        <w:t xml:space="preserve"> </w:t>
      </w:r>
      <w:r w:rsidRPr="0015397B">
        <w:tab/>
      </w:r>
      <w:r w:rsidRPr="0015397B">
        <w:rPr>
          <w:sz w:val="24"/>
          <w:szCs w:val="24"/>
        </w:rPr>
        <w:t>[OJ C, C/2026/..., …, ELI: http://data.europa.eu/eli/C/2026/.../oj / Not yet published in the Official Journal].</w:t>
      </w:r>
    </w:p>
    <w:p w:rsidR="00141B2C" w:rsidRPr="0015397B" w:rsidP="003E6BC0" w14:paraId="029B4788" w14:textId="5F4FA4FA">
      <w:pPr>
        <w:pStyle w:val="FootnoteText"/>
        <w:ind w:left="851" w:hanging="851"/>
      </w:pPr>
    </w:p>
  </w:footnote>
  <w:footnote w:id="3">
    <w:p w:rsidR="00482028" w:rsidRPr="0015397B" w14:paraId="7BAB18F6" w14:textId="79B1BCD1">
      <w:pPr>
        <w:pStyle w:val="FootnoteText"/>
      </w:pPr>
      <w:r w:rsidRPr="0015397B">
        <w:rPr>
          <w:rStyle w:val="FootnoteReference"/>
        </w:rPr>
        <w:footnoteRef/>
      </w:r>
      <w:r w:rsidRPr="0015397B">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15397B">
          <w:rPr>
            <w:rStyle w:val="Hyperlink"/>
          </w:rPr>
          <w:t>http://data.europa.eu/eli/agree_interinstit/2021/611/oj</w:t>
        </w:r>
      </w:hyperlink>
      <w:r w:rsidRPr="0015397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75BF" w14:paraId="7F23B6D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75BF" w14:paraId="36EB5FF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75BF" w14:paraId="0DD7DF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FAF"/>
    <w:rsid w:val="00011AAB"/>
    <w:rsid w:val="00012351"/>
    <w:rsid w:val="000139E5"/>
    <w:rsid w:val="00080702"/>
    <w:rsid w:val="00084DD2"/>
    <w:rsid w:val="00084E89"/>
    <w:rsid w:val="000B62B6"/>
    <w:rsid w:val="000B7489"/>
    <w:rsid w:val="000D5F88"/>
    <w:rsid w:val="000F1096"/>
    <w:rsid w:val="000F7E0A"/>
    <w:rsid w:val="00105309"/>
    <w:rsid w:val="00120948"/>
    <w:rsid w:val="00123DD5"/>
    <w:rsid w:val="001277AE"/>
    <w:rsid w:val="00141B2C"/>
    <w:rsid w:val="00142215"/>
    <w:rsid w:val="001441AD"/>
    <w:rsid w:val="00147FBF"/>
    <w:rsid w:val="0015397B"/>
    <w:rsid w:val="001767E2"/>
    <w:rsid w:val="00187008"/>
    <w:rsid w:val="001B3829"/>
    <w:rsid w:val="001C5592"/>
    <w:rsid w:val="001C5B44"/>
    <w:rsid w:val="001C6342"/>
    <w:rsid w:val="001C6FFC"/>
    <w:rsid w:val="001D7DDF"/>
    <w:rsid w:val="001E0C4B"/>
    <w:rsid w:val="001F34A9"/>
    <w:rsid w:val="001F7C7C"/>
    <w:rsid w:val="00212B84"/>
    <w:rsid w:val="00226B9B"/>
    <w:rsid w:val="00226E83"/>
    <w:rsid w:val="002346B0"/>
    <w:rsid w:val="00246C18"/>
    <w:rsid w:val="002667C3"/>
    <w:rsid w:val="002669B6"/>
    <w:rsid w:val="00290BED"/>
    <w:rsid w:val="00292B92"/>
    <w:rsid w:val="002A099B"/>
    <w:rsid w:val="002D13EE"/>
    <w:rsid w:val="002E33EE"/>
    <w:rsid w:val="002E3CE2"/>
    <w:rsid w:val="002F40BB"/>
    <w:rsid w:val="002F4B02"/>
    <w:rsid w:val="00305CD9"/>
    <w:rsid w:val="00321273"/>
    <w:rsid w:val="00323EF8"/>
    <w:rsid w:val="003316DD"/>
    <w:rsid w:val="003506ED"/>
    <w:rsid w:val="00366A46"/>
    <w:rsid w:val="00370AC3"/>
    <w:rsid w:val="003824EE"/>
    <w:rsid w:val="003B4689"/>
    <w:rsid w:val="003C2068"/>
    <w:rsid w:val="003C37CF"/>
    <w:rsid w:val="003D607A"/>
    <w:rsid w:val="003E6BC0"/>
    <w:rsid w:val="004100B1"/>
    <w:rsid w:val="00426E47"/>
    <w:rsid w:val="00455743"/>
    <w:rsid w:val="00461601"/>
    <w:rsid w:val="00463AC9"/>
    <w:rsid w:val="00470155"/>
    <w:rsid w:val="00482028"/>
    <w:rsid w:val="004A24BF"/>
    <w:rsid w:val="004B73E7"/>
    <w:rsid w:val="004C0915"/>
    <w:rsid w:val="004D424E"/>
    <w:rsid w:val="004E27D0"/>
    <w:rsid w:val="004E42C8"/>
    <w:rsid w:val="004E733D"/>
    <w:rsid w:val="004F3FA5"/>
    <w:rsid w:val="0051271F"/>
    <w:rsid w:val="00521F46"/>
    <w:rsid w:val="00551111"/>
    <w:rsid w:val="00551123"/>
    <w:rsid w:val="00556CC1"/>
    <w:rsid w:val="00563624"/>
    <w:rsid w:val="00565A5A"/>
    <w:rsid w:val="00570A6A"/>
    <w:rsid w:val="00586E50"/>
    <w:rsid w:val="0059583D"/>
    <w:rsid w:val="005A42D9"/>
    <w:rsid w:val="005C2BEF"/>
    <w:rsid w:val="005C4198"/>
    <w:rsid w:val="005C4A67"/>
    <w:rsid w:val="005D1A99"/>
    <w:rsid w:val="005D7609"/>
    <w:rsid w:val="005D7EE8"/>
    <w:rsid w:val="005F62D9"/>
    <w:rsid w:val="00614119"/>
    <w:rsid w:val="00642325"/>
    <w:rsid w:val="00677DD5"/>
    <w:rsid w:val="0069092A"/>
    <w:rsid w:val="006A2F5D"/>
    <w:rsid w:val="006A4D20"/>
    <w:rsid w:val="006C62C7"/>
    <w:rsid w:val="006F7907"/>
    <w:rsid w:val="007041CC"/>
    <w:rsid w:val="00731B8C"/>
    <w:rsid w:val="00743189"/>
    <w:rsid w:val="007434A0"/>
    <w:rsid w:val="00743D33"/>
    <w:rsid w:val="007642D6"/>
    <w:rsid w:val="007932B3"/>
    <w:rsid w:val="00793EA9"/>
    <w:rsid w:val="007C4174"/>
    <w:rsid w:val="007D6F68"/>
    <w:rsid w:val="00823E6B"/>
    <w:rsid w:val="00826780"/>
    <w:rsid w:val="00837CCD"/>
    <w:rsid w:val="008633CC"/>
    <w:rsid w:val="00865190"/>
    <w:rsid w:val="008719B9"/>
    <w:rsid w:val="00894923"/>
    <w:rsid w:val="00894ECE"/>
    <w:rsid w:val="00896BB4"/>
    <w:rsid w:val="008A724B"/>
    <w:rsid w:val="008A7FB8"/>
    <w:rsid w:val="008B71C9"/>
    <w:rsid w:val="009022B8"/>
    <w:rsid w:val="00914537"/>
    <w:rsid w:val="00917CC4"/>
    <w:rsid w:val="00920AB4"/>
    <w:rsid w:val="00963EEB"/>
    <w:rsid w:val="00972D7A"/>
    <w:rsid w:val="009763DA"/>
    <w:rsid w:val="009975B3"/>
    <w:rsid w:val="009A216D"/>
    <w:rsid w:val="009B0326"/>
    <w:rsid w:val="009B03A3"/>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E4B71"/>
    <w:rsid w:val="00AF0416"/>
    <w:rsid w:val="00AF2006"/>
    <w:rsid w:val="00B10CB4"/>
    <w:rsid w:val="00B13D6F"/>
    <w:rsid w:val="00B23B72"/>
    <w:rsid w:val="00B31C6A"/>
    <w:rsid w:val="00B42702"/>
    <w:rsid w:val="00B43652"/>
    <w:rsid w:val="00B54EAF"/>
    <w:rsid w:val="00B57B8B"/>
    <w:rsid w:val="00B735E3"/>
    <w:rsid w:val="00B85407"/>
    <w:rsid w:val="00B856C0"/>
    <w:rsid w:val="00B95702"/>
    <w:rsid w:val="00B975BF"/>
    <w:rsid w:val="00BA5DEC"/>
    <w:rsid w:val="00BC6489"/>
    <w:rsid w:val="00BD480C"/>
    <w:rsid w:val="00BE60ED"/>
    <w:rsid w:val="00C20954"/>
    <w:rsid w:val="00C23324"/>
    <w:rsid w:val="00C42A41"/>
    <w:rsid w:val="00C47E74"/>
    <w:rsid w:val="00C57A72"/>
    <w:rsid w:val="00C73602"/>
    <w:rsid w:val="00C739CF"/>
    <w:rsid w:val="00C85D0F"/>
    <w:rsid w:val="00CA00B4"/>
    <w:rsid w:val="00CB703C"/>
    <w:rsid w:val="00CF4883"/>
    <w:rsid w:val="00CF60C8"/>
    <w:rsid w:val="00D107B4"/>
    <w:rsid w:val="00D30DE2"/>
    <w:rsid w:val="00D32924"/>
    <w:rsid w:val="00D379F5"/>
    <w:rsid w:val="00D503A3"/>
    <w:rsid w:val="00DA6ED0"/>
    <w:rsid w:val="00DC5011"/>
    <w:rsid w:val="00E0449B"/>
    <w:rsid w:val="00E171B6"/>
    <w:rsid w:val="00E268E4"/>
    <w:rsid w:val="00E72695"/>
    <w:rsid w:val="00EB1753"/>
    <w:rsid w:val="00EB2900"/>
    <w:rsid w:val="00EB6CFF"/>
    <w:rsid w:val="00EC2BB4"/>
    <w:rsid w:val="00EE2C28"/>
    <w:rsid w:val="00EE3996"/>
    <w:rsid w:val="00F0226D"/>
    <w:rsid w:val="00F03D47"/>
    <w:rsid w:val="00F05FAF"/>
    <w:rsid w:val="00F07062"/>
    <w:rsid w:val="00F23CFC"/>
    <w:rsid w:val="00F433E2"/>
    <w:rsid w:val="00F904AE"/>
    <w:rsid w:val="00F934F8"/>
    <w:rsid w:val="00FA1344"/>
    <w:rsid w:val="00FB52FE"/>
    <w:rsid w:val="00FC0A34"/>
    <w:rsid w:val="00FD0492"/>
    <w:rsid w:val="00FD1DEF"/>
    <w:rsid w:val="00FE3B3F"/>
  </w:rsids>
  <w:docVars>
    <w:docVar w:name="AMACTMNU" w:val=" 2"/>
    <w:docVar w:name="AUTHORMFPMNU" w:val=" 1"/>
    <w:docVar w:name="CJMNU" w:val="1"/>
    <w:docVar w:name="COMKEY" w:val="ENVI"/>
    <w:docVar w:name="CONTRIBUTIONMNU" w:val=" 2"/>
    <w:docVar w:name="CopyToNetwork" w:val="-1"/>
    <w:docVar w:name="CVar" w:val="1"/>
    <w:docVar w:name="DOCDT" w:val="19/10/2026"/>
    <w:docVar w:name="DOCMNU" w:val=" 1"/>
    <w:docVar w:name="EPOJMNU" w:val=" 3"/>
    <w:docVar w:name="EPSTATMNU" w:val=" 1"/>
    <w:docVar w:name="EPSTATPLURMNU" w:val=" 1"/>
    <w:docVar w:name="EVABUDGMNU" w:val=" 2"/>
    <w:docVar w:name="iNoAmend" w:val="1"/>
    <w:docVar w:name="INSTITUTIONSMNU" w:val=" 2"/>
    <w:docVar w:name="JURI1MNU" w:val=" 2"/>
    <w:docVar w:name="JURI2MNU" w:val=" 2"/>
    <w:docVar w:name="LastEditedSection" w:val=" 1"/>
    <w:docVar w:name="NVAR1" w:val="0"/>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rtlch\fcs1 \af1 \ltrch\fcs0 \v\f1\fs20\cf9\lang1024\langfe1024\noproof \sbasedon10 \spriority0 \styrsid3884785 HideTWBExt;}{\*\cs18 &#13;_x000a_\additive \v\f1\fs20\cf15 \spriority0 \styrsid3884785 HideTWBInt;}{\s19\ql \li0\ri0\sa120\nowidctlpar\wrapdefault\aspalpha\aspnum\faauto\adjustright\rin0\lin0\itap0 \rtlch\fcs1 \af0\afs20\alang1025 \ltrch\fcs0 &#13;_x000a_\fs24\lang2057\langfe2057\cgrid\langnp2057\langfenp2057 \sbasedon0 \snext19 \spriority0 \styrsid3884785 Normal6a;}{\s20\ql \li0\ri0\nowidctlpar\wrapdefault\aspalpha\aspnum\faauto\adjustright\rin0\lin0\itap0 \rtlch\fcs1 \af0\afs20\alang1025 \ltrch\fcs0 &#13;_x000a_\b\fs24\lang2057\langfe2057\cgrid\langnp2057\langfenp2057 \sbasedon0 \snext20 \spriority0 \styrsid3884785 NormalBold;}{\s21\ql \li0\ri0\sa240\nowidctlpar\wrapdefault\aspalpha\aspnum\faauto\adjustright\rin0\lin0\itap0 \rtlch\fcs1 \af0\afs20\alang1025 &#13;_x000a_\ltrch\fcs0 \i\fs24\lang2057\langfe2057\cgrid\langnp2057\langfenp2057 \sbasedon0 \snext21 \spriority0 \styrsid3884785 AmJustText;}{\s22\qc \li0\ri0\sb240\sa240\nowidctlpar\wrapdefault\aspalpha\aspnum\faauto\adjustright\rin0\lin0\itap0 \rtlch\fcs1 &#13;_x000a_\af0\afs20\alang1025 \ltrch\fcs0 \i\fs24\lang2057\langfe2057\cgrid\langnp2057\langfenp2057 \sbasedon0 \snext22 \spriority0 \styrsid3884785 AmCrossRef;}{&#13;_x000a_\s23\qc \li0\ri0\sb240\sa240\keepn\nowidctlpar\wrapdefault\aspalpha\aspnum\faauto\adjustright\rin0\lin0\itap0 \rtlch\fcs1 \af0\afs20\alang1025 \ltrch\fcs0 \i\fs24\lang2057\langfe2057\cgrid\langnp2057\langfenp2057 &#13;_x000a_\sbasedon0 \snext21 \spriority0 \styrsid3884785 AmJustTitle;}{\s24\qc \li0\ri0\sa240\nowidctlpar\wrapdefault\aspalpha\aspnum\faauto\adjustright\rin0\lin0\itap0 \rtlch\fcs1 \af0\afs20\alang1025 \ltrch\fcs0 &#13;_x000a_\i\fs24\lang2057\langfe2057\cgrid\langnp2057\langfenp2057 \sbasedon0 \snext24 \spriority0 \styrsid3884785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3884785 AmNumberTabs;}{\s26\ql \li0\ri0\sb240\nowidctlpar\wrapdefault\aspalpha\aspnum\faauto\adjustright\rin0\lin0\itap0 \rtlch\fcs1 &#13;_x000a_\af0\afs20\alang1025 \ltrch\fcs0 \b\fs24\lang2057\langfe2057\cgrid\langnp2057\langfenp2057 \sbasedon0 \snext26 \spriority0 \styrsid3884785 NormalBold12b;}}{\*\rsidtbl \rsid24658\rsid223860\rsid735077\rsid1718133\rsid2892074\rsid3565327\rsid3884785&#13;_x000a_\rsid4666813\rsid6641733\rsid6782421\rsid7823322\rsid9636012\rsid10377208\rsid11215221\rsid11549030\rsid12154954\rsid14382809\rsid14424199\rsid14632439\rsid15204470\rsid15285974\rsid15950462\rsid16324206\rsid16662270}{\mmathPr\mmathFont34\mbrkBin0&#13;_x000a_\mbrkBinSub0\msmallFrac0\mdispDef1\mlMargin0\mrMargin0\mdefJc1\mwrapIndent1440\mintLim0\mnaryLim1}{\info{\author BUNESS Sonja}{\operator BUNESS Sonja}{\creatim\yr2026\mo10\dy15\hr13\min6}{\revtim\yr2026\mo10\dy15\hr13\min6}{\version1}{\edmins0}&#13;_x000a_{\nofpages1}{\nofwords93}{\nofchars536}{\nofcharsws62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884785\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14632439 \chftnsep &#13;_x000a_\par }}{\*\ftnsepc \ltrpar \pard\plain \ltrpar\ql \li0\ri0\widctlpar\wrapdefault\aspalpha\aspnum\faauto\adjustright\rin0\lin0\itap0 \rtlch\fcs1 \af0\afs20\alang1025 \ltrch\fcs0 \fs24\lang2057\langfe2057\cgrid\langnp2057\langfenp2057 {\rtlch\fcs1 \af0 &#13;_x000a_\ltrch\fcs0 \insrsid14632439 \chftnsepc &#13;_x000a_\par }}{\*\aftnsep \ltrpar \pard\plain \ltrpar\ql \li0\ri0\widctlpar\wrapdefault\aspalpha\aspnum\faauto\adjustright\rin0\lin0\itap0 \rtlch\fcs1 \af0\afs20\alang1025 \ltrch\fcs0 \fs24\lang2057\langfe2057\cgrid\langnp2057\langfenp2057 {\rtlch\fcs1 \af0 &#13;_x000a_\ltrch\fcs0 \insrsid14632439 \chftnsep &#13;_x000a_\par }}{\*\aftnsepc \ltrpar \pard\plain \ltrpar\ql \li0\ri0\widctlpar\wrapdefault\aspalpha\aspnum\faauto\adjustright\rin0\lin0\itap0 \rtlch\fcs1 \af0\afs20\alang1025 \ltrch\fcs0 \fs24\lang2057\langfe2057\cgrid\langnp2057\langfenp2057 {\rtlch\fcs1 \af0 &#13;_x000a_\ltrch\fcs0 \insrsid1463243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1 \ltrch\fcs0 \cs17\b0\v\f1\fs20\cf9\insrsid3884785\charrsid15753135 {\*\bkmkstart restart}&lt;Amend&gt;}{\rtlch\fcs1 \af0 \ltrch\fcs0 &#13;_x000a_\insrsid3884785\charrsid15753135 Amendment\tab \tab }{\rtlch\fcs1 \af1 \ltrch\fcs0 \cs17\b0\v\f1\fs20\cf9\insrsid3884785\charrsid15753135 &lt;NumAm&gt;}{\rtlch\fcs1 \af0 \ltrch\fcs0 \insrsid3884785\charrsid15753135 #}{\rtlch\fcs1 \af1 \ltrch\fcs0 &#13;_x000a_\cs18\v\f1\fs20\cf15\insrsid3884785\charrsid15753135 ENMIENDA@NRAM@}{\rtlch\fcs1 \af0 \ltrch\fcs0 \insrsid3884785\charrsid15753135 #}{\rtlch\fcs1 \af1 \ltrch\fcs0 \cs17\b0\v\f1\fs20\cf9\insrsid3884785\charrsid15753135 &lt;/NumAm&gt;}{\rtlch\fcs1 \af0 &#13;_x000a_\ltrch\fcs0 \insrsid3884785\charrsid15753135 &#13;_x000a_\par }\pard\plain \ltrpar\s26\ql \li0\ri0\sb240\keepn\nowidctlpar\wrapdefault\aspalpha\aspnum\faauto\adjustright\rin0\lin0\itap0\pararsid2173828 \rtlch\fcs1 \af0\afs20\alang1025 \ltrch\fcs0 \b\fs24\lang2057\langfe2057\cgrid\langnp2057\langfenp2057 {&#13;_x000a_\rtlch\fcs1 \af1 \ltrch\fcs0 \cs17\b0\v\f1\fs20\cf9\insrsid3884785\charrsid15753135 &lt;DocAmend&gt;}{\rtlch\fcs1 \af0 \ltrch\fcs0 \insrsid3884785\charrsid15753135 Proposal for a #}{\rtlch\fcs1 \af1 \ltrch\fcs0 &#13;_x000a_\cs18\v\f1\fs20\cf15\insrsid3884785\charrsid15753135 MNU[DOC1][DOC2][DOC3]@DOCMSG@DOCMNU}{\rtlch\fcs1 \af0 \ltrch\fcs0 \insrsid3884785\charrsid15753135 ##}{\rtlch\fcs1 \af1 \ltrch\fcs0 \cs18\v\f1\fs20\cf15\insrsid3884785\charrsid15753135 &#13;_x000a_MNU[AMACTYES][NOTAPP]@CHOICE@AMACTMNU}{\rtlch\fcs1 \af0 \ltrch\fcs0 \insrsid3884785\charrsid15753135 #}{\rtlch\fcs1 \af1 \ltrch\fcs0 \cs17\b0\v\f1\fs20\cf9\insrsid3884785\charrsid15753135 &lt;/DocAmend&gt;}{\rtlch\fcs1 \af0 \ltrch\fcs0 &#13;_x000a_\insrsid3884785\charrsid15753135 &#13;_x000a_\par }\pard\plain \ltrpar\s20\ql \li0\ri0\keepn\nowidctlpar\wrapdefault\aspalpha\aspnum\faauto\adjustright\rin0\lin0\itap0\pararsid14315216 \rtlch\fcs1 \af0\afs20\alang1025 \ltrch\fcs0 \b\fs24\lang2057\langfe2057\cgrid\langnp2057\langfenp2057 {\rtlch\fcs1 &#13;_x000a_\af1 \ltrch\fcs0 \cs17\b0\v\f1\fs20\cf9\insrsid3884785\charrsid15753135 &lt;Article&gt;}{\rtlch\fcs1 \af0 \ltrch\fcs0 \insrsid3884785\charrsid15753135 #}{\rtlch\fcs1 \af1 \ltrch\fcs0 \cs18\v\f1\fs20\cf15\insrsid3884785\charrsid15753135 &#13;_x000a_MNU[AMACTPARTYES][AMACTPARTNO]@CHOICE@AMACTMNU}{\rtlch\fcs1 \af0 \ltrch\fcs0 \insrsid3884785\charrsid15753135 #}{\rtlch\fcs1 \af1 \ltrch\fcs0 \cs17\b0\v\f1\fs20\cf9\insrsid3884785\charrsid15753135 &lt;/Article&gt;}{\rtlch\fcs1 \af0 \ltrch\fcs0 &#13;_x000a_\insrsid3884785\charrsid15753135 &#13;_x000a_\par }\pard\plain \ltrpar\ql \li0\ri0\keepn\widctlpar\wrapdefault\aspalpha\aspnum\faauto\adjustright\rin0\lin0\itap0\pararsid1856914 \rtlch\fcs1 \af0\afs20\alang1025 \ltrch\fcs0 \fs24\lang2057\langfe2057\cgrid\langnp2057\langfenp2057 {\rtlch\fcs1 \af1 &#13;_x000a_\ltrch\fcs0 \cs17\v\f1\fs20\cf9\insrsid3884785\charrsid15753135 &lt;DocAmend2&gt;&lt;OptDel&gt;}{\rtlch\fcs1 \af0 \ltrch\fcs0 \insrsid3884785\charrsid15753135 #}{\rtlch\fcs1 \af1 \ltrch\fcs0 \cs18\v\f1\fs20\cf15\insrsid3884785\charrsid15753135 &#13;_x000a_MNU[OPTNRACTYES][NOTAPP]@CHOICE@AMACTMNU}{\rtlch\fcs1 \af0 \ltrch\fcs0 \insrsid3884785\charrsid15753135 #}{\rtlch\fcs1 \af1 \ltrch\fcs0 \cs17\v\f1\fs20\cf9\insrsid3884785\charrsid15753135 &lt;/OptDel&gt;&lt;/DocAmend2&gt;}{\rtlch\fcs1 \af0 \ltrch\fcs0 &#13;_x000a_\insrsid3884785\charrsid15753135 &#13;_x000a_\par }\pard \ltrpar\ql \li0\ri0\widctlpar\wrapdefault\aspalpha\aspnum\faauto\adjustright\rin0\lin0\itap0\pararsid2517430 {\rtlch\fcs1 \af1 \ltrch\fcs0 \cs17\v\f1\fs20\cf9\insrsid3884785\charrsid15753135 &lt;Article2&gt;&lt;OptDel&gt;}{\rtlch\fcs1 \af0 \ltrch\fcs0 &#13;_x000a_\insrsid3884785\charrsid15753135 #}{\rtlch\fcs1 \af1 \ltrch\fcs0 \cs18\v\f1\fs20\cf15\insrsid3884785\charrsid15753135 MNU[OPTACTPARTYES][NOTAPP]@CHOICE@AMACTMNU}{\rtlch\fcs1 \af0 \ltrch\fcs0 \insrsid3884785\charrsid15753135 #}{\rtlch\fcs1 \af1 &#13;_x000a_\ltrch\fcs0 \cs17\v\f1\fs20\cf9\insrsid3884785\charrsid15753135 &lt;/OptDel&gt;&lt;/Article2&gt;}{\rtlch\fcs1 \af0 \ltrch\fcs0 \insrsid3884785\charrsid15753135 &#13;_x000a_\par \ltrrow}\trowd \ltrrow\ts11\trqc\trgaph340\trleft0\trftsWidth3\trwWidth9752\trftsWidthB3\trpaddl340\trpaddr340\trpaddfl3\trpaddft3\trpaddfb3\trpaddfr3\tblrsid2517430\tblind0\tblindtype3 \clvertalt\clbrdrt\brdrtbl \clbrdrl\brdrtbl \clbrdrb\brdrtbl \clbrdrr&#13;_x000a_\brdrtbl \cltxlrtb\clftsWidth3\clwWidth9752 \cellx9752\pard\plain \ltrpar\ql \li0\ri0\keepn\widctlpar\intbl\wrapdefault\aspalpha\aspnum\faauto\adjustright\rin0\lin0\pararsid14315216 \rtlch\fcs1 \af0\afs20\alang1025 \ltrch\fcs0 &#13;_x000a_\fs24\lang2057\langfe2057\cgrid\langnp2057\langfenp2057 {\rtlch\fcs1 \af0 \ltrch\fcs0 \insrsid3884785\charrsid15753135 \cell }\pard\plain \ltrpar\ql \li0\ri0\widctlpar\intbl\wrapdefault\aspalpha\aspnum\faauto\adjustright\rin0\lin0 \rtlch\fcs1 &#13;_x000a_\af0\afs20\alang1025 \ltrch\fcs0 \fs24\lang2057\langfe2057\cgrid\langnp2057\langfenp2057 {\rtlch\fcs1 \af0 \ltrch\fcs0 \insrsid3884785\charrsid15753135 \trowd \ltrrow&#13;_x000a_\ts11\trqc\trgaph340\trleft0\trftsWidth3\trwWidth9752\trftsWidthB3\trpaddl340\trpaddr340\trpaddfl3\trpaddft3\trpaddfb3\trpaddfr3\tblrsid2517430\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2517430\tblind0\tblindtype3 \clvertalt\clbrdrt&#13;_x000a_\brdrtbl \clbrdrl\brdrtbl \clbrdrb\brdrtbl \clbrdrr\brdrtbl \cltxlrtb\clftsWidth3\clwWidth4876 \cellx4876\clvertalt\clbrdrt\brdrtbl \clbrdrl\brdrtbl \clbrdrb\brdrtbl \clbrdrr\brdrtbl \cltxlrtb\clftsWidth3\clwWidth4876 \cellx9752\pard\plain \ltrpar&#13;_x000a_\s24\qc \li0\ri0\sa240\keepn\nowidctlpar\intbl\wrapdefault\aspalpha\aspnum\faauto\adjustright\rin0\lin0\pararsid14315216 \rtlch\fcs1 \af0\afs20\alang1025 \ltrch\fcs0 \i\fs24\lang2057\langfe2057\cgrid\langnp2057\langfenp2057 {\rtlch\fcs1 \af0 \ltrch\fcs0 &#13;_x000a_\insrsid3884785\charrsid15753135 #}{\rtlch\fcs1 \af1 \ltrch\fcs0 \cs18\v\f1\fs20\cf15\insrsid3884785\charrsid15753135 MNU[OPTLEFTAMACT][LEFTPROP]@CHOICE@AMACTMNU}{\rtlch\fcs1 \af0 \ltrch\fcs0 \insrsid3884785\charrsid15753135 #\cell Amendment\cell &#13;_x000a_}\pard\plain \ltrpar\ql \li0\ri0\widctlpar\intbl\wrapdefault\aspalpha\aspnum\faauto\adjustright\rin0\lin0 \rtlch\fcs1 \af0\afs20\alang1025 \ltrch\fcs0 \fs24\lang2057\langfe2057\cgrid\langnp2057\langfenp2057 {\rtlch\fcs1 \af0 \ltrch\fcs0 &#13;_x000a_\insrsid3884785\charrsid15753135 \trowd \ltrrow\ts11\trqc\trgaph340\trleft0\trftsWidth3\trwWidth9752\trftsWidthB3\trpaddl340\trpaddr340\trpaddfl3\trpaddft3\trpaddfb3\trpaddfr3\tblrsid2517430\tblind0\tblindtype3 \clvertalt\clbrdrt\brdrtbl \clbrdrl\brdrtbl &#13;_x000a_\clbrdrb\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2517430 \rtlch\fcs1 \af0\afs20\alang1025 \ltrch\fcs0 \fs24\lang2057\langfe2057\cgrid\langnp2057\langfenp2057 {\rtlch\fcs1 \af0 \ltrch\fcs0 &#13;_x000a_\insrsid3884785\charrsid15753135 ##\cell ##}{\rtlch\fcs1 \af0\afs24 \ltrch\fcs0 \insrsid3884785\charrsid15753135 \cell }\pard\plain \ltrpar\ql \li0\ri0\widctlpar\intbl\wrapdefault\aspalpha\aspnum\faauto\adjustright\rin0\lin0 \rtlch\fcs1 &#13;_x000a_\af0\afs20\alang1025 \ltrch\fcs0 \fs24\lang2057\langfe2057\cgrid\langnp2057\langfenp2057 {\rtlch\fcs1 \af0 \ltrch\fcs0 \insrsid3884785\charrsid15753135 \trowd \lastrow \ltrrow&#13;_x000a_\ts11\trqc\trgaph340\trleft0\trftsWidth3\trwWidth9752\trftsWidthB3\trpaddl340\trpaddr340\trpaddfl3\trpaddft3\trpaddfb3\trpaddfr3\tblrsid2517430\tblind0\tblindtype3 \clvertalt\clbrdrt\brdrtbl \clbrdrl\brdrtbl \clbrdrb\brdrtbl \clbrdrr\brdrtbl &#13;_x000a_\cltxlrtb\clftsWidth3\clwWidth4876 \cellx4876\clvertalt\clbrdrt\brdrtbl \clbrdrl\brdrtbl \clbrdrb\brdrtbl \clbrdrr\brdrtbl \cltxlrtb\clftsWidth3\clwWidth4876 \cellx9752\row }\pard\plain \ltrpar&#13;_x000a_\s22\qc \li0\ri0\sb240\sa240\nowidctlpar\wrapdefault\aspalpha\aspnum\faauto\adjustright\rin0\lin0\itap0\pararsid2517430 \rtlch\fcs1 \af0\afs20\alang1025 \ltrch\fcs0 \i\fs24\lang2057\langfe2057\cgrid\langnp2057\langfenp2057 {\rtlch\fcs1 \af1 \ltrch\fcs0 &#13;_x000a_\cs17\i0\v\f1\fs20\cf9\insrsid3884785\charrsid15753135 &lt;OptDel&gt;}{\rtlch\fcs1 \af0 \ltrch\fcs0 \insrsid3884785\charrsid15753135 #}{\rtlch\fcs1 \af1 \ltrch\fcs0 \cs18\v\f1\fs20\cf15\insrsid3884785\charrsid15753135 MNU[CROSSREFNO][CROSSREFYES]@CHOICE@}{&#13;_x000a_\rtlch\fcs1 \af0 \ltrch\fcs0 \insrsid3884785\charrsid15753135 #}{\rtlch\fcs1 \af1 \ltrch\fcs0 \cs17\i0\v\f1\fs20\cf9\insrsid3884785\charrsid15753135 &lt;/OptDel&gt;}{\rtlch\fcs1 \af0 \ltrch\fcs0 \insrsid3884785\charrsid15753135 &#13;_x000a_\par }\pard\plain \ltrpar\s23\qc \li0\ri0\sb240\sa240\keepn\nowidctlpar\wrapdefault\aspalpha\aspnum\faauto\adjustright\rin0\lin0\itap0\pararsid2517430 \rtlch\fcs1 \af0\afs20\alang1025 \ltrch\fcs0 \i\fs24\lang2057\langfe2057\cgrid\langnp2057\langfenp2057 {&#13;_x000a_\rtlch\fcs1 \af1 \ltrch\fcs0 \cs17\i0\v\f1\fs20\cf9\insrsid3884785\charrsid15753135 &lt;TitreJust&gt;}{\rtlch\fcs1 \af0 \ltrch\fcs0 \insrsid3884785\charrsid15753135 Justification}{\rtlch\fcs1 \af1 \ltrch\fcs0 &#13;_x000a_\cs17\i0\v\f1\fs20\cf9\insrsid3884785\charrsid15753135 &lt;/TitreJust&gt;}{\rtlch\fcs1 \af0 \ltrch\fcs0 \insrsid3884785\charrsid15753135 &#13;_x000a_\par }\pard\plain \ltrpar\s21\ql \li0\ri0\sa240\nowidctlpar\wrapdefault\aspalpha\aspnum\faauto\adjustright\rin0\lin0\itap0\pararsid2517430 \rtlch\fcs1 \af0\afs20\alang1025 \ltrch\fcs0 \i\fs24\lang2057\langfe2057\cgrid\langnp2057\langfenp2057 {\rtlch\fcs1 \af1 &#13;_x000a_\ltrch\fcs0 \cs17\i0\v\f1\fs20\cf9\insrsid3884785\charrsid15753135 &lt;OptDelPrev&gt;}{\rtlch\fcs1 \af0 \ltrch\fcs0 \insrsid3884785\charrsid15753135 #}{\rtlch\fcs1 \af1 \ltrch\fcs0 \cs18\v\f1\fs20\cf15\insrsid3884785\charrsid15753135 &#13;_x000a_MNU[TEXTJUSTYES][TEXTJUSTNO]@CHOICE@}{\rtlch\fcs1 \af0 \ltrch\fcs0 \insrsid3884785\charrsid15753135 #}{\rtlch\fcs1 \af1 \ltrch\fcs0 \cs17\i0\v\f1\fs20\cf9\insrsid3884785\charrsid15753135 &lt;/OptDelPrev&gt;}{\rtlch\fcs1 \af0 \ltrch\fcs0 &#13;_x000a_\insrsid3884785\charrsid15753135 &#13;_x000a_\par }\pard\plain \ltrpar\ql \li0\ri0\widctlpar\wrapdefault\aspalpha\aspnum\faauto\adjustright\rin0\lin0\itap0\pararsid16324206 \rtlch\fcs1 \af0\afs20\alang1025 \ltrch\fcs0 \fs24\lang2057\langfe2057\cgrid\langnp2057\langfenp2057 {\rtlch\fcs1 \af1 \ltrch\fcs0 &#13;_x000a_\cs17\v\f1\fs20\cf9\insrsid3884785\charrsid15753135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47&#13;_x000a_082e955c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066679 HideTWBExt;}{&#13;_x000a_\s18\ql \li0\ri0\sa120\nowidctlpar\wrapdefault\aspalpha\aspnum\faauto\adjustright\rin0\lin0\itap0 \rtlch\fcs1 \af0\afs20\alang1025 \ltrch\fcs0 \fs24\lang2057\langfe2057\cgrid\langnp2057\langfenp2057 \sbasedon0 \snext18 \spriority0 \styrsid13066679 &#13;_x000a_Normal6a;}{\s19\ql \li0\ri0\nowidctlpar\wrapdefault\aspalpha\aspnum\faauto\adjustright\rin0\lin0\itap0 \rtlch\fcs1 \af0\afs20\alang1025 \ltrch\fcs0 \b\fs24\lang2057\langfe2057\cgrid\langnp2057\langfenp2057 \sbasedon0 \snext19 \spriority0 \styrsid13066679 &#13;_x000a_NormalBold;}{\s20\ql \li0\ri0\sa240\nowidctlpar\wrapdefault\aspalpha\aspnum\faauto\adjustright\rin0\lin0\itap0 \rtlch\fcs1 \af0\afs20\alang1025 \ltrch\fcs0 \i\fs24\lang2057\langfe2057\cgrid\langnp2057\langfenp2057 &#13;_x000a_\sbasedon0 \snext20 \spriority0 \styrsid13066679 AmJustText;}{\s21\qc \li0\ri0\sb240\sa240\nowidctlpar\wrapdefault\aspalpha\aspnum\faauto\adjustright\rin0\lin0\itap0 \rtlch\fcs1 \af0\afs20\alang1025 \ltrch\fcs0 &#13;_x000a_\i\fs24\lang2057\langfe2057\cgrid\langnp2057\langfenp2057 \sbasedon0 \snext21 \spriority0 \styrsid13066679 AmCrossRef;}{\s22\qc \li0\ri0\sb240\sa240\keepn\nowidctlpar\wrapdefault\aspalpha\aspnum\faauto\adjustright\rin0\lin0\itap0 \rtlch\fcs1 &#13;_x000a_\af0\afs20\alang1025 \ltrch\fcs0 \i\fs24\lang2057\langfe2057\cgrid\langnp2057\langfenp2057 \sbasedon0 \snext20 \spriority0 \styrsid13066679 AmJustTitle;}{\s23\qc \li0\ri0\sa240\nowidctlpar\wrapdefault\aspalpha\aspnum\faauto\adjustright\rin0\lin0\itap0 &#13;_x000a_\rtlch\fcs1 \af0\afs20\alang1025 \ltrch\fcs0 \i\fs24\lang2057\langfe2057\cgrid\langnp2057\langfenp2057 \sbasedon0 \snext23 \spriority0 \styrsid13066679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066679 AmNumberTabs;}{\s25\ql \li0\ri0\sb240\nowidctlpar\wrapdefault\aspalpha\aspnum\faauto\adjustright\rin0\lin0\itap0 \rtlch\fcs1 &#13;_x000a_\af0\afs20\alang1025 \ltrch\fcs0 \b\fs24\lang2057\langfe2057\cgrid\langnp2057\langfenp2057 \sbasedon0 \snext25 \spriority0 \styrsid13066679 NormalBold12b;}}{\*\rsidtbl \rsid24658\rsid223860\rsid735077\rsid1718133\rsid2892074\rsid3565327\rsid4666813&#13;_x000a_\rsid6641733\rsid6782421\rsid7823322\rsid9258203\rsid9636012\rsid10377208\rsid11215221\rsid11549030\rsid12154954\rsid13066679\rsid14382809\rsid14424199\rsid15204470\rsid15285974\rsid15950462\rsid16324206\rsid16662270}{\mmathPr\mmathFont34\mbrkBin0&#13;_x000a_\mbrkBinSub0\msmallFrac0\mdispDef1\mlMargin0\mrMargin0\mdefJc1\mwrapIndent1440\mintLim0\mnaryLim1}{\info{\author BUNESS Sonja}{\operator BUNESS Sonja}{\creatim\yr2026\mo10\dy15\hr13\min6}{\revtim\yr2026\mo10\dy15\hr13\min6}{\version1}{\edmins0}&#13;_x000a_{\nofpages1}{\nofwords54}{\nofchars313}{\nofcharsws366}{\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066679\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9258203 \chftnsep &#13;_x000a_\par }}{\*\ftnsepc \ltrpar \pard\plain \ltrpar\ql \li0\ri0\widctlpar\wrapdefault\aspalpha\aspnum\faauto\adjustright\rin0\lin0\itap0 \rtlch\fcs1 \af0\afs20\alang1025 \ltrch\fcs0 \fs24\lang2057\langfe2057\cgrid\langnp2057\langfenp2057 {\rtlch\fcs1 \af0 &#13;_x000a_\ltrch\fcs0 \insrsid9258203 \chftnsepc &#13;_x000a_\par }}{\*\aftnsep \ltrpar \pard\plain \ltrpar\ql \li0\ri0\widctlpar\wrapdefault\aspalpha\aspnum\faauto\adjustright\rin0\lin0\itap0 \rtlch\fcs1 \af0\afs20\alang1025 \ltrch\fcs0 \fs24\lang2057\langfe2057\cgrid\langnp2057\langfenp2057 {\rtlch\fcs1 \af0 &#13;_x000a_\ltrch\fcs0 \insrsid9258203 \chftnsep &#13;_x000a_\par }}{\*\aftnsepc \ltrpar \pard\plain \ltrpar\ql \li0\ri0\widctlpar\wrapdefault\aspalpha\aspnum\faauto\adjustright\rin0\lin0\itap0 \rtlch\fcs1 \af0\afs20\alang1025 \ltrch\fcs0 \fs24\lang2057\langfe2057\cgrid\langnp2057\langfenp2057 {\rtlch\fcs1 \af0 &#13;_x000a_\ltrch\fcs0 \insrsid92582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1615661 \rtlch\fcs1 &#13;_x000a_\af0\afs20\alang1025 \ltrch\fcs0 \b\fs24\lang2057\langfe2057\cgrid\langnp2057\langfenp2057 {\rtlch\fcs1 \af0 \ltrch\fcs0 \cs17\b0\v\f1\fs20\cf9\lang1030\langfe2057\langnp1030\insrsid13066679\charrsid5141309 {\*\bkmkstart restart}&lt;Amend&gt;}{\rtlch\fcs1 \af0 &#13;_x000a_\ltrch\fcs0 \lang1030\langfe2057\langnp1030\insrsid13066679\charrsid5141309 [ZAMENDMENT]\tab \tab }{\rtlch\fcs1 \af0 \ltrch\fcs0 \cs17\b0\v\f1\fs20\cf9\lang1030\langfe2057\langnp1030\insrsid13066679\charrsid5141309 &lt;NumAm&gt;}{\rtlch\fcs1 \af0 \ltrch\fcs0 &#13;_x000a_\lang1030\langfe2057\langnp1030\insrsid13066679\charrsid5141309 [ZNRAM]}{\rtlch\fcs1 \af0 \ltrch\fcs0 \cs17\b0\v\f1\fs20\cf9\lang1030\langfe2057\langnp1030\insrsid13066679\charrsid5141309 &lt;/NumAm&gt;}{\rtlch\fcs1 \af0 \ltrch\fcs0 &#13;_x000a_\lang1030\langfe2057\langnp1030\insrsid13066679\charrsid5141309 &#13;_x000a_\par }\pard\plain \ltrpar\s25\ql \li0\ri0\sb240\keepn\nowidctlpar\wrapdefault\aspalpha\aspnum\faauto\adjustright\rin0\lin0\itap0\pararsid11615661 \rtlch\fcs1 \af0\afs20\alang1025 \ltrch\fcs0 \b\fs24\lang2057\langfe2057\cgrid\langnp2057\langfenp2057 {&#13;_x000a_\rtlch\fcs1 \af0 \ltrch\fcs0 \cs17\b0\v\f1\fs20\cf9\lang1030\langfe2057\langnp1030\insrsid13066679\charrsid5141309 &lt;DocAmend&gt;}{\rtlch\fcs1 \af0 \ltrch\fcs0 \lang1030\langfe2057\langnp1030\insrsid13066679\charrsid5141309 [ZPROPOSAL][ZAMACT]}{\rtlch\fcs1 &#13;_x000a_\af0 \ltrch\fcs0 \cs17\b0\v\f1\fs20\cf9\lang1030\langfe2057\langnp1030\insrsid13066679\charrsid5141309 &lt;/DocAmend&gt;}{\rtlch\fcs1 \af0 \ltrch\fcs0 \lang1030\langfe2057\langnp1030\insrsid13066679\charrsid5141309 &#13;_x000a_\par }\pard\plain \ltrpar\s19\ql \li0\ri0\keepn\nowidctlpar\wrapdefault\aspalpha\aspnum\faauto\adjustright\rin0\lin0\itap0\pararsid11615661 \rtlch\fcs1 \af0\afs20\alang1025 \ltrch\fcs0 \b\fs24\lang2057\langfe2057\cgrid\langnp2057\langfenp2057 {\rtlch\fcs1 &#13;_x000a_\af0 \ltrch\fcs0 \cs17\b0\v\f1\fs20\cf9\lang1030\langfe2057\langnp1030\insrsid13066679\charrsid5141309 &lt;Article&gt;}{\rtlch\fcs1 \af0 \ltrch\fcs0 \lang1030\langfe2057\langnp1030\insrsid13066679\charrsid5141309 [ZAMPART]}{\rtlch\fcs1 \af0 \ltrch\fcs0 &#13;_x000a_\cs17\b0\v\f1\fs20\cf9\lang1030\langfe2057\langnp1030\insrsid13066679\charrsid5141309 &lt;/Article&gt;}{\rtlch\fcs1 \af0 \ltrch\fcs0 \lang1030\langfe2057\langnp1030\insrsid13066679\charrsid5141309 &#13;_x000a_\par }\pard\plain \ltrpar\ql \li0\ri0\keepn\widctlpar\wrapdefault\aspalpha\aspnum\faauto\adjustright\rin0\lin0\itap0\pararsid11615661 \rtlch\fcs1 \af0\afs20\alang1025 \ltrch\fcs0 \fs24\lang2057\langfe2057\cgrid\langnp2057\langfenp2057 {\rtlch\fcs1 \af0 &#13;_x000a_\ltrch\fcs0 \cs17\v\f1\fs20\cf9\lang1043\langfe2057\langnp1043\insrsid13066679\charrsid5141309 &lt;DocAmend2&gt;&lt;OptDel&gt;}{\rtlch\fcs1 \af0 \ltrch\fcs0 \lang1043\langfe2057\langnp1043\insrsid13066679\charrsid5141309 [ZNRACT]}{\rtlch\fcs1 \af0 \ltrch\fcs0 &#13;_x000a_\cs17\v\f1\fs20\cf9\lang1043\langfe2057\langnp1043\insrsid13066679\charrsid5141309 &lt;/OptDel&gt;&lt;/DocAmend2&gt;}{\rtlch\fcs1 \af0 \ltrch\fcs0 \lang1043\langfe2057\langnp1043\insrsid13066679\charrsid5141309 &#13;_x000a_\par }\pard \ltrpar\ql \li0\ri0\widctlpar\wrapdefault\aspalpha\aspnum\faauto\adjustright\rin0\lin0\itap0\pararsid11615661 {\rtlch\fcs1 \af0 \ltrch\fcs0 \cs17\v\f1\fs20\cf9\lang1036\langfe2057\langnp1036\insrsid13066679\charrsid5141309 &lt;Article2&gt;&lt;OptDel&gt;}{&#13;_x000a_\rtlch\fcs1 \af0 \ltrch\fcs0 \lang1036\langfe2057\langnp1036\insrsid13066679\charrsid5141309 [ZACTPART]}{\rtlch\fcs1 \af0 \ltrch\fcs0 \cs17\v\f1\fs20\cf9\lang1036\langfe2057\langnp1036\insrsid13066679\charrsid5141309 &lt;/OptDel&gt;&lt;/Article2&gt;}{\rtlch\fcs1 &#13;_x000a_\af0 \ltrch\fcs0 \lang1036\langfe2057\langnp1036\insrsid13066679\charrsid5141309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 \cellx9412\pard \ltrpar\ql \li0\ri0\keepn\widctlpar\intbl\wrapdefault\aspalpha\aspnum\faauto\adjustright\rin0\lin0\pararsid14315216 {\rtlch\fcs1 \af0 \ltrch\fcs0 &#13;_x000a_\lang1036\langfe2057\langnp1036\insrsid13066679\charrsid5141309 \cell }\pard \ltrpar\ql \li0\ri0\widctlpar\intbl\wrapdefault\aspalpha\aspnum\faauto\adjustright\rin0\lin0 {\rtlch\fcs1 \af0 \ltrch\fcs0 \insrsid13066679\charrsid6040559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2517430\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15216 \rtlch\fcs1 \af0\afs20\alang1025 \ltrch\fcs0 \i\fs24\lang2057\langfe2057\cgrid\langnp2057\langfenp2057 {\rtlch\fcs1 \af0 \ltrch\fcs0 &#13;_x000a_\insrsid13066679\charrsid4593153 [ZLEFT]\cell [ZRIGHT]\cell }\pard\plain \ltrpar\ql \li0\ri0\widctlpar\intbl\wrapdefault\aspalpha\aspnum\faauto\adjustright\rin0\lin0 \rtlch\fcs1 \af0\afs20\alang1025 \ltrch\fcs0 &#13;_x000a_\fs24\lang2057\langfe2057\cgrid\langnp2057\langfenp2057 {\rtlch\fcs1 \af0 \ltrch\fcs0 \insrsid13066679\charrsid4593153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2517430 \rtlch\fcs1 \af0\afs20\alang1025 \ltrch\fcs0 \fs24\lang2057\langfe2057\cgrid\langnp2057\langfenp2057 {\rtlch\fcs1 \af0 \ltrch\fcs0 &#13;_x000a_\insrsid13066679\charrsid4593153 [ZTEXTL]\cell [ZTEXTR]}{\rtlch\fcs1 \af0\afs24 \ltrch\fcs0 \insrsid13066679\charrsid4593153 \cell }\pard\plain \ltrpar\ql \li0\ri0\widctlpar\intbl\wrapdefault\aspalpha\aspnum\faauto\adjustright\rin0\lin0 \rtlch\fcs1 &#13;_x000a_\af0\afs20\alang1025 \ltrch\fcs0 \fs24\lang2057\langfe2057\cgrid\langnp2057\langfenp2057 {\rtlch\fcs1 \af0 \ltrch\fcs0 \insrsid13066679\charrsid4593153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1615661 \rtlch\fcs1 \af0\afs20\alang1025 \ltrch\fcs0 \i\fs24\lang2057\langfe2057\cgrid\langnp2057\langfenp2057 {\rtlch\fcs1 \af0 \ltrch\fcs0 &#13;_x000a_\cs17\i0\v\f1\fs20\cf9\insrsid13066679\charrsid4593153 &lt;OptDel&gt;}{\rtlch\fcs1 \af0 \ltrch\fcs0 \insrsid13066679\charrsid4593153 [ZCROSSREF]}{\rtlch\fcs1 \af0 \ltrch\fcs0 \cs17\i0\v\f1\fs20\cf9\insrsid13066679\charrsid4593153 &lt;/OptDel&gt;}{\rtlch\fcs1 \af0 &#13;_x000a_\ltrch\fcs0 \insrsid13066679\charrsid4593153 &#13;_x000a_\par }\pard\plain \ltrpar\s22\qc \li0\ri0\sb240\sa240\keepn\nowidctlpar\wrapdefault\aspalpha\aspnum\faauto\adjustright\rin0\lin0\itap0\pararsid11615661 \rtlch\fcs1 \af0\afs20\alang1025 \ltrch\fcs0 \i\fs24\lang2057\langfe2057\cgrid\langnp2057\langfenp2057 {&#13;_x000a_\rtlch\fcs1 \af0 \ltrch\fcs0 \cs17\i0\v\f1\fs20\cf9\insrsid13066679\charrsid4593153 &lt;TitreJust&gt;}{\rtlch\fcs1 \af0 \ltrch\fcs0 \insrsid13066679\charrsid4593153 [ZJUSTIFICATION]}{\rtlch\fcs1 \af0 \ltrch\fcs0 &#13;_x000a_\cs17\i0\v\f1\fs20\cf9\insrsid13066679\charrsid4593153 &lt;/TitreJust&gt;}{\rtlch\fcs1 \af0 \ltrch\fcs0 \insrsid13066679\charrsid4593153 &#13;_x000a_\par }\pard\plain \ltrpar\s20\ql \li0\ri0\sa240\nowidctlpar\wrapdefault\aspalpha\aspnum\faauto\adjustright\rin0\lin0\itap0\pararsid11615661 \rtlch\fcs1 \af0\afs20\alang1025 \ltrch\fcs0 \i\fs24\lang2057\langfe2057\cgrid\langnp2057\langfenp2057 {\rtlch\fcs1 &#13;_x000a_\af0 \ltrch\fcs0 \cs17\i0\v\f1\fs20\cf9\insrsid13066679\charrsid4593153 &lt;OptDelPrev&gt;}{\rtlch\fcs1 \af0 \ltrch\fcs0 \insrsid13066679\charrsid4593153 [ZTEXTJUST]}{\rtlch\fcs1 \af0 \ltrch\fcs0 \cs17\i0\v\f1\fs20\cf9\insrsid13066679\charrsid4593153 &#13;_x000a_&lt;/OptDelPrev&gt;}{\rtlch\fcs1 \af0 \ltrch\fcs0 \insrsid13066679\charrsid4593153 &#13;_x000a_\par }\pard\plain \ltrpar\ql \li0\ri0\widctlpar\wrapdefault\aspalpha\aspnum\faauto\adjustright\rin0\lin0\itap0\pararsid11615661 \rtlch\fcs1 \af0\afs20\alang1025 \ltrch\fcs0 \fs24\lang2057\langfe2057\cgrid\langnp2057\langfenp2057 {\rtlch\fcs1 \af0 \ltrch\fcs0 &#13;_x000a_\cs17\v\f1\fs20\cf9\insrsid13066679\charrsid4593153 &lt;/Amend&gt;}{\rtlch\fcs1 \af0 \ltrch\fcs0 \insrsid13066679\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92&#13;_x000a_c22a955c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OD_1amCom"/>
    <w:docVar w:name="strSubDir" w:val="796"/>
    <w:docVar w:name="TVTAMPART" w:val="xx"/>
    <w:docVar w:name="TXTLANGUE" w:val="EN"/>
    <w:docVar w:name="TXTLANGUEMIN" w:val="en"/>
    <w:docVar w:name="TXTNRC" w:val="xx"/>
    <w:docVar w:name="TXTNRCOD" w:val="xx"/>
    <w:docVar w:name="TXTNRCOM" w:val="(2026)0619"/>
    <w:docVar w:name="TXTNRFIRSTAM" w:val="1"/>
    <w:docVar w:name="TXTNRLASTAM" w:val="1"/>
    <w:docVar w:name="TXTNRPE" w:val="796.403"/>
    <w:docVar w:name="TXTPEorAP" w:val="PE"/>
    <w:docVar w:name="TXTROUTE" w:val="RR\796403EN.docx"/>
    <w:docVar w:name="TXTTITLE" w:val="amending Directive 2003/87/EC as regards revised benchmark values for the heat and fuel benchmarks for the period from 2026 to 2030"/>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FB74238-BB38-4F4E-A938-192E9592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styleId="Footer">
    <w:name w:val="footer"/>
    <w:basedOn w:val="Normal"/>
    <w:link w:val="FooterChar"/>
    <w:semiHidden/>
    <w:rsid w:val="00F03D47"/>
    <w:pPr>
      <w:tabs>
        <w:tab w:val="center" w:pos="4513"/>
        <w:tab w:val="right" w:pos="9026"/>
      </w:tabs>
    </w:pPr>
  </w:style>
  <w:style w:type="character" w:customStyle="1" w:styleId="FooterChar">
    <w:name w:val="Footer Char"/>
    <w:basedOn w:val="DefaultParagraphFont"/>
    <w:link w:val="Footer"/>
    <w:semiHidden/>
    <w:rsid w:val="00F03D47"/>
    <w:rPr>
      <w:sz w:val="24"/>
    </w:rPr>
  </w:style>
  <w:style w:type="paragraph" w:customStyle="1" w:styleId="Lgendesigne">
    <w:name w:val="Légende signe"/>
    <w:basedOn w:val="Normal"/>
    <w:rsid w:val="000F7E0A"/>
    <w:pPr>
      <w:tabs>
        <w:tab w:val="right" w:pos="454"/>
        <w:tab w:val="left" w:pos="737"/>
      </w:tabs>
      <w:ind w:left="737" w:hanging="737"/>
    </w:pPr>
    <w:rPr>
      <w:snapToGrid w:val="0"/>
      <w:sz w:val="18"/>
      <w:lang w:eastAsia="en-US"/>
    </w:rPr>
  </w:style>
  <w:style w:type="paragraph" w:customStyle="1" w:styleId="Lgendetitre">
    <w:name w:val="Légende titre"/>
    <w:basedOn w:val="Normal"/>
    <w:rsid w:val="000F7E0A"/>
    <w:pPr>
      <w:spacing w:before="240" w:after="240"/>
    </w:pPr>
    <w:rPr>
      <w:b/>
      <w:i/>
      <w:snapToGrid w:val="0"/>
      <w:lang w:eastAsia="en-US"/>
    </w:rPr>
  </w:style>
  <w:style w:type="paragraph" w:customStyle="1" w:styleId="Lgendestandard">
    <w:name w:val="Légende standard"/>
    <w:basedOn w:val="Normal"/>
    <w:rsid w:val="000F7E0A"/>
    <w:rPr>
      <w:sz w:val="18"/>
    </w:rPr>
  </w:style>
  <w:style w:type="paragraph" w:styleId="Revision">
    <w:name w:val="Revision"/>
    <w:hidden/>
    <w:uiPriority w:val="99"/>
    <w:semiHidden/>
    <w:rsid w:val="007642D6"/>
    <w:rPr>
      <w:sz w:val="24"/>
    </w:rPr>
  </w:style>
  <w:style w:type="character" w:customStyle="1" w:styleId="Normal6Char">
    <w:name w:val="Normal6 Char"/>
    <w:basedOn w:val="DefaultParagraphFont"/>
    <w:link w:val="Normal6"/>
    <w:locked/>
    <w:rsid w:val="007642D6"/>
    <w:rPr>
      <w:sz w:val="24"/>
      <w:lang w:val="fr-FR"/>
    </w:rPr>
  </w:style>
  <w:style w:type="paragraph" w:customStyle="1" w:styleId="Normal6">
    <w:name w:val="Normal6"/>
    <w:basedOn w:val="Normal"/>
    <w:link w:val="Normal6Char"/>
    <w:rsid w:val="007642D6"/>
    <w:pPr>
      <w:spacing w:after="120"/>
    </w:pPr>
    <w:rPr>
      <w:lang w:val="fr-FR"/>
    </w:rPr>
  </w:style>
  <w:style w:type="character" w:customStyle="1" w:styleId="NormalBoldChar">
    <w:name w:val="NormalBold Char"/>
    <w:basedOn w:val="DefaultParagraphFont"/>
    <w:link w:val="NormalBold"/>
    <w:locked/>
    <w:rsid w:val="007642D6"/>
    <w:rPr>
      <w:b/>
      <w:sz w:val="24"/>
    </w:rPr>
  </w:style>
  <w:style w:type="paragraph" w:customStyle="1" w:styleId="ColumnHeading">
    <w:name w:val="ColumnHeading"/>
    <w:basedOn w:val="Normal"/>
    <w:rsid w:val="007642D6"/>
    <w:pPr>
      <w:spacing w:after="240"/>
      <w:jc w:val="center"/>
    </w:pPr>
    <w:rPr>
      <w:i/>
      <w:lang w:val="fr-FR"/>
    </w:rPr>
  </w:style>
  <w:style w:type="paragraph" w:customStyle="1" w:styleId="AMNumberTabs0">
    <w:name w:val="AMNumberTabs"/>
    <w:basedOn w:val="Normal"/>
    <w:rsid w:val="007642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7642D6"/>
    <w:pPr>
      <w:jc w:val="right"/>
    </w:pPr>
  </w:style>
  <w:style w:type="paragraph" w:customStyle="1" w:styleId="Normal24a">
    <w:name w:val="Normal24a"/>
    <w:basedOn w:val="Normal"/>
    <w:rsid w:val="00482028"/>
    <w:pPr>
      <w:spacing w:after="480"/>
    </w:pPr>
  </w:style>
  <w:style w:type="paragraph" w:customStyle="1" w:styleId="NormalBoldCenter">
    <w:name w:val="NormalBoldCenter"/>
    <w:basedOn w:val="Normal"/>
    <w:rsid w:val="00482028"/>
    <w:pPr>
      <w:jc w:val="center"/>
    </w:pPr>
    <w:rPr>
      <w:b/>
    </w:rPr>
  </w:style>
  <w:style w:type="paragraph" w:customStyle="1" w:styleId="Footprint12b">
    <w:name w:val="Footprint12b"/>
    <w:basedOn w:val="Normal"/>
    <w:rsid w:val="00482028"/>
    <w:pPr>
      <w:spacing w:before="240"/>
    </w:pPr>
    <w:rPr>
      <w:szCs w:val="24"/>
    </w:rPr>
  </w:style>
  <w:style w:type="paragraph" w:customStyle="1" w:styleId="NormalSingle">
    <w:name w:val="NormalSingle"/>
    <w:basedOn w:val="Normal"/>
    <w:qFormat/>
    <w:rsid w:val="00482028"/>
    <w:rPr>
      <w:szCs w:val="24"/>
    </w:rPr>
  </w:style>
  <w:style w:type="paragraph" w:styleId="FootnoteText">
    <w:name w:val="footnote text"/>
    <w:basedOn w:val="Normal"/>
    <w:link w:val="FootnoteTextChar"/>
    <w:rsid w:val="00482028"/>
    <w:rPr>
      <w:sz w:val="20"/>
    </w:rPr>
  </w:style>
  <w:style w:type="character" w:customStyle="1" w:styleId="FootnoteTextChar">
    <w:name w:val="Footnote Text Char"/>
    <w:basedOn w:val="DefaultParagraphFont"/>
    <w:link w:val="FootnoteText"/>
    <w:rsid w:val="00482028"/>
  </w:style>
  <w:style w:type="character" w:styleId="FootnoteReference">
    <w:name w:val="footnote reference"/>
    <w:basedOn w:val="DefaultParagraphFont"/>
    <w:rsid w:val="00482028"/>
    <w:rPr>
      <w:vertAlign w:val="superscript"/>
    </w:rPr>
  </w:style>
  <w:style w:type="character" w:styleId="Hyperlink">
    <w:name w:val="Hyperlink"/>
    <w:basedOn w:val="DefaultParagraphFont"/>
    <w:rsid w:val="00482028"/>
    <w:rPr>
      <w:color w:val="0563C1" w:themeColor="hyperlink"/>
      <w:u w:val="single"/>
    </w:rPr>
  </w:style>
  <w:style w:type="character" w:customStyle="1" w:styleId="UnresolvedMention">
    <w:name w:val="Unresolved Mention"/>
    <w:basedOn w:val="DefaultParagraphFont"/>
    <w:uiPriority w:val="99"/>
    <w:semiHidden/>
    <w:unhideWhenUsed/>
    <w:rsid w:val="00482028"/>
    <w:rPr>
      <w:color w:val="605E5C"/>
      <w:shd w:val="clear" w:color="auto" w:fill="E1DFDD"/>
    </w:rPr>
  </w:style>
  <w:style w:type="paragraph" w:customStyle="1" w:styleId="CrossRef">
    <w:name w:val="CrossRef"/>
    <w:basedOn w:val="Normal"/>
    <w:rsid w:val="00614119"/>
    <w:pPr>
      <w:spacing w:before="240"/>
      <w:jc w:val="center"/>
    </w:pPr>
    <w:rPr>
      <w:i/>
      <w:lang w:val="fr-FR"/>
    </w:rPr>
  </w:style>
  <w:style w:type="paragraph" w:styleId="NormalWeb">
    <w:name w:val="Normal (Web)"/>
    <w:basedOn w:val="Normal"/>
    <w:rsid w:val="00141B2C"/>
    <w:rPr>
      <w:szCs w:val="24"/>
    </w:rPr>
  </w:style>
  <w:style w:type="character" w:styleId="CommentReference">
    <w:name w:val="annotation reference"/>
    <w:basedOn w:val="DefaultParagraphFont"/>
    <w:rsid w:val="00141B2C"/>
    <w:rPr>
      <w:sz w:val="16"/>
      <w:szCs w:val="16"/>
    </w:rPr>
  </w:style>
  <w:style w:type="paragraph" w:styleId="CommentText">
    <w:name w:val="annotation text"/>
    <w:basedOn w:val="Normal"/>
    <w:link w:val="CommentTextChar"/>
    <w:rsid w:val="00141B2C"/>
    <w:rPr>
      <w:sz w:val="20"/>
    </w:rPr>
  </w:style>
  <w:style w:type="character" w:customStyle="1" w:styleId="CommentTextChar">
    <w:name w:val="Comment Text Char"/>
    <w:basedOn w:val="DefaultParagraphFont"/>
    <w:link w:val="CommentText"/>
    <w:rsid w:val="00141B2C"/>
  </w:style>
  <w:style w:type="paragraph" w:styleId="CommentSubject">
    <w:name w:val="annotation subject"/>
    <w:basedOn w:val="CommentText"/>
    <w:next w:val="CommentText"/>
    <w:link w:val="CommentSubjectChar"/>
    <w:semiHidden/>
    <w:unhideWhenUsed/>
    <w:rsid w:val="00141B2C"/>
    <w:rPr>
      <w:b/>
      <w:bCs/>
    </w:rPr>
  </w:style>
  <w:style w:type="character" w:customStyle="1" w:styleId="CommentSubjectChar">
    <w:name w:val="Comment Subject Char"/>
    <w:basedOn w:val="CommentTextChar"/>
    <w:link w:val="CommentSubject"/>
    <w:semiHidden/>
    <w:rsid w:val="00141B2C"/>
    <w:rPr>
      <w:b/>
      <w:bCs/>
    </w:rPr>
  </w:style>
  <w:style w:type="paragraph" w:customStyle="1" w:styleId="Normal12a">
    <w:name w:val="Normal12a"/>
    <w:basedOn w:val="Normal"/>
    <w:rsid w:val="006A4D20"/>
    <w:pPr>
      <w:spacing w:after="240"/>
    </w:pPr>
  </w:style>
  <w:style w:type="paragraph" w:customStyle="1" w:styleId="RollCallVotes">
    <w:name w:val="RollCallVotes"/>
    <w:basedOn w:val="Normal"/>
    <w:rsid w:val="006A4D20"/>
    <w:pPr>
      <w:spacing w:before="120" w:after="120"/>
      <w:jc w:val="center"/>
    </w:pPr>
    <w:rPr>
      <w:b/>
      <w:bCs/>
      <w:snapToGrid w:val="0"/>
      <w:sz w:val="16"/>
      <w:lang w:eastAsia="en-US"/>
    </w:rPr>
  </w:style>
  <w:style w:type="paragraph" w:customStyle="1" w:styleId="RollCallTabs">
    <w:name w:val="RollCallTabs"/>
    <w:basedOn w:val="Normal"/>
    <w:qFormat/>
    <w:rsid w:val="006A4D20"/>
    <w:pPr>
      <w:tabs>
        <w:tab w:val="center" w:pos="284"/>
        <w:tab w:val="left" w:pos="426"/>
      </w:tabs>
    </w:pPr>
    <w:rPr>
      <w:snapToGrid w:val="0"/>
      <w:lang w:eastAsia="en-US"/>
    </w:rPr>
  </w:style>
  <w:style w:type="paragraph" w:customStyle="1" w:styleId="RollCallSymbols14pt">
    <w:name w:val="RollCallSymbols14pt"/>
    <w:basedOn w:val="Normal"/>
    <w:rsid w:val="006A4D20"/>
    <w:pPr>
      <w:spacing w:before="120" w:after="120"/>
      <w:jc w:val="center"/>
    </w:pPr>
    <w:rPr>
      <w:rFonts w:ascii="Arial" w:hAnsi="Arial"/>
      <w:b/>
      <w:bCs/>
      <w:snapToGrid w:val="0"/>
      <w:sz w:val="28"/>
      <w:lang w:eastAsia="en-US"/>
    </w:rPr>
  </w:style>
  <w:style w:type="paragraph" w:customStyle="1" w:styleId="RollCallTable">
    <w:name w:val="RollCallTable"/>
    <w:basedOn w:val="Normal"/>
    <w:rsid w:val="006A4D2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2660</Words>
  <Characters>15166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5</cp:revision>
  <cp:lastPrinted>2004-11-04T09:41:00Z</cp:lastPrinted>
  <dcterms:created xsi:type="dcterms:W3CDTF">2026-10-19T17:37:00Z</dcterms:created>
  <dcterms:modified xsi:type="dcterms:W3CDTF">2026-10-19T18:21:00Z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1353115</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RR</vt:lpwstr>
  </property>
  <property fmtid="{D5CDD505-2E9C-101B-9397-08002B2CF9AE}" pid="8" name="Created with">
    <vt:lpwstr>10.3.1 Build [20260902]</vt:lpwstr>
  </property>
  <property fmtid="{D5CDD505-2E9C-101B-9397-08002B2CF9AE}" pid="9" name="FooterPath">
    <vt:lpwstr>RR\796403EN.docx</vt:lpwstr>
  </property>
  <property fmtid="{D5CDD505-2E9C-101B-9397-08002B2CF9AE}" pid="10" name="LastEdited with">
    <vt:lpwstr>10.3.1 Build [20260902]</vt:lpwstr>
  </property>
  <property fmtid="{D5CDD505-2E9C-101B-9397-08002B2CF9AE}" pid="11" name="PE number">
    <vt:lpwstr>796.403</vt:lpwstr>
  </property>
  <property fmtid="{D5CDD505-2E9C-101B-9397-08002B2CF9AE}" pid="12" name="RegistreCheck">
    <vt:lpwstr>OK</vt:lpwstr>
  </property>
  <property fmtid="{D5CDD505-2E9C-101B-9397-08002B2CF9AE}" pid="13" name="SendToEpades">
    <vt:lpwstr/>
  </property>
</Properties>
</file>