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56F22" w:rsidRPr="009B6E56" w:rsidTr="00C85D0F">
        <w:trPr>
          <w:trHeight w:hRule="exact" w:val="1418"/>
        </w:trPr>
        <w:tc>
          <w:tcPr>
            <w:tcW w:w="6804" w:type="dxa"/>
            <w:shd w:val="clear" w:color="auto" w:fill="auto"/>
            <w:vAlign w:val="center"/>
          </w:tcPr>
          <w:p w:rsidR="00356F22" w:rsidRPr="009B6E56" w:rsidRDefault="00A10DC6" w:rsidP="00C85D0F">
            <w:pPr>
              <w:pStyle w:val="EPName"/>
            </w:pPr>
            <w:bookmarkStart w:id="0" w:name="_GoBack"/>
            <w:bookmarkEnd w:id="0"/>
            <w:r w:rsidRPr="009B6E56">
              <w:t>Parlement européen</w:t>
            </w:r>
          </w:p>
          <w:p w:rsidR="00356F22" w:rsidRPr="009B6E56" w:rsidRDefault="006B652B" w:rsidP="006B652B">
            <w:pPr>
              <w:pStyle w:val="EPTerm"/>
            </w:pPr>
            <w:r w:rsidRPr="009B6E56">
              <w:t>2019-2024</w:t>
            </w:r>
          </w:p>
        </w:tc>
        <w:tc>
          <w:tcPr>
            <w:tcW w:w="2268" w:type="dxa"/>
            <w:shd w:val="clear" w:color="auto" w:fill="auto"/>
          </w:tcPr>
          <w:p w:rsidR="00356F22" w:rsidRPr="009B6E56" w:rsidRDefault="00356F22" w:rsidP="00C85D0F">
            <w:pPr>
              <w:pStyle w:val="EPLogo"/>
            </w:pPr>
            <w:r w:rsidRPr="009B6E56">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C71A3C" w:rsidRPr="009B6E56" w:rsidRDefault="00C71A3C" w:rsidP="00C71A3C">
      <w:pPr>
        <w:pStyle w:val="LineTop"/>
      </w:pPr>
    </w:p>
    <w:p w:rsidR="00C71A3C" w:rsidRPr="009B6E56" w:rsidRDefault="003C76CF" w:rsidP="00C71A3C">
      <w:pPr>
        <w:pStyle w:val="EPBody"/>
      </w:pPr>
      <w:r w:rsidRPr="009B6E56">
        <w:t>Document de séance</w:t>
      </w:r>
    </w:p>
    <w:p w:rsidR="00C71A3C" w:rsidRPr="009B6E56" w:rsidRDefault="00C71A3C" w:rsidP="00C71A3C">
      <w:pPr>
        <w:pStyle w:val="LineBottom"/>
      </w:pPr>
    </w:p>
    <w:p w:rsidR="00ED0821" w:rsidRPr="009B6E56" w:rsidRDefault="003C76CF">
      <w:pPr>
        <w:pStyle w:val="CoverReference"/>
      </w:pPr>
      <w:r w:rsidRPr="009B6E56">
        <w:rPr>
          <w:rStyle w:val="HideTWBExt"/>
        </w:rPr>
        <w:t>&lt;NoDocSe&gt;</w:t>
      </w:r>
      <w:r w:rsidRPr="009B6E56">
        <w:t>A9-0121/2021</w:t>
      </w:r>
      <w:r w:rsidRPr="009B6E56">
        <w:rPr>
          <w:rStyle w:val="HideTWBExt"/>
        </w:rPr>
        <w:t>&lt;/NoDocSe&gt;</w:t>
      </w:r>
    </w:p>
    <w:p w:rsidR="00ED0821" w:rsidRPr="009B6E56" w:rsidRDefault="00ED0821">
      <w:pPr>
        <w:pStyle w:val="CoverDate"/>
      </w:pPr>
      <w:r w:rsidRPr="009B6E56">
        <w:rPr>
          <w:rStyle w:val="HideTWBExt"/>
        </w:rPr>
        <w:t>&lt;Date&gt;</w:t>
      </w:r>
      <w:r w:rsidRPr="009B6E56">
        <w:rPr>
          <w:rStyle w:val="HideTWBInt"/>
        </w:rPr>
        <w:t>{15/04/2021}</w:t>
      </w:r>
      <w:r w:rsidRPr="009B6E56">
        <w:t>15.4.2021</w:t>
      </w:r>
      <w:r w:rsidRPr="009B6E56">
        <w:rPr>
          <w:rStyle w:val="HideTWBExt"/>
        </w:rPr>
        <w:t>&lt;/Date&gt;</w:t>
      </w:r>
    </w:p>
    <w:p w:rsidR="00ED0821" w:rsidRPr="009B6E56" w:rsidRDefault="00ED0821">
      <w:pPr>
        <w:pStyle w:val="CoverDocType"/>
      </w:pPr>
      <w:r w:rsidRPr="009B6E56">
        <w:rPr>
          <w:rStyle w:val="HideTWBExt"/>
          <w:b w:val="0"/>
        </w:rPr>
        <w:t>&lt;RefProcLect&gt;</w:t>
      </w:r>
      <w:r w:rsidRPr="009B6E56">
        <w:t>*</w:t>
      </w:r>
      <w:r w:rsidRPr="009B6E56">
        <w:rPr>
          <w:rStyle w:val="HideTWBExt"/>
          <w:b w:val="0"/>
        </w:rPr>
        <w:t>&lt;/RefProcLect&gt;</w:t>
      </w:r>
    </w:p>
    <w:p w:rsidR="00ED0821" w:rsidRPr="009B6E56" w:rsidRDefault="00ED0821">
      <w:pPr>
        <w:pStyle w:val="CoverDocType24a"/>
      </w:pPr>
      <w:r w:rsidRPr="009B6E56">
        <w:rPr>
          <w:rStyle w:val="HideTWBExt"/>
          <w:b w:val="0"/>
        </w:rPr>
        <w:t>&lt;TitreType&gt;</w:t>
      </w:r>
      <w:r w:rsidRPr="009B6E56">
        <w:t>RAPPORT</w:t>
      </w:r>
      <w:r w:rsidRPr="009B6E56">
        <w:rPr>
          <w:rStyle w:val="HideTWBExt"/>
          <w:b w:val="0"/>
        </w:rPr>
        <w:t>&lt;/TitreType&gt;</w:t>
      </w:r>
    </w:p>
    <w:p w:rsidR="003C4E7A" w:rsidRPr="009B6E56" w:rsidRDefault="003C4E7A" w:rsidP="003C4E7A">
      <w:pPr>
        <w:pStyle w:val="CoverNormal"/>
      </w:pPr>
      <w:r w:rsidRPr="009B6E56">
        <w:rPr>
          <w:rStyle w:val="HideTWBExt"/>
        </w:rPr>
        <w:t>&lt;Titre&gt;</w:t>
      </w:r>
      <w:r w:rsidRPr="009B6E56">
        <w:t>sur la proposition de règlement du Conseil modifiant le règlement (UE) n° 389/2012 du Conseil concernant la coopération administrative dans le domaine des droits d’accise en ce qui concerne le contenu des registres électroniques</w:t>
      </w:r>
      <w:r w:rsidRPr="009B6E56">
        <w:rPr>
          <w:rStyle w:val="HideTWBExt"/>
        </w:rPr>
        <w:t>&lt;/Titre&gt;</w:t>
      </w:r>
    </w:p>
    <w:p w:rsidR="003C4E7A" w:rsidRPr="009B6E56" w:rsidRDefault="003C4E7A" w:rsidP="003C4E7A">
      <w:pPr>
        <w:pStyle w:val="CoverNormal24a"/>
        <w:rPr>
          <w:lang w:val="pt-PT"/>
        </w:rPr>
      </w:pPr>
      <w:r w:rsidRPr="009B6E56">
        <w:rPr>
          <w:rStyle w:val="HideTWBExt"/>
          <w:lang w:val="pt-PT"/>
        </w:rPr>
        <w:t>&lt;DocRef&gt;</w:t>
      </w:r>
      <w:r w:rsidRPr="009B6E56">
        <w:rPr>
          <w:lang w:val="pt-PT"/>
        </w:rPr>
        <w:t>(COM(2021)0028 – C9-0016/2021 – 2021/0015(CNS))</w:t>
      </w:r>
      <w:r w:rsidRPr="009B6E56">
        <w:rPr>
          <w:rStyle w:val="HideTWBExt"/>
          <w:lang w:val="pt-PT"/>
        </w:rPr>
        <w:t>&lt;/DocRef&gt;</w:t>
      </w:r>
    </w:p>
    <w:p w:rsidR="00ED0821" w:rsidRPr="009B6E56" w:rsidRDefault="00ED0821">
      <w:pPr>
        <w:pStyle w:val="CoverNormal24a"/>
      </w:pPr>
      <w:r w:rsidRPr="009B6E56">
        <w:rPr>
          <w:rStyle w:val="HideTWBExt"/>
        </w:rPr>
        <w:t>&lt;Commission&gt;</w:t>
      </w:r>
      <w:r w:rsidRPr="009B6E56">
        <w:rPr>
          <w:rStyle w:val="HideTWBInt"/>
        </w:rPr>
        <w:t>{ECON}</w:t>
      </w:r>
      <w:r w:rsidRPr="009B6E56">
        <w:t>Commission des affaires économiques et monétaires</w:t>
      </w:r>
      <w:r w:rsidRPr="009B6E56">
        <w:rPr>
          <w:rStyle w:val="HideTWBExt"/>
        </w:rPr>
        <w:t>&lt;/Commission&gt;</w:t>
      </w:r>
    </w:p>
    <w:p w:rsidR="003C4E7A" w:rsidRPr="009B6E56" w:rsidRDefault="006B652B" w:rsidP="003C4E7A">
      <w:pPr>
        <w:pStyle w:val="CoverNormal24a"/>
        <w:rPr>
          <w:lang w:val="it-IT"/>
        </w:rPr>
      </w:pPr>
      <w:r w:rsidRPr="009B6E56">
        <w:rPr>
          <w:lang w:val="it-IT"/>
        </w:rPr>
        <w:t xml:space="preserve">Rapporteure: </w:t>
      </w:r>
      <w:r w:rsidRPr="009B6E56">
        <w:rPr>
          <w:rStyle w:val="HideTWBExt"/>
          <w:lang w:val="it-IT"/>
        </w:rPr>
        <w:t>&lt;Depute&gt;</w:t>
      </w:r>
      <w:r w:rsidRPr="009B6E56">
        <w:rPr>
          <w:lang w:val="it-IT"/>
        </w:rPr>
        <w:t>Irene Tinagli</w:t>
      </w:r>
      <w:r w:rsidRPr="009B6E56">
        <w:rPr>
          <w:rStyle w:val="HideTWBExt"/>
          <w:lang w:val="it-IT"/>
        </w:rPr>
        <w:t>&lt;/Depute&gt;</w:t>
      </w:r>
    </w:p>
    <w:p w:rsidR="003C4E7A" w:rsidRPr="009B6E56" w:rsidRDefault="003C4E7A" w:rsidP="003C4E7A">
      <w:pPr>
        <w:pStyle w:val="CoverNormal"/>
      </w:pPr>
      <w:r w:rsidRPr="009B6E56">
        <w:t>(Procédure simplifiée – article 52, paragraphe 1, du règlement intérieur)</w:t>
      </w:r>
    </w:p>
    <w:p w:rsidR="006B652B" w:rsidRPr="009B6E56" w:rsidRDefault="006B652B" w:rsidP="003C4E7A">
      <w:pPr>
        <w:pStyle w:val="CoverNormal24a"/>
      </w:pPr>
    </w:p>
    <w:p w:rsidR="006B652B" w:rsidRPr="009B6E56" w:rsidRDefault="00ED0821" w:rsidP="00894923">
      <w:r w:rsidRPr="009B6E56">
        <w:br w:type="page"/>
      </w:r>
      <w:fldSimple w:instr=" TITLE  \* MERGEFORMAT ">
        <w:r w:rsidR="009B6E56">
          <w:t>PR_CNS_LegAct_app</w:t>
        </w:r>
      </w:fldSimple>
    </w:p>
    <w:p w:rsidR="006B652B" w:rsidRPr="009B6E56" w:rsidRDefault="006B652B" w:rsidP="00894923"/>
    <w:p w:rsidR="006B652B" w:rsidRPr="009B6E56" w:rsidRDefault="006B652B"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B652B" w:rsidRPr="009B6E56">
        <w:tc>
          <w:tcPr>
            <w:tcW w:w="5811" w:type="dxa"/>
          </w:tcPr>
          <w:p w:rsidR="006B652B" w:rsidRPr="009B6E56" w:rsidRDefault="006B652B" w:rsidP="00894923">
            <w:pPr>
              <w:pStyle w:val="Lgendetitre"/>
            </w:pPr>
            <w:r w:rsidRPr="009B6E56">
              <w:t>Légende des signes utilisés</w:t>
            </w:r>
          </w:p>
        </w:tc>
      </w:tr>
      <w:tr w:rsidR="006B652B" w:rsidRPr="009B6E56" w:rsidTr="00C50C36">
        <w:trPr>
          <w:cantSplit/>
          <w:trHeight w:val="1944"/>
        </w:trPr>
        <w:tc>
          <w:tcPr>
            <w:tcW w:w="5811" w:type="dxa"/>
            <w:tcBorders>
              <w:bottom w:val="single" w:sz="4" w:space="0" w:color="auto"/>
            </w:tcBorders>
          </w:tcPr>
          <w:p w:rsidR="006B652B" w:rsidRPr="009B6E56" w:rsidRDefault="006B652B" w:rsidP="0069092A">
            <w:pPr>
              <w:pStyle w:val="Lgendesigne"/>
            </w:pPr>
            <w:r w:rsidRPr="009B6E56">
              <w:tab/>
              <w:t>*</w:t>
            </w:r>
            <w:r w:rsidRPr="009B6E56">
              <w:tab/>
              <w:t>Procédure de consultation</w:t>
            </w:r>
          </w:p>
          <w:p w:rsidR="006B652B" w:rsidRPr="009B6E56" w:rsidRDefault="006B652B" w:rsidP="0069092A">
            <w:pPr>
              <w:pStyle w:val="Lgendesigne"/>
            </w:pPr>
            <w:r w:rsidRPr="009B6E56">
              <w:tab/>
              <w:t>***</w:t>
            </w:r>
            <w:r w:rsidRPr="009B6E56">
              <w:tab/>
              <w:t>Procédure d’approbation</w:t>
            </w:r>
          </w:p>
          <w:p w:rsidR="006B652B" w:rsidRPr="009B6E56" w:rsidRDefault="006B652B" w:rsidP="0069092A">
            <w:pPr>
              <w:pStyle w:val="Lgendesigne"/>
            </w:pPr>
            <w:r w:rsidRPr="009B6E56">
              <w:tab/>
              <w:t>***I</w:t>
            </w:r>
            <w:r w:rsidRPr="009B6E56">
              <w:tab/>
              <w:t>Procédure législative ordinaire (première lecture)</w:t>
            </w:r>
          </w:p>
          <w:p w:rsidR="006B652B" w:rsidRPr="009B6E56" w:rsidRDefault="006B652B" w:rsidP="0069092A">
            <w:pPr>
              <w:pStyle w:val="Lgendesigne"/>
            </w:pPr>
            <w:r w:rsidRPr="009B6E56">
              <w:tab/>
              <w:t>***II</w:t>
            </w:r>
            <w:r w:rsidRPr="009B6E56">
              <w:tab/>
              <w:t>Procédure législative ordinaire (deuxième lecture)</w:t>
            </w:r>
          </w:p>
          <w:p w:rsidR="006B652B" w:rsidRPr="009B6E56" w:rsidRDefault="006B652B" w:rsidP="0069092A">
            <w:pPr>
              <w:pStyle w:val="Lgendesigne"/>
            </w:pPr>
            <w:r w:rsidRPr="009B6E56">
              <w:tab/>
              <w:t>***III</w:t>
            </w:r>
            <w:r w:rsidRPr="009B6E56">
              <w:tab/>
              <w:t>Procédure législative ordinaire (troisième lecture)</w:t>
            </w:r>
          </w:p>
          <w:p w:rsidR="006B652B" w:rsidRPr="009B6E56" w:rsidRDefault="006B652B" w:rsidP="0069092A">
            <w:pPr>
              <w:pStyle w:val="Lgendestandard"/>
            </w:pPr>
          </w:p>
          <w:p w:rsidR="006B652B" w:rsidRPr="009B6E56" w:rsidRDefault="006B652B" w:rsidP="0069092A">
            <w:pPr>
              <w:pStyle w:val="Lgendestandard"/>
            </w:pPr>
            <w:r w:rsidRPr="009B6E56">
              <w:t>(La procédure indiquée est fondée sur la base juridique proposée par le projet d’acte.)</w:t>
            </w:r>
          </w:p>
          <w:p w:rsidR="006B652B" w:rsidRPr="009B6E56" w:rsidRDefault="006B652B" w:rsidP="00784280">
            <w:pPr>
              <w:pStyle w:val="Lgendestandard"/>
            </w:pPr>
          </w:p>
        </w:tc>
      </w:tr>
    </w:tbl>
    <w:p w:rsidR="006B652B" w:rsidRPr="009B6E56" w:rsidRDefault="006B652B" w:rsidP="00894923"/>
    <w:p w:rsidR="006B652B" w:rsidRPr="009B6E56" w:rsidRDefault="006B652B" w:rsidP="00894923"/>
    <w:p w:rsidR="006B652B" w:rsidRPr="009B6E56" w:rsidRDefault="006B652B" w:rsidP="00894923"/>
    <w:p w:rsidR="006B652B" w:rsidRPr="009B6E56" w:rsidRDefault="006B652B"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B652B" w:rsidRPr="009B6E56">
        <w:tc>
          <w:tcPr>
            <w:tcW w:w="5811" w:type="dxa"/>
          </w:tcPr>
          <w:p w:rsidR="006B652B" w:rsidRPr="009B6E56" w:rsidRDefault="006B652B" w:rsidP="00894923">
            <w:pPr>
              <w:pStyle w:val="Lgendetitre"/>
            </w:pPr>
            <w:r w:rsidRPr="009B6E56">
              <w:t>Amendements à un projet d’acte</w:t>
            </w:r>
          </w:p>
        </w:tc>
      </w:tr>
      <w:tr w:rsidR="006B652B" w:rsidRPr="009B6E56" w:rsidTr="00161731">
        <w:trPr>
          <w:trHeight w:val="4923"/>
        </w:trPr>
        <w:tc>
          <w:tcPr>
            <w:tcW w:w="5811" w:type="dxa"/>
          </w:tcPr>
          <w:p w:rsidR="006B652B" w:rsidRPr="009B6E56" w:rsidRDefault="006B652B" w:rsidP="0069092A">
            <w:pPr>
              <w:pStyle w:val="Lgendestandard"/>
              <w:rPr>
                <w:b/>
                <w:szCs w:val="18"/>
              </w:rPr>
            </w:pPr>
            <w:r w:rsidRPr="009B6E56">
              <w:rPr>
                <w:b/>
              </w:rPr>
              <w:t>Amendements du Parlement présentés en deux colonnes</w:t>
            </w:r>
          </w:p>
          <w:p w:rsidR="006B652B" w:rsidRPr="009B6E56" w:rsidRDefault="006B652B" w:rsidP="0069092A">
            <w:pPr>
              <w:pStyle w:val="Lgendestandard"/>
              <w:rPr>
                <w:szCs w:val="18"/>
              </w:rPr>
            </w:pPr>
          </w:p>
          <w:p w:rsidR="006B652B" w:rsidRPr="009B6E56" w:rsidRDefault="006B652B" w:rsidP="0069092A">
            <w:pPr>
              <w:pStyle w:val="Lgendestandard"/>
              <w:rPr>
                <w:szCs w:val="18"/>
              </w:rPr>
            </w:pPr>
            <w:r w:rsidRPr="009B6E56">
              <w:t xml:space="preserve">Les suppressions sont signalées par des </w:t>
            </w:r>
            <w:r w:rsidRPr="009B6E56">
              <w:rPr>
                <w:b/>
                <w:i/>
                <w:szCs w:val="18"/>
              </w:rPr>
              <w:t>italiques gras</w:t>
            </w:r>
            <w:r w:rsidRPr="009B6E56">
              <w:t xml:space="preserve"> dans la colonne de gauche. Les remplacements sont signalés par des </w:t>
            </w:r>
            <w:r w:rsidRPr="009B6E56">
              <w:rPr>
                <w:b/>
                <w:i/>
                <w:szCs w:val="18"/>
              </w:rPr>
              <w:t xml:space="preserve">italiques gras </w:t>
            </w:r>
            <w:r w:rsidRPr="009B6E56">
              <w:t>dans les deux colonnes. Le texte nouveau est signalé par des</w:t>
            </w:r>
            <w:r w:rsidRPr="009B6E56">
              <w:rPr>
                <w:b/>
                <w:i/>
                <w:szCs w:val="18"/>
              </w:rPr>
              <w:t xml:space="preserve"> italiques gras</w:t>
            </w:r>
            <w:r w:rsidRPr="009B6E56">
              <w:t xml:space="preserve"> dans la colonne de droite.</w:t>
            </w:r>
          </w:p>
          <w:p w:rsidR="006B652B" w:rsidRPr="009B6E56" w:rsidRDefault="006B652B" w:rsidP="0069092A">
            <w:pPr>
              <w:pStyle w:val="Lgendestandard"/>
            </w:pPr>
          </w:p>
          <w:p w:rsidR="006B652B" w:rsidRPr="009B6E56" w:rsidRDefault="006B652B" w:rsidP="0069092A">
            <w:pPr>
              <w:pStyle w:val="Lgendestandard"/>
            </w:pPr>
            <w:r w:rsidRPr="009B6E56">
              <w:t xml:space="preserve">Les première et deuxième lignes de l’en-tête de chaque amendement identifient le passage concerné dans le projet d’acte à l’examen. Si un amendement porte sur un acte existant, que le projet d’acte entend modifier, l’en-tête comporte en outre une troisième et une quatrième lignes qui identifient respectivement l’acte existant et la disposition de celui-ci qui est concernée. </w:t>
            </w:r>
          </w:p>
          <w:p w:rsidR="006B652B" w:rsidRPr="009B6E56" w:rsidRDefault="006B652B" w:rsidP="0069092A">
            <w:pPr>
              <w:pStyle w:val="Lgendestandard"/>
            </w:pPr>
          </w:p>
          <w:p w:rsidR="006B652B" w:rsidRPr="009B6E56" w:rsidRDefault="006B652B" w:rsidP="0069092A">
            <w:pPr>
              <w:pStyle w:val="Lgendestandard"/>
              <w:rPr>
                <w:b/>
                <w:szCs w:val="18"/>
              </w:rPr>
            </w:pPr>
            <w:r w:rsidRPr="009B6E56">
              <w:rPr>
                <w:b/>
                <w:szCs w:val="18"/>
              </w:rPr>
              <w:t>Amendements du Parlement prenant la forme d’un texte consolidé</w:t>
            </w:r>
          </w:p>
          <w:p w:rsidR="006B652B" w:rsidRPr="009B6E56" w:rsidRDefault="006B652B" w:rsidP="0069092A">
            <w:pPr>
              <w:pStyle w:val="Lgendestandard"/>
              <w:rPr>
                <w:szCs w:val="18"/>
              </w:rPr>
            </w:pPr>
          </w:p>
          <w:p w:rsidR="006B652B" w:rsidRPr="009B6E56" w:rsidRDefault="006B652B" w:rsidP="0069092A">
            <w:pPr>
              <w:pStyle w:val="Lgendestandard"/>
              <w:rPr>
                <w:szCs w:val="18"/>
              </w:rPr>
            </w:pPr>
            <w:r w:rsidRPr="009B6E56">
              <w:t xml:space="preserve">Les parties de textes nouvelles sont indiquées en </w:t>
            </w:r>
            <w:r w:rsidRPr="009B6E56">
              <w:rPr>
                <w:b/>
                <w:i/>
                <w:szCs w:val="18"/>
              </w:rPr>
              <w:t>italiques gras</w:t>
            </w:r>
            <w:r w:rsidRPr="009B6E56">
              <w:t xml:space="preserve">. Les parties de texte supprimées sont indiquées par le symbole ▌ ou barrées. Les remplacements sont signalés en indiquant en </w:t>
            </w:r>
            <w:r w:rsidRPr="009B6E56">
              <w:rPr>
                <w:b/>
                <w:i/>
                <w:szCs w:val="18"/>
              </w:rPr>
              <w:t xml:space="preserve">italiques gras </w:t>
            </w:r>
            <w:r w:rsidRPr="009B6E56">
              <w:t xml:space="preserve">le texte nouveau et en effaçant ou en barrant le texte remplacé. </w:t>
            </w:r>
          </w:p>
          <w:p w:rsidR="006B652B" w:rsidRPr="009B6E56" w:rsidRDefault="006B652B" w:rsidP="0069092A">
            <w:pPr>
              <w:pStyle w:val="Lgendestandard"/>
            </w:pPr>
            <w:r w:rsidRPr="009B6E56">
              <w:t>Par exception, les modifications de nature strictement technique apportées par les services en vue de l’élaboration du texte final ne sont pas marquées.</w:t>
            </w:r>
          </w:p>
          <w:p w:rsidR="006B652B" w:rsidRPr="009B6E56" w:rsidRDefault="006B652B" w:rsidP="0069092A">
            <w:pPr>
              <w:pStyle w:val="Lgendestandard"/>
            </w:pPr>
          </w:p>
        </w:tc>
      </w:tr>
    </w:tbl>
    <w:p w:rsidR="006B652B" w:rsidRPr="009B6E56" w:rsidRDefault="006B652B" w:rsidP="00894923"/>
    <w:p w:rsidR="00ED0821" w:rsidRPr="009B6E56" w:rsidRDefault="00ED0821" w:rsidP="004C4A0B">
      <w:pPr>
        <w:widowControl/>
        <w:tabs>
          <w:tab w:val="center" w:pos="4677"/>
        </w:tabs>
      </w:pPr>
    </w:p>
    <w:p w:rsidR="00ED0821" w:rsidRPr="009B6E56" w:rsidRDefault="00ED0821">
      <w:pPr>
        <w:pStyle w:val="TOCHeading"/>
      </w:pPr>
      <w:r w:rsidRPr="009B6E56">
        <w:br w:type="page"/>
      </w:r>
      <w:r w:rsidRPr="009B6E56">
        <w:lastRenderedPageBreak/>
        <w:t>SOMMAIRE</w:t>
      </w:r>
    </w:p>
    <w:p w:rsidR="00ED0821" w:rsidRPr="009B6E56" w:rsidRDefault="00A10DC6">
      <w:pPr>
        <w:pStyle w:val="TOCPage"/>
      </w:pPr>
      <w:r w:rsidRPr="009B6E56">
        <w:t>Page</w:t>
      </w:r>
    </w:p>
    <w:p w:rsidR="009B6E56" w:rsidRDefault="004C4A0B">
      <w:pPr>
        <w:pStyle w:val="TOC1"/>
        <w:tabs>
          <w:tab w:val="right" w:leader="dot" w:pos="9060"/>
        </w:tabs>
        <w:rPr>
          <w:rFonts w:asciiTheme="minorHAnsi" w:eastAsiaTheme="minorEastAsia" w:hAnsiTheme="minorHAnsi" w:cstheme="minorBidi"/>
          <w:noProof/>
          <w:sz w:val="22"/>
          <w:szCs w:val="22"/>
          <w:lang w:val="en-GB"/>
        </w:rPr>
      </w:pPr>
      <w:r w:rsidRPr="009B6E56">
        <w:rPr>
          <w:b/>
        </w:rPr>
        <w:fldChar w:fldCharType="begin"/>
      </w:r>
      <w:r w:rsidRPr="009B6E56">
        <w:rPr>
          <w:b/>
        </w:rPr>
        <w:instrText xml:space="preserve"> TOC \t "PageHeading</w:instrText>
      </w:r>
      <w:r w:rsidR="003C76CF" w:rsidRPr="009B6E56">
        <w:rPr>
          <w:b/>
        </w:rPr>
        <w:instrText>;</w:instrText>
      </w:r>
      <w:r w:rsidRPr="009B6E56">
        <w:rPr>
          <w:b/>
        </w:rPr>
        <w:instrText xml:space="preserve">1" </w:instrText>
      </w:r>
      <w:r w:rsidRPr="009B6E56">
        <w:rPr>
          <w:b/>
        </w:rPr>
        <w:fldChar w:fldCharType="separate"/>
      </w:r>
      <w:r w:rsidR="009B6E56">
        <w:rPr>
          <w:noProof/>
        </w:rPr>
        <w:t>PROJET DE RÉSOLUTION LÉGISLATIVE DU PARLEMENT EUROPÉEN</w:t>
      </w:r>
      <w:r w:rsidR="009B6E56">
        <w:rPr>
          <w:noProof/>
        </w:rPr>
        <w:tab/>
      </w:r>
      <w:r w:rsidR="009B6E56">
        <w:rPr>
          <w:noProof/>
        </w:rPr>
        <w:fldChar w:fldCharType="begin"/>
      </w:r>
      <w:r w:rsidR="009B6E56">
        <w:rPr>
          <w:noProof/>
        </w:rPr>
        <w:instrText xml:space="preserve"> PAGEREF _Toc69811064 \h </w:instrText>
      </w:r>
      <w:r w:rsidR="009B6E56">
        <w:rPr>
          <w:noProof/>
        </w:rPr>
      </w:r>
      <w:r w:rsidR="009B6E56">
        <w:rPr>
          <w:noProof/>
        </w:rPr>
        <w:fldChar w:fldCharType="separate"/>
      </w:r>
      <w:r w:rsidR="009B6E56">
        <w:rPr>
          <w:noProof/>
        </w:rPr>
        <w:t>5</w:t>
      </w:r>
      <w:r w:rsidR="009B6E56">
        <w:rPr>
          <w:noProof/>
        </w:rPr>
        <w:fldChar w:fldCharType="end"/>
      </w:r>
    </w:p>
    <w:p w:rsidR="009B6E56" w:rsidRDefault="009B6E56">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_Toc69811065 \h </w:instrText>
      </w:r>
      <w:r>
        <w:rPr>
          <w:noProof/>
        </w:rPr>
      </w:r>
      <w:r>
        <w:rPr>
          <w:noProof/>
        </w:rPr>
        <w:fldChar w:fldCharType="separate"/>
      </w:r>
      <w:r>
        <w:rPr>
          <w:noProof/>
        </w:rPr>
        <w:t>6</w:t>
      </w:r>
      <w:r>
        <w:rPr>
          <w:noProof/>
        </w:rPr>
        <w:fldChar w:fldCharType="end"/>
      </w:r>
    </w:p>
    <w:p w:rsidR="009B6E56" w:rsidRDefault="009B6E56">
      <w:pPr>
        <w:pStyle w:val="TOC1"/>
        <w:tabs>
          <w:tab w:val="right" w:leader="dot" w:pos="9060"/>
        </w:tabs>
        <w:rPr>
          <w:rFonts w:asciiTheme="minorHAnsi" w:eastAsiaTheme="minorEastAsia" w:hAnsiTheme="minorHAnsi" w:cstheme="minorBidi"/>
          <w:noProof/>
          <w:sz w:val="22"/>
          <w:szCs w:val="22"/>
          <w:lang w:val="en-GB"/>
        </w:rPr>
      </w:pPr>
      <w:r>
        <w:rPr>
          <w:noProof/>
        </w:rPr>
        <w:t>PROCÉDURE DE LA COMMISSION COMPÉTENTE AU FOND</w:t>
      </w:r>
      <w:r>
        <w:rPr>
          <w:noProof/>
        </w:rPr>
        <w:tab/>
      </w:r>
      <w:r>
        <w:rPr>
          <w:noProof/>
        </w:rPr>
        <w:fldChar w:fldCharType="begin"/>
      </w:r>
      <w:r>
        <w:rPr>
          <w:noProof/>
        </w:rPr>
        <w:instrText xml:space="preserve"> PAGEREF _Toc69811066 \h </w:instrText>
      </w:r>
      <w:r>
        <w:rPr>
          <w:noProof/>
        </w:rPr>
      </w:r>
      <w:r>
        <w:rPr>
          <w:noProof/>
        </w:rPr>
        <w:fldChar w:fldCharType="separate"/>
      </w:r>
      <w:r>
        <w:rPr>
          <w:noProof/>
        </w:rPr>
        <w:t>7</w:t>
      </w:r>
      <w:r>
        <w:rPr>
          <w:noProof/>
        </w:rPr>
        <w:fldChar w:fldCharType="end"/>
      </w:r>
    </w:p>
    <w:p w:rsidR="001A06D8" w:rsidRPr="009B6E56" w:rsidRDefault="004C4A0B" w:rsidP="007B68B8">
      <w:r w:rsidRPr="009B6E56">
        <w:rPr>
          <w:b/>
        </w:rPr>
        <w:fldChar w:fldCharType="end"/>
      </w:r>
    </w:p>
    <w:p w:rsidR="00ED0821" w:rsidRPr="009B6E56" w:rsidRDefault="00ED0821">
      <w:pPr>
        <w:pStyle w:val="PageHeading"/>
      </w:pPr>
      <w:r w:rsidRPr="009B6E56">
        <w:br w:type="page"/>
      </w:r>
      <w:r w:rsidRPr="009B6E56">
        <w:lastRenderedPageBreak/>
        <w:br w:type="page"/>
      </w:r>
      <w:bookmarkStart w:id="1" w:name="_Toc69811064"/>
      <w:r w:rsidRPr="009B6E56">
        <w:t>PROJET DE RÉSOLUTION LÉGISLATIVE DU PARLEMENT EUROPÉEN</w:t>
      </w:r>
      <w:bookmarkEnd w:id="1"/>
    </w:p>
    <w:p w:rsidR="003C4E7A" w:rsidRPr="009B6E56" w:rsidRDefault="003C4E7A" w:rsidP="003C4E7A">
      <w:pPr>
        <w:pStyle w:val="NormalBold"/>
      </w:pPr>
      <w:r w:rsidRPr="009B6E56">
        <w:t>sur la proposition de règlement du Conseil modifiant le règlement (UE) n° 389/2012 du Conseil concernant la coopération administrative dans le domaine des droits d’accise en ce qui concerne le contenu des registres électroniques (COM(2021)0028 – C9-0016/2021 – 2021/0015(CNS))</w:t>
      </w:r>
    </w:p>
    <w:p w:rsidR="003C4E7A" w:rsidRPr="009B6E56" w:rsidRDefault="003C4E7A" w:rsidP="003C4E7A">
      <w:pPr>
        <w:pStyle w:val="NormalBold12a"/>
        <w:spacing w:after="0"/>
      </w:pPr>
    </w:p>
    <w:p w:rsidR="00ED0821" w:rsidRPr="009B6E56" w:rsidRDefault="00A10DC6" w:rsidP="007B68B8">
      <w:pPr>
        <w:pStyle w:val="NormalBold"/>
      </w:pPr>
      <w:r w:rsidRPr="009B6E56">
        <w:t>(Procédure législative spéciale – consultation)</w:t>
      </w:r>
    </w:p>
    <w:p w:rsidR="00ED0821" w:rsidRPr="009B6E56" w:rsidRDefault="00A10DC6">
      <w:pPr>
        <w:pStyle w:val="EPComma"/>
      </w:pPr>
      <w:r w:rsidRPr="009B6E56">
        <w:rPr>
          <w:i/>
        </w:rPr>
        <w:t>Le Parlement européen</w:t>
      </w:r>
      <w:r w:rsidRPr="009B6E56">
        <w:t>,</w:t>
      </w:r>
    </w:p>
    <w:p w:rsidR="003C4E7A" w:rsidRPr="009B6E56" w:rsidRDefault="003C4E7A" w:rsidP="003C4E7A">
      <w:pPr>
        <w:pStyle w:val="NormalHanging12a"/>
      </w:pPr>
      <w:bookmarkStart w:id="2" w:name="_Toc67576724"/>
      <w:r w:rsidRPr="009B6E56">
        <w:t>–</w:t>
      </w:r>
      <w:r w:rsidRPr="009B6E56">
        <w:tab/>
        <w:t>vu la proposition de la Commission au Conseil (COM(2021)0028),</w:t>
      </w:r>
    </w:p>
    <w:p w:rsidR="003C4E7A" w:rsidRPr="009B6E56" w:rsidRDefault="003C4E7A" w:rsidP="003C4E7A">
      <w:pPr>
        <w:pStyle w:val="NormalHanging12a"/>
      </w:pPr>
      <w:r w:rsidRPr="009B6E56">
        <w:t>–</w:t>
      </w:r>
      <w:r w:rsidRPr="009B6E56">
        <w:tab/>
        <w:t>vu l’article 113 du traité sur le fonctionnement de l’Union européenne, conformément auquel il a été consulté par le Conseil (C9-0016/2021),</w:t>
      </w:r>
    </w:p>
    <w:p w:rsidR="003C4E7A" w:rsidRPr="009B6E56" w:rsidRDefault="003C4E7A" w:rsidP="003C4E7A">
      <w:pPr>
        <w:pStyle w:val="NormalHanging12a"/>
      </w:pPr>
      <w:r w:rsidRPr="009B6E56">
        <w:t>–</w:t>
      </w:r>
      <w:r w:rsidRPr="009B6E56">
        <w:tab/>
        <w:t>vu l’article 82 de son règlement intérieur,</w:t>
      </w:r>
    </w:p>
    <w:p w:rsidR="003C4E7A" w:rsidRPr="009B6E56" w:rsidRDefault="003C4E7A" w:rsidP="003C4E7A">
      <w:pPr>
        <w:pStyle w:val="NormalHanging12a"/>
      </w:pPr>
      <w:r w:rsidRPr="009B6E56">
        <w:t>–</w:t>
      </w:r>
      <w:r w:rsidRPr="009B6E56">
        <w:tab/>
        <w:t>vu le rapport de la commission des affaires économiques et monétaires (A9-0121/2021),</w:t>
      </w:r>
    </w:p>
    <w:p w:rsidR="003C4E7A" w:rsidRPr="009B6E56" w:rsidRDefault="003C4E7A" w:rsidP="003C4E7A">
      <w:pPr>
        <w:pStyle w:val="NormalHanging12a"/>
      </w:pPr>
      <w:r w:rsidRPr="009B6E56">
        <w:t>1.</w:t>
      </w:r>
      <w:r w:rsidRPr="009B6E56">
        <w:tab/>
        <w:t>approuve la proposition de la Commission;</w:t>
      </w:r>
    </w:p>
    <w:p w:rsidR="003C4E7A" w:rsidRPr="009B6E56" w:rsidRDefault="003C4E7A" w:rsidP="003C4E7A">
      <w:pPr>
        <w:pStyle w:val="NormalHanging12a"/>
      </w:pPr>
      <w:r w:rsidRPr="009B6E56">
        <w:t>2.</w:t>
      </w:r>
      <w:r w:rsidRPr="009B6E56">
        <w:tab/>
        <w:t>invite le Conseil, s’il entend s’écarter du texte approuvé par le Parlement, à en informer celui-ci;</w:t>
      </w:r>
    </w:p>
    <w:p w:rsidR="003C4E7A" w:rsidRPr="009B6E56" w:rsidRDefault="003C4E7A" w:rsidP="003C4E7A">
      <w:pPr>
        <w:pStyle w:val="NormalHanging12a"/>
      </w:pPr>
      <w:r w:rsidRPr="009B6E56">
        <w:t>3.</w:t>
      </w:r>
      <w:r w:rsidRPr="009B6E56">
        <w:tab/>
        <w:t>demande au Conseil de le consulter à nouveau, s’il entend modifier de manière substantielle le texte approuvé par le Parlement;</w:t>
      </w:r>
    </w:p>
    <w:p w:rsidR="003C4E7A" w:rsidRPr="009B6E56" w:rsidRDefault="003C4E7A" w:rsidP="003C4E7A">
      <w:pPr>
        <w:pStyle w:val="NormalHanging12a"/>
      </w:pPr>
      <w:r w:rsidRPr="009B6E56">
        <w:t>4.</w:t>
      </w:r>
      <w:r w:rsidRPr="009B6E56">
        <w:tab/>
        <w:t>charge son Président de transmettre la position du Parlement au Conseil, à la Commission ainsi qu’aux parlements nationaux.</w:t>
      </w:r>
    </w:p>
    <w:p w:rsidR="003C4E7A" w:rsidRPr="009B6E56" w:rsidRDefault="003C4E7A" w:rsidP="003C4E7A">
      <w:pPr>
        <w:sectPr w:rsidR="003C4E7A" w:rsidRPr="009B6E56" w:rsidSect="003C4E7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B652B" w:rsidRPr="009B6E56" w:rsidRDefault="006B652B" w:rsidP="006B652B">
      <w:pPr>
        <w:pStyle w:val="PageHeading"/>
      </w:pPr>
      <w:bookmarkStart w:id="3" w:name="_Toc69811065"/>
      <w:r w:rsidRPr="009B6E56">
        <w:t>EXPOSÉ DES MOTIFS</w:t>
      </w:r>
      <w:bookmarkEnd w:id="2"/>
      <w:bookmarkEnd w:id="3"/>
    </w:p>
    <w:p w:rsidR="006B652B" w:rsidRPr="009B6E56" w:rsidRDefault="006B652B" w:rsidP="006B652B">
      <w:pPr>
        <w:spacing w:after="240"/>
      </w:pPr>
      <w:r w:rsidRPr="009B6E56">
        <w:t>Le règlement (UE) nº 389/2012 du Conseil établit la base juridique pour la coopération administrative entre les États membres.</w:t>
      </w:r>
    </w:p>
    <w:p w:rsidR="006B652B" w:rsidRPr="009B6E56" w:rsidRDefault="006B652B" w:rsidP="006B652B">
      <w:pPr>
        <w:spacing w:after="240"/>
      </w:pPr>
      <w:r w:rsidRPr="009B6E56">
        <w:t>Les expéditeurs certifiés et les destinataires certifiés sont les opérateurs économiques qui interviennent dans les mouvements de produits soumis à accise mis à la consommation sur le territoire d’un État membre et déplacés vers le territoire d’un autre État membre.</w:t>
      </w:r>
    </w:p>
    <w:p w:rsidR="006B652B" w:rsidRPr="009B6E56" w:rsidRDefault="006B652B" w:rsidP="006B652B">
      <w:pPr>
        <w:spacing w:after="240"/>
      </w:pPr>
      <w:r w:rsidRPr="009B6E56">
        <w:t>Les États membres peuvent accorder à un expéditeur certifié ou à un destinataire certifié n’expédiant ou ne recevant des produits soumis à accise qu’à titre occasionnel une certification temporaire, limitée à une quantité déterminée de produits soumis à accise, à un seul expéditeur ou destinataire et à une durée déterminée.</w:t>
      </w:r>
    </w:p>
    <w:p w:rsidR="006B652B" w:rsidRPr="009B6E56" w:rsidRDefault="006B652B" w:rsidP="006B652B">
      <w:pPr>
        <w:spacing w:after="240"/>
      </w:pPr>
      <w:r w:rsidRPr="009B6E56">
        <w:t xml:space="preserve">La proposition présentée par la Commission vise à modifier le champ d’application de l’article 19 du règlement (UE) nº 389/2012 afin d’inclure les informations que les États membres doivent introduire dans les registres de la base de données électronique en ce qui concerne les expéditeurs certifiés et les destinataires certifiés qui ne déplacent des produits soumis à accise </w:t>
      </w:r>
      <w:r w:rsidRPr="009B6E56">
        <w:rPr>
          <w:u w:val="single"/>
        </w:rPr>
        <w:t>qu’à titre occasionnel</w:t>
      </w:r>
      <w:r w:rsidRPr="009B6E56">
        <w:t xml:space="preserve"> et qui bénéficient d’une </w:t>
      </w:r>
      <w:r w:rsidRPr="009B6E56">
        <w:rPr>
          <w:u w:val="single"/>
        </w:rPr>
        <w:t>certification temporaire</w:t>
      </w:r>
      <w:r w:rsidRPr="009B6E56">
        <w:t>.</w:t>
      </w:r>
    </w:p>
    <w:p w:rsidR="006B652B" w:rsidRPr="009B6E56" w:rsidRDefault="006B652B" w:rsidP="006B652B">
      <w:pPr>
        <w:spacing w:after="240"/>
      </w:pPr>
      <w:r w:rsidRPr="009B6E56">
        <w:t>Ces informations ont trait à la quantité de produits, à l’identité de l’opérateur économique à la fin du mouvement des produits et à la durée de la certification temporaire.</w:t>
      </w:r>
    </w:p>
    <w:p w:rsidR="006B652B" w:rsidRPr="009B6E56" w:rsidRDefault="006B652B" w:rsidP="006B652B">
      <w:pPr>
        <w:spacing w:after="240"/>
      </w:pPr>
      <w:r w:rsidRPr="009B6E56">
        <w:t>Compte tenu de la nature technique de la proposition et de son contenu non controversé, votre rapporteure propose que le Parlement approuve la proposition sans amendements selon une procédure simplifiée (article 52 du règlement intérieur).</w:t>
      </w:r>
    </w:p>
    <w:p w:rsidR="003C76CF" w:rsidRPr="009B6E56" w:rsidRDefault="003C76CF" w:rsidP="003C76CF">
      <w:r w:rsidRPr="009B6E56">
        <w:br w:type="page"/>
      </w:r>
    </w:p>
    <w:p w:rsidR="003C76CF" w:rsidRPr="009B6E56" w:rsidRDefault="003C76CF" w:rsidP="003C76CF">
      <w:pPr>
        <w:pStyle w:val="PageHeading"/>
      </w:pPr>
      <w:bookmarkStart w:id="4" w:name="ProcPageRR"/>
      <w:bookmarkStart w:id="5" w:name="_Toc69811066"/>
      <w:r w:rsidRPr="009B6E56">
        <w:t>PROCÉDURE DE LA COMMISSION COMPÉTENTE AU FOND</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C76CF" w:rsidRPr="009B6E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Titre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Modification du règlement (UE) nº 389/2012 du Conseil concernant la coopération administrative dans le domaine des droits d’accise en ce qui concerne le contenu des registres électroniques</w:t>
            </w:r>
          </w:p>
        </w:tc>
      </w:tr>
      <w:tr w:rsidR="003C76CF" w:rsidRPr="009B6E5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Références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COM(2021)0028 – C9-0016/2021 – 2021/0015(CNS)</w:t>
            </w:r>
          </w:p>
        </w:tc>
      </w:tr>
      <w:tr w:rsidR="003C76CF" w:rsidRPr="009B6E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Date de la consultation du PE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5.2.2021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r>
      <w:tr w:rsidR="003C76CF" w:rsidRPr="009B6E5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Commission compétente au fond</w:t>
            </w:r>
          </w:p>
          <w:p w:rsidR="003C76CF" w:rsidRPr="009B6E56" w:rsidRDefault="003C76CF">
            <w:pPr>
              <w:autoSpaceDE w:val="0"/>
              <w:autoSpaceDN w:val="0"/>
              <w:adjustRightInd w:val="0"/>
              <w:rPr>
                <w:color w:val="000000"/>
                <w:sz w:val="20"/>
              </w:rPr>
            </w:pPr>
            <w:r w:rsidRPr="009B6E56">
              <w:rPr>
                <w:color w:val="000000"/>
                <w:sz w:val="20"/>
              </w:rPr>
              <w:t>       Date de l’annonce en séance</w:t>
            </w:r>
          </w:p>
        </w:tc>
        <w:tc>
          <w:tcPr>
            <w:tcW w:w="1530" w:type="dxa"/>
            <w:tcBorders>
              <w:top w:val="nil"/>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ECON</w:t>
            </w:r>
          </w:p>
          <w:p w:rsidR="003C76CF" w:rsidRPr="009B6E56" w:rsidRDefault="003C76CF">
            <w:pPr>
              <w:autoSpaceDE w:val="0"/>
              <w:autoSpaceDN w:val="0"/>
              <w:adjustRightInd w:val="0"/>
              <w:rPr>
                <w:color w:val="000000"/>
                <w:sz w:val="20"/>
              </w:rPr>
            </w:pPr>
            <w:r w:rsidRPr="009B6E56">
              <w:rPr>
                <w:color w:val="000000"/>
                <w:sz w:val="20"/>
              </w:rPr>
              <w:t>8.2.2021</w:t>
            </w:r>
          </w:p>
        </w:tc>
        <w:tc>
          <w:tcPr>
            <w:tcW w:w="1474" w:type="dxa"/>
            <w:tcBorders>
              <w:top w:val="nil"/>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r>
      <w:tr w:rsidR="003C76CF" w:rsidRPr="009B6E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Rapporteurs</w:t>
            </w:r>
          </w:p>
          <w:p w:rsidR="003C76CF" w:rsidRPr="009B6E56" w:rsidRDefault="003C76CF">
            <w:pPr>
              <w:autoSpaceDE w:val="0"/>
              <w:autoSpaceDN w:val="0"/>
              <w:adjustRightInd w:val="0"/>
              <w:rPr>
                <w:color w:val="000000"/>
                <w:sz w:val="20"/>
              </w:rPr>
            </w:pPr>
            <w:r w:rsidRPr="009B6E56">
              <w:rPr>
                <w:color w:val="000000"/>
                <w:sz w:val="20"/>
              </w:rPr>
              <w:t>       Date de la nomination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Irene Tinagli</w:t>
            </w:r>
          </w:p>
          <w:p w:rsidR="003C76CF" w:rsidRPr="009B6E56" w:rsidRDefault="003C76CF">
            <w:pPr>
              <w:autoSpaceDE w:val="0"/>
              <w:autoSpaceDN w:val="0"/>
              <w:adjustRightInd w:val="0"/>
              <w:rPr>
                <w:color w:val="000000"/>
                <w:sz w:val="20"/>
              </w:rPr>
            </w:pPr>
            <w:r w:rsidRPr="009B6E56">
              <w:rPr>
                <w:color w:val="000000"/>
                <w:sz w:val="20"/>
              </w:rPr>
              <w:t>1.3.2021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r>
      <w:tr w:rsidR="003C76CF" w:rsidRPr="009B6E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Procédure simplifiée - date de la décision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14.4.2021</w:t>
            </w:r>
          </w:p>
        </w:tc>
      </w:tr>
      <w:tr w:rsidR="003C76CF" w:rsidRPr="009B6E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Examen en commission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14.4.2021</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r>
      <w:tr w:rsidR="003C76CF" w:rsidRPr="009B6E56">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Date de l’adoption</w:t>
            </w:r>
          </w:p>
        </w:tc>
        <w:tc>
          <w:tcPr>
            <w:tcW w:w="1530" w:type="dxa"/>
            <w:tcBorders>
              <w:top w:val="nil"/>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14.4.2021</w:t>
            </w:r>
          </w:p>
        </w:tc>
        <w:tc>
          <w:tcPr>
            <w:tcW w:w="1474" w:type="dxa"/>
            <w:tcBorders>
              <w:top w:val="nil"/>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rFonts w:ascii="sans-serif" w:hAnsi="sans-serif" w:cs="sans-serif"/>
                <w:color w:val="000000"/>
                <w:szCs w:val="24"/>
              </w:rPr>
            </w:pPr>
          </w:p>
        </w:tc>
      </w:tr>
      <w:tr w:rsidR="003C76CF" w:rsidRPr="009B6E56">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b/>
                <w:bCs/>
                <w:color w:val="000000"/>
                <w:sz w:val="20"/>
              </w:rPr>
            </w:pPr>
            <w:r w:rsidRPr="009B6E56">
              <w:rPr>
                <w:b/>
                <w:bCs/>
                <w:color w:val="000000"/>
                <w:sz w:val="20"/>
              </w:rPr>
              <w:t>Date du dépôt</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3C76CF" w:rsidRPr="009B6E56" w:rsidRDefault="003C76CF">
            <w:pPr>
              <w:autoSpaceDE w:val="0"/>
              <w:autoSpaceDN w:val="0"/>
              <w:adjustRightInd w:val="0"/>
              <w:rPr>
                <w:color w:val="000000"/>
                <w:sz w:val="20"/>
              </w:rPr>
            </w:pPr>
            <w:r w:rsidRPr="009B6E56">
              <w:rPr>
                <w:color w:val="000000"/>
                <w:sz w:val="20"/>
              </w:rPr>
              <w:t>15.4.2021</w:t>
            </w:r>
          </w:p>
        </w:tc>
      </w:tr>
    </w:tbl>
    <w:p w:rsidR="003C76CF" w:rsidRPr="009B6E56" w:rsidRDefault="003C76CF"/>
    <w:bookmarkEnd w:id="4"/>
    <w:p w:rsidR="002B1B1D" w:rsidRPr="009B6E56" w:rsidRDefault="002B1B1D" w:rsidP="003C76CF"/>
    <w:sectPr w:rsidR="002B1B1D" w:rsidRPr="009B6E56" w:rsidSect="003C4E7A">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0DC6" w:rsidRPr="003C4E7A" w:rsidRDefault="00A10DC6">
      <w:r w:rsidRPr="003C4E7A">
        <w:separator/>
      </w:r>
    </w:p>
  </w:endnote>
  <w:endnote w:type="continuationSeparator" w:id="0">
    <w:p w:rsidR="00A10DC6" w:rsidRPr="003C4E7A" w:rsidRDefault="00A10DC6">
      <w:r w:rsidRPr="003C4E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E7A" w:rsidRPr="003C4E7A" w:rsidRDefault="003C4E7A" w:rsidP="003C4E7A">
    <w:pPr>
      <w:pStyle w:val="EPFooter"/>
    </w:pPr>
    <w:r w:rsidRPr="003C4E7A">
      <w:t>PE</w:t>
    </w:r>
    <w:r w:rsidRPr="003C4E7A">
      <w:rPr>
        <w:rStyle w:val="HideTWBExt"/>
        <w:noProof w:val="0"/>
      </w:rPr>
      <w:t>&lt;NoPE&gt;</w:t>
    </w:r>
    <w:r w:rsidRPr="003C4E7A">
      <w:t>689.781</w:t>
    </w:r>
    <w:r w:rsidRPr="003C4E7A">
      <w:rPr>
        <w:rStyle w:val="HideTWBExt"/>
        <w:noProof w:val="0"/>
      </w:rPr>
      <w:t>&lt;/NoPE&gt;&lt;Version&gt;</w:t>
    </w:r>
    <w:r w:rsidRPr="003C4E7A">
      <w:t>v02-00</w:t>
    </w:r>
    <w:r w:rsidRPr="003C4E7A">
      <w:rPr>
        <w:rStyle w:val="HideTWBExt"/>
        <w:noProof w:val="0"/>
      </w:rPr>
      <w:t>&lt;/Version&gt;</w:t>
    </w:r>
    <w:r w:rsidRPr="003C4E7A">
      <w:tab/>
    </w:r>
    <w:r w:rsidRPr="003C4E7A">
      <w:fldChar w:fldCharType="begin"/>
    </w:r>
    <w:r w:rsidRPr="003C4E7A">
      <w:instrText xml:space="preserve"> PAGE  \* MERGEFORMAT </w:instrText>
    </w:r>
    <w:r w:rsidRPr="003C4E7A">
      <w:fldChar w:fldCharType="separate"/>
    </w:r>
    <w:r w:rsidR="009B6E56">
      <w:rPr>
        <w:noProof/>
      </w:rPr>
      <w:t>7</w:t>
    </w:r>
    <w:r w:rsidRPr="003C4E7A">
      <w:fldChar w:fldCharType="end"/>
    </w:r>
    <w:r w:rsidRPr="003C4E7A">
      <w:t>/</w:t>
    </w:r>
    <w:fldSimple w:instr=" NUMPAGES  \* MERGEFORMAT ">
      <w:r w:rsidR="009B6E56">
        <w:rPr>
          <w:noProof/>
        </w:rPr>
        <w:t>7</w:t>
      </w:r>
    </w:fldSimple>
    <w:r w:rsidRPr="003C4E7A">
      <w:tab/>
    </w:r>
    <w:r w:rsidRPr="003C4E7A">
      <w:rPr>
        <w:rStyle w:val="HideTWBExt"/>
        <w:noProof w:val="0"/>
      </w:rPr>
      <w:t>&lt;PathFdR&gt;</w:t>
    </w:r>
    <w:r w:rsidRPr="003C4E7A">
      <w:t>RR\1228973FR.docx</w:t>
    </w:r>
    <w:r w:rsidRPr="003C4E7A">
      <w:rPr>
        <w:rStyle w:val="HideTWBExt"/>
        <w:noProof w:val="0"/>
      </w:rPr>
      <w:t>&lt;/PathFdR&gt;</w:t>
    </w:r>
  </w:p>
  <w:p w:rsidR="003C4E7A" w:rsidRPr="003C4E7A" w:rsidRDefault="003C4E7A" w:rsidP="003C4E7A">
    <w:pPr>
      <w:pStyle w:val="EPFooter2"/>
    </w:pPr>
    <w:r w:rsidRPr="003C4E7A">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E7A" w:rsidRPr="003C4E7A" w:rsidRDefault="003C4E7A" w:rsidP="003C4E7A">
    <w:pPr>
      <w:pStyle w:val="EPFooter"/>
    </w:pPr>
    <w:r w:rsidRPr="003C4E7A">
      <w:rPr>
        <w:rStyle w:val="HideTWBExt"/>
        <w:noProof w:val="0"/>
      </w:rPr>
      <w:t>&lt;PathFdR&gt;</w:t>
    </w:r>
    <w:r w:rsidRPr="003C4E7A">
      <w:t>RR\1228973FR.docx</w:t>
    </w:r>
    <w:r w:rsidRPr="003C4E7A">
      <w:rPr>
        <w:rStyle w:val="HideTWBExt"/>
        <w:noProof w:val="0"/>
      </w:rPr>
      <w:t>&lt;/PathFdR&gt;</w:t>
    </w:r>
    <w:r w:rsidRPr="003C4E7A">
      <w:tab/>
    </w:r>
    <w:r w:rsidRPr="003C4E7A">
      <w:fldChar w:fldCharType="begin"/>
    </w:r>
    <w:r w:rsidRPr="003C4E7A">
      <w:instrText xml:space="preserve"> PAGE  \* MERGEFORMAT </w:instrText>
    </w:r>
    <w:r w:rsidRPr="003C4E7A">
      <w:fldChar w:fldCharType="separate"/>
    </w:r>
    <w:r w:rsidR="009B6E56">
      <w:rPr>
        <w:noProof/>
      </w:rPr>
      <w:t>7</w:t>
    </w:r>
    <w:r w:rsidRPr="003C4E7A">
      <w:fldChar w:fldCharType="end"/>
    </w:r>
    <w:r w:rsidRPr="003C4E7A">
      <w:t>/</w:t>
    </w:r>
    <w:fldSimple w:instr=" NUMPAGES  \* MERGEFORMAT ">
      <w:r w:rsidR="009B6E56">
        <w:rPr>
          <w:noProof/>
        </w:rPr>
        <w:t>7</w:t>
      </w:r>
    </w:fldSimple>
    <w:r w:rsidRPr="003C4E7A">
      <w:tab/>
      <w:t>PE</w:t>
    </w:r>
    <w:r w:rsidRPr="003C4E7A">
      <w:rPr>
        <w:rStyle w:val="HideTWBExt"/>
        <w:noProof w:val="0"/>
      </w:rPr>
      <w:t>&lt;NoPE&gt;</w:t>
    </w:r>
    <w:r w:rsidRPr="003C4E7A">
      <w:t>689.781</w:t>
    </w:r>
    <w:r w:rsidRPr="003C4E7A">
      <w:rPr>
        <w:rStyle w:val="HideTWBExt"/>
        <w:noProof w:val="0"/>
      </w:rPr>
      <w:t>&lt;/NoPE&gt;&lt;Version&gt;</w:t>
    </w:r>
    <w:r w:rsidRPr="003C4E7A">
      <w:t>v02-00</w:t>
    </w:r>
    <w:r w:rsidRPr="003C4E7A">
      <w:rPr>
        <w:rStyle w:val="HideTWBExt"/>
        <w:noProof w:val="0"/>
      </w:rPr>
      <w:t>&lt;/Version&gt;</w:t>
    </w:r>
  </w:p>
  <w:p w:rsidR="003C4E7A" w:rsidRPr="003C4E7A" w:rsidRDefault="003C4E7A" w:rsidP="003C4E7A">
    <w:pPr>
      <w:pStyle w:val="EPFooter2"/>
    </w:pPr>
    <w:r w:rsidRPr="003C4E7A">
      <w:tab/>
    </w:r>
    <w:r w:rsidRPr="003C4E7A">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4E7A" w:rsidRPr="003C4E7A" w:rsidRDefault="003C4E7A" w:rsidP="003C4E7A">
    <w:pPr>
      <w:pStyle w:val="EPFooter"/>
    </w:pPr>
    <w:r w:rsidRPr="003C4E7A">
      <w:rPr>
        <w:rStyle w:val="HideTWBExt"/>
        <w:noProof w:val="0"/>
      </w:rPr>
      <w:t>&lt;PathFdR&gt;</w:t>
    </w:r>
    <w:r w:rsidRPr="003C4E7A">
      <w:t>RR\1228973FR.docx</w:t>
    </w:r>
    <w:r w:rsidRPr="003C4E7A">
      <w:rPr>
        <w:rStyle w:val="HideTWBExt"/>
        <w:noProof w:val="0"/>
      </w:rPr>
      <w:t>&lt;/PathFdR&gt;</w:t>
    </w:r>
    <w:r w:rsidRPr="003C4E7A">
      <w:tab/>
    </w:r>
    <w:r w:rsidRPr="003C4E7A">
      <w:tab/>
      <w:t>PE</w:t>
    </w:r>
    <w:r w:rsidRPr="003C4E7A">
      <w:rPr>
        <w:rStyle w:val="HideTWBExt"/>
        <w:noProof w:val="0"/>
      </w:rPr>
      <w:t>&lt;NoPE&gt;</w:t>
    </w:r>
    <w:r w:rsidRPr="003C4E7A">
      <w:t>689.781</w:t>
    </w:r>
    <w:r w:rsidRPr="003C4E7A">
      <w:rPr>
        <w:rStyle w:val="HideTWBExt"/>
        <w:noProof w:val="0"/>
      </w:rPr>
      <w:t>&lt;/NoPE&gt;&lt;Version&gt;</w:t>
    </w:r>
    <w:r w:rsidRPr="003C4E7A">
      <w:t>v02-00</w:t>
    </w:r>
    <w:r w:rsidRPr="003C4E7A">
      <w:rPr>
        <w:rStyle w:val="HideTWBExt"/>
        <w:noProof w:val="0"/>
      </w:rPr>
      <w:t>&lt;/Version&gt;</w:t>
    </w:r>
  </w:p>
  <w:p w:rsidR="003C4E7A" w:rsidRPr="003C4E7A" w:rsidRDefault="003C4E7A" w:rsidP="003C4E7A">
    <w:pPr>
      <w:pStyle w:val="EPFooter2"/>
    </w:pPr>
    <w:r w:rsidRPr="003C4E7A">
      <w:t>FR</w:t>
    </w:r>
    <w:r w:rsidRPr="003C4E7A">
      <w:tab/>
    </w:r>
    <w:r w:rsidRPr="003C4E7A">
      <w:rPr>
        <w:b w:val="0"/>
        <w:i/>
        <w:color w:val="C0C0C0"/>
        <w:sz w:val="22"/>
      </w:rPr>
      <w:t>Unie dans la diversité</w:t>
    </w:r>
    <w:r w:rsidRPr="003C4E7A">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76CF" w:rsidRPr="003C4E7A" w:rsidRDefault="003C76CF" w:rsidP="003C76CF">
    <w:pPr>
      <w:pStyle w:val="EPFooter"/>
    </w:pPr>
    <w:r w:rsidRPr="003C4E7A">
      <w:rPr>
        <w:rStyle w:val="HideTWBExt"/>
        <w:noProof w:val="0"/>
      </w:rPr>
      <w:t>&lt;PathFdR&gt;</w:t>
    </w:r>
    <w:r w:rsidRPr="003C4E7A">
      <w:t>RR\1228973FR.docx</w:t>
    </w:r>
    <w:r w:rsidRPr="003C4E7A">
      <w:rPr>
        <w:rStyle w:val="HideTWBExt"/>
        <w:noProof w:val="0"/>
      </w:rPr>
      <w:t>&lt;/PathFdR&gt;</w:t>
    </w:r>
    <w:r w:rsidRPr="003C4E7A">
      <w:tab/>
    </w:r>
    <w:r w:rsidRPr="003C4E7A">
      <w:tab/>
      <w:t>PE</w:t>
    </w:r>
    <w:r w:rsidRPr="003C4E7A">
      <w:rPr>
        <w:rStyle w:val="HideTWBExt"/>
        <w:noProof w:val="0"/>
      </w:rPr>
      <w:t>&lt;NoPE&gt;</w:t>
    </w:r>
    <w:r w:rsidRPr="003C4E7A">
      <w:t>689.781</w:t>
    </w:r>
    <w:r w:rsidRPr="003C4E7A">
      <w:rPr>
        <w:rStyle w:val="HideTWBExt"/>
        <w:noProof w:val="0"/>
      </w:rPr>
      <w:t>&lt;/NoPE&gt;&lt;Version&gt;</w:t>
    </w:r>
    <w:r w:rsidRPr="003C4E7A">
      <w:t>v02-00</w:t>
    </w:r>
    <w:r w:rsidRPr="003C4E7A">
      <w:rPr>
        <w:rStyle w:val="HideTWBExt"/>
        <w:noProof w:val="0"/>
      </w:rPr>
      <w:t>&lt;/Version&gt;</w:t>
    </w:r>
  </w:p>
  <w:p w:rsidR="002F7000" w:rsidRPr="003C4E7A" w:rsidRDefault="003C76CF" w:rsidP="003C76CF">
    <w:pPr>
      <w:pStyle w:val="EPFooter2"/>
    </w:pPr>
    <w:r w:rsidRPr="003C4E7A">
      <w:t>FR</w:t>
    </w:r>
    <w:r w:rsidRPr="003C4E7A">
      <w:tab/>
    </w:r>
    <w:r w:rsidRPr="003C4E7A">
      <w:rPr>
        <w:b w:val="0"/>
        <w:i/>
        <w:color w:val="C0C0C0"/>
        <w:sz w:val="22"/>
      </w:rPr>
      <w:t>Unie dans la diversité</w:t>
    </w:r>
    <w:r w:rsidRPr="003C4E7A">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0DC6" w:rsidRPr="003C4E7A" w:rsidRDefault="00A10DC6">
      <w:r w:rsidRPr="003C4E7A">
        <w:separator/>
      </w:r>
    </w:p>
  </w:footnote>
  <w:footnote w:type="continuationSeparator" w:id="0">
    <w:p w:rsidR="00A10DC6" w:rsidRPr="003C4E7A" w:rsidRDefault="00A10DC6">
      <w:r w:rsidRPr="003C4E7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5E5" w:rsidRDefault="00BC05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5E5" w:rsidRDefault="00BC05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5E5" w:rsidRDefault="00BC05E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52B" w:rsidRDefault="006B652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52B" w:rsidRDefault="006B65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52B" w:rsidRDefault="006B65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ECON"/>
    <w:docVar w:name="LastEditedSection" w:val=" 1"/>
    <w:docVar w:name="strDocTypeID" w:val="CONV"/>
    <w:docVar w:name="strSubDir" w:val="1228"/>
    <w:docVar w:name="TITLEMNU" w:val=" 1"/>
    <w:docVar w:name="TXTLANGUE" w:val="FR"/>
    <w:docVar w:name="TXTLANGUEMIN" w:val="fr"/>
    <w:docVar w:name="TXTNRCNS" w:val="2021/0015"/>
    <w:docVar w:name="TXTNRPE" w:val="689.781"/>
    <w:docVar w:name="TXTPEorAP" w:val="PE"/>
    <w:docVar w:name="TXTROUTE" w:val="RR\1228973FR.docx"/>
    <w:docVar w:name="TXTVERSION" w:val="02-00"/>
  </w:docVars>
  <w:rsids>
    <w:rsidRoot w:val="00A10DC6"/>
    <w:rsid w:val="00056EA7"/>
    <w:rsid w:val="000753AB"/>
    <w:rsid w:val="000A024F"/>
    <w:rsid w:val="000C7D46"/>
    <w:rsid w:val="000E1B0C"/>
    <w:rsid w:val="00104AEE"/>
    <w:rsid w:val="001157F2"/>
    <w:rsid w:val="001907B9"/>
    <w:rsid w:val="001A06D8"/>
    <w:rsid w:val="001E44C6"/>
    <w:rsid w:val="001E5A80"/>
    <w:rsid w:val="0027008F"/>
    <w:rsid w:val="002817C0"/>
    <w:rsid w:val="002B0E9D"/>
    <w:rsid w:val="002B1B1D"/>
    <w:rsid w:val="002B272A"/>
    <w:rsid w:val="002D6A8E"/>
    <w:rsid w:val="002E5810"/>
    <w:rsid w:val="002F7000"/>
    <w:rsid w:val="00302A66"/>
    <w:rsid w:val="00356F22"/>
    <w:rsid w:val="00385C3B"/>
    <w:rsid w:val="003C4E7A"/>
    <w:rsid w:val="003C76CF"/>
    <w:rsid w:val="00470D5E"/>
    <w:rsid w:val="00487BC1"/>
    <w:rsid w:val="004C4A0B"/>
    <w:rsid w:val="004D7B3B"/>
    <w:rsid w:val="004F549A"/>
    <w:rsid w:val="0050486E"/>
    <w:rsid w:val="005048AD"/>
    <w:rsid w:val="00543B7B"/>
    <w:rsid w:val="00566C5B"/>
    <w:rsid w:val="005C0789"/>
    <w:rsid w:val="005F4E2B"/>
    <w:rsid w:val="00615454"/>
    <w:rsid w:val="00647378"/>
    <w:rsid w:val="00681C69"/>
    <w:rsid w:val="006860EE"/>
    <w:rsid w:val="006B652B"/>
    <w:rsid w:val="006C3928"/>
    <w:rsid w:val="006D7DDB"/>
    <w:rsid w:val="00796EB5"/>
    <w:rsid w:val="007B68B8"/>
    <w:rsid w:val="007D611D"/>
    <w:rsid w:val="00865B2B"/>
    <w:rsid w:val="00874129"/>
    <w:rsid w:val="008E1C2D"/>
    <w:rsid w:val="008E22DF"/>
    <w:rsid w:val="00911DF1"/>
    <w:rsid w:val="00972620"/>
    <w:rsid w:val="009B6E56"/>
    <w:rsid w:val="009C7A06"/>
    <w:rsid w:val="009D0C99"/>
    <w:rsid w:val="00A10DC6"/>
    <w:rsid w:val="00A11805"/>
    <w:rsid w:val="00A32023"/>
    <w:rsid w:val="00A3763D"/>
    <w:rsid w:val="00A43E6A"/>
    <w:rsid w:val="00AD26AD"/>
    <w:rsid w:val="00AF7573"/>
    <w:rsid w:val="00B37926"/>
    <w:rsid w:val="00B37B16"/>
    <w:rsid w:val="00B8590D"/>
    <w:rsid w:val="00B8794C"/>
    <w:rsid w:val="00BB2027"/>
    <w:rsid w:val="00BC05E5"/>
    <w:rsid w:val="00BD28D4"/>
    <w:rsid w:val="00BE4EC7"/>
    <w:rsid w:val="00C22C1C"/>
    <w:rsid w:val="00C54859"/>
    <w:rsid w:val="00C71A3C"/>
    <w:rsid w:val="00C82EBC"/>
    <w:rsid w:val="00C95F4F"/>
    <w:rsid w:val="00D33288"/>
    <w:rsid w:val="00D4037E"/>
    <w:rsid w:val="00DC3DED"/>
    <w:rsid w:val="00E43249"/>
    <w:rsid w:val="00E45E53"/>
    <w:rsid w:val="00E822D6"/>
    <w:rsid w:val="00E97119"/>
    <w:rsid w:val="00ED0609"/>
    <w:rsid w:val="00ED0821"/>
    <w:rsid w:val="00F10FED"/>
    <w:rsid w:val="00F14F33"/>
    <w:rsid w:val="00F4597B"/>
    <w:rsid w:val="00F803E3"/>
    <w:rsid w:val="00F978D3"/>
    <w:rsid w:val="00FC41F6"/>
    <w:rsid w:val="00FC479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58C27B7-DF9B-47BF-BEA7-022F91B60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68B8"/>
    <w:pPr>
      <w:spacing w:before="480" w:after="240"/>
    </w:pPr>
  </w:style>
  <w:style w:type="paragraph" w:styleId="TOC1">
    <w:name w:val="toc 1"/>
    <w:basedOn w:val="Normal"/>
    <w:next w:val="Normal"/>
    <w:autoRedefine/>
    <w:uiPriority w:val="39"/>
    <w:rsid w:val="00470D5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C4A0B"/>
    <w:pPr>
      <w:spacing w:before="80" w:after="80"/>
    </w:pPr>
    <w:rPr>
      <w:rFonts w:ascii="Arial Narrow" w:hAnsi="Arial Narrow" w:cs="Arial"/>
      <w:b/>
      <w:sz w:val="32"/>
      <w:szCs w:val="22"/>
    </w:rPr>
  </w:style>
  <w:style w:type="paragraph" w:customStyle="1" w:styleId="CoverNormal24a">
    <w:name w:val="CoverNormal24a"/>
    <w:basedOn w:val="Normal"/>
    <w:rsid w:val="005C078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F549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5C078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4597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C4A0B"/>
    <w:pPr>
      <w:spacing w:after="80"/>
    </w:pPr>
    <w:rPr>
      <w:rFonts w:ascii="Arial" w:hAnsi="Arial" w:cs="Arial"/>
      <w:sz w:val="20"/>
      <w:szCs w:val="22"/>
    </w:rPr>
  </w:style>
  <w:style w:type="paragraph" w:customStyle="1" w:styleId="EPLogo">
    <w:name w:val="EPLogo"/>
    <w:basedOn w:val="Normal"/>
    <w:qFormat/>
    <w:rsid w:val="004C4A0B"/>
    <w:pPr>
      <w:jc w:val="right"/>
    </w:pPr>
  </w:style>
  <w:style w:type="paragraph" w:customStyle="1" w:styleId="EPFooter">
    <w:name w:val="EPFooter"/>
    <w:basedOn w:val="Normal"/>
    <w:rsid w:val="005C0789"/>
    <w:pPr>
      <w:tabs>
        <w:tab w:val="center" w:pos="4535"/>
        <w:tab w:val="right" w:pos="9071"/>
      </w:tabs>
      <w:spacing w:before="240" w:after="240"/>
    </w:pPr>
    <w:rPr>
      <w:color w:val="010000"/>
      <w:sz w:val="22"/>
    </w:rPr>
  </w:style>
  <w:style w:type="character" w:styleId="PageNumber">
    <w:name w:val="page number"/>
    <w:basedOn w:val="DefaultParagraphFont"/>
    <w:semiHidden/>
    <w:rsid w:val="00865B2B"/>
  </w:style>
  <w:style w:type="character" w:customStyle="1" w:styleId="HeaderChar">
    <w:name w:val="Header Char"/>
    <w:basedOn w:val="DefaultParagraphFont"/>
    <w:link w:val="Header"/>
    <w:semiHidden/>
    <w:rsid w:val="00F4597B"/>
    <w:rPr>
      <w:sz w:val="24"/>
    </w:rPr>
  </w:style>
  <w:style w:type="paragraph" w:customStyle="1" w:styleId="Lgendesigne">
    <w:name w:val="Légende signe"/>
    <w:basedOn w:val="Normal"/>
    <w:rsid w:val="006B652B"/>
    <w:pPr>
      <w:tabs>
        <w:tab w:val="right" w:pos="454"/>
        <w:tab w:val="left" w:pos="737"/>
      </w:tabs>
      <w:ind w:left="737" w:hanging="737"/>
    </w:pPr>
    <w:rPr>
      <w:snapToGrid w:val="0"/>
      <w:sz w:val="18"/>
      <w:lang w:eastAsia="en-US"/>
    </w:rPr>
  </w:style>
  <w:style w:type="paragraph" w:customStyle="1" w:styleId="Lgendetitre">
    <w:name w:val="Légende titre"/>
    <w:basedOn w:val="Normal"/>
    <w:rsid w:val="006B652B"/>
    <w:pPr>
      <w:spacing w:before="240" w:after="240"/>
    </w:pPr>
    <w:rPr>
      <w:b/>
      <w:i/>
      <w:snapToGrid w:val="0"/>
      <w:lang w:eastAsia="en-US"/>
    </w:rPr>
  </w:style>
  <w:style w:type="paragraph" w:customStyle="1" w:styleId="Lgendestandard">
    <w:name w:val="Légende standard"/>
    <w:basedOn w:val="Normal"/>
    <w:rsid w:val="006B652B"/>
    <w:rPr>
      <w:sz w:val="18"/>
    </w:rPr>
  </w:style>
  <w:style w:type="paragraph" w:styleId="Footer">
    <w:name w:val="footer"/>
    <w:basedOn w:val="Normal"/>
    <w:link w:val="FooterChar"/>
    <w:semiHidden/>
    <w:rsid w:val="006B652B"/>
    <w:pPr>
      <w:tabs>
        <w:tab w:val="center" w:pos="4513"/>
        <w:tab w:val="right" w:pos="9026"/>
      </w:tabs>
    </w:pPr>
  </w:style>
  <w:style w:type="character" w:customStyle="1" w:styleId="FooterChar">
    <w:name w:val="Footer Char"/>
    <w:basedOn w:val="DefaultParagraphFont"/>
    <w:link w:val="Footer"/>
    <w:semiHidden/>
    <w:rsid w:val="006B652B"/>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359BF-DE5D-4F30-9938-27688241F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867</Words>
  <Characters>5082</Characters>
  <Application>Microsoft Office Word</Application>
  <DocSecurity>0</DocSecurity>
  <Lines>169</Lines>
  <Paragraphs>92</Paragraphs>
  <ScaleCrop>false</ScaleCrop>
  <HeadingPairs>
    <vt:vector size="2" baseType="variant">
      <vt:variant>
        <vt:lpstr>Title</vt:lpstr>
      </vt:variant>
      <vt:variant>
        <vt:i4>1</vt:i4>
      </vt:variant>
    </vt:vector>
  </HeadingPairs>
  <TitlesOfParts>
    <vt:vector size="1" baseType="lpstr">
      <vt:lpstr>PR_CNS_LegAct_app</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PR_CNS_LegAct_app</dc:title>
  <dc:subject/>
  <dc:creator>LAFONT Christine</dc:creator>
  <cp:keywords/>
  <dc:description/>
  <cp:lastModifiedBy>COMBE Mireille</cp:lastModifiedBy>
  <cp:revision>2</cp:revision>
  <cp:lastPrinted>2004-11-04T10:10:00Z</cp:lastPrinted>
  <dcterms:created xsi:type="dcterms:W3CDTF">2021-04-20T09:37:00Z</dcterms:created>
  <dcterms:modified xsi:type="dcterms:W3CDTF">2021-04-20T09:37:00Z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9.9.1 Build [20200705]</vt:lpwstr>
  </property>
  <property fmtid="{D5CDD505-2E9C-101B-9397-08002B2CF9AE}" pid="3" name="LastEdited with">
    <vt:lpwstr>9.9.1 Build [20200705]</vt:lpwstr>
  </property>
  <property fmtid="{D5CDD505-2E9C-101B-9397-08002B2CF9AE}" pid="4" name="&lt;FdR&gt;">
    <vt:lpwstr>1228973</vt:lpwstr>
  </property>
  <property fmtid="{D5CDD505-2E9C-101B-9397-08002B2CF9AE}" pid="5" name="&lt;Type&gt;">
    <vt:lpwstr>RR</vt:lpwstr>
  </property>
  <property fmtid="{D5CDD505-2E9C-101B-9397-08002B2CF9AE}" pid="6" name="&lt;ModelCod&gt;">
    <vt:lpwstr>\\eiciBRUpr1\pdocep$\DocEP\DOCS\General\PR\PR_Leg\CNS\CNS_LegAct\PR_CNS_LegAct_app.dotx(17/04/2020 18:27:11)</vt:lpwstr>
  </property>
  <property fmtid="{D5CDD505-2E9C-101B-9397-08002B2CF9AE}" pid="7" name="&lt;ModelTra&gt;">
    <vt:lpwstr>\\eiciBRUpr1\pdocep$\DocEP\TRANSFIL\FR\PR_CNS_LegAct_app.FR(02/09/2020 18:15:16)</vt:lpwstr>
  </property>
  <property fmtid="{D5CDD505-2E9C-101B-9397-08002B2CF9AE}" pid="8" name="&lt;Model&gt;">
    <vt:lpwstr>PR_CNS_LegAct_app</vt:lpwstr>
  </property>
  <property fmtid="{D5CDD505-2E9C-101B-9397-08002B2CF9AE}" pid="9" name="FooterPath">
    <vt:lpwstr>RR\1228973FR.docx</vt:lpwstr>
  </property>
  <property fmtid="{D5CDD505-2E9C-101B-9397-08002B2CF9AE}" pid="10" name="PE number">
    <vt:lpwstr>689.781</vt:lpwstr>
  </property>
  <property fmtid="{D5CDD505-2E9C-101B-9397-08002B2CF9AE}" pid="11" name="Bookout">
    <vt:lpwstr>OK - 2021/04/20 11:37</vt:lpwstr>
  </property>
  <property fmtid="{D5CDD505-2E9C-101B-9397-08002B2CF9AE}" pid="12" name="SDLStudio">
    <vt:lpwstr/>
  </property>
  <property fmtid="{D5CDD505-2E9C-101B-9397-08002B2CF9AE}" pid="13" name="&lt;Extension&gt;">
    <vt:lpwstr>FR</vt:lpwstr>
  </property>
</Properties>
</file>