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6F22" w:rsidRPr="00126F76" w:rsidTr="00C85D0F">
        <w:trPr>
          <w:trHeight w:hRule="exact" w:val="1418"/>
        </w:trPr>
        <w:tc>
          <w:tcPr>
            <w:tcW w:w="6804" w:type="dxa"/>
            <w:shd w:val="clear" w:color="auto" w:fill="auto"/>
            <w:vAlign w:val="center"/>
          </w:tcPr>
          <w:p w:rsidR="00356F22" w:rsidRPr="00126F76" w:rsidRDefault="0011044D" w:rsidP="00C85D0F">
            <w:pPr>
              <w:pStyle w:val="EPName"/>
            </w:pPr>
            <w:bookmarkStart w:id="0" w:name="_GoBack"/>
            <w:bookmarkEnd w:id="0"/>
            <w:r>
              <w:t>Parlement européen</w:t>
            </w:r>
          </w:p>
          <w:p w:rsidR="00356F22" w:rsidRPr="00126F76" w:rsidRDefault="00D02C5E" w:rsidP="00D02C5E">
            <w:pPr>
              <w:pStyle w:val="EPTerm"/>
            </w:pPr>
            <w:r>
              <w:t>2019-2024</w:t>
            </w:r>
          </w:p>
        </w:tc>
        <w:tc>
          <w:tcPr>
            <w:tcW w:w="2268" w:type="dxa"/>
            <w:shd w:val="clear" w:color="auto" w:fill="auto"/>
          </w:tcPr>
          <w:p w:rsidR="00356F22" w:rsidRPr="00126F76" w:rsidRDefault="00356F22" w:rsidP="00C85D0F">
            <w:pPr>
              <w:pStyle w:val="EPLogo"/>
            </w:pPr>
            <w:r w:rsidRPr="00126F7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126F76" w:rsidRDefault="00C71A3C" w:rsidP="00C71A3C">
      <w:pPr>
        <w:pStyle w:val="LineTop"/>
      </w:pPr>
    </w:p>
    <w:p w:rsidR="00C71A3C" w:rsidRPr="00126F76" w:rsidRDefault="00A222B3" w:rsidP="00C71A3C">
      <w:pPr>
        <w:pStyle w:val="EPBody"/>
      </w:pPr>
      <w:r>
        <w:t>Document de séance</w:t>
      </w:r>
    </w:p>
    <w:p w:rsidR="00C71A3C" w:rsidRPr="00126F76" w:rsidRDefault="00C71A3C" w:rsidP="00C71A3C">
      <w:pPr>
        <w:pStyle w:val="LineBottom"/>
      </w:pPr>
    </w:p>
    <w:p w:rsidR="00ED0821" w:rsidRPr="00126F76" w:rsidRDefault="00A222B3">
      <w:pPr>
        <w:pStyle w:val="CoverReference"/>
      </w:pPr>
      <w:r>
        <w:rPr>
          <w:rStyle w:val="HideTWBExt"/>
        </w:rPr>
        <w:t>&lt;NoDocSe&gt;</w:t>
      </w:r>
      <w:r>
        <w:t>A9-0201/2021</w:t>
      </w:r>
      <w:r>
        <w:rPr>
          <w:rStyle w:val="HideTWBExt"/>
        </w:rPr>
        <w:t>&lt;/NoDocSe&gt;</w:t>
      </w:r>
    </w:p>
    <w:p w:rsidR="00ED0821" w:rsidRPr="00126F76" w:rsidRDefault="00ED0821">
      <w:pPr>
        <w:pStyle w:val="CoverDate"/>
      </w:pPr>
      <w:r>
        <w:rPr>
          <w:rStyle w:val="HideTWBExt"/>
        </w:rPr>
        <w:t>&lt;Date&gt;</w:t>
      </w:r>
      <w:r>
        <w:rPr>
          <w:rStyle w:val="HideTWBInt"/>
        </w:rPr>
        <w:t>{16/06/2021}</w:t>
      </w:r>
      <w:r>
        <w:t>16.6.2021</w:t>
      </w:r>
      <w:r>
        <w:rPr>
          <w:rStyle w:val="HideTWBExt"/>
        </w:rPr>
        <w:t>&lt;/Date&gt;</w:t>
      </w:r>
    </w:p>
    <w:p w:rsidR="00ED0821" w:rsidRPr="00126F76" w:rsidRDefault="00ED0821">
      <w:pPr>
        <w:pStyle w:val="CoverDocType"/>
      </w:pPr>
      <w:r>
        <w:rPr>
          <w:rStyle w:val="HideTWBExt"/>
          <w:b w:val="0"/>
        </w:rPr>
        <w:t>&lt;RefProcLect&gt;</w:t>
      </w:r>
      <w:r>
        <w:t>*</w:t>
      </w:r>
      <w:r>
        <w:rPr>
          <w:rStyle w:val="HideTWBExt"/>
          <w:b w:val="0"/>
        </w:rPr>
        <w:t>&lt;/RefProcLect&gt;</w:t>
      </w:r>
    </w:p>
    <w:p w:rsidR="00ED0821" w:rsidRPr="0051221F" w:rsidRDefault="00ED0821">
      <w:pPr>
        <w:pStyle w:val="CoverDocType24a"/>
      </w:pPr>
      <w:r w:rsidRPr="00022F12">
        <w:rPr>
          <w:rStyle w:val="HideTWBExt"/>
          <w:b w:val="0"/>
        </w:rPr>
        <w:t>&lt;TitreType&gt;</w:t>
      </w:r>
      <w:r>
        <w:t>RAPPORT</w:t>
      </w:r>
      <w:r w:rsidRPr="00022F12">
        <w:rPr>
          <w:rStyle w:val="HideTWBExt"/>
          <w:b w:val="0"/>
        </w:rPr>
        <w:t>&lt;/TitreType&gt;</w:t>
      </w:r>
    </w:p>
    <w:p w:rsidR="00ED0821" w:rsidRPr="0051221F" w:rsidRDefault="00ED0821">
      <w:pPr>
        <w:pStyle w:val="CoverNormal"/>
      </w:pPr>
      <w:r w:rsidRPr="00022F12">
        <w:rPr>
          <w:rStyle w:val="HideTWBExt"/>
        </w:rPr>
        <w:t>&lt;Titre&gt;</w:t>
      </w:r>
      <w:r>
        <w:t>sur la proposition de directive du Conseil modifiant la directive 2006/112/CE en ce qui concerne l’attribution de compétences d’exécution à la Commission pour déterminer le sens des termes utilisés dans certaines dispositions de cette directive</w:t>
      </w:r>
      <w:r w:rsidRPr="00022F12">
        <w:rPr>
          <w:rStyle w:val="HideTWBExt"/>
        </w:rPr>
        <w:t>&lt;/Titre&gt;</w:t>
      </w:r>
    </w:p>
    <w:p w:rsidR="00ED0821" w:rsidRPr="00022F12" w:rsidRDefault="00ED0821">
      <w:pPr>
        <w:pStyle w:val="CoverNormal24a"/>
        <w:rPr>
          <w:lang w:val="pt-PT"/>
        </w:rPr>
      </w:pPr>
      <w:r>
        <w:rPr>
          <w:rStyle w:val="HideTWBExt"/>
          <w:lang w:val="pt-PT"/>
        </w:rPr>
        <w:t>&lt;DocRef&gt;</w:t>
      </w:r>
      <w:r w:rsidRPr="00022F12">
        <w:rPr>
          <w:lang w:val="pt-PT"/>
        </w:rPr>
        <w:t>(COM(2020)0749 – C9-0002/2021 – 2020/0331(CNS))</w:t>
      </w:r>
      <w:r>
        <w:rPr>
          <w:rStyle w:val="HideTWBExt"/>
          <w:lang w:val="pt-PT"/>
        </w:rPr>
        <w:t>&lt;/DocRef&gt;</w:t>
      </w:r>
    </w:p>
    <w:p w:rsidR="00ED0821" w:rsidRPr="00126F76" w:rsidRDefault="00ED0821">
      <w:pPr>
        <w:pStyle w:val="CoverNormal24a"/>
      </w:pPr>
      <w:r>
        <w:rPr>
          <w:rStyle w:val="HideTWBExt"/>
        </w:rPr>
        <w:t>&lt;Commission&gt;</w:t>
      </w:r>
      <w:r>
        <w:rPr>
          <w:rStyle w:val="HideTWBInt"/>
        </w:rPr>
        <w:t>{ECON}</w:t>
      </w:r>
      <w:r>
        <w:t>Commission des affaires économiques et monétaires</w:t>
      </w:r>
      <w:r>
        <w:rPr>
          <w:rStyle w:val="HideTWBExt"/>
        </w:rPr>
        <w:t>&lt;/Commission&gt;</w:t>
      </w:r>
    </w:p>
    <w:p w:rsidR="00ED0821" w:rsidRPr="00022F12" w:rsidRDefault="00D02C5E">
      <w:pPr>
        <w:pStyle w:val="CoverNormal24a"/>
        <w:rPr>
          <w:lang w:val="it-IT"/>
        </w:rPr>
      </w:pPr>
      <w:r w:rsidRPr="00022F12">
        <w:rPr>
          <w:lang w:val="it-IT"/>
        </w:rPr>
        <w:t xml:space="preserve">Rapporteure: </w:t>
      </w:r>
      <w:r>
        <w:rPr>
          <w:rStyle w:val="HideTWBExt"/>
          <w:lang w:val="it-IT"/>
        </w:rPr>
        <w:t>&lt;Depute&gt;</w:t>
      </w:r>
      <w:r w:rsidRPr="00022F12">
        <w:rPr>
          <w:lang w:val="it-IT"/>
        </w:rPr>
        <w:t>Irene Tinagli</w:t>
      </w:r>
      <w:r>
        <w:rPr>
          <w:rStyle w:val="HideTWBExt"/>
          <w:lang w:val="it-IT"/>
        </w:rPr>
        <w:t>&lt;/Depute&gt;</w:t>
      </w:r>
    </w:p>
    <w:p w:rsidR="00BE4EC7" w:rsidRPr="00126F76" w:rsidRDefault="00BE4EC7" w:rsidP="00BE4EC7">
      <w:pPr>
        <w:pStyle w:val="CoverNormal"/>
        <w:rPr>
          <w:lang w:val="it-IT"/>
        </w:rPr>
      </w:pPr>
    </w:p>
    <w:p w:rsidR="00D02C5E" w:rsidRPr="00126F76" w:rsidRDefault="00ED0821" w:rsidP="00894923">
      <w:r w:rsidRPr="00022F12">
        <w:rPr>
          <w:lang w:val="it-IT"/>
        </w:rPr>
        <w:br w:type="page"/>
      </w:r>
      <w:fldSimple w:instr=" TITLE  \* MERGEFORMAT ">
        <w:r w:rsidR="00022F12">
          <w:t>PR_CNS_LegAct_app</w:t>
        </w:r>
      </w:fldSimple>
    </w:p>
    <w:p w:rsidR="00D02C5E" w:rsidRPr="00126F76" w:rsidRDefault="00D02C5E" w:rsidP="00894923"/>
    <w:p w:rsidR="00D02C5E" w:rsidRPr="00126F76" w:rsidRDefault="00D02C5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02C5E" w:rsidRPr="00126F76">
        <w:tc>
          <w:tcPr>
            <w:tcW w:w="5811" w:type="dxa"/>
          </w:tcPr>
          <w:p w:rsidR="00D02C5E" w:rsidRPr="00126F76" w:rsidRDefault="00D02C5E" w:rsidP="00894923">
            <w:pPr>
              <w:pStyle w:val="Lgendetitre"/>
            </w:pPr>
            <w:r>
              <w:t>Légende des signes utilisés</w:t>
            </w:r>
          </w:p>
        </w:tc>
      </w:tr>
      <w:tr w:rsidR="00D02C5E" w:rsidRPr="00126F76" w:rsidTr="00C50C36">
        <w:trPr>
          <w:cantSplit/>
          <w:trHeight w:val="1944"/>
        </w:trPr>
        <w:tc>
          <w:tcPr>
            <w:tcW w:w="5811" w:type="dxa"/>
            <w:tcBorders>
              <w:bottom w:val="single" w:sz="4" w:space="0" w:color="auto"/>
            </w:tcBorders>
          </w:tcPr>
          <w:p w:rsidR="00D02C5E" w:rsidRPr="00126F76" w:rsidRDefault="00D02C5E" w:rsidP="0069092A">
            <w:pPr>
              <w:pStyle w:val="Lgendesigne"/>
            </w:pPr>
            <w:r>
              <w:tab/>
              <w:t>*</w:t>
            </w:r>
            <w:r>
              <w:tab/>
              <w:t>Procédure de consultation</w:t>
            </w:r>
          </w:p>
          <w:p w:rsidR="00D02C5E" w:rsidRPr="00126F76" w:rsidRDefault="00D02C5E" w:rsidP="0069092A">
            <w:pPr>
              <w:pStyle w:val="Lgendesigne"/>
            </w:pPr>
            <w:r>
              <w:tab/>
              <w:t>***</w:t>
            </w:r>
            <w:r>
              <w:tab/>
              <w:t>Procédure d’approbation</w:t>
            </w:r>
          </w:p>
          <w:p w:rsidR="00D02C5E" w:rsidRPr="00126F76" w:rsidRDefault="00D02C5E" w:rsidP="0069092A">
            <w:pPr>
              <w:pStyle w:val="Lgendesigne"/>
            </w:pPr>
            <w:r>
              <w:tab/>
              <w:t>***I</w:t>
            </w:r>
            <w:r>
              <w:tab/>
              <w:t>Procédure législative ordinaire (première lecture)</w:t>
            </w:r>
          </w:p>
          <w:p w:rsidR="00D02C5E" w:rsidRPr="00126F76" w:rsidRDefault="00D02C5E" w:rsidP="0069092A">
            <w:pPr>
              <w:pStyle w:val="Lgendesigne"/>
            </w:pPr>
            <w:r>
              <w:tab/>
              <w:t>***II</w:t>
            </w:r>
            <w:r>
              <w:tab/>
              <w:t>Procédure législative ordinaire (deuxième lecture)</w:t>
            </w:r>
          </w:p>
          <w:p w:rsidR="00D02C5E" w:rsidRPr="00126F76" w:rsidRDefault="00D02C5E" w:rsidP="0069092A">
            <w:pPr>
              <w:pStyle w:val="Lgendesigne"/>
            </w:pPr>
            <w:r>
              <w:tab/>
              <w:t>***III</w:t>
            </w:r>
            <w:r>
              <w:tab/>
              <w:t>Procédure législative ordinaire (troisième lecture)</w:t>
            </w:r>
          </w:p>
          <w:p w:rsidR="00D02C5E" w:rsidRPr="00126F76" w:rsidRDefault="00D02C5E" w:rsidP="0069092A">
            <w:pPr>
              <w:pStyle w:val="Lgendestandard"/>
            </w:pPr>
          </w:p>
          <w:p w:rsidR="00D02C5E" w:rsidRPr="00126F76" w:rsidRDefault="00D02C5E" w:rsidP="0069092A">
            <w:pPr>
              <w:pStyle w:val="Lgendestandard"/>
            </w:pPr>
            <w:r>
              <w:t>(La procédure indiquée est fondée sur la base juridique proposée par le projet d’acte.)</w:t>
            </w:r>
          </w:p>
          <w:p w:rsidR="00D02C5E" w:rsidRPr="00126F76" w:rsidRDefault="00D02C5E" w:rsidP="00784280">
            <w:pPr>
              <w:pStyle w:val="Lgendestandard"/>
            </w:pPr>
          </w:p>
        </w:tc>
      </w:tr>
    </w:tbl>
    <w:p w:rsidR="00D02C5E" w:rsidRPr="00126F76" w:rsidRDefault="00D02C5E" w:rsidP="00894923"/>
    <w:p w:rsidR="00D02C5E" w:rsidRPr="00126F76" w:rsidRDefault="00D02C5E" w:rsidP="00894923"/>
    <w:p w:rsidR="00D02C5E" w:rsidRPr="00126F76" w:rsidRDefault="00D02C5E" w:rsidP="00894923"/>
    <w:p w:rsidR="00D02C5E" w:rsidRPr="00126F76" w:rsidRDefault="00D02C5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02C5E" w:rsidRPr="00126F76">
        <w:tc>
          <w:tcPr>
            <w:tcW w:w="5811" w:type="dxa"/>
          </w:tcPr>
          <w:p w:rsidR="00D02C5E" w:rsidRPr="00126F76" w:rsidRDefault="00D02C5E" w:rsidP="00894923">
            <w:pPr>
              <w:pStyle w:val="Lgendetitre"/>
            </w:pPr>
            <w:r>
              <w:t>Amendements à un projet d’acte</w:t>
            </w:r>
          </w:p>
        </w:tc>
      </w:tr>
      <w:tr w:rsidR="00D02C5E" w:rsidRPr="00126F76" w:rsidTr="00161731">
        <w:trPr>
          <w:trHeight w:val="4923"/>
        </w:trPr>
        <w:tc>
          <w:tcPr>
            <w:tcW w:w="5811" w:type="dxa"/>
          </w:tcPr>
          <w:p w:rsidR="00D02C5E" w:rsidRPr="00126F76" w:rsidRDefault="00D02C5E" w:rsidP="0069092A">
            <w:pPr>
              <w:pStyle w:val="Lgendestandard"/>
              <w:rPr>
                <w:b/>
                <w:szCs w:val="18"/>
              </w:rPr>
            </w:pPr>
            <w:r>
              <w:rPr>
                <w:b/>
              </w:rPr>
              <w:t>Amendements du Parlement présentés en deux colonnes</w:t>
            </w:r>
          </w:p>
          <w:p w:rsidR="00D02C5E" w:rsidRPr="00126F76" w:rsidRDefault="00D02C5E" w:rsidP="0069092A">
            <w:pPr>
              <w:pStyle w:val="Lgendestandard"/>
              <w:rPr>
                <w:szCs w:val="18"/>
              </w:rPr>
            </w:pPr>
          </w:p>
          <w:p w:rsidR="00D02C5E" w:rsidRPr="00126F76" w:rsidRDefault="00D02C5E" w:rsidP="0069092A">
            <w:pPr>
              <w:pStyle w:val="Lgendestandard"/>
              <w:rPr>
                <w:szCs w:val="18"/>
              </w:rPr>
            </w:pPr>
            <w:r>
              <w:t xml:space="preserve">Les suppressions sont signalées par des </w:t>
            </w:r>
            <w:r>
              <w:rPr>
                <w:b/>
                <w:i/>
                <w:szCs w:val="18"/>
              </w:rPr>
              <w:t>italiques gras</w:t>
            </w:r>
            <w:r>
              <w:t xml:space="preserve"> dans la colonne de gauche. Les remplacements sont signalés par des </w:t>
            </w:r>
            <w:r>
              <w:rPr>
                <w:b/>
                <w:i/>
                <w:szCs w:val="18"/>
              </w:rPr>
              <w:t xml:space="preserve">italiques gras </w:t>
            </w:r>
            <w:r>
              <w:t>dans les deux colonnes. Le texte nouveau est signalé par des</w:t>
            </w:r>
            <w:r>
              <w:rPr>
                <w:b/>
                <w:i/>
                <w:szCs w:val="18"/>
              </w:rPr>
              <w:t xml:space="preserve"> italiques gras</w:t>
            </w:r>
            <w:r>
              <w:t xml:space="preserve"> dans la colonne de droite.</w:t>
            </w:r>
          </w:p>
          <w:p w:rsidR="00D02C5E" w:rsidRPr="00126F76" w:rsidRDefault="00D02C5E" w:rsidP="0069092A">
            <w:pPr>
              <w:pStyle w:val="Lgendestandard"/>
            </w:pPr>
          </w:p>
          <w:p w:rsidR="00D02C5E" w:rsidRPr="00126F76" w:rsidRDefault="00D02C5E" w:rsidP="0069092A">
            <w:pPr>
              <w:pStyle w:val="Lgendestandard"/>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D02C5E" w:rsidRPr="00126F76" w:rsidRDefault="00D02C5E" w:rsidP="0069092A">
            <w:pPr>
              <w:pStyle w:val="Lgendestandard"/>
            </w:pPr>
          </w:p>
          <w:p w:rsidR="00D02C5E" w:rsidRPr="00126F76" w:rsidRDefault="00D02C5E" w:rsidP="0069092A">
            <w:pPr>
              <w:pStyle w:val="Lgendestandard"/>
              <w:rPr>
                <w:b/>
                <w:szCs w:val="18"/>
              </w:rPr>
            </w:pPr>
            <w:r>
              <w:rPr>
                <w:b/>
                <w:szCs w:val="18"/>
              </w:rPr>
              <w:t>Amendements du Parlement prenant la forme d’un texte consolidé</w:t>
            </w:r>
          </w:p>
          <w:p w:rsidR="00D02C5E" w:rsidRPr="00126F76" w:rsidRDefault="00D02C5E" w:rsidP="0069092A">
            <w:pPr>
              <w:pStyle w:val="Lgendestandard"/>
              <w:rPr>
                <w:szCs w:val="18"/>
              </w:rPr>
            </w:pPr>
          </w:p>
          <w:p w:rsidR="00D02C5E" w:rsidRPr="00126F76" w:rsidRDefault="00D02C5E" w:rsidP="0069092A">
            <w:pPr>
              <w:pStyle w:val="Lgendestandard"/>
              <w:rPr>
                <w:szCs w:val="18"/>
              </w:rPr>
            </w:pPr>
            <w:r>
              <w:t xml:space="preserve">Les parties de textes nouvelles sont indiquées en </w:t>
            </w:r>
            <w:r>
              <w:rPr>
                <w:b/>
                <w:i/>
                <w:szCs w:val="18"/>
              </w:rPr>
              <w:t>italiques gras</w:t>
            </w:r>
            <w:r>
              <w:t xml:space="preserve">. Les parties de texte supprimées sont indiquées par le symbole ▌ ou barrées. Les remplacements sont signalés en indiquant en </w:t>
            </w:r>
            <w:r>
              <w:rPr>
                <w:b/>
                <w:i/>
                <w:szCs w:val="18"/>
              </w:rPr>
              <w:t xml:space="preserve">italiques gras </w:t>
            </w:r>
            <w:r>
              <w:t xml:space="preserve">le texte nouveau et en effaçant ou en barrant le texte remplacé. </w:t>
            </w:r>
          </w:p>
          <w:p w:rsidR="00D02C5E" w:rsidRPr="00126F76" w:rsidRDefault="00D02C5E" w:rsidP="0069092A">
            <w:pPr>
              <w:pStyle w:val="Lgendestandard"/>
            </w:pPr>
            <w:r>
              <w:t>Par exception, les modifications de nature strictement technique apportées par les services en vue de l’élaboration du texte final ne sont pas marquées.</w:t>
            </w:r>
          </w:p>
          <w:p w:rsidR="00D02C5E" w:rsidRPr="00126F76" w:rsidRDefault="00D02C5E" w:rsidP="0069092A">
            <w:pPr>
              <w:pStyle w:val="Lgendestandard"/>
            </w:pPr>
          </w:p>
        </w:tc>
      </w:tr>
    </w:tbl>
    <w:p w:rsidR="00D02C5E" w:rsidRPr="00126F76" w:rsidRDefault="00D02C5E" w:rsidP="00894923"/>
    <w:p w:rsidR="00ED0821" w:rsidRPr="00126F76" w:rsidRDefault="00ED0821" w:rsidP="004C4A0B">
      <w:pPr>
        <w:widowControl/>
        <w:tabs>
          <w:tab w:val="center" w:pos="4677"/>
        </w:tabs>
      </w:pPr>
    </w:p>
    <w:p w:rsidR="00ED0821" w:rsidRPr="00126F76" w:rsidRDefault="00ED0821">
      <w:pPr>
        <w:pStyle w:val="TOCHeading"/>
      </w:pPr>
      <w:r>
        <w:br w:type="page"/>
      </w:r>
      <w:r>
        <w:lastRenderedPageBreak/>
        <w:t>SOMMAIRE</w:t>
      </w:r>
    </w:p>
    <w:p w:rsidR="00ED0821" w:rsidRPr="00126F76" w:rsidRDefault="0011044D">
      <w:pPr>
        <w:pStyle w:val="TOCPage"/>
      </w:pPr>
      <w:r>
        <w:t>Page</w:t>
      </w:r>
    </w:p>
    <w:p w:rsidR="00022F12" w:rsidRDefault="004C4A0B">
      <w:pPr>
        <w:pStyle w:val="TOC1"/>
        <w:tabs>
          <w:tab w:val="right" w:leader="dot" w:pos="9060"/>
        </w:tabs>
        <w:rPr>
          <w:rFonts w:asciiTheme="minorHAnsi" w:eastAsiaTheme="minorEastAsia" w:hAnsiTheme="minorHAnsi" w:cstheme="minorBidi"/>
          <w:noProof/>
          <w:sz w:val="22"/>
          <w:szCs w:val="22"/>
          <w:lang w:val="en-GB"/>
        </w:rPr>
      </w:pPr>
      <w:r w:rsidRPr="00126F76">
        <w:rPr>
          <w:b/>
        </w:rPr>
        <w:fldChar w:fldCharType="begin"/>
      </w:r>
      <w:r w:rsidRPr="00126F76">
        <w:rPr>
          <w:b/>
        </w:rPr>
        <w:instrText xml:space="preserve"> TOC \t "PageHeading</w:instrText>
      </w:r>
      <w:r w:rsidR="00A222B3">
        <w:rPr>
          <w:b/>
        </w:rPr>
        <w:instrText>;</w:instrText>
      </w:r>
      <w:r w:rsidRPr="00126F76">
        <w:rPr>
          <w:b/>
        </w:rPr>
        <w:instrText xml:space="preserve">1" </w:instrText>
      </w:r>
      <w:r w:rsidRPr="00126F76">
        <w:rPr>
          <w:b/>
        </w:rPr>
        <w:fldChar w:fldCharType="separate"/>
      </w:r>
      <w:r w:rsidR="00022F12">
        <w:rPr>
          <w:noProof/>
        </w:rPr>
        <w:t>PROJET DE RÉSOLUTION LÉGISLATIVE DU PARLEMENT EUROPÉEN</w:t>
      </w:r>
      <w:r w:rsidR="00022F12">
        <w:rPr>
          <w:noProof/>
        </w:rPr>
        <w:tab/>
      </w:r>
      <w:r w:rsidR="00022F12">
        <w:rPr>
          <w:noProof/>
        </w:rPr>
        <w:fldChar w:fldCharType="begin"/>
      </w:r>
      <w:r w:rsidR="00022F12">
        <w:rPr>
          <w:noProof/>
        </w:rPr>
        <w:instrText xml:space="preserve"> PAGEREF _Toc75179878 \h </w:instrText>
      </w:r>
      <w:r w:rsidR="00022F12">
        <w:rPr>
          <w:noProof/>
        </w:rPr>
      </w:r>
      <w:r w:rsidR="00022F12">
        <w:rPr>
          <w:noProof/>
        </w:rPr>
        <w:fldChar w:fldCharType="separate"/>
      </w:r>
      <w:r w:rsidR="00022F12">
        <w:rPr>
          <w:noProof/>
        </w:rPr>
        <w:t>5</w:t>
      </w:r>
      <w:r w:rsidR="00022F12">
        <w:rPr>
          <w:noProof/>
        </w:rPr>
        <w:fldChar w:fldCharType="end"/>
      </w:r>
    </w:p>
    <w:p w:rsidR="00022F12" w:rsidRDefault="00022F12">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_Toc75179879 \h </w:instrText>
      </w:r>
      <w:r>
        <w:rPr>
          <w:noProof/>
        </w:rPr>
      </w:r>
      <w:r>
        <w:rPr>
          <w:noProof/>
        </w:rPr>
        <w:fldChar w:fldCharType="separate"/>
      </w:r>
      <w:r>
        <w:rPr>
          <w:noProof/>
        </w:rPr>
        <w:t>6</w:t>
      </w:r>
      <w:r>
        <w:rPr>
          <w:noProof/>
        </w:rPr>
        <w:fldChar w:fldCharType="end"/>
      </w:r>
    </w:p>
    <w:p w:rsidR="00022F12" w:rsidRDefault="00022F12">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_Toc75179880 \h </w:instrText>
      </w:r>
      <w:r>
        <w:rPr>
          <w:noProof/>
        </w:rPr>
      </w:r>
      <w:r>
        <w:rPr>
          <w:noProof/>
        </w:rPr>
        <w:fldChar w:fldCharType="separate"/>
      </w:r>
      <w:r>
        <w:rPr>
          <w:noProof/>
        </w:rPr>
        <w:t>8</w:t>
      </w:r>
      <w:r>
        <w:rPr>
          <w:noProof/>
        </w:rPr>
        <w:fldChar w:fldCharType="end"/>
      </w:r>
    </w:p>
    <w:p w:rsidR="00022F12" w:rsidRDefault="00022F12">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_Toc75179881 \h </w:instrText>
      </w:r>
      <w:r>
        <w:rPr>
          <w:noProof/>
        </w:rPr>
      </w:r>
      <w:r>
        <w:rPr>
          <w:noProof/>
        </w:rPr>
        <w:fldChar w:fldCharType="separate"/>
      </w:r>
      <w:r>
        <w:rPr>
          <w:noProof/>
        </w:rPr>
        <w:t>9</w:t>
      </w:r>
      <w:r>
        <w:rPr>
          <w:noProof/>
        </w:rPr>
        <w:fldChar w:fldCharType="end"/>
      </w:r>
    </w:p>
    <w:p w:rsidR="001A06D8" w:rsidRPr="00126F76" w:rsidRDefault="004C4A0B" w:rsidP="007B68B8">
      <w:r w:rsidRPr="00126F76">
        <w:rPr>
          <w:b/>
        </w:rPr>
        <w:fldChar w:fldCharType="end"/>
      </w:r>
    </w:p>
    <w:p w:rsidR="00ED0821" w:rsidRPr="00126F76" w:rsidRDefault="00ED0821">
      <w:pPr>
        <w:pStyle w:val="PageHeading"/>
      </w:pPr>
      <w:r>
        <w:br w:type="page"/>
      </w:r>
      <w:r>
        <w:lastRenderedPageBreak/>
        <w:br w:type="page"/>
      </w:r>
      <w:bookmarkStart w:id="1" w:name="_Toc75179878"/>
      <w:r>
        <w:t>PROJET DE RÉSOLUTION LÉGISLATIVE DU PARLEMENT EUROPÉEN</w:t>
      </w:r>
      <w:bookmarkEnd w:id="1"/>
    </w:p>
    <w:p w:rsidR="00D02C5E" w:rsidRPr="0051221F" w:rsidRDefault="0051221F" w:rsidP="00D02C5E">
      <w:pPr>
        <w:pStyle w:val="NormalBold"/>
      </w:pPr>
      <w:r>
        <w:t>sur la proposition de directive du Conseil modifiant la directive 2006/112/CE en ce qui concerne l’attribution de compétences d’exécution à la Commission pour déterminer le sens des termes utilisés dans certaines dispositions de cette directive</w:t>
      </w:r>
    </w:p>
    <w:p w:rsidR="00ED0821" w:rsidRPr="00126F76" w:rsidRDefault="0011044D">
      <w:pPr>
        <w:pStyle w:val="NormalBold12a"/>
      </w:pPr>
      <w:r>
        <w:t>(COM(2020)0749 – C9-0002/2021 – 2020/0331(CNS))</w:t>
      </w:r>
    </w:p>
    <w:p w:rsidR="00ED0821" w:rsidRPr="00126F76" w:rsidRDefault="0011044D" w:rsidP="007B68B8">
      <w:pPr>
        <w:pStyle w:val="NormalBold"/>
      </w:pPr>
      <w:r>
        <w:t>(Procédure législative spéciale – consultation)</w:t>
      </w:r>
    </w:p>
    <w:p w:rsidR="00ED0821" w:rsidRPr="00126F76" w:rsidRDefault="0011044D">
      <w:pPr>
        <w:pStyle w:val="EPComma"/>
      </w:pPr>
      <w:r>
        <w:rPr>
          <w:i/>
        </w:rPr>
        <w:t>Le Parlement européen</w:t>
      </w:r>
      <w:r>
        <w:t>,</w:t>
      </w:r>
    </w:p>
    <w:p w:rsidR="0051221F" w:rsidRPr="0051221F" w:rsidRDefault="00ED0821" w:rsidP="0051221F">
      <w:pPr>
        <w:pStyle w:val="NormalHanging12a"/>
      </w:pPr>
      <w:r>
        <w:t>–</w:t>
      </w:r>
      <w:r>
        <w:tab/>
        <w:t>vu la proposition de la Commission au Conseil (COM(2020)0749),</w:t>
      </w:r>
    </w:p>
    <w:p w:rsidR="0051221F" w:rsidRPr="0051221F" w:rsidRDefault="0051221F" w:rsidP="0051221F">
      <w:pPr>
        <w:pStyle w:val="NormalHanging12a"/>
      </w:pPr>
      <w:r>
        <w:t>–</w:t>
      </w:r>
      <w:r>
        <w:tab/>
        <w:t>vu l’article 113 du traité sur le fonctionnement de l’Union européenne, conformément auquel il a été consulté par le Conseil (C9-0002/2021),</w:t>
      </w:r>
    </w:p>
    <w:p w:rsidR="0051221F" w:rsidRPr="0051221F" w:rsidRDefault="0051221F" w:rsidP="0051221F">
      <w:pPr>
        <w:pStyle w:val="NormalHanging12a"/>
      </w:pPr>
      <w:r>
        <w:t>–</w:t>
      </w:r>
      <w:r>
        <w:tab/>
        <w:t>vu l’avis motivé soumis par le Parlement suédois, dans le cadre du protocole n° 2 sur l’application des principes de subsidiarité et de proportionnalité, déclarant que le projet d’acte législatif n’est pas conforme au principe de subsidiarité,</w:t>
      </w:r>
    </w:p>
    <w:p w:rsidR="0051221F" w:rsidRPr="0051221F" w:rsidRDefault="0051221F" w:rsidP="0051221F">
      <w:pPr>
        <w:pStyle w:val="NormalHanging12a"/>
      </w:pPr>
      <w:r>
        <w:t>–</w:t>
      </w:r>
      <w:r>
        <w:tab/>
        <w:t>vu l’article 82 de son règlement intérieur,</w:t>
      </w:r>
    </w:p>
    <w:p w:rsidR="0051221F" w:rsidRPr="0051221F" w:rsidRDefault="0051221F" w:rsidP="0051221F">
      <w:pPr>
        <w:pStyle w:val="NormalHanging12a"/>
      </w:pPr>
      <w:r>
        <w:t>–</w:t>
      </w:r>
      <w:r>
        <w:tab/>
        <w:t>vu le rapport de la commission des affaires économiques et monétaires (A9-0201/2021),</w:t>
      </w:r>
    </w:p>
    <w:p w:rsidR="0051221F" w:rsidRPr="0051221F" w:rsidRDefault="0051221F" w:rsidP="0051221F">
      <w:pPr>
        <w:pStyle w:val="NormalHanging12a"/>
      </w:pPr>
      <w:r>
        <w:t>1.</w:t>
      </w:r>
      <w:r>
        <w:tab/>
        <w:t>approuve la proposition de la Commission;</w:t>
      </w:r>
    </w:p>
    <w:p w:rsidR="0051221F" w:rsidRPr="0051221F" w:rsidRDefault="0051221F" w:rsidP="0051221F">
      <w:pPr>
        <w:pStyle w:val="NormalHanging12a"/>
      </w:pPr>
      <w:r>
        <w:t>2.</w:t>
      </w:r>
      <w:r>
        <w:tab/>
        <w:t>invite le Conseil, s’il entend s’écarter du texte approuvé par le Parlement, à en informer celui-ci;</w:t>
      </w:r>
    </w:p>
    <w:p w:rsidR="0051221F" w:rsidRPr="0051221F" w:rsidRDefault="0051221F" w:rsidP="0051221F">
      <w:pPr>
        <w:pStyle w:val="NormalHanging12a"/>
      </w:pPr>
      <w:r>
        <w:t>3.</w:t>
      </w:r>
      <w:r>
        <w:tab/>
        <w:t>demande au Conseil de le consulter à nouveau, s’il entend modifier de manière substantielle le texte approuvé par le Parlement;</w:t>
      </w:r>
    </w:p>
    <w:p w:rsidR="00ED0821" w:rsidRPr="0051221F" w:rsidRDefault="0051221F" w:rsidP="0051221F">
      <w:pPr>
        <w:pStyle w:val="NormalHanging12a"/>
      </w:pPr>
      <w:r>
        <w:t>4.</w:t>
      </w:r>
      <w:r>
        <w:tab/>
        <w:t>charge son Président de transmettre la position du Parlement au Conseil et à la Commission ainsi qu’aux parlements nationaux.</w:t>
      </w:r>
    </w:p>
    <w:p w:rsidR="00D02C5E" w:rsidRPr="0051221F" w:rsidRDefault="00D02C5E">
      <w:pPr>
        <w:widowControl/>
      </w:pPr>
      <w:r>
        <w:br w:type="page"/>
      </w:r>
    </w:p>
    <w:p w:rsidR="00D02C5E" w:rsidRPr="00126F76" w:rsidRDefault="00D02C5E" w:rsidP="00D02C5E">
      <w:pPr>
        <w:pStyle w:val="PageHeading"/>
      </w:pPr>
      <w:bookmarkStart w:id="2" w:name="_Toc68866298"/>
      <w:bookmarkStart w:id="3" w:name="_Toc75179879"/>
      <w:r>
        <w:t>EXPOSÉ DES MOTIFS</w:t>
      </w:r>
      <w:bookmarkEnd w:id="2"/>
      <w:bookmarkEnd w:id="3"/>
    </w:p>
    <w:p w:rsidR="0051221F" w:rsidRPr="0051221F" w:rsidRDefault="0051221F" w:rsidP="0051221F">
      <w:pPr>
        <w:jc w:val="both"/>
      </w:pPr>
      <w:bookmarkStart w:id="4" w:name="ProcPageRR"/>
      <w:r>
        <w:t>La Commission ne dispose actuellement d’aucune compétence d’exécution en ce qui concerne la directive TVA. Le seul instrument existant qui lui permet de promouvoir l’application uniforme des règles de l’UE en matière de TVA est un comité consultatif institué en vertu de l’article 398 de la directive TVA, à savoir le «comité de la TVA».</w:t>
      </w:r>
    </w:p>
    <w:p w:rsidR="0051221F" w:rsidRPr="00022F12" w:rsidRDefault="0051221F" w:rsidP="0051221F">
      <w:pPr>
        <w:jc w:val="both"/>
      </w:pPr>
    </w:p>
    <w:p w:rsidR="0051221F" w:rsidRPr="0051221F" w:rsidRDefault="0051221F" w:rsidP="0051221F">
      <w:pPr>
        <w:jc w:val="both"/>
      </w:pPr>
      <w:r>
        <w:t>Étant donné qu’il s’agit d’un comité consultatif, le comité de la TVA ne peut actuellement convenir que de lignes directrices non contraignantes sur l’application de la directive TVA, tandis que des mesures d’exécution contraignantes peuvent uniquement être arrêtées par le Conseil sur la base d’une proposition de la Commission (article 397 de la directive TVA). Les lignes directrices ont donc un caractère volontaire et n’ont pas permis d’assurer l’application uniforme de la législation de l’Union en matière de TVA.</w:t>
      </w:r>
    </w:p>
    <w:p w:rsidR="0051221F" w:rsidRPr="00022F12" w:rsidRDefault="0051221F" w:rsidP="0051221F">
      <w:pPr>
        <w:jc w:val="both"/>
      </w:pPr>
    </w:p>
    <w:p w:rsidR="0051221F" w:rsidRPr="0051221F" w:rsidRDefault="0051221F" w:rsidP="0051221F">
      <w:pPr>
        <w:jc w:val="both"/>
      </w:pPr>
      <w:r>
        <w:t>Les divergences d’interprétation de la directive TVA par les États membres sont susceptibles de donner lieu à des situations de double imposition et d’entraîner une insécurité juridique et des coûts supplémentaires pour les entreprises qui ne prendront généralement fin qu’après un laps de temps considérable grâce à un arrêt de la Cour de justice de l’Union européenne (CJUE), conduisant parfois à une interprétation qui n’était pas précédemment partagée par la majorité des États membres.</w:t>
      </w:r>
    </w:p>
    <w:p w:rsidR="0051221F" w:rsidRPr="00022F12" w:rsidRDefault="0051221F" w:rsidP="0051221F">
      <w:pPr>
        <w:jc w:val="both"/>
      </w:pPr>
    </w:p>
    <w:p w:rsidR="0051221F" w:rsidRPr="0051221F" w:rsidRDefault="0051221F" w:rsidP="0051221F">
      <w:pPr>
        <w:jc w:val="both"/>
      </w:pPr>
      <w:r>
        <w:t>Afin de remédier à la situation décrite ci-dessus et de permettre l’adoption d’interprétations contraignantes pour tous les États membres d’un certain nombre de dispositions relatives à la TVA, la Commission propose de modifier la directive TVA afin de créer un comité qui superviserait l’adoption par la Commission d’actes d’exécution dans certains domaines de la TVA. Cette proposition a été annoncée dans la communication sur un plan d’action pour une fiscalité équitable et simplifiée à l’appui de la stratégie de relance.</w:t>
      </w:r>
    </w:p>
    <w:p w:rsidR="0051221F" w:rsidRPr="00022F12" w:rsidRDefault="0051221F" w:rsidP="0051221F">
      <w:pPr>
        <w:jc w:val="both"/>
      </w:pPr>
    </w:p>
    <w:p w:rsidR="0051221F" w:rsidRPr="0051221F" w:rsidRDefault="0051221F" w:rsidP="0051221F">
      <w:pPr>
        <w:jc w:val="both"/>
      </w:pPr>
      <w:r>
        <w:t>Le nouveau comité sera établi conformément au règlement (UE) n</w:t>
      </w:r>
      <w:r>
        <w:rPr>
          <w:vertAlign w:val="superscript"/>
        </w:rPr>
        <w:t>o</w:t>
      </w:r>
      <w:r>
        <w:t xml:space="preserve"> 182/2011 du Parlement européen et du Conseil du 16 février 2011 établissant les règles et principes généraux relatifs aux modalités de contrôle par les États membres de l’exercice des compétences d’exécution par la Commission (le «règlement comitologie»). La procédure qu’il suivra est la procédure d’examen requise par l’article 2 du règlement comitologie, qui requiert un vote à la majorité qualifiée pour l’adoption des mesures d’exécution. </w:t>
      </w:r>
    </w:p>
    <w:p w:rsidR="0051221F" w:rsidRPr="00022F12" w:rsidRDefault="0051221F" w:rsidP="0051221F">
      <w:pPr>
        <w:jc w:val="both"/>
      </w:pPr>
    </w:p>
    <w:p w:rsidR="0051221F" w:rsidRPr="0051221F" w:rsidRDefault="0051221F" w:rsidP="0051221F">
      <w:pPr>
        <w:jc w:val="both"/>
      </w:pPr>
      <w:r>
        <w:t>Certains aspects doivent être soulignés:</w:t>
      </w:r>
    </w:p>
    <w:p w:rsidR="0051221F" w:rsidRPr="00022F12" w:rsidRDefault="0051221F" w:rsidP="0051221F">
      <w:pPr>
        <w:jc w:val="both"/>
      </w:pPr>
    </w:p>
    <w:p w:rsidR="0051221F" w:rsidRPr="0051221F" w:rsidRDefault="0051221F" w:rsidP="0051221F">
      <w:pPr>
        <w:ind w:left="720" w:hanging="360"/>
        <w:jc w:val="both"/>
      </w:pPr>
      <w:r>
        <w:rPr>
          <w:rFonts w:ascii="Symbol" w:hAnsi="Symbol"/>
        </w:rPr>
        <w:t></w:t>
      </w:r>
      <w:r>
        <w:rPr>
          <w:rFonts w:ascii="Symbol" w:hAnsi="Symbol"/>
        </w:rPr>
        <w:tab/>
      </w:r>
      <w:r>
        <w:t xml:space="preserve">Premièrement, les procédures de comitologie ne seraient appliquées que dans le cadre d’un ensemble limité de modalités d’application des dispositions de la directive TVA pour lesquelles une interprétation commune est requise. Toute modification de la directive TVA nécessitera, comme c’est le cas aujourd’hui, l’accord unanime du Conseil. </w:t>
      </w:r>
    </w:p>
    <w:p w:rsidR="0051221F" w:rsidRPr="00022F12" w:rsidRDefault="0051221F" w:rsidP="0051221F">
      <w:pPr>
        <w:ind w:left="720" w:hanging="360"/>
        <w:jc w:val="both"/>
      </w:pPr>
    </w:p>
    <w:p w:rsidR="0051221F" w:rsidRPr="0051221F" w:rsidRDefault="0051221F" w:rsidP="0051221F">
      <w:pPr>
        <w:ind w:left="720" w:hanging="360"/>
        <w:jc w:val="both"/>
      </w:pPr>
      <w:r>
        <w:rPr>
          <w:rFonts w:ascii="Symbol" w:hAnsi="Symbol"/>
        </w:rPr>
        <w:t></w:t>
      </w:r>
      <w:r>
        <w:rPr>
          <w:rFonts w:ascii="Symbol" w:hAnsi="Symbol"/>
        </w:rPr>
        <w:tab/>
      </w:r>
      <w:r>
        <w:t>Deuxièmement, il est dans l’intérêt des administrations fiscales comme des entreprises de faciliter l’adoption d’interprétations communes des dispositions de la directive TVA, étant donné que les discordances dans ce domaine sont susceptibles d’entraîner une double imposition, des distorsions de concurrence et des coûts supplémentaires pour les entreprises. À cet égard, la comitologie est l’approche standard appliquée de longue date dans le droit de l’Union pour rendre l’adoption de ces interprétations communes plus aisée. Il convient de noter que dans le domaine de la fiscalité indirecte, les procédures de comitologie standard sont déjà utilisées pour la coopération administrative en matière de TVA et les droits d’accise.</w:t>
      </w:r>
    </w:p>
    <w:p w:rsidR="0051221F" w:rsidRPr="0051221F" w:rsidRDefault="0051221F" w:rsidP="0051221F">
      <w:pPr>
        <w:ind w:left="720" w:hanging="360"/>
        <w:jc w:val="both"/>
      </w:pPr>
      <w:r>
        <w:rPr>
          <w:rFonts w:ascii="Symbol" w:hAnsi="Symbol"/>
        </w:rPr>
        <w:t></w:t>
      </w:r>
      <w:r>
        <w:rPr>
          <w:rFonts w:ascii="Symbol" w:hAnsi="Symbol"/>
        </w:rPr>
        <w:tab/>
      </w:r>
      <w:r>
        <w:t xml:space="preserve">Troisièmement, le Conseil conservera ses compétences d’exécution dans la mesure où celles-ci ne relèvent pas du champ d’application strictement défini de l’habilitation de la Commission et notamment, se rapportent à des questions importantes particulièrement sensibles pour les États membres. </w:t>
      </w:r>
    </w:p>
    <w:p w:rsidR="0051221F" w:rsidRPr="00022F12" w:rsidRDefault="0051221F" w:rsidP="0051221F">
      <w:pPr>
        <w:ind w:left="720" w:hanging="360"/>
        <w:jc w:val="both"/>
      </w:pPr>
    </w:p>
    <w:p w:rsidR="0051221F" w:rsidRPr="0051221F" w:rsidRDefault="0051221F" w:rsidP="0051221F">
      <w:pPr>
        <w:ind w:left="720" w:hanging="360"/>
        <w:jc w:val="both"/>
      </w:pPr>
      <w:r>
        <w:rPr>
          <w:rFonts w:ascii="Symbol" w:hAnsi="Symbol"/>
        </w:rPr>
        <w:t></w:t>
      </w:r>
      <w:r>
        <w:rPr>
          <w:rFonts w:ascii="Symbol" w:hAnsi="Symbol"/>
        </w:rPr>
        <w:tab/>
      </w:r>
      <w:r>
        <w:t>Quatrièmement, l’ancien «comité de la TVA» restera un forum de discussion avec la possibilité d’adopter des lignes directrices.</w:t>
      </w:r>
    </w:p>
    <w:p w:rsidR="0051221F" w:rsidRPr="00022F12" w:rsidRDefault="0051221F" w:rsidP="0051221F">
      <w:pPr>
        <w:ind w:left="720" w:hanging="360"/>
        <w:jc w:val="both"/>
      </w:pPr>
    </w:p>
    <w:p w:rsidR="0051221F" w:rsidRPr="0051221F" w:rsidRDefault="0051221F" w:rsidP="0051221F">
      <w:pPr>
        <w:jc w:val="both"/>
      </w:pPr>
      <w:r>
        <w:t xml:space="preserve">Dans ce contexte, votre rapporteure propose que le Parlement approuve la proposition de la Commission. La directive permettra à la Commission de proposer des interprétations communes d’un certain nombre de dispositions de la directive TVA, ce qui permettrait d’éviter des divergences dans leur application, au profit des entreprises, et qui pourrait être adopté à la majorité qualifiée au Conseil. </w:t>
      </w:r>
    </w:p>
    <w:p w:rsidR="0051221F" w:rsidRPr="00022F12" w:rsidRDefault="0051221F" w:rsidP="0051221F">
      <w:pPr>
        <w:jc w:val="both"/>
      </w:pPr>
    </w:p>
    <w:p w:rsidR="0051221F" w:rsidRPr="00E770F3" w:rsidRDefault="0051221F" w:rsidP="0051221F">
      <w:pPr>
        <w:jc w:val="center"/>
      </w:pPr>
      <w:r>
        <w:t>****</w:t>
      </w:r>
    </w:p>
    <w:p w:rsidR="0051221F" w:rsidRPr="00511B15" w:rsidRDefault="0051221F" w:rsidP="0051221F">
      <w:r>
        <w:br w:type="page"/>
      </w:r>
    </w:p>
    <w:p w:rsidR="00A222B3" w:rsidRDefault="00A222B3" w:rsidP="00A222B3">
      <w:pPr>
        <w:pStyle w:val="PageHeading"/>
      </w:pPr>
      <w:bookmarkStart w:id="5" w:name="_Toc75179880"/>
      <w:r>
        <w:t>PROCÉDURE DE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Modification de la directive 2006/112/CE en ce qui concerne l’attribution de compétences d’exécution à la Commission pour déterminer le sens des termes utilisés dans certaines dispositions de cette directive</w:t>
            </w: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COM(2020)0749 – C9-0002/2021 – 2020/0331(CNS)</w:t>
            </w:r>
          </w:p>
        </w:tc>
      </w:tr>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Date de la consultation du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7.1.2021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Commission compétente au fond</w:t>
            </w:r>
          </w:p>
          <w:p w:rsidR="00A222B3" w:rsidRDefault="00A222B3">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ECON</w:t>
            </w:r>
          </w:p>
          <w:p w:rsidR="00A222B3" w:rsidRDefault="00A222B3">
            <w:pPr>
              <w:autoSpaceDE w:val="0"/>
              <w:autoSpaceDN w:val="0"/>
              <w:adjustRightInd w:val="0"/>
              <w:rPr>
                <w:color w:val="000000"/>
                <w:sz w:val="20"/>
              </w:rPr>
            </w:pPr>
            <w:r>
              <w:rPr>
                <w:color w:val="000000"/>
                <w:sz w:val="20"/>
              </w:rPr>
              <w:t>18.1.2021</w:t>
            </w:r>
          </w:p>
        </w:tc>
        <w:tc>
          <w:tcPr>
            <w:tcW w:w="1474"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r>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Rapporteurs</w:t>
            </w:r>
          </w:p>
          <w:p w:rsidR="00A222B3" w:rsidRDefault="00A222B3">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Irene Tinagli</w:t>
            </w:r>
          </w:p>
          <w:p w:rsidR="00A222B3" w:rsidRDefault="00A222B3">
            <w:pPr>
              <w:autoSpaceDE w:val="0"/>
              <w:autoSpaceDN w:val="0"/>
              <w:adjustRightInd w:val="0"/>
              <w:rPr>
                <w:color w:val="000000"/>
                <w:sz w:val="20"/>
              </w:rPr>
            </w:pPr>
            <w:r>
              <w:rPr>
                <w:color w:val="000000"/>
                <w:sz w:val="20"/>
              </w:rPr>
              <w:t>26.1.2021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r>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10.5.2021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15.6.2021</w:t>
            </w:r>
          </w:p>
        </w:tc>
        <w:tc>
          <w:tcPr>
            <w:tcW w:w="1474"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rFonts w:ascii="sans-serif" w:hAnsi="sans-serif" w:cs="sans-serif"/>
                <w:color w:val="000000"/>
                <w:szCs w:val="24"/>
              </w:rPr>
            </w:pPr>
          </w:p>
        </w:tc>
      </w:tr>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w:t>
            </w:r>
          </w:p>
          <w:p w:rsidR="00A222B3" w:rsidRDefault="00A222B3">
            <w:pPr>
              <w:autoSpaceDE w:val="0"/>
              <w:autoSpaceDN w:val="0"/>
              <w:adjustRightInd w:val="0"/>
              <w:rPr>
                <w:color w:val="000000"/>
                <w:sz w:val="20"/>
              </w:rPr>
            </w:pPr>
            <w:r>
              <w:rPr>
                <w:color w:val="000000"/>
                <w:sz w:val="20"/>
              </w:rPr>
              <w:t>–:</w:t>
            </w:r>
          </w:p>
          <w:p w:rsidR="00A222B3" w:rsidRDefault="00A222B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44</w:t>
            </w:r>
          </w:p>
          <w:p w:rsidR="00A222B3" w:rsidRDefault="00A222B3">
            <w:pPr>
              <w:autoSpaceDE w:val="0"/>
              <w:autoSpaceDN w:val="0"/>
              <w:adjustRightInd w:val="0"/>
              <w:rPr>
                <w:color w:val="000000"/>
                <w:sz w:val="20"/>
              </w:rPr>
            </w:pPr>
            <w:r>
              <w:rPr>
                <w:color w:val="000000"/>
                <w:sz w:val="20"/>
              </w:rPr>
              <w:t>7</w:t>
            </w:r>
          </w:p>
          <w:p w:rsidR="00A222B3" w:rsidRDefault="00A222B3">
            <w:pPr>
              <w:autoSpaceDE w:val="0"/>
              <w:autoSpaceDN w:val="0"/>
              <w:adjustRightInd w:val="0"/>
              <w:rPr>
                <w:color w:val="000000"/>
                <w:sz w:val="20"/>
              </w:rPr>
            </w:pPr>
            <w:r>
              <w:rPr>
                <w:color w:val="000000"/>
                <w:sz w:val="20"/>
              </w:rPr>
              <w:t>5</w:t>
            </w:r>
          </w:p>
        </w:tc>
      </w:tr>
      <w:tr w:rsidR="00A222B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Gunnar Beck, Marek Belka, Isabel Benjumea Benjumea, Stefan Berger, Gilles Boyer, Francesca Donato, Engin Eroglu, Markus Ferber, Jonás Fernández, Frances Fitzgerald, José Manuel García-Margallo y Marfil, Luis Garicano, Sven Giegold, Valentino Grant, Claude Gruffat, José Gusmão, Eero Heinäluoma, Michiel Hoogeveen, Danuta Maria Hübner, France Jamet, Othmar Karas, Billy Kelleher, Ondřej Kovařík, Georgios Kyrtsos, Philippe Lamberts, Aušra Maldeikienė, Pedro Marques, Fulvio Martusciello, Jörg Meuthen, Csaba Molnár, Siegfried Mureşan, Caroline Nagtegaal, Luděk Niedermayer, Lefteris Nikolaou-Alavanos, Piernicola Pedicini, Lídia Pereira, Kira Marie Peter-Hansen, Sirpa Pietikäinen, Evelyn Regner, Antonio Maria Rinaldi, Alfred Sant, Joachim Schuster, Ralf Seekatz, Pedro Silva Pereira, Paul Tang, Irene Tinagli, Ernest Urtasun, Inese Vaidere, Johan Van Overtveldt, Stéphanie Yon-Courtin, Marco Zanni, Roberts Zīle</w:t>
            </w: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Manon Aubry, Eugen Jurzyca, Chris MacManus</w:t>
            </w: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Maria Arena</w:t>
            </w:r>
          </w:p>
        </w:tc>
      </w:tr>
      <w:tr w:rsidR="00A222B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b/>
                <w:bCs/>
                <w:color w:val="000000"/>
                <w:sz w:val="20"/>
              </w:rPr>
            </w:pPr>
            <w:r>
              <w:rPr>
                <w:b/>
                <w:bCs/>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22B3" w:rsidRDefault="00A222B3">
            <w:pPr>
              <w:autoSpaceDE w:val="0"/>
              <w:autoSpaceDN w:val="0"/>
              <w:adjustRightInd w:val="0"/>
              <w:rPr>
                <w:color w:val="000000"/>
                <w:sz w:val="20"/>
              </w:rPr>
            </w:pPr>
            <w:r>
              <w:rPr>
                <w:color w:val="000000"/>
                <w:sz w:val="20"/>
              </w:rPr>
              <w:t>16.6.2021</w:t>
            </w:r>
          </w:p>
        </w:tc>
      </w:tr>
    </w:tbl>
    <w:p w:rsidR="00A222B3" w:rsidRDefault="00A222B3"/>
    <w:bookmarkEnd w:id="4"/>
    <w:p w:rsidR="0051221F" w:rsidRDefault="0051221F">
      <w:pPr>
        <w:widowControl/>
      </w:pPr>
      <w:r>
        <w:br w:type="page"/>
      </w:r>
    </w:p>
    <w:p w:rsidR="0051221F" w:rsidRPr="0051221F" w:rsidRDefault="0051221F" w:rsidP="0051221F">
      <w:pPr>
        <w:pStyle w:val="PageHeading"/>
      </w:pPr>
      <w:bookmarkStart w:id="6" w:name="_Toc74734228"/>
      <w:bookmarkStart w:id="7" w:name="RollCallPageRR"/>
      <w:bookmarkStart w:id="8" w:name="_Toc75179881"/>
      <w:r>
        <w:t>VOTE FINAL PAR APPEL NOMINAL EN COMMISSION COMPÉTENTE AU FOND</w:t>
      </w:r>
      <w:bookmarkEnd w:id="6"/>
      <w:bookmarkEnd w:id="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21F" w:rsidRPr="00E770F3" w:rsidTr="003F4FFE">
        <w:trPr>
          <w:cantSplit/>
        </w:trPr>
        <w:tc>
          <w:tcPr>
            <w:tcW w:w="1701" w:type="dxa"/>
            <w:shd w:val="pct10" w:color="000000" w:fill="FFFFFF"/>
            <w:vAlign w:val="center"/>
          </w:tcPr>
          <w:p w:rsidR="0051221F" w:rsidRPr="00E770F3" w:rsidRDefault="0051221F" w:rsidP="003F4FFE">
            <w:pPr>
              <w:pStyle w:val="RollCallVotes"/>
            </w:pPr>
            <w:r>
              <w:t>44</w:t>
            </w:r>
          </w:p>
        </w:tc>
        <w:tc>
          <w:tcPr>
            <w:tcW w:w="7371" w:type="dxa"/>
            <w:shd w:val="pct10" w:color="000000" w:fill="FFFFFF"/>
          </w:tcPr>
          <w:p w:rsidR="0051221F" w:rsidRPr="00E770F3" w:rsidRDefault="0051221F" w:rsidP="003F4FFE">
            <w:pPr>
              <w:pStyle w:val="RollCallSymbols14pt"/>
            </w:pPr>
            <w:r>
              <w:t>+</w:t>
            </w:r>
          </w:p>
        </w:tc>
      </w:tr>
      <w:tr w:rsidR="0051221F" w:rsidRPr="0051221F" w:rsidTr="003F4FFE">
        <w:trPr>
          <w:cantSplit/>
        </w:trPr>
        <w:tc>
          <w:tcPr>
            <w:tcW w:w="1701" w:type="dxa"/>
            <w:shd w:val="clear" w:color="auto" w:fill="FFFFFF"/>
          </w:tcPr>
          <w:p w:rsidR="0051221F" w:rsidRPr="00E770F3" w:rsidRDefault="0051221F" w:rsidP="003F4FFE">
            <w:pPr>
              <w:pStyle w:val="RollCallTable"/>
            </w:pPr>
            <w:r>
              <w:t>PPE</w:t>
            </w:r>
          </w:p>
        </w:tc>
        <w:tc>
          <w:tcPr>
            <w:tcW w:w="7371" w:type="dxa"/>
            <w:shd w:val="clear" w:color="auto" w:fill="FFFFFF"/>
          </w:tcPr>
          <w:p w:rsidR="0051221F" w:rsidRPr="00E770F3" w:rsidRDefault="0051221F" w:rsidP="003F4FFE">
            <w:pPr>
              <w:pStyle w:val="RollCallTable"/>
            </w:pPr>
            <w:r>
              <w:t>Isabel Benjumea Benjumea, Stefan Berger, Markus Ferber, Frances Fitzgerald, José Manuel García-Margallo y Marfil, Danuta Maria Hübner, Othmar Karas, Georgios Kyrtsos, Aušra Maldeikienė, Fulvio Martusciello, Siegfried Mureşan, Luděk Niedermayer, Lídia Pereira, Sirpa Pietikäinen, Ralf Seekatz, Inese Vaidere</w:t>
            </w:r>
          </w:p>
        </w:tc>
      </w:tr>
      <w:tr w:rsidR="0051221F" w:rsidRPr="00E770F3" w:rsidTr="003F4FFE">
        <w:trPr>
          <w:cantSplit/>
        </w:trPr>
        <w:tc>
          <w:tcPr>
            <w:tcW w:w="1701" w:type="dxa"/>
            <w:shd w:val="clear" w:color="auto" w:fill="FFFFFF"/>
          </w:tcPr>
          <w:p w:rsidR="0051221F" w:rsidRPr="00E770F3" w:rsidRDefault="0051221F" w:rsidP="003F4FFE">
            <w:pPr>
              <w:pStyle w:val="RollCallTable"/>
            </w:pPr>
            <w:r>
              <w:t>Renew</w:t>
            </w:r>
          </w:p>
        </w:tc>
        <w:tc>
          <w:tcPr>
            <w:tcW w:w="7371" w:type="dxa"/>
            <w:shd w:val="clear" w:color="auto" w:fill="FFFFFF"/>
          </w:tcPr>
          <w:p w:rsidR="0051221F" w:rsidRPr="00E770F3" w:rsidRDefault="0051221F" w:rsidP="003F4FFE">
            <w:pPr>
              <w:pStyle w:val="RollCallTable"/>
            </w:pPr>
            <w:r>
              <w:t>Gilles Boyer, Engin Eroglu, Luis Garicano, Billy Kelleher, Ondřej Kovařík, Caroline Nagtegaal, Stéphanie Yon-Courtin</w:t>
            </w:r>
          </w:p>
        </w:tc>
      </w:tr>
      <w:tr w:rsidR="0051221F" w:rsidRPr="0051221F" w:rsidTr="003F4FFE">
        <w:trPr>
          <w:cantSplit/>
        </w:trPr>
        <w:tc>
          <w:tcPr>
            <w:tcW w:w="1701" w:type="dxa"/>
            <w:shd w:val="clear" w:color="auto" w:fill="FFFFFF"/>
          </w:tcPr>
          <w:p w:rsidR="0051221F" w:rsidRPr="00E770F3" w:rsidRDefault="0051221F" w:rsidP="003F4FFE">
            <w:pPr>
              <w:pStyle w:val="RollCallTable"/>
            </w:pPr>
            <w:r>
              <w:t>S&amp;D</w:t>
            </w:r>
          </w:p>
        </w:tc>
        <w:tc>
          <w:tcPr>
            <w:tcW w:w="7371" w:type="dxa"/>
            <w:shd w:val="clear" w:color="auto" w:fill="FFFFFF"/>
          </w:tcPr>
          <w:p w:rsidR="0051221F" w:rsidRPr="00E770F3" w:rsidRDefault="0051221F" w:rsidP="003F4FFE">
            <w:pPr>
              <w:pStyle w:val="RollCallTable"/>
            </w:pPr>
            <w:r>
              <w:t>Maria Arena, Marek Belka, Jonás Fernández, Eero Heinäluoma, Pedro Marques, Csaba Molnár, Evelyn Regner, Alfred Sant, Joachim Schuster, Pedro Silva Pereira, Paul Tang, Irene Tinagli</w:t>
            </w:r>
          </w:p>
        </w:tc>
      </w:tr>
      <w:tr w:rsidR="0051221F" w:rsidRPr="0051221F" w:rsidTr="003F4FFE">
        <w:trPr>
          <w:cantSplit/>
        </w:trPr>
        <w:tc>
          <w:tcPr>
            <w:tcW w:w="1701" w:type="dxa"/>
            <w:shd w:val="clear" w:color="auto" w:fill="FFFFFF"/>
          </w:tcPr>
          <w:p w:rsidR="0051221F" w:rsidRPr="00E770F3" w:rsidRDefault="0051221F" w:rsidP="003F4FFE">
            <w:pPr>
              <w:pStyle w:val="RollCallTable"/>
            </w:pPr>
            <w:r>
              <w:t>The Left</w:t>
            </w:r>
          </w:p>
        </w:tc>
        <w:tc>
          <w:tcPr>
            <w:tcW w:w="7371" w:type="dxa"/>
            <w:shd w:val="clear" w:color="auto" w:fill="FFFFFF"/>
          </w:tcPr>
          <w:p w:rsidR="0051221F" w:rsidRPr="00E770F3" w:rsidRDefault="0051221F" w:rsidP="003F4FFE">
            <w:pPr>
              <w:pStyle w:val="RollCallTable"/>
            </w:pPr>
            <w:r>
              <w:t>Manon Aubry, José Gusmão, Chris MacManus</w:t>
            </w:r>
          </w:p>
        </w:tc>
      </w:tr>
      <w:tr w:rsidR="0051221F" w:rsidRPr="0051221F" w:rsidTr="003F4FFE">
        <w:trPr>
          <w:cantSplit/>
        </w:trPr>
        <w:tc>
          <w:tcPr>
            <w:tcW w:w="1701" w:type="dxa"/>
            <w:shd w:val="clear" w:color="auto" w:fill="FFFFFF"/>
          </w:tcPr>
          <w:p w:rsidR="0051221F" w:rsidRPr="00E770F3" w:rsidRDefault="0051221F" w:rsidP="003F4FFE">
            <w:pPr>
              <w:pStyle w:val="RollCallTable"/>
            </w:pPr>
            <w:r>
              <w:t>Verts/ALE</w:t>
            </w:r>
          </w:p>
        </w:tc>
        <w:tc>
          <w:tcPr>
            <w:tcW w:w="7371" w:type="dxa"/>
            <w:shd w:val="clear" w:color="auto" w:fill="FFFFFF"/>
          </w:tcPr>
          <w:p w:rsidR="0051221F" w:rsidRPr="00E770F3" w:rsidRDefault="0051221F" w:rsidP="003F4FFE">
            <w:pPr>
              <w:pStyle w:val="RollCallTable"/>
            </w:pPr>
            <w:r>
              <w:t>Sven Giegold, Claude Gruffat, Philippe Lamberts, Piernicola Pedicini, Kira Marie Peter-Hansen, Ernest Urtasun</w:t>
            </w:r>
          </w:p>
        </w:tc>
      </w:tr>
    </w:tbl>
    <w:p w:rsidR="0051221F" w:rsidRPr="00022F12" w:rsidRDefault="0051221F" w:rsidP="0051221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21F" w:rsidRPr="00E770F3" w:rsidTr="003F4FFE">
        <w:trPr>
          <w:cantSplit/>
        </w:trPr>
        <w:tc>
          <w:tcPr>
            <w:tcW w:w="1701" w:type="dxa"/>
            <w:shd w:val="pct10" w:color="000000" w:fill="FFFFFF"/>
            <w:vAlign w:val="center"/>
          </w:tcPr>
          <w:p w:rsidR="0051221F" w:rsidRPr="00E770F3" w:rsidRDefault="0051221F" w:rsidP="003F4FFE">
            <w:pPr>
              <w:pStyle w:val="RollCallVotes"/>
            </w:pPr>
            <w:r>
              <w:t>7</w:t>
            </w:r>
          </w:p>
        </w:tc>
        <w:tc>
          <w:tcPr>
            <w:tcW w:w="7371" w:type="dxa"/>
            <w:shd w:val="pct10" w:color="000000" w:fill="FFFFFF"/>
          </w:tcPr>
          <w:p w:rsidR="0051221F" w:rsidRPr="00E770F3" w:rsidRDefault="0051221F" w:rsidP="003F4FFE">
            <w:pPr>
              <w:pStyle w:val="RollCallSymbols14pt"/>
            </w:pPr>
            <w:r>
              <w:t>-</w:t>
            </w:r>
          </w:p>
        </w:tc>
      </w:tr>
      <w:tr w:rsidR="0051221F" w:rsidRPr="00022F12" w:rsidTr="003F4FFE">
        <w:trPr>
          <w:cantSplit/>
        </w:trPr>
        <w:tc>
          <w:tcPr>
            <w:tcW w:w="1701" w:type="dxa"/>
            <w:shd w:val="clear" w:color="auto" w:fill="FFFFFF"/>
          </w:tcPr>
          <w:p w:rsidR="0051221F" w:rsidRPr="00E770F3" w:rsidRDefault="0051221F" w:rsidP="003F4FFE">
            <w:pPr>
              <w:pStyle w:val="RollCallTable"/>
            </w:pPr>
            <w:r>
              <w:t>ECR</w:t>
            </w:r>
          </w:p>
        </w:tc>
        <w:tc>
          <w:tcPr>
            <w:tcW w:w="7371" w:type="dxa"/>
            <w:shd w:val="clear" w:color="auto" w:fill="FFFFFF"/>
          </w:tcPr>
          <w:p w:rsidR="0051221F" w:rsidRPr="00022F12" w:rsidRDefault="0051221F" w:rsidP="003F4FFE">
            <w:pPr>
              <w:pStyle w:val="RollCallTable"/>
              <w:rPr>
                <w:lang w:val="nl-NL"/>
              </w:rPr>
            </w:pPr>
            <w:r w:rsidRPr="00022F12">
              <w:rPr>
                <w:lang w:val="nl-NL"/>
              </w:rPr>
              <w:t>Michiel Hoogeveen, Eugen Jurzyca, Johan Van Overtveldt, Roberts Zīle</w:t>
            </w:r>
          </w:p>
        </w:tc>
      </w:tr>
      <w:tr w:rsidR="0051221F" w:rsidRPr="00E770F3" w:rsidTr="003F4FFE">
        <w:trPr>
          <w:cantSplit/>
        </w:trPr>
        <w:tc>
          <w:tcPr>
            <w:tcW w:w="1701" w:type="dxa"/>
            <w:shd w:val="clear" w:color="auto" w:fill="FFFFFF"/>
          </w:tcPr>
          <w:p w:rsidR="0051221F" w:rsidRPr="00E770F3" w:rsidRDefault="0051221F" w:rsidP="003F4FFE">
            <w:pPr>
              <w:pStyle w:val="RollCallTable"/>
            </w:pPr>
            <w:r>
              <w:t>ID</w:t>
            </w:r>
          </w:p>
        </w:tc>
        <w:tc>
          <w:tcPr>
            <w:tcW w:w="7371" w:type="dxa"/>
            <w:shd w:val="clear" w:color="auto" w:fill="FFFFFF"/>
          </w:tcPr>
          <w:p w:rsidR="0051221F" w:rsidRPr="00E770F3" w:rsidRDefault="0051221F" w:rsidP="003F4FFE">
            <w:pPr>
              <w:pStyle w:val="RollCallTable"/>
            </w:pPr>
            <w:r>
              <w:t>Gunnar Beck, Jörg Meuthen</w:t>
            </w:r>
          </w:p>
        </w:tc>
      </w:tr>
      <w:tr w:rsidR="0051221F" w:rsidRPr="00E770F3" w:rsidTr="003F4FFE">
        <w:trPr>
          <w:cantSplit/>
        </w:trPr>
        <w:tc>
          <w:tcPr>
            <w:tcW w:w="1701" w:type="dxa"/>
            <w:shd w:val="clear" w:color="auto" w:fill="FFFFFF"/>
          </w:tcPr>
          <w:p w:rsidR="0051221F" w:rsidRPr="00E770F3" w:rsidRDefault="0051221F" w:rsidP="003F4FFE">
            <w:pPr>
              <w:pStyle w:val="RollCallTable"/>
            </w:pPr>
            <w:r>
              <w:t>NI</w:t>
            </w:r>
          </w:p>
        </w:tc>
        <w:tc>
          <w:tcPr>
            <w:tcW w:w="7371" w:type="dxa"/>
            <w:shd w:val="clear" w:color="auto" w:fill="FFFFFF"/>
          </w:tcPr>
          <w:p w:rsidR="0051221F" w:rsidRPr="00E770F3" w:rsidRDefault="0051221F" w:rsidP="003F4FFE">
            <w:pPr>
              <w:pStyle w:val="RollCallTable"/>
            </w:pPr>
            <w:r>
              <w:t>Lefteris Nikolaou-Alavanos</w:t>
            </w:r>
          </w:p>
        </w:tc>
      </w:tr>
    </w:tbl>
    <w:p w:rsidR="0051221F" w:rsidRPr="00E770F3" w:rsidRDefault="0051221F" w:rsidP="0051221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1221F" w:rsidRPr="00E770F3" w:rsidTr="003F4FFE">
        <w:trPr>
          <w:cantSplit/>
        </w:trPr>
        <w:tc>
          <w:tcPr>
            <w:tcW w:w="1701" w:type="dxa"/>
            <w:shd w:val="pct10" w:color="000000" w:fill="FFFFFF"/>
            <w:vAlign w:val="center"/>
          </w:tcPr>
          <w:p w:rsidR="0051221F" w:rsidRPr="00E770F3" w:rsidRDefault="0051221F" w:rsidP="003F4FFE">
            <w:pPr>
              <w:pStyle w:val="RollCallVotes"/>
            </w:pPr>
            <w:r>
              <w:t>5</w:t>
            </w:r>
          </w:p>
        </w:tc>
        <w:tc>
          <w:tcPr>
            <w:tcW w:w="7371" w:type="dxa"/>
            <w:shd w:val="pct10" w:color="000000" w:fill="FFFFFF"/>
          </w:tcPr>
          <w:p w:rsidR="0051221F" w:rsidRPr="00E770F3" w:rsidRDefault="0051221F" w:rsidP="003F4FFE">
            <w:pPr>
              <w:pStyle w:val="RollCallSymbols14pt"/>
            </w:pPr>
            <w:r>
              <w:t>0</w:t>
            </w:r>
          </w:p>
        </w:tc>
      </w:tr>
      <w:tr w:rsidR="0051221F" w:rsidRPr="00022F12" w:rsidTr="003F4FFE">
        <w:trPr>
          <w:cantSplit/>
        </w:trPr>
        <w:tc>
          <w:tcPr>
            <w:tcW w:w="1701" w:type="dxa"/>
            <w:shd w:val="clear" w:color="auto" w:fill="FFFFFF"/>
          </w:tcPr>
          <w:p w:rsidR="0051221F" w:rsidRPr="00E770F3" w:rsidRDefault="0051221F" w:rsidP="003F4FFE">
            <w:pPr>
              <w:pStyle w:val="RollCallTable"/>
            </w:pPr>
            <w:r>
              <w:t>ID</w:t>
            </w:r>
          </w:p>
        </w:tc>
        <w:tc>
          <w:tcPr>
            <w:tcW w:w="7371" w:type="dxa"/>
            <w:shd w:val="clear" w:color="auto" w:fill="FFFFFF"/>
          </w:tcPr>
          <w:p w:rsidR="0051221F" w:rsidRPr="00022F12" w:rsidRDefault="0051221F" w:rsidP="003F4FFE">
            <w:pPr>
              <w:pStyle w:val="RollCallTable"/>
              <w:rPr>
                <w:lang w:val="it-IT"/>
              </w:rPr>
            </w:pPr>
            <w:r w:rsidRPr="00022F12">
              <w:rPr>
                <w:lang w:val="it-IT"/>
              </w:rPr>
              <w:t>Francesca Donato, Valentino Grant, France Jamet, Antonio Maria Rinaldi, Marco Zanni</w:t>
            </w:r>
          </w:p>
        </w:tc>
      </w:tr>
    </w:tbl>
    <w:p w:rsidR="0051221F" w:rsidRPr="00234926" w:rsidRDefault="0051221F" w:rsidP="0051221F">
      <w:pPr>
        <w:pStyle w:val="Normal12a"/>
        <w:rPr>
          <w:lang w:val="it-IT"/>
        </w:rPr>
      </w:pPr>
    </w:p>
    <w:p w:rsidR="0051221F" w:rsidRPr="0051221F" w:rsidRDefault="0051221F" w:rsidP="0051221F">
      <w:r>
        <w:t>Légende des signes utilisés:</w:t>
      </w:r>
    </w:p>
    <w:p w:rsidR="0051221F" w:rsidRPr="0051221F" w:rsidRDefault="0051221F" w:rsidP="0051221F">
      <w:pPr>
        <w:pStyle w:val="RollCallTabs"/>
      </w:pPr>
      <w:r>
        <w:t>+</w:t>
      </w:r>
      <w:r>
        <w:tab/>
        <w:t>:</w:t>
      </w:r>
      <w:r>
        <w:tab/>
        <w:t>pour</w:t>
      </w:r>
    </w:p>
    <w:p w:rsidR="0051221F" w:rsidRPr="0051221F" w:rsidRDefault="0051221F" w:rsidP="0051221F">
      <w:pPr>
        <w:pStyle w:val="RollCallTabs"/>
      </w:pPr>
      <w:r>
        <w:t>-</w:t>
      </w:r>
      <w:r>
        <w:tab/>
        <w:t>:</w:t>
      </w:r>
      <w:r>
        <w:tab/>
        <w:t>contre</w:t>
      </w:r>
    </w:p>
    <w:p w:rsidR="0051221F" w:rsidRPr="00E770F3" w:rsidRDefault="0051221F" w:rsidP="0051221F">
      <w:pPr>
        <w:pStyle w:val="RollCallTabs"/>
      </w:pPr>
      <w:r>
        <w:t>0</w:t>
      </w:r>
      <w:r>
        <w:tab/>
        <w:t>:</w:t>
      </w:r>
      <w:r>
        <w:tab/>
        <w:t>abstention</w:t>
      </w:r>
    </w:p>
    <w:p w:rsidR="0051221F" w:rsidRPr="00E770F3" w:rsidRDefault="0051221F" w:rsidP="0051221F"/>
    <w:bookmarkEnd w:id="7"/>
    <w:p w:rsidR="0051221F" w:rsidRPr="00E770F3" w:rsidRDefault="0051221F" w:rsidP="0051221F"/>
    <w:p w:rsidR="002B1B1D" w:rsidRPr="00A222B3" w:rsidRDefault="002B1B1D" w:rsidP="00A222B3"/>
    <w:sectPr w:rsidR="002B1B1D" w:rsidRPr="00A222B3" w:rsidSect="00911D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44D" w:rsidRPr="0011044D" w:rsidRDefault="0011044D">
      <w:r w:rsidRPr="0011044D">
        <w:separator/>
      </w:r>
    </w:p>
  </w:endnote>
  <w:endnote w:type="continuationSeparator" w:id="0">
    <w:p w:rsidR="0011044D" w:rsidRPr="0011044D" w:rsidRDefault="0011044D">
      <w:r w:rsidRPr="001104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2B3" w:rsidRDefault="00A222B3" w:rsidP="00A222B3">
    <w:pPr>
      <w:pStyle w:val="EPFooter"/>
    </w:pPr>
    <w:r>
      <w:t>PE</w:t>
    </w:r>
    <w:r w:rsidRPr="00A222B3">
      <w:rPr>
        <w:rStyle w:val="HideTWBExt"/>
      </w:rPr>
      <w:t>&lt;NoPE&gt;</w:t>
    </w:r>
    <w:r>
      <w:t>689.588</w:t>
    </w:r>
    <w:r w:rsidRPr="00A222B3">
      <w:rPr>
        <w:rStyle w:val="HideTWBExt"/>
      </w:rPr>
      <w:t>&lt;/NoPE&gt;&lt;Version&gt;</w:t>
    </w:r>
    <w:r>
      <w:t>v02-00</w:t>
    </w:r>
    <w:r w:rsidRPr="00A222B3">
      <w:rPr>
        <w:rStyle w:val="HideTWBExt"/>
      </w:rPr>
      <w:t>&lt;/Version&gt;</w:t>
    </w:r>
    <w:r>
      <w:tab/>
    </w:r>
    <w:r>
      <w:fldChar w:fldCharType="begin"/>
    </w:r>
    <w:r>
      <w:instrText xml:space="preserve"> PAGE  \* MERGEFORMAT </w:instrText>
    </w:r>
    <w:r>
      <w:fldChar w:fldCharType="separate"/>
    </w:r>
    <w:r w:rsidR="00022F12">
      <w:rPr>
        <w:noProof/>
      </w:rPr>
      <w:t>9</w:t>
    </w:r>
    <w:r>
      <w:fldChar w:fldCharType="end"/>
    </w:r>
    <w:r>
      <w:t>/</w:t>
    </w:r>
    <w:fldSimple w:instr=" NUMPAGES  \* MERGEFORMAT ">
      <w:r w:rsidR="00022F12">
        <w:rPr>
          <w:noProof/>
        </w:rPr>
        <w:t>9</w:t>
      </w:r>
    </w:fldSimple>
    <w:r>
      <w:tab/>
    </w:r>
    <w:r w:rsidRPr="00A222B3">
      <w:rPr>
        <w:rStyle w:val="HideTWBExt"/>
      </w:rPr>
      <w:t>&lt;PathFdR&gt;</w:t>
    </w:r>
    <w:r>
      <w:t>RR\1234308FR.docx</w:t>
    </w:r>
    <w:r w:rsidRPr="00A222B3">
      <w:rPr>
        <w:rStyle w:val="HideTWBExt"/>
      </w:rPr>
      <w:t>&lt;/PathFdR&gt;</w:t>
    </w:r>
  </w:p>
  <w:p w:rsidR="002F7000" w:rsidRPr="0011044D" w:rsidRDefault="00A222B3" w:rsidP="00A222B3">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2B3" w:rsidRDefault="00A222B3" w:rsidP="00A222B3">
    <w:pPr>
      <w:pStyle w:val="EPFooter"/>
    </w:pPr>
    <w:r w:rsidRPr="00A222B3">
      <w:rPr>
        <w:rStyle w:val="HideTWBExt"/>
      </w:rPr>
      <w:t>&lt;PathFdR&gt;</w:t>
    </w:r>
    <w:r>
      <w:t>RR\1234308FR.docx</w:t>
    </w:r>
    <w:r w:rsidRPr="00A222B3">
      <w:rPr>
        <w:rStyle w:val="HideTWBExt"/>
      </w:rPr>
      <w:t>&lt;/PathFdR&gt;</w:t>
    </w:r>
    <w:r>
      <w:tab/>
    </w:r>
    <w:r>
      <w:fldChar w:fldCharType="begin"/>
    </w:r>
    <w:r>
      <w:instrText xml:space="preserve"> PAGE  \* MERGEFORMAT </w:instrText>
    </w:r>
    <w:r>
      <w:fldChar w:fldCharType="separate"/>
    </w:r>
    <w:r w:rsidR="00022F12">
      <w:rPr>
        <w:noProof/>
      </w:rPr>
      <w:t>9</w:t>
    </w:r>
    <w:r>
      <w:fldChar w:fldCharType="end"/>
    </w:r>
    <w:r>
      <w:t>/</w:t>
    </w:r>
    <w:fldSimple w:instr=" NUMPAGES  \* MERGEFORMAT ">
      <w:r w:rsidR="00022F12">
        <w:rPr>
          <w:noProof/>
        </w:rPr>
        <w:t>9</w:t>
      </w:r>
    </w:fldSimple>
    <w:r>
      <w:tab/>
      <w:t>PE</w:t>
    </w:r>
    <w:r w:rsidRPr="00A222B3">
      <w:rPr>
        <w:rStyle w:val="HideTWBExt"/>
      </w:rPr>
      <w:t>&lt;NoPE&gt;</w:t>
    </w:r>
    <w:r>
      <w:t>689.588</w:t>
    </w:r>
    <w:r w:rsidRPr="00A222B3">
      <w:rPr>
        <w:rStyle w:val="HideTWBExt"/>
      </w:rPr>
      <w:t>&lt;/NoPE&gt;&lt;Version&gt;</w:t>
    </w:r>
    <w:r>
      <w:t>v02-00</w:t>
    </w:r>
    <w:r w:rsidRPr="00A222B3">
      <w:rPr>
        <w:rStyle w:val="HideTWBExt"/>
      </w:rPr>
      <w:t>&lt;/Version&gt;</w:t>
    </w:r>
  </w:p>
  <w:p w:rsidR="002F7000" w:rsidRPr="0011044D" w:rsidRDefault="00A222B3" w:rsidP="00A222B3">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2B3" w:rsidRDefault="00A222B3" w:rsidP="00A222B3">
    <w:pPr>
      <w:pStyle w:val="EPFooter"/>
    </w:pPr>
    <w:r w:rsidRPr="00A222B3">
      <w:rPr>
        <w:rStyle w:val="HideTWBExt"/>
      </w:rPr>
      <w:t>&lt;PathFdR&gt;</w:t>
    </w:r>
    <w:r>
      <w:t>RR\1234308FR.docx</w:t>
    </w:r>
    <w:r w:rsidRPr="00A222B3">
      <w:rPr>
        <w:rStyle w:val="HideTWBExt"/>
      </w:rPr>
      <w:t>&lt;/PathFdR&gt;</w:t>
    </w:r>
    <w:r>
      <w:tab/>
    </w:r>
    <w:r>
      <w:tab/>
      <w:t>PE</w:t>
    </w:r>
    <w:r w:rsidRPr="00A222B3">
      <w:rPr>
        <w:rStyle w:val="HideTWBExt"/>
      </w:rPr>
      <w:t>&lt;NoPE&gt;</w:t>
    </w:r>
    <w:r>
      <w:t>689.588</w:t>
    </w:r>
    <w:r w:rsidRPr="00A222B3">
      <w:rPr>
        <w:rStyle w:val="HideTWBExt"/>
      </w:rPr>
      <w:t>&lt;/NoPE&gt;&lt;Version&gt;</w:t>
    </w:r>
    <w:r>
      <w:t>v02-00</w:t>
    </w:r>
    <w:r w:rsidRPr="00A222B3">
      <w:rPr>
        <w:rStyle w:val="HideTWBExt"/>
      </w:rPr>
      <w:t>&lt;/Version&gt;</w:t>
    </w:r>
  </w:p>
  <w:p w:rsidR="002F7000" w:rsidRPr="0011044D" w:rsidRDefault="00A222B3" w:rsidP="00A222B3">
    <w:pPr>
      <w:pStyle w:val="EPFooter2"/>
    </w:pPr>
    <w:r>
      <w:t>FR</w:t>
    </w:r>
    <w:r>
      <w:tab/>
    </w:r>
    <w:r w:rsidRPr="00A222B3">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44D" w:rsidRPr="0011044D" w:rsidRDefault="0011044D">
      <w:r w:rsidRPr="0011044D">
        <w:separator/>
      </w:r>
    </w:p>
  </w:footnote>
  <w:footnote w:type="continuationSeparator" w:id="0">
    <w:p w:rsidR="0011044D" w:rsidRPr="0011044D" w:rsidRDefault="0011044D">
      <w:r w:rsidRPr="001104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21F" w:rsidRDefault="00512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21F" w:rsidRDefault="00512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21F" w:rsidRDefault="00512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RTEURATOMMNU" w:val=" 3"/>
    <w:docVar w:name="ARTFEUMNU" w:val=" 1"/>
    <w:docVar w:name="AUTHORMFMNU" w:val=" 2"/>
    <w:docVar w:name="COMKEY" w:val="ECON"/>
    <w:docVar w:name="LastEditedSection" w:val=" 1"/>
    <w:docVar w:name="strDocTypeID" w:val="CONV"/>
    <w:docVar w:name="strSubDir" w:val="1234"/>
    <w:docVar w:name="TITLEMNU" w:val=" 1"/>
    <w:docVar w:name="TXTLANGUE" w:val="FR"/>
    <w:docVar w:name="TXTLANGUEMIN" w:val="fr"/>
    <w:docVar w:name="TXTNRC" w:val="0002/2021"/>
    <w:docVar w:name="TXTNRCNS" w:val="2020/0331"/>
    <w:docVar w:name="TXTNRCOM" w:val="(2020)0749"/>
    <w:docVar w:name="TXTNRPE" w:val="689.588"/>
    <w:docVar w:name="TXTPEorAP" w:val="PE"/>
    <w:docVar w:name="TXTROUTE" w:val="RR\1234308FR.docx"/>
    <w:docVar w:name="TXTVERSION" w:val="02-00"/>
  </w:docVars>
  <w:rsids>
    <w:rsidRoot w:val="0011044D"/>
    <w:rsid w:val="00022F12"/>
    <w:rsid w:val="00056EA7"/>
    <w:rsid w:val="000753AB"/>
    <w:rsid w:val="000A32B3"/>
    <w:rsid w:val="000C7D46"/>
    <w:rsid w:val="000E1B0C"/>
    <w:rsid w:val="00104AEE"/>
    <w:rsid w:val="0011044D"/>
    <w:rsid w:val="001157F2"/>
    <w:rsid w:val="00126F76"/>
    <w:rsid w:val="001907B9"/>
    <w:rsid w:val="001A06D8"/>
    <w:rsid w:val="001E5A80"/>
    <w:rsid w:val="0027008F"/>
    <w:rsid w:val="002817C0"/>
    <w:rsid w:val="002B0E9D"/>
    <w:rsid w:val="002B1B1D"/>
    <w:rsid w:val="002B272A"/>
    <w:rsid w:val="002D6A8E"/>
    <w:rsid w:val="002E5810"/>
    <w:rsid w:val="002F7000"/>
    <w:rsid w:val="00302A66"/>
    <w:rsid w:val="00356F22"/>
    <w:rsid w:val="00385C3B"/>
    <w:rsid w:val="004153F4"/>
    <w:rsid w:val="00470D5E"/>
    <w:rsid w:val="00487BC1"/>
    <w:rsid w:val="004C0436"/>
    <w:rsid w:val="004C4A0B"/>
    <w:rsid w:val="004D7B3B"/>
    <w:rsid w:val="004F549A"/>
    <w:rsid w:val="0050486E"/>
    <w:rsid w:val="005048AD"/>
    <w:rsid w:val="0051221F"/>
    <w:rsid w:val="00543B7B"/>
    <w:rsid w:val="00566C5B"/>
    <w:rsid w:val="005C0789"/>
    <w:rsid w:val="005F4E2B"/>
    <w:rsid w:val="00681C69"/>
    <w:rsid w:val="006860EE"/>
    <w:rsid w:val="006C3928"/>
    <w:rsid w:val="006D7DDB"/>
    <w:rsid w:val="007445B1"/>
    <w:rsid w:val="00796EB5"/>
    <w:rsid w:val="007B68B8"/>
    <w:rsid w:val="007D611D"/>
    <w:rsid w:val="00865B2B"/>
    <w:rsid w:val="00874129"/>
    <w:rsid w:val="008E1C2D"/>
    <w:rsid w:val="008E22DF"/>
    <w:rsid w:val="00911DF1"/>
    <w:rsid w:val="00972620"/>
    <w:rsid w:val="009C7A06"/>
    <w:rsid w:val="009D0C99"/>
    <w:rsid w:val="00A11805"/>
    <w:rsid w:val="00A222B3"/>
    <w:rsid w:val="00A32023"/>
    <w:rsid w:val="00A43E6A"/>
    <w:rsid w:val="00AD26AD"/>
    <w:rsid w:val="00AF7573"/>
    <w:rsid w:val="00B37926"/>
    <w:rsid w:val="00B37B16"/>
    <w:rsid w:val="00B8590D"/>
    <w:rsid w:val="00B8794C"/>
    <w:rsid w:val="00BB2027"/>
    <w:rsid w:val="00BD28D4"/>
    <w:rsid w:val="00BE4EC7"/>
    <w:rsid w:val="00C22C1C"/>
    <w:rsid w:val="00C54859"/>
    <w:rsid w:val="00C71A3C"/>
    <w:rsid w:val="00C82EBC"/>
    <w:rsid w:val="00C95F4F"/>
    <w:rsid w:val="00D02C5E"/>
    <w:rsid w:val="00D33288"/>
    <w:rsid w:val="00D4037E"/>
    <w:rsid w:val="00DC3DED"/>
    <w:rsid w:val="00E45E53"/>
    <w:rsid w:val="00E822D6"/>
    <w:rsid w:val="00E97119"/>
    <w:rsid w:val="00ED0609"/>
    <w:rsid w:val="00ED0821"/>
    <w:rsid w:val="00F10FED"/>
    <w:rsid w:val="00F4597B"/>
    <w:rsid w:val="00F729CA"/>
    <w:rsid w:val="00F803E3"/>
    <w:rsid w:val="00F978D3"/>
    <w:rsid w:val="00FC47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37E801-F5CE-466C-A46F-B50009C9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68B8"/>
    <w:pPr>
      <w:spacing w:before="480" w:after="240"/>
    </w:pPr>
  </w:style>
  <w:style w:type="paragraph" w:styleId="TOC1">
    <w:name w:val="toc 1"/>
    <w:basedOn w:val="Normal"/>
    <w:next w:val="Normal"/>
    <w:autoRedefine/>
    <w:uiPriority w:val="39"/>
    <w:rsid w:val="00470D5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C4A0B"/>
    <w:pPr>
      <w:spacing w:before="80" w:after="80"/>
    </w:pPr>
    <w:rPr>
      <w:rFonts w:ascii="Arial Narrow" w:hAnsi="Arial Narrow" w:cs="Arial"/>
      <w:b/>
      <w:sz w:val="32"/>
      <w:szCs w:val="22"/>
    </w:rPr>
  </w:style>
  <w:style w:type="paragraph" w:customStyle="1" w:styleId="CoverNormal24a">
    <w:name w:val="CoverNormal24a"/>
    <w:basedOn w:val="Normal"/>
    <w:rsid w:val="005C078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F549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5C078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4597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C4A0B"/>
    <w:pPr>
      <w:spacing w:after="80"/>
    </w:pPr>
    <w:rPr>
      <w:rFonts w:ascii="Arial" w:hAnsi="Arial" w:cs="Arial"/>
      <w:sz w:val="20"/>
      <w:szCs w:val="22"/>
    </w:rPr>
  </w:style>
  <w:style w:type="paragraph" w:customStyle="1" w:styleId="EPLogo">
    <w:name w:val="EPLogo"/>
    <w:basedOn w:val="Normal"/>
    <w:qFormat/>
    <w:rsid w:val="004C4A0B"/>
    <w:pPr>
      <w:jc w:val="right"/>
    </w:pPr>
  </w:style>
  <w:style w:type="paragraph" w:customStyle="1" w:styleId="EPFooter">
    <w:name w:val="EPFooter"/>
    <w:basedOn w:val="Normal"/>
    <w:rsid w:val="005C0789"/>
    <w:pPr>
      <w:tabs>
        <w:tab w:val="center" w:pos="4535"/>
        <w:tab w:val="right" w:pos="9071"/>
      </w:tabs>
      <w:spacing w:before="240" w:after="240"/>
    </w:pPr>
    <w:rPr>
      <w:color w:val="010000"/>
      <w:sz w:val="22"/>
    </w:rPr>
  </w:style>
  <w:style w:type="character" w:styleId="PageNumber">
    <w:name w:val="page number"/>
    <w:basedOn w:val="DefaultParagraphFont"/>
    <w:semiHidden/>
    <w:rsid w:val="00865B2B"/>
  </w:style>
  <w:style w:type="character" w:customStyle="1" w:styleId="HeaderChar">
    <w:name w:val="Header Char"/>
    <w:basedOn w:val="DefaultParagraphFont"/>
    <w:link w:val="Header"/>
    <w:semiHidden/>
    <w:rsid w:val="00F4597B"/>
    <w:rPr>
      <w:sz w:val="24"/>
    </w:rPr>
  </w:style>
  <w:style w:type="paragraph" w:customStyle="1" w:styleId="Lgendesigne">
    <w:name w:val="Légende signe"/>
    <w:basedOn w:val="Normal"/>
    <w:rsid w:val="00D02C5E"/>
    <w:pPr>
      <w:tabs>
        <w:tab w:val="right" w:pos="454"/>
        <w:tab w:val="left" w:pos="737"/>
      </w:tabs>
      <w:ind w:left="737" w:hanging="737"/>
    </w:pPr>
    <w:rPr>
      <w:snapToGrid w:val="0"/>
      <w:sz w:val="18"/>
      <w:lang w:eastAsia="en-US"/>
    </w:rPr>
  </w:style>
  <w:style w:type="paragraph" w:customStyle="1" w:styleId="Lgendetitre">
    <w:name w:val="Légende titre"/>
    <w:basedOn w:val="Normal"/>
    <w:rsid w:val="00D02C5E"/>
    <w:pPr>
      <w:spacing w:before="240" w:after="240"/>
    </w:pPr>
    <w:rPr>
      <w:b/>
      <w:i/>
      <w:snapToGrid w:val="0"/>
      <w:lang w:eastAsia="en-US"/>
    </w:rPr>
  </w:style>
  <w:style w:type="paragraph" w:customStyle="1" w:styleId="Lgendestandard">
    <w:name w:val="Légende standard"/>
    <w:basedOn w:val="Normal"/>
    <w:rsid w:val="00D02C5E"/>
    <w:rPr>
      <w:sz w:val="18"/>
    </w:rPr>
  </w:style>
  <w:style w:type="paragraph" w:styleId="FootnoteText">
    <w:name w:val="footnote text"/>
    <w:basedOn w:val="Normal"/>
    <w:link w:val="FootnoteTextChar"/>
    <w:rsid w:val="00D02C5E"/>
    <w:rPr>
      <w:sz w:val="20"/>
    </w:rPr>
  </w:style>
  <w:style w:type="character" w:customStyle="1" w:styleId="FootnoteTextChar">
    <w:name w:val="Footnote Text Char"/>
    <w:basedOn w:val="DefaultParagraphFont"/>
    <w:link w:val="FootnoteText"/>
    <w:rsid w:val="00D02C5E"/>
  </w:style>
  <w:style w:type="character" w:styleId="FootnoteReference">
    <w:name w:val="footnote reference"/>
    <w:basedOn w:val="DefaultParagraphFont"/>
    <w:rsid w:val="00D02C5E"/>
    <w:rPr>
      <w:vertAlign w:val="superscript"/>
    </w:rPr>
  </w:style>
  <w:style w:type="paragraph" w:styleId="Footer">
    <w:name w:val="footer"/>
    <w:basedOn w:val="Normal"/>
    <w:link w:val="FooterChar"/>
    <w:semiHidden/>
    <w:rsid w:val="00D02C5E"/>
    <w:pPr>
      <w:tabs>
        <w:tab w:val="center" w:pos="4513"/>
        <w:tab w:val="right" w:pos="9026"/>
      </w:tabs>
    </w:pPr>
  </w:style>
  <w:style w:type="character" w:customStyle="1" w:styleId="FooterChar">
    <w:name w:val="Footer Char"/>
    <w:basedOn w:val="DefaultParagraphFont"/>
    <w:link w:val="Footer"/>
    <w:semiHidden/>
    <w:rsid w:val="00D02C5E"/>
    <w:rPr>
      <w:sz w:val="24"/>
      <w:lang w:val="fr-FR"/>
    </w:rPr>
  </w:style>
  <w:style w:type="paragraph" w:customStyle="1" w:styleId="Normal12a">
    <w:name w:val="Normal12a"/>
    <w:basedOn w:val="Normal"/>
    <w:rsid w:val="0051221F"/>
    <w:pPr>
      <w:spacing w:after="240"/>
    </w:pPr>
  </w:style>
  <w:style w:type="paragraph" w:customStyle="1" w:styleId="RollCallVotes">
    <w:name w:val="RollCallVotes"/>
    <w:basedOn w:val="Normal"/>
    <w:rsid w:val="0051221F"/>
    <w:pPr>
      <w:spacing w:before="120" w:after="120"/>
      <w:jc w:val="center"/>
    </w:pPr>
    <w:rPr>
      <w:b/>
      <w:bCs/>
      <w:snapToGrid w:val="0"/>
      <w:sz w:val="16"/>
      <w:lang w:eastAsia="en-US"/>
    </w:rPr>
  </w:style>
  <w:style w:type="paragraph" w:customStyle="1" w:styleId="RollCallTabs">
    <w:name w:val="RollCallTabs"/>
    <w:basedOn w:val="Normal"/>
    <w:qFormat/>
    <w:rsid w:val="0051221F"/>
    <w:pPr>
      <w:tabs>
        <w:tab w:val="center" w:pos="284"/>
        <w:tab w:val="left" w:pos="426"/>
      </w:tabs>
    </w:pPr>
    <w:rPr>
      <w:snapToGrid w:val="0"/>
      <w:lang w:eastAsia="en-US"/>
    </w:rPr>
  </w:style>
  <w:style w:type="paragraph" w:customStyle="1" w:styleId="RollCallSymbols14pt">
    <w:name w:val="RollCallSymbols14pt"/>
    <w:basedOn w:val="Normal"/>
    <w:rsid w:val="0051221F"/>
    <w:pPr>
      <w:spacing w:before="120" w:after="120"/>
      <w:jc w:val="center"/>
    </w:pPr>
    <w:rPr>
      <w:rFonts w:ascii="Arial" w:hAnsi="Arial"/>
      <w:b/>
      <w:bCs/>
      <w:snapToGrid w:val="0"/>
      <w:sz w:val="28"/>
      <w:lang w:eastAsia="en-US"/>
    </w:rPr>
  </w:style>
  <w:style w:type="paragraph" w:customStyle="1" w:styleId="RollCallTable">
    <w:name w:val="RollCallTable"/>
    <w:basedOn w:val="Normal"/>
    <w:rsid w:val="0051221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D06E3-F960-4FCC-9174-5A8B63B5B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1625</Words>
  <Characters>9674</Characters>
  <Application>Microsoft Office Word</Application>
  <DocSecurity>0</DocSecurity>
  <Lines>284</Lines>
  <Paragraphs>148</Paragraphs>
  <ScaleCrop>false</ScaleCrop>
  <HeadingPairs>
    <vt:vector size="2" baseType="variant">
      <vt:variant>
        <vt:lpstr>Title</vt:lpstr>
      </vt:variant>
      <vt:variant>
        <vt:i4>1</vt:i4>
      </vt:variant>
    </vt:vector>
  </HeadingPairs>
  <TitlesOfParts>
    <vt:vector size="1" baseType="lpstr">
      <vt:lpstr>PR_CNS_LegAct_app</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PR_CNS_LegAct_app</dc:title>
  <dc:subject/>
  <dc:creator>BERTI Andrea</dc:creator>
  <cp:keywords/>
  <dc:description/>
  <cp:lastModifiedBy>COMBE Mireille</cp:lastModifiedBy>
  <cp:revision>2</cp:revision>
  <cp:lastPrinted>2004-11-04T10:10:00Z</cp:lastPrinted>
  <dcterms:created xsi:type="dcterms:W3CDTF">2021-06-21T12:57:00Z</dcterms:created>
  <dcterms:modified xsi:type="dcterms:W3CDTF">2021-06-21T12:57:00Z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1234308</vt:lpwstr>
  </property>
  <property fmtid="{D5CDD505-2E9C-101B-9397-08002B2CF9AE}" pid="5" name="&lt;Type&gt;">
    <vt:lpwstr>RR</vt:lpwstr>
  </property>
  <property fmtid="{D5CDD505-2E9C-101B-9397-08002B2CF9AE}" pid="6" name="&lt;ModelCod&gt;">
    <vt:lpwstr>\\eiciLUXpr1\pdocep$\DocEP\DOCS\General\PR\PR_Leg\CNS\CNS_LegAct\PR_CNS_LegAct_app.dotx(17/04/2020 19:27:11)</vt:lpwstr>
  </property>
  <property fmtid="{D5CDD505-2E9C-101B-9397-08002B2CF9AE}" pid="7" name="&lt;ModelTra&gt;">
    <vt:lpwstr>\\eiciLUXpr1\pdocep$\DocEP\TRANSFIL\FR\PR_CNS_LegAct_app.FR(02/09/2020 19:15:16)</vt:lpwstr>
  </property>
  <property fmtid="{D5CDD505-2E9C-101B-9397-08002B2CF9AE}" pid="8" name="&lt;Model&gt;">
    <vt:lpwstr>PR_CNS_LegAct_app</vt:lpwstr>
  </property>
  <property fmtid="{D5CDD505-2E9C-101B-9397-08002B2CF9AE}" pid="9" name="FooterPath">
    <vt:lpwstr>RR\1234308FR.docx</vt:lpwstr>
  </property>
  <property fmtid="{D5CDD505-2E9C-101B-9397-08002B2CF9AE}" pid="10" name="PE number">
    <vt:lpwstr>689.588</vt:lpwstr>
  </property>
  <property fmtid="{D5CDD505-2E9C-101B-9397-08002B2CF9AE}" pid="11" name="Bookout">
    <vt:lpwstr>OK - 2021/06/21 14:57</vt:lpwstr>
  </property>
  <property fmtid="{D5CDD505-2E9C-101B-9397-08002B2CF9AE}" pid="12" name="SDLStudio">
    <vt:lpwstr/>
  </property>
  <property fmtid="{D5CDD505-2E9C-101B-9397-08002B2CF9AE}" pid="13" name="&lt;Extension&gt;">
    <vt:lpwstr>FR</vt:lpwstr>
  </property>
</Properties>
</file>