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A23A0" w:rsidRPr="007670BB" w:rsidTr="00C85D0F">
        <w:trPr>
          <w:trHeight w:hRule="exact" w:val="1418"/>
        </w:trPr>
        <w:tc>
          <w:tcPr>
            <w:tcW w:w="6804" w:type="dxa"/>
            <w:shd w:val="clear" w:color="auto" w:fill="auto"/>
            <w:vAlign w:val="center"/>
          </w:tcPr>
          <w:p w:rsidR="00FA23A0" w:rsidRPr="007670BB" w:rsidRDefault="00E0088E" w:rsidP="00C85D0F">
            <w:pPr>
              <w:pStyle w:val="EPName"/>
            </w:pPr>
            <w:r>
              <w:t>Parlement européen</w:t>
            </w:r>
          </w:p>
          <w:p w:rsidR="00FA23A0" w:rsidRPr="007670BB" w:rsidRDefault="00821459" w:rsidP="00821459">
            <w:pPr>
              <w:pStyle w:val="EPTerm"/>
            </w:pPr>
            <w:r>
              <w:t>2019-2024</w:t>
            </w:r>
          </w:p>
        </w:tc>
        <w:tc>
          <w:tcPr>
            <w:tcW w:w="2268" w:type="dxa"/>
            <w:shd w:val="clear" w:color="auto" w:fill="auto"/>
          </w:tcPr>
          <w:p w:rsidR="00FA23A0" w:rsidRPr="007670BB" w:rsidRDefault="00FA23A0" w:rsidP="00C85D0F">
            <w:pPr>
              <w:pStyle w:val="EPLogo"/>
            </w:pPr>
            <w:r w:rsidRPr="007670BB">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7670BB" w:rsidRDefault="00C71A3C" w:rsidP="00C71A3C">
      <w:pPr>
        <w:pStyle w:val="LineTop"/>
      </w:pPr>
    </w:p>
    <w:p w:rsidR="00C71A3C" w:rsidRPr="007670BB" w:rsidRDefault="0088129E" w:rsidP="00C71A3C">
      <w:pPr>
        <w:pStyle w:val="EPBody"/>
      </w:pPr>
      <w:r>
        <w:t>Document de séance</w:t>
      </w:r>
    </w:p>
    <w:p w:rsidR="00C71A3C" w:rsidRPr="007670BB" w:rsidRDefault="00C71A3C" w:rsidP="00C71A3C">
      <w:pPr>
        <w:pStyle w:val="LineBottom"/>
      </w:pPr>
    </w:p>
    <w:p w:rsidR="00ED0821" w:rsidRPr="007670BB" w:rsidRDefault="0088129E">
      <w:pPr>
        <w:pStyle w:val="CoverReference"/>
      </w:pPr>
      <w:r>
        <w:rPr>
          <w:rStyle w:val="HideTWBExt"/>
        </w:rPr>
        <w:t>&lt;NoDocSe&gt;</w:t>
      </w:r>
      <w:r>
        <w:t>A9</w:t>
      </w:r>
      <w:r>
        <w:noBreakHyphen/>
        <w:t>0082/2022</w:t>
      </w:r>
      <w:r>
        <w:rPr>
          <w:rStyle w:val="HideTWBExt"/>
        </w:rPr>
        <w:t>&lt;/NoDocSe&gt;</w:t>
      </w:r>
    </w:p>
    <w:p w:rsidR="00ED0821" w:rsidRPr="007670BB" w:rsidRDefault="00ED0821">
      <w:pPr>
        <w:pStyle w:val="CoverDate"/>
      </w:pPr>
      <w:r>
        <w:rPr>
          <w:rStyle w:val="HideTWBExt"/>
        </w:rPr>
        <w:t>&lt;Date&gt;</w:t>
      </w:r>
      <w:r>
        <w:rPr>
          <w:rStyle w:val="HideTWBInt"/>
        </w:rPr>
        <w:t>{01/04/2022}</w:t>
      </w:r>
      <w:r>
        <w:t>1.4.2022</w:t>
      </w:r>
      <w:r>
        <w:rPr>
          <w:rStyle w:val="HideTWBExt"/>
        </w:rPr>
        <w:t>&lt;/Date&gt;</w:t>
      </w:r>
    </w:p>
    <w:p w:rsidR="00ED0821" w:rsidRPr="007670BB" w:rsidRDefault="00ED0821">
      <w:pPr>
        <w:pStyle w:val="CoverDocType"/>
      </w:pPr>
      <w:r>
        <w:rPr>
          <w:rStyle w:val="HideTWBExt"/>
          <w:b w:val="0"/>
        </w:rPr>
        <w:t>&lt;RefProcLect&gt;</w:t>
      </w:r>
      <w:r>
        <w:t>*</w:t>
      </w:r>
      <w:r>
        <w:rPr>
          <w:rStyle w:val="HideTWBExt"/>
          <w:b w:val="0"/>
        </w:rPr>
        <w:t>&lt;/RefProcLect&gt;</w:t>
      </w:r>
    </w:p>
    <w:p w:rsidR="00ED0821" w:rsidRPr="007670BB" w:rsidRDefault="00ED0821">
      <w:pPr>
        <w:pStyle w:val="CoverDocType24a"/>
      </w:pPr>
      <w:r>
        <w:rPr>
          <w:rStyle w:val="HideTWBExt"/>
          <w:b w:val="0"/>
        </w:rPr>
        <w:t>&lt;TitreType&gt;</w:t>
      </w:r>
      <w:r>
        <w:t>RAPPORT</w:t>
      </w:r>
      <w:r>
        <w:rPr>
          <w:rStyle w:val="HideTWBExt"/>
          <w:b w:val="0"/>
        </w:rPr>
        <w:t>&lt;/TitreType&gt;</w:t>
      </w:r>
    </w:p>
    <w:p w:rsidR="00ED0821" w:rsidRPr="007670BB" w:rsidRDefault="00ED0821">
      <w:pPr>
        <w:pStyle w:val="CoverNormal"/>
      </w:pPr>
      <w:r>
        <w:rPr>
          <w:rStyle w:val="HideTWBExt"/>
        </w:rPr>
        <w:t>&lt;Titre&gt;</w:t>
      </w:r>
      <w:r>
        <w:t>sur la proposition de décision du Conseil sur l’application en République de Chypre des dispositions de l’acquis de Schengen relatives au système d’information Schengen</w:t>
      </w:r>
      <w:r>
        <w:rPr>
          <w:rStyle w:val="HideTWBExt"/>
        </w:rPr>
        <w:t>&lt;/Titre&gt;</w:t>
      </w:r>
    </w:p>
    <w:p w:rsidR="00ED0821" w:rsidRPr="007670BB" w:rsidRDefault="00ED0821">
      <w:pPr>
        <w:pStyle w:val="CoverNormal24a"/>
      </w:pPr>
      <w:r>
        <w:rPr>
          <w:rStyle w:val="HideTWBExt"/>
        </w:rPr>
        <w:t>&lt;DocRef&gt;</w:t>
      </w:r>
      <w:r>
        <w:t>(COM(2021)0472 – C9</w:t>
      </w:r>
      <w:r>
        <w:noBreakHyphen/>
        <w:t>0350/2021 – 2021/0266(NLE))</w:t>
      </w:r>
      <w:r>
        <w:rPr>
          <w:rStyle w:val="HideTWBExt"/>
        </w:rPr>
        <w:t>&lt;/DocRef&gt;</w:t>
      </w:r>
    </w:p>
    <w:p w:rsidR="00ED0821" w:rsidRPr="007670BB" w:rsidRDefault="00ED0821">
      <w:pPr>
        <w:pStyle w:val="CoverNormal24a"/>
      </w:pPr>
      <w:r>
        <w:rPr>
          <w:rStyle w:val="HideTWBExt"/>
        </w:rPr>
        <w:t>&lt;Commission&gt;</w:t>
      </w:r>
      <w:r>
        <w:rPr>
          <w:rStyle w:val="HideTWBInt"/>
        </w:rPr>
        <w:t>{LIBE}</w:t>
      </w:r>
      <w:r>
        <w:t>Commission des libertés civiles, de la justice et des affaires intérieures</w:t>
      </w:r>
      <w:r>
        <w:rPr>
          <w:rStyle w:val="HideTWBExt"/>
        </w:rPr>
        <w:t>&lt;/Commission&gt;</w:t>
      </w:r>
    </w:p>
    <w:p w:rsidR="00ED0821" w:rsidRPr="007670BB" w:rsidRDefault="00E0088E">
      <w:pPr>
        <w:pStyle w:val="CoverNormal24a"/>
      </w:pPr>
      <w:r>
        <w:t xml:space="preserve">Rapporteur: </w:t>
      </w:r>
      <w:r>
        <w:rPr>
          <w:rStyle w:val="HideTWBExt"/>
        </w:rPr>
        <w:t>&lt;Depute&gt;</w:t>
      </w:r>
      <w:r>
        <w:t>Peter Kofod</w:t>
      </w:r>
      <w:r>
        <w:rPr>
          <w:rStyle w:val="HideTWBExt"/>
        </w:rPr>
        <w:t>&lt;/Depute&gt;</w:t>
      </w:r>
    </w:p>
    <w:p w:rsidR="00BE4EC7" w:rsidRPr="007670BB" w:rsidRDefault="00BE4EC7" w:rsidP="00BE4EC7">
      <w:pPr>
        <w:pStyle w:val="CoverNormal"/>
      </w:pPr>
    </w:p>
    <w:p w:rsidR="00821459" w:rsidRPr="007670BB" w:rsidRDefault="00ED0821" w:rsidP="00894923">
      <w:r>
        <w:br w:type="page"/>
      </w:r>
      <w:r w:rsidR="00DE5C3D">
        <w:lastRenderedPageBreak/>
        <w:fldChar w:fldCharType="begin"/>
      </w:r>
      <w:r w:rsidR="00DE5C3D">
        <w:instrText xml:space="preserve"> TITLE  \* MERGEFORMAT </w:instrText>
      </w:r>
      <w:r w:rsidR="00DE5C3D">
        <w:fldChar w:fldCharType="separate"/>
      </w:r>
      <w:r w:rsidR="00DE5C3D">
        <w:t>PR_NLE-CN_LegAct_app</w:t>
      </w:r>
      <w:r w:rsidR="00DE5C3D">
        <w:fldChar w:fldCharType="end"/>
      </w:r>
    </w:p>
    <w:p w:rsidR="00821459" w:rsidRPr="007670BB" w:rsidRDefault="00821459" w:rsidP="00894923"/>
    <w:p w:rsidR="00821459" w:rsidRPr="007670BB" w:rsidRDefault="00821459"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21459" w:rsidRPr="007670BB">
        <w:tc>
          <w:tcPr>
            <w:tcW w:w="5811" w:type="dxa"/>
          </w:tcPr>
          <w:p w:rsidR="00821459" w:rsidRPr="007670BB" w:rsidRDefault="00821459" w:rsidP="00894923">
            <w:pPr>
              <w:pStyle w:val="Lgendetitre"/>
            </w:pPr>
            <w:r>
              <w:t>Légende des signes utilisés</w:t>
            </w:r>
          </w:p>
        </w:tc>
      </w:tr>
      <w:tr w:rsidR="00821459" w:rsidRPr="007670BB" w:rsidTr="007452CB">
        <w:trPr>
          <w:cantSplit/>
          <w:trHeight w:val="1807"/>
        </w:trPr>
        <w:tc>
          <w:tcPr>
            <w:tcW w:w="5811" w:type="dxa"/>
            <w:tcBorders>
              <w:bottom w:val="single" w:sz="4" w:space="0" w:color="auto"/>
            </w:tcBorders>
          </w:tcPr>
          <w:p w:rsidR="00821459" w:rsidRPr="007670BB" w:rsidRDefault="00821459" w:rsidP="003506ED">
            <w:pPr>
              <w:pStyle w:val="Lgendesigne"/>
            </w:pPr>
            <w:r>
              <w:tab/>
              <w:t>*</w:t>
            </w:r>
            <w:r>
              <w:tab/>
              <w:t>Procédure de consultation</w:t>
            </w:r>
          </w:p>
          <w:p w:rsidR="00821459" w:rsidRPr="007670BB" w:rsidRDefault="00821459" w:rsidP="003506ED">
            <w:pPr>
              <w:pStyle w:val="Lgendesigne"/>
            </w:pPr>
            <w:r>
              <w:tab/>
              <w:t>***</w:t>
            </w:r>
            <w:r>
              <w:tab/>
              <w:t>Procédure d’approbation</w:t>
            </w:r>
          </w:p>
          <w:p w:rsidR="00821459" w:rsidRPr="007670BB" w:rsidRDefault="00821459" w:rsidP="003506ED">
            <w:pPr>
              <w:pStyle w:val="Lgendesigne"/>
            </w:pPr>
            <w:r>
              <w:tab/>
              <w:t>***I</w:t>
            </w:r>
            <w:r>
              <w:tab/>
              <w:t>Procédure législative ordinaire (première lecture)</w:t>
            </w:r>
          </w:p>
          <w:p w:rsidR="00821459" w:rsidRPr="007670BB" w:rsidRDefault="00821459" w:rsidP="003506ED">
            <w:pPr>
              <w:pStyle w:val="Lgendesigne"/>
            </w:pPr>
            <w:r>
              <w:tab/>
              <w:t>***II</w:t>
            </w:r>
            <w:r>
              <w:tab/>
              <w:t>Procédure législative ordinaire (deuxième lecture)</w:t>
            </w:r>
          </w:p>
          <w:p w:rsidR="00821459" w:rsidRPr="007670BB" w:rsidRDefault="00821459" w:rsidP="003506ED">
            <w:pPr>
              <w:pStyle w:val="Lgendesigne"/>
            </w:pPr>
            <w:r>
              <w:tab/>
              <w:t>***III</w:t>
            </w:r>
            <w:r>
              <w:tab/>
              <w:t>Procédure législative ordinaire (troisième lecture)</w:t>
            </w:r>
          </w:p>
          <w:p w:rsidR="00821459" w:rsidRPr="007670BB" w:rsidRDefault="00821459" w:rsidP="003506ED">
            <w:pPr>
              <w:pStyle w:val="Lgendestandard"/>
            </w:pPr>
          </w:p>
          <w:p w:rsidR="00821459" w:rsidRPr="007670BB" w:rsidRDefault="00821459" w:rsidP="003506ED">
            <w:pPr>
              <w:pStyle w:val="Lgendestandard"/>
            </w:pPr>
            <w:r>
              <w:t>(La procédure indiquée est fondée sur la base juridique proposée par le projet d’acte.)</w:t>
            </w:r>
          </w:p>
          <w:p w:rsidR="00821459" w:rsidRPr="007670BB" w:rsidRDefault="00821459" w:rsidP="00B54EAF">
            <w:pPr>
              <w:pStyle w:val="Lgendestandard"/>
            </w:pPr>
          </w:p>
        </w:tc>
      </w:tr>
    </w:tbl>
    <w:p w:rsidR="00821459" w:rsidRPr="007670BB" w:rsidRDefault="00821459" w:rsidP="00894923"/>
    <w:p w:rsidR="00821459" w:rsidRPr="007670BB" w:rsidRDefault="00821459" w:rsidP="00894923"/>
    <w:p w:rsidR="00821459" w:rsidRPr="007670BB" w:rsidRDefault="00821459" w:rsidP="00894923"/>
    <w:p w:rsidR="00821459" w:rsidRPr="007670BB" w:rsidRDefault="00821459"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21459" w:rsidRPr="007670BB">
        <w:tc>
          <w:tcPr>
            <w:tcW w:w="5811" w:type="dxa"/>
          </w:tcPr>
          <w:p w:rsidR="00821459" w:rsidRPr="007670BB" w:rsidRDefault="00821459" w:rsidP="00894923">
            <w:pPr>
              <w:pStyle w:val="Lgendetitre"/>
            </w:pPr>
            <w:r>
              <w:t>Amendements à un projet d’acte</w:t>
            </w:r>
          </w:p>
        </w:tc>
      </w:tr>
      <w:tr w:rsidR="00821459" w:rsidRPr="007670BB" w:rsidTr="00554250">
        <w:trPr>
          <w:trHeight w:val="4496"/>
        </w:trPr>
        <w:tc>
          <w:tcPr>
            <w:tcW w:w="5811" w:type="dxa"/>
          </w:tcPr>
          <w:p w:rsidR="00821459" w:rsidRPr="007670BB" w:rsidRDefault="00821459" w:rsidP="003506ED">
            <w:pPr>
              <w:pStyle w:val="Lgendestandard"/>
              <w:rPr>
                <w:szCs w:val="24"/>
              </w:rPr>
            </w:pPr>
            <w:r>
              <w:rPr>
                <w:b/>
              </w:rPr>
              <w:t>Amendements du Parlement présentés en deux colonnes</w:t>
            </w:r>
          </w:p>
          <w:p w:rsidR="00821459" w:rsidRPr="007670BB" w:rsidRDefault="00821459" w:rsidP="003506ED">
            <w:pPr>
              <w:pStyle w:val="Lgendestandard"/>
              <w:rPr>
                <w:szCs w:val="24"/>
              </w:rPr>
            </w:pPr>
          </w:p>
          <w:p w:rsidR="00821459" w:rsidRPr="007670BB" w:rsidRDefault="00821459" w:rsidP="003506ED">
            <w:pPr>
              <w:pStyle w:val="Lgendestandard"/>
              <w:rPr>
                <w:szCs w:val="24"/>
              </w:rPr>
            </w:pPr>
            <w:r>
              <w:t xml:space="preserve">Les suppressions sont signalées par des </w:t>
            </w:r>
            <w:r>
              <w:rPr>
                <w:b/>
                <w:i/>
              </w:rPr>
              <w:t>italiques gras</w:t>
            </w:r>
            <w:r>
              <w:t xml:space="preserve"> dans la colonne de gauche. Les remplacements sont signalés par des </w:t>
            </w:r>
            <w:r>
              <w:rPr>
                <w:b/>
                <w:i/>
              </w:rPr>
              <w:t>italiques gras</w:t>
            </w:r>
            <w:r>
              <w:t xml:space="preserve"> dans les deux colonnes. Le texte nouveau est signalé par des </w:t>
            </w:r>
            <w:r>
              <w:rPr>
                <w:b/>
                <w:i/>
              </w:rPr>
              <w:t>italiques gras</w:t>
            </w:r>
            <w:r>
              <w:t xml:space="preserve"> dans la colonne de droite.</w:t>
            </w:r>
          </w:p>
          <w:p w:rsidR="00821459" w:rsidRPr="007670BB" w:rsidRDefault="00821459" w:rsidP="003506ED">
            <w:pPr>
              <w:pStyle w:val="Lgendestandard"/>
              <w:rPr>
                <w:szCs w:val="24"/>
              </w:rPr>
            </w:pPr>
          </w:p>
          <w:p w:rsidR="00821459" w:rsidRPr="007670BB" w:rsidRDefault="00821459" w:rsidP="003506ED">
            <w:pPr>
              <w:pStyle w:val="Lgendestandard"/>
              <w:rPr>
                <w:szCs w:val="24"/>
              </w:rPr>
            </w:pPr>
            <w:r>
              <w:t>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w:t>
            </w:r>
          </w:p>
          <w:p w:rsidR="00821459" w:rsidRPr="007670BB" w:rsidRDefault="00821459" w:rsidP="003506ED">
            <w:pPr>
              <w:pStyle w:val="Lgendestandard"/>
              <w:rPr>
                <w:szCs w:val="24"/>
              </w:rPr>
            </w:pPr>
          </w:p>
          <w:p w:rsidR="00821459" w:rsidRPr="007670BB" w:rsidRDefault="00821459" w:rsidP="003506ED">
            <w:pPr>
              <w:pStyle w:val="Lgendestandard"/>
              <w:rPr>
                <w:b/>
                <w:szCs w:val="24"/>
              </w:rPr>
            </w:pPr>
            <w:r>
              <w:rPr>
                <w:b/>
              </w:rPr>
              <w:t>Amendements du Parlement prenant la forme d’un texte consolidé</w:t>
            </w:r>
          </w:p>
          <w:p w:rsidR="00821459" w:rsidRPr="007670BB" w:rsidRDefault="00821459" w:rsidP="003506ED">
            <w:pPr>
              <w:pStyle w:val="Lgendestandard"/>
              <w:rPr>
                <w:szCs w:val="24"/>
              </w:rPr>
            </w:pPr>
          </w:p>
          <w:p w:rsidR="00821459" w:rsidRPr="007670BB" w:rsidRDefault="00821459" w:rsidP="003506ED">
            <w:pPr>
              <w:pStyle w:val="Lgendestandard"/>
              <w:rPr>
                <w:szCs w:val="24"/>
              </w:rPr>
            </w:pPr>
            <w:r>
              <w:t xml:space="preserve">Les parties de textes nouvelles sont indiquées en </w:t>
            </w:r>
            <w:r>
              <w:rPr>
                <w:b/>
                <w:i/>
              </w:rPr>
              <w:t>italiques gras</w:t>
            </w:r>
            <w:r>
              <w:t xml:space="preserve">. Les parties de texte supprimées sont indiquées par le symbole ▌ ou barrées. Les remplacements sont signalés en indiquant en </w:t>
            </w:r>
            <w:r>
              <w:rPr>
                <w:b/>
                <w:i/>
              </w:rPr>
              <w:t xml:space="preserve">italiques gras </w:t>
            </w:r>
            <w:r>
              <w:t xml:space="preserve">le texte nouveau et en effaçant ou en barrant le texte remplacé. </w:t>
            </w:r>
          </w:p>
          <w:p w:rsidR="00821459" w:rsidRPr="007670BB" w:rsidRDefault="00821459" w:rsidP="003506ED">
            <w:pPr>
              <w:pStyle w:val="Lgendestandard"/>
            </w:pPr>
            <w:r>
              <w:t>Par exception, les modifications de nature strictement technique apportées par les services en vue de l’élaboration du texte final ne sont pas marquées.</w:t>
            </w:r>
          </w:p>
          <w:p w:rsidR="00821459" w:rsidRPr="007670BB" w:rsidRDefault="00821459" w:rsidP="0069092A">
            <w:pPr>
              <w:pStyle w:val="Lgendestandard"/>
            </w:pPr>
          </w:p>
        </w:tc>
      </w:tr>
    </w:tbl>
    <w:p w:rsidR="00821459" w:rsidRPr="007670BB" w:rsidRDefault="00821459" w:rsidP="00894923"/>
    <w:p w:rsidR="00ED0821" w:rsidRPr="007670BB" w:rsidRDefault="00ED0821" w:rsidP="001F57B7">
      <w:pPr>
        <w:widowControl/>
        <w:tabs>
          <w:tab w:val="center" w:pos="4677"/>
        </w:tabs>
      </w:pPr>
    </w:p>
    <w:p w:rsidR="00ED0821" w:rsidRPr="007670BB" w:rsidRDefault="00ED0821">
      <w:pPr>
        <w:pStyle w:val="TOCHeading"/>
      </w:pPr>
      <w:r>
        <w:br w:type="page"/>
      </w:r>
      <w:r>
        <w:lastRenderedPageBreak/>
        <w:t>SOMMAIRE</w:t>
      </w:r>
    </w:p>
    <w:p w:rsidR="00ED0821" w:rsidRPr="007670BB" w:rsidRDefault="00E0088E">
      <w:pPr>
        <w:pStyle w:val="TOCPage"/>
      </w:pPr>
      <w:r>
        <w:t>Page</w:t>
      </w:r>
    </w:p>
    <w:p w:rsidR="00DE5C3D" w:rsidRDefault="001F57B7">
      <w:pPr>
        <w:pStyle w:val="TOC1"/>
        <w:tabs>
          <w:tab w:val="right" w:leader="dot" w:pos="9060"/>
        </w:tabs>
        <w:rPr>
          <w:rFonts w:asciiTheme="minorHAnsi" w:eastAsiaTheme="minorEastAsia" w:hAnsiTheme="minorHAnsi" w:cstheme="minorBidi"/>
          <w:noProof/>
          <w:sz w:val="22"/>
          <w:szCs w:val="22"/>
          <w:lang w:val="en-GB"/>
        </w:rPr>
      </w:pPr>
      <w:r w:rsidRPr="007670BB">
        <w:fldChar w:fldCharType="begin"/>
      </w:r>
      <w:r w:rsidRPr="007670BB">
        <w:instrText xml:space="preserve"> TOC \t "PageHeading</w:instrText>
      </w:r>
      <w:r w:rsidR="0088129E">
        <w:instrText>;</w:instrText>
      </w:r>
      <w:r w:rsidRPr="007670BB">
        <w:instrText xml:space="preserve">1" </w:instrText>
      </w:r>
      <w:r w:rsidRPr="007670BB">
        <w:fldChar w:fldCharType="separate"/>
      </w:r>
      <w:r w:rsidR="00DE5C3D">
        <w:rPr>
          <w:noProof/>
        </w:rPr>
        <w:t>PROJET DE RÉSOLUTION LÉGISLATIVE DU PARLEMENT EUROPÉEN</w:t>
      </w:r>
      <w:r w:rsidR="00DE5C3D">
        <w:rPr>
          <w:noProof/>
        </w:rPr>
        <w:tab/>
      </w:r>
      <w:r w:rsidR="00DE5C3D">
        <w:rPr>
          <w:noProof/>
        </w:rPr>
        <w:fldChar w:fldCharType="begin"/>
      </w:r>
      <w:r w:rsidR="00DE5C3D">
        <w:rPr>
          <w:noProof/>
        </w:rPr>
        <w:instrText xml:space="preserve"> PAGEREF _Toc100755102 \h </w:instrText>
      </w:r>
      <w:r w:rsidR="00DE5C3D">
        <w:rPr>
          <w:noProof/>
        </w:rPr>
      </w:r>
      <w:r w:rsidR="00DE5C3D">
        <w:rPr>
          <w:noProof/>
        </w:rPr>
        <w:fldChar w:fldCharType="separate"/>
      </w:r>
      <w:r w:rsidR="00DE5C3D">
        <w:rPr>
          <w:noProof/>
        </w:rPr>
        <w:t>5</w:t>
      </w:r>
      <w:r w:rsidR="00DE5C3D">
        <w:rPr>
          <w:noProof/>
        </w:rPr>
        <w:fldChar w:fldCharType="end"/>
      </w:r>
    </w:p>
    <w:p w:rsidR="00DE5C3D" w:rsidRDefault="00DE5C3D">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_Toc100755103 \h </w:instrText>
      </w:r>
      <w:r>
        <w:rPr>
          <w:noProof/>
        </w:rPr>
      </w:r>
      <w:r>
        <w:rPr>
          <w:noProof/>
        </w:rPr>
        <w:fldChar w:fldCharType="separate"/>
      </w:r>
      <w:r>
        <w:rPr>
          <w:noProof/>
        </w:rPr>
        <w:t>6</w:t>
      </w:r>
      <w:r>
        <w:rPr>
          <w:noProof/>
        </w:rPr>
        <w:fldChar w:fldCharType="end"/>
      </w:r>
    </w:p>
    <w:p w:rsidR="00DE5C3D" w:rsidRDefault="00DE5C3D">
      <w:pPr>
        <w:pStyle w:val="TOC1"/>
        <w:tabs>
          <w:tab w:val="right" w:leader="dot" w:pos="9060"/>
        </w:tabs>
        <w:rPr>
          <w:rFonts w:asciiTheme="minorHAnsi" w:eastAsiaTheme="minorEastAsia" w:hAnsiTheme="minorHAnsi" w:cstheme="minorBidi"/>
          <w:noProof/>
          <w:sz w:val="22"/>
          <w:szCs w:val="22"/>
          <w:lang w:val="en-GB"/>
        </w:rPr>
      </w:pPr>
      <w:r>
        <w:rPr>
          <w:noProof/>
        </w:rPr>
        <w:t>PROCÉDURE DE LA COMMISSION COMPÉTENTE AU FOND</w:t>
      </w:r>
      <w:r>
        <w:rPr>
          <w:noProof/>
        </w:rPr>
        <w:tab/>
      </w:r>
      <w:r>
        <w:rPr>
          <w:noProof/>
        </w:rPr>
        <w:fldChar w:fldCharType="begin"/>
      </w:r>
      <w:r>
        <w:rPr>
          <w:noProof/>
        </w:rPr>
        <w:instrText xml:space="preserve"> PAGEREF _Toc100755104 \h </w:instrText>
      </w:r>
      <w:r>
        <w:rPr>
          <w:noProof/>
        </w:rPr>
      </w:r>
      <w:r>
        <w:rPr>
          <w:noProof/>
        </w:rPr>
        <w:fldChar w:fldCharType="separate"/>
      </w:r>
      <w:r>
        <w:rPr>
          <w:noProof/>
        </w:rPr>
        <w:t>8</w:t>
      </w:r>
      <w:r>
        <w:rPr>
          <w:noProof/>
        </w:rPr>
        <w:fldChar w:fldCharType="end"/>
      </w:r>
    </w:p>
    <w:p w:rsidR="00DE5C3D" w:rsidRDefault="00DE5C3D">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_Toc100755105 \h </w:instrText>
      </w:r>
      <w:r>
        <w:rPr>
          <w:noProof/>
        </w:rPr>
      </w:r>
      <w:r>
        <w:rPr>
          <w:noProof/>
        </w:rPr>
        <w:fldChar w:fldCharType="separate"/>
      </w:r>
      <w:r>
        <w:rPr>
          <w:noProof/>
        </w:rPr>
        <w:t>9</w:t>
      </w:r>
      <w:r>
        <w:rPr>
          <w:noProof/>
        </w:rPr>
        <w:fldChar w:fldCharType="end"/>
      </w:r>
    </w:p>
    <w:p w:rsidR="001A06D8" w:rsidRPr="007670BB" w:rsidRDefault="001F57B7" w:rsidP="00AC520F">
      <w:r w:rsidRPr="007670BB">
        <w:fldChar w:fldCharType="end"/>
      </w:r>
    </w:p>
    <w:p w:rsidR="00ED0821" w:rsidRPr="007670BB" w:rsidRDefault="00ED0821">
      <w:pPr>
        <w:pStyle w:val="PageHeading"/>
      </w:pPr>
      <w:r>
        <w:br w:type="page"/>
      </w:r>
      <w:r>
        <w:lastRenderedPageBreak/>
        <w:br w:type="page"/>
      </w:r>
      <w:bookmarkStart w:id="0" w:name="_Toc100755102"/>
      <w:r>
        <w:lastRenderedPageBreak/>
        <w:t>PROJET DE RÉSOLUTION LÉGISLATIVE DU PARLEMENT EUROPÉEN</w:t>
      </w:r>
      <w:bookmarkEnd w:id="0"/>
    </w:p>
    <w:p w:rsidR="00ED0821" w:rsidRPr="007670BB" w:rsidRDefault="00E0088E">
      <w:pPr>
        <w:pStyle w:val="NormalBold"/>
      </w:pPr>
      <w:r>
        <w:t>sur la proposition de décision du Conseil sur l’application en République de Chypre des dispositions de l’acquis de Schengen relatives au système d’information Schengen</w:t>
      </w:r>
    </w:p>
    <w:p w:rsidR="00ED0821" w:rsidRPr="007670BB" w:rsidRDefault="00E0088E">
      <w:pPr>
        <w:pStyle w:val="NormalBold12a"/>
      </w:pPr>
      <w:r>
        <w:t>(COM(2021)0472 – C9</w:t>
      </w:r>
      <w:r>
        <w:noBreakHyphen/>
        <w:t>0350/2021 – 2021/0266(NLE))</w:t>
      </w:r>
    </w:p>
    <w:p w:rsidR="00ED0821" w:rsidRPr="007670BB" w:rsidRDefault="00E0088E" w:rsidP="007B0773">
      <w:pPr>
        <w:pStyle w:val="NormalBold"/>
      </w:pPr>
      <w:r>
        <w:t>(Consultation)</w:t>
      </w:r>
    </w:p>
    <w:p w:rsidR="00ED0821" w:rsidRPr="007670BB" w:rsidRDefault="00E0088E">
      <w:pPr>
        <w:pStyle w:val="EPComma"/>
      </w:pPr>
      <w:r>
        <w:rPr>
          <w:i/>
        </w:rPr>
        <w:t>Le Parlement européen</w:t>
      </w:r>
      <w:r>
        <w:t>,</w:t>
      </w:r>
    </w:p>
    <w:p w:rsidR="00A167E3" w:rsidRPr="00CF08D2" w:rsidRDefault="00A167E3" w:rsidP="00A167E3">
      <w:pPr>
        <w:pStyle w:val="NormalHanging12a"/>
      </w:pPr>
      <w:r>
        <w:t>–</w:t>
      </w:r>
      <w:r>
        <w:tab/>
        <w:t>vu la proposition de la Commission au Conseil (COM(2021)0472),</w:t>
      </w:r>
    </w:p>
    <w:p w:rsidR="00A167E3" w:rsidRPr="00CF08D2" w:rsidRDefault="00A167E3" w:rsidP="00A167E3">
      <w:pPr>
        <w:pStyle w:val="NormalHanging12a"/>
      </w:pPr>
      <w:r>
        <w:t>–</w:t>
      </w:r>
      <w:r>
        <w:tab/>
        <w:t>vu l’article 3, paragraphe 2, de l’acte d’adhésion de 2003, conformément auquel il a été consulté par le Conseil (C9</w:t>
      </w:r>
      <w:r>
        <w:noBreakHyphen/>
        <w:t>0350/2021),</w:t>
      </w:r>
    </w:p>
    <w:p w:rsidR="00A167E3" w:rsidRPr="00CF08D2" w:rsidRDefault="00A167E3" w:rsidP="00A167E3">
      <w:pPr>
        <w:pStyle w:val="NormalHanging12a"/>
      </w:pPr>
      <w:r>
        <w:t>–</w:t>
      </w:r>
      <w:r>
        <w:tab/>
        <w:t>vu l’article 82 de son règlement intérieur,</w:t>
      </w:r>
    </w:p>
    <w:p w:rsidR="00A167E3" w:rsidRPr="00CF08D2" w:rsidRDefault="00A167E3" w:rsidP="00A167E3">
      <w:pPr>
        <w:pStyle w:val="NormalHanging12a"/>
      </w:pPr>
      <w:r>
        <w:t>–</w:t>
      </w:r>
      <w:r>
        <w:tab/>
        <w:t>vu le rapport de la commission des libertés civiles, de la justice et des affaires intérieures (A9-0082/2022),</w:t>
      </w:r>
    </w:p>
    <w:p w:rsidR="00A167E3" w:rsidRPr="00CF08D2" w:rsidRDefault="00A167E3" w:rsidP="00A167E3">
      <w:pPr>
        <w:pStyle w:val="NormalHanging12a"/>
      </w:pPr>
      <w:r>
        <w:t>1.</w:t>
      </w:r>
      <w:r>
        <w:tab/>
        <w:t>approuve la proposition de la Commission;</w:t>
      </w:r>
    </w:p>
    <w:p w:rsidR="00A167E3" w:rsidRPr="00CF08D2" w:rsidRDefault="00A167E3" w:rsidP="00A167E3">
      <w:pPr>
        <w:pStyle w:val="NormalHanging12a"/>
      </w:pPr>
      <w:r>
        <w:t>2.</w:t>
      </w:r>
      <w:r>
        <w:tab/>
        <w:t>invite le Conseil, s’il entend s’écarter du texte approuvé par le Parlement, à en informer celui-ci;</w:t>
      </w:r>
    </w:p>
    <w:p w:rsidR="00A167E3" w:rsidRPr="00CF08D2" w:rsidRDefault="00A167E3" w:rsidP="00A167E3">
      <w:pPr>
        <w:pStyle w:val="NormalHanging12a"/>
      </w:pPr>
      <w:r>
        <w:t>3.</w:t>
      </w:r>
      <w:r>
        <w:tab/>
        <w:t>demande au Conseil de le consulter à nouveau, s’il entend modifier de manière substantielle le texte approuvé par le Parlement;</w:t>
      </w:r>
    </w:p>
    <w:p w:rsidR="00A167E3" w:rsidRPr="00CF08D2" w:rsidRDefault="00A167E3" w:rsidP="00A167E3">
      <w:pPr>
        <w:pStyle w:val="NormalHanging12a"/>
      </w:pPr>
      <w:r>
        <w:t>4.</w:t>
      </w:r>
      <w:r>
        <w:tab/>
        <w:t>charge sa Présidente de transmettre la position du Parlement au Conseil et à la Commission.</w:t>
      </w:r>
    </w:p>
    <w:p w:rsidR="00D60642" w:rsidRPr="007670BB" w:rsidRDefault="00D60642" w:rsidP="007B0773">
      <w:pPr>
        <w:sectPr w:rsidR="00D60642" w:rsidRPr="007670BB" w:rsidSect="00A167E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7B0773" w:rsidRPr="007670BB" w:rsidRDefault="00D60642" w:rsidP="00D60642">
      <w:pPr>
        <w:pStyle w:val="PageHeading"/>
      </w:pPr>
      <w:bookmarkStart w:id="1" w:name="_Toc100755103"/>
      <w:r>
        <w:lastRenderedPageBreak/>
        <w:t>EXPOSÉ DES MOTIFS</w:t>
      </w:r>
      <w:bookmarkEnd w:id="1"/>
    </w:p>
    <w:p w:rsidR="00D60642" w:rsidRPr="007670BB" w:rsidRDefault="00D60642" w:rsidP="00D60642"/>
    <w:p w:rsidR="00A167E3" w:rsidRPr="00CF08D2" w:rsidRDefault="00A167E3" w:rsidP="00A167E3">
      <w:pPr>
        <w:pStyle w:val="Normal12Hanging"/>
        <w:ind w:left="0" w:firstLine="0"/>
        <w:jc w:val="both"/>
        <w:rPr>
          <w:b/>
          <w:szCs w:val="24"/>
        </w:rPr>
      </w:pPr>
      <w:r>
        <w:rPr>
          <w:b/>
        </w:rPr>
        <w:t>A. Contexte</w:t>
      </w:r>
    </w:p>
    <w:p w:rsidR="00A167E3" w:rsidRPr="00CF08D2" w:rsidRDefault="00A167E3" w:rsidP="00A167E3">
      <w:pPr>
        <w:spacing w:before="100" w:beforeAutospacing="1" w:after="100" w:afterAutospacing="1"/>
        <w:jc w:val="both"/>
      </w:pPr>
      <w:r>
        <w:t>Le 28 mai 2019, Chypre a fait part de sa volonté et de son engagement d’appliquer toutes les parties de l’acquis de Schengen et de faire l’objet d’évaluations Schengen, dans la mesure du possible compte tenu de la situation particulière de Chypre, telle qu’elle est reconnue dans le protocole nº 10 de l’acte d’adhésion de 2003.</w:t>
      </w:r>
    </w:p>
    <w:p w:rsidR="00A167E3" w:rsidRPr="00CF08D2" w:rsidRDefault="00A167E3" w:rsidP="00A167E3">
      <w:pPr>
        <w:spacing w:before="100" w:beforeAutospacing="1" w:after="100" w:afterAutospacing="1"/>
        <w:jc w:val="both"/>
        <w:rPr>
          <w:szCs w:val="24"/>
        </w:rPr>
      </w:pPr>
      <w:r>
        <w:t>Conformément à l’article 3, paragraphes 1 et 2, de l’acte d’adhésion de 2003</w:t>
      </w:r>
      <w:r w:rsidRPr="00CF08D2">
        <w:rPr>
          <w:rStyle w:val="FootnoteReference"/>
          <w:szCs w:val="24"/>
          <w:lang w:eastAsia="fr-BE"/>
        </w:rPr>
        <w:footnoteReference w:id="1"/>
      </w:r>
      <w:r>
        <w:t>, certaines dispositions de l’acquis de Schengen sont déjà applicables à Chypre depuis la date d’adhésion, tandis que d’autres dispositions ne s’appliquent qu’à la suite d’une décision du Conseil à cet effet, après qu’il a été vérifié que les conditions nécessaires à l’application de toutes les parties de l’acquis concerné sont remplies. Cette vérification a lieu conformément aux procédures d’évaluation Schengen applicables. Ces procédures sont énoncées dans le règlement (UE) nº 1053/2013 du Conseil portant création d’un mécanisme d’évaluation et de contrôle destiné à vérifier l’application de l’acquis de Schengen</w:t>
      </w:r>
      <w:r w:rsidRPr="00CF08D2">
        <w:rPr>
          <w:rStyle w:val="FootnoteReference"/>
          <w:i/>
          <w:szCs w:val="24"/>
        </w:rPr>
        <w:footnoteReference w:id="2"/>
      </w:r>
      <w:r>
        <w:t>.</w:t>
      </w:r>
    </w:p>
    <w:p w:rsidR="00A167E3" w:rsidRPr="00CF08D2" w:rsidRDefault="00A167E3" w:rsidP="00A167E3">
      <w:pPr>
        <w:spacing w:before="100" w:beforeAutospacing="1" w:after="100" w:afterAutospacing="1"/>
        <w:jc w:val="both"/>
        <w:rPr>
          <w:szCs w:val="24"/>
        </w:rPr>
      </w:pPr>
      <w:r>
        <w:t>L’évaluation Schengen dans le domaine du système d’information Schengen (SIS) ne pourra avoir lieu qu’après la mise en service du SIS à Chypre. À cette fin, il y a lieu que le Conseil adopte une décision relative à l’application des dispositions de l’acquis de Schengen relatives au SIS à Chypre. Une telle décision ne pourra être arrêtée qu’après que Chypre aura procédé aux aménagements techniques et juridiques nécessaires, y compris en matière de protection des données, pour traiter les données du SIS et échanger des informations supplémentaires. Par conséquent, une évaluation Schengen destinée à vérifier le niveau de protection des données à Chypre a été effectuée en novembre 2019. Le 5 novembre 2020, la Commission a adopté, par une décision d’exécution de la Commission</w:t>
      </w:r>
      <w:r w:rsidRPr="00CF08D2">
        <w:rPr>
          <w:rStyle w:val="FootnoteReference"/>
          <w:szCs w:val="24"/>
          <w:lang w:eastAsia="fr-BE"/>
        </w:rPr>
        <w:footnoteReference w:id="3"/>
      </w:r>
      <w:r>
        <w:t>, le rapport d’évaluation confirmant le respect d’un niveau adéquat de protection des données.</w:t>
      </w:r>
    </w:p>
    <w:p w:rsidR="00A167E3" w:rsidRPr="00CF08D2" w:rsidRDefault="00A167E3" w:rsidP="00A167E3">
      <w:pPr>
        <w:pStyle w:val="Normal12Hanging"/>
        <w:ind w:left="0" w:firstLine="0"/>
        <w:jc w:val="both"/>
        <w:rPr>
          <w:b/>
          <w:szCs w:val="24"/>
        </w:rPr>
      </w:pPr>
      <w:r>
        <w:rPr>
          <w:b/>
        </w:rPr>
        <w:t>B. Position du rapporteur</w:t>
      </w:r>
    </w:p>
    <w:p w:rsidR="00A167E3" w:rsidRPr="00CF08D2" w:rsidRDefault="00A167E3" w:rsidP="00A167E3">
      <w:pPr>
        <w:spacing w:before="100" w:beforeAutospacing="1" w:after="100" w:afterAutospacing="1"/>
        <w:jc w:val="both"/>
        <w:rPr>
          <w:szCs w:val="24"/>
        </w:rPr>
      </w:pPr>
      <w:r>
        <w:t>L’entrée en vigueur de la décision du Conseil devrait permettre le transfert des données du SIS à Chypre. L’utilisation des données du SIS à Chypre devrait permettre à la Commission de vérifier, conformément aux procédures d’évaluation Schengen, que les dispositions relatives au SIS sont correctement appliquées.</w:t>
      </w:r>
    </w:p>
    <w:p w:rsidR="00A167E3" w:rsidRPr="00CF08D2" w:rsidRDefault="00A167E3" w:rsidP="00A167E3">
      <w:pPr>
        <w:spacing w:before="100" w:beforeAutospacing="1" w:after="100" w:afterAutospacing="1"/>
        <w:jc w:val="both"/>
        <w:rPr>
          <w:szCs w:val="24"/>
        </w:rPr>
      </w:pPr>
      <w:r>
        <w:t xml:space="preserve">Certaines restrictions d’utilisation du SIS à Chypre seront imposées jusqu’à ce que le Conseil ait rendu sa décision sur la pleine application de l’acquis de Schengen à Chypre et sur la suppression des contrôles aux points de passage entre les zones de la République de Chypre dans lesquelles le gouvernement de la République de Chypre exerce un contrôle effectif et celles dans lesquelles il n’exerce pas de contrôle effectif. Ladite décision ne sera arrêtée qu’après qu’il aura été vérifié que les conditions nécessaires à l’application de toutes les parties de l’acquis concerné sont remplies par Chypre conformément à l’article 3, paragraphe 2, de l’acte </w:t>
      </w:r>
      <w:r>
        <w:lastRenderedPageBreak/>
        <w:t xml:space="preserve">d’adhésion de 2003. </w:t>
      </w:r>
    </w:p>
    <w:p w:rsidR="00A167E3" w:rsidRPr="00CF08D2" w:rsidRDefault="00A167E3" w:rsidP="00A167E3">
      <w:pPr>
        <w:jc w:val="both"/>
      </w:pPr>
      <w:r>
        <w:t>Au vu des récents problèmes qui se sont posés à Chypre, à savoir un afflux de migrants illégaux qui arrivent guidés par des passeurs depuis la partie nord du territoire, et attendu que ces migrants franchissent illégalement la ligne verte, longue de 184 kilomètres, en évitant les contrôles aux points de passage entre les zones de la République de Chypre dans lesquelles le gouvernement de la République de Chypre exerce un contrôle effectif et celles dans lesquelles il n’exerce pas de contrôle effectif, le rapporteur juge impératif que les autorités chypriotes aient la possibilité de vérifier des informations dans le SIS. Ainsi, les autorités chargées du contrôle aux frontières et les autorités répressives auront la possibilité de saisir et de consulter des signalements concernant des personnes ou des objets dans le SIS afin de garantir un niveau plus élevé de sécurité publique.</w:t>
      </w:r>
    </w:p>
    <w:p w:rsidR="00A167E3" w:rsidRPr="00CF08D2" w:rsidRDefault="00A167E3" w:rsidP="00A167E3">
      <w:pPr>
        <w:jc w:val="both"/>
      </w:pPr>
    </w:p>
    <w:p w:rsidR="00A167E3" w:rsidRPr="00CF08D2" w:rsidRDefault="00A167E3" w:rsidP="00A167E3">
      <w:pPr>
        <w:jc w:val="both"/>
      </w:pPr>
      <w:r>
        <w:t xml:space="preserve">Le rapporteur insiste toutefois sur le fait que l’adhésion de Chypre à l’espace Schengen reste une question qu’il convient d’examiner indépendamment de cette participation au SIS. Il convient d’évaluer toute future adhésion à l’espace Schengen dans la seule perspective de la possibilité qu’elle offre d’assurer la sécurité des frontières extérieures de l’Union. </w:t>
      </w:r>
    </w:p>
    <w:p w:rsidR="00A167E3" w:rsidRPr="00CF08D2" w:rsidRDefault="00A167E3" w:rsidP="00A167E3">
      <w:pPr>
        <w:jc w:val="both"/>
      </w:pPr>
    </w:p>
    <w:p w:rsidR="00A167E3" w:rsidRPr="00CF08D2" w:rsidRDefault="00A167E3" w:rsidP="00A167E3">
      <w:pPr>
        <w:jc w:val="both"/>
      </w:pPr>
      <w:r>
        <w:t xml:space="preserve">Compte tenu de ce qui précède, le rapporteur recommande au Parlement d’approuver le projet de texte du Conseil sans amendements, afin d’encourager les États membres à procéder rapidement à l’adoption de la décision.  </w:t>
      </w:r>
    </w:p>
    <w:p w:rsidR="005F1E20" w:rsidRPr="007670BB" w:rsidRDefault="005F1E20" w:rsidP="005F1E20">
      <w:pPr>
        <w:jc w:val="both"/>
      </w:pPr>
    </w:p>
    <w:p w:rsidR="0088129E" w:rsidRPr="0088129E" w:rsidRDefault="0088129E" w:rsidP="0088129E">
      <w:r>
        <w:br w:type="page"/>
      </w:r>
    </w:p>
    <w:p w:rsidR="0088129E" w:rsidRDefault="0088129E" w:rsidP="0088129E">
      <w:pPr>
        <w:pStyle w:val="PageHeading"/>
      </w:pPr>
      <w:bookmarkStart w:id="2" w:name="ProcPageRR"/>
      <w:bookmarkStart w:id="3" w:name="_Toc100755104"/>
      <w:r>
        <w:lastRenderedPageBreak/>
        <w:t>PROCÉDURE DE LA COMMISSION COMPÉTENTE AU FOND</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812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color w:val="000000"/>
                <w:sz w:val="20"/>
              </w:rPr>
            </w:pPr>
            <w:r>
              <w:rPr>
                <w:color w:val="000000"/>
                <w:sz w:val="20"/>
              </w:rPr>
              <w:t>Proposition de décision du Conseil sur l’application en République de Chypre des dispositions de l’acquis de Schengen relatives au système d’information Schengen</w:t>
            </w:r>
          </w:p>
        </w:tc>
      </w:tr>
      <w:tr w:rsidR="008812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color w:val="000000"/>
                <w:sz w:val="20"/>
              </w:rPr>
            </w:pPr>
            <w:r>
              <w:rPr>
                <w:color w:val="000000"/>
                <w:sz w:val="20"/>
              </w:rPr>
              <w:t>COM(2021)0472 – C9-0350/2021 – 2021/0266(NLE)</w:t>
            </w:r>
          </w:p>
        </w:tc>
      </w:tr>
      <w:tr w:rsidR="008812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b/>
                <w:bCs/>
                <w:color w:val="000000"/>
                <w:sz w:val="20"/>
              </w:rPr>
            </w:pPr>
            <w:r>
              <w:rPr>
                <w:b/>
                <w:color w:val="000000"/>
                <w:sz w:val="20"/>
              </w:rPr>
              <w:t>Date de consultation / demande d’approbation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8129E" w:rsidRDefault="0088129E">
            <w:pPr>
              <w:autoSpaceDE w:val="0"/>
              <w:autoSpaceDN w:val="0"/>
              <w:adjustRightInd w:val="0"/>
              <w:rPr>
                <w:color w:val="000000"/>
                <w:sz w:val="20"/>
              </w:rPr>
            </w:pPr>
            <w:r>
              <w:rPr>
                <w:color w:val="000000"/>
                <w:sz w:val="20"/>
              </w:rPr>
              <w:t>12.8.2021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8129E" w:rsidRDefault="0088129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8129E" w:rsidRDefault="0088129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rFonts w:ascii="sans-serif" w:hAnsi="sans-serif" w:cs="sans-serif"/>
                <w:color w:val="000000"/>
                <w:szCs w:val="24"/>
              </w:rPr>
            </w:pPr>
          </w:p>
        </w:tc>
      </w:tr>
      <w:tr w:rsidR="008812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b/>
                <w:bCs/>
                <w:color w:val="000000"/>
                <w:sz w:val="20"/>
              </w:rPr>
            </w:pPr>
            <w:r>
              <w:rPr>
                <w:b/>
                <w:color w:val="000000"/>
                <w:sz w:val="20"/>
              </w:rPr>
              <w:t>Commission compétente au fond</w:t>
            </w:r>
          </w:p>
          <w:p w:rsidR="0088129E" w:rsidRDefault="0088129E">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88129E" w:rsidRDefault="0088129E">
            <w:pPr>
              <w:autoSpaceDE w:val="0"/>
              <w:autoSpaceDN w:val="0"/>
              <w:adjustRightInd w:val="0"/>
              <w:rPr>
                <w:color w:val="000000"/>
                <w:sz w:val="20"/>
              </w:rPr>
            </w:pPr>
            <w:r>
              <w:rPr>
                <w:color w:val="000000"/>
                <w:sz w:val="20"/>
              </w:rPr>
              <w:t>LIBE</w:t>
            </w:r>
          </w:p>
          <w:p w:rsidR="0088129E" w:rsidRDefault="0088129E">
            <w:pPr>
              <w:autoSpaceDE w:val="0"/>
              <w:autoSpaceDN w:val="0"/>
              <w:adjustRightInd w:val="0"/>
              <w:rPr>
                <w:color w:val="000000"/>
                <w:sz w:val="20"/>
              </w:rPr>
            </w:pPr>
            <w:r>
              <w:rPr>
                <w:color w:val="000000"/>
                <w:sz w:val="20"/>
              </w:rPr>
              <w:t>13.9.2021</w:t>
            </w:r>
          </w:p>
        </w:tc>
        <w:tc>
          <w:tcPr>
            <w:tcW w:w="1474" w:type="dxa"/>
            <w:tcBorders>
              <w:top w:val="nil"/>
              <w:left w:val="nil"/>
              <w:bottom w:val="single" w:sz="8" w:space="0" w:color="000000"/>
              <w:right w:val="nil"/>
            </w:tcBorders>
            <w:tcMar>
              <w:top w:w="79" w:type="dxa"/>
              <w:left w:w="79" w:type="dxa"/>
              <w:bottom w:w="79" w:type="dxa"/>
              <w:right w:w="79" w:type="dxa"/>
            </w:tcMar>
          </w:tcPr>
          <w:p w:rsidR="0088129E" w:rsidRDefault="0088129E">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88129E" w:rsidRDefault="0088129E">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rFonts w:ascii="sans-serif" w:hAnsi="sans-serif" w:cs="sans-serif"/>
                <w:color w:val="000000"/>
                <w:szCs w:val="24"/>
              </w:rPr>
            </w:pPr>
          </w:p>
        </w:tc>
      </w:tr>
      <w:tr w:rsidR="008812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b/>
                <w:bCs/>
                <w:color w:val="000000"/>
                <w:sz w:val="20"/>
              </w:rPr>
            </w:pPr>
            <w:r>
              <w:rPr>
                <w:b/>
                <w:color w:val="000000"/>
                <w:sz w:val="20"/>
              </w:rPr>
              <w:t>Rapporteurs</w:t>
            </w:r>
          </w:p>
          <w:p w:rsidR="0088129E" w:rsidRDefault="0088129E">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8129E" w:rsidRDefault="0088129E">
            <w:pPr>
              <w:autoSpaceDE w:val="0"/>
              <w:autoSpaceDN w:val="0"/>
              <w:adjustRightInd w:val="0"/>
              <w:rPr>
                <w:color w:val="000000"/>
                <w:sz w:val="20"/>
              </w:rPr>
            </w:pPr>
            <w:r>
              <w:rPr>
                <w:color w:val="000000"/>
                <w:sz w:val="20"/>
              </w:rPr>
              <w:t>Peter Kofod</w:t>
            </w:r>
          </w:p>
          <w:p w:rsidR="0088129E" w:rsidRDefault="0088129E">
            <w:pPr>
              <w:autoSpaceDE w:val="0"/>
              <w:autoSpaceDN w:val="0"/>
              <w:adjustRightInd w:val="0"/>
              <w:rPr>
                <w:color w:val="000000"/>
                <w:sz w:val="20"/>
              </w:rPr>
            </w:pPr>
            <w:r>
              <w:rPr>
                <w:color w:val="000000"/>
                <w:sz w:val="20"/>
              </w:rPr>
              <w:t>13.1.2022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8129E" w:rsidRDefault="0088129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8129E" w:rsidRDefault="0088129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rFonts w:ascii="sans-serif" w:hAnsi="sans-serif" w:cs="sans-serif"/>
                <w:color w:val="000000"/>
                <w:szCs w:val="24"/>
              </w:rPr>
            </w:pPr>
          </w:p>
        </w:tc>
      </w:tr>
      <w:tr w:rsidR="008812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8129E" w:rsidRDefault="0088129E">
            <w:pPr>
              <w:autoSpaceDE w:val="0"/>
              <w:autoSpaceDN w:val="0"/>
              <w:adjustRightInd w:val="0"/>
              <w:rPr>
                <w:color w:val="000000"/>
                <w:sz w:val="20"/>
              </w:rPr>
            </w:pPr>
            <w:r>
              <w:rPr>
                <w:color w:val="000000"/>
                <w:sz w:val="20"/>
              </w:rPr>
              <w:t>16.3.2022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8129E" w:rsidRDefault="0088129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8129E" w:rsidRDefault="0088129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rFonts w:ascii="sans-serif" w:hAnsi="sans-serif" w:cs="sans-serif"/>
                <w:color w:val="000000"/>
                <w:szCs w:val="24"/>
              </w:rPr>
            </w:pPr>
          </w:p>
        </w:tc>
      </w:tr>
      <w:tr w:rsidR="008812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88129E" w:rsidRDefault="0088129E">
            <w:pPr>
              <w:autoSpaceDE w:val="0"/>
              <w:autoSpaceDN w:val="0"/>
              <w:adjustRightInd w:val="0"/>
              <w:rPr>
                <w:color w:val="000000"/>
                <w:sz w:val="20"/>
              </w:rPr>
            </w:pPr>
            <w:r>
              <w:rPr>
                <w:color w:val="000000"/>
                <w:sz w:val="20"/>
              </w:rPr>
              <w:t>31.3.2022</w:t>
            </w:r>
          </w:p>
        </w:tc>
        <w:tc>
          <w:tcPr>
            <w:tcW w:w="1474" w:type="dxa"/>
            <w:tcBorders>
              <w:top w:val="nil"/>
              <w:left w:val="nil"/>
              <w:bottom w:val="single" w:sz="8" w:space="0" w:color="000000"/>
              <w:right w:val="nil"/>
            </w:tcBorders>
            <w:tcMar>
              <w:top w:w="79" w:type="dxa"/>
              <w:left w:w="79" w:type="dxa"/>
              <w:bottom w:w="79" w:type="dxa"/>
              <w:right w:w="79" w:type="dxa"/>
            </w:tcMar>
          </w:tcPr>
          <w:p w:rsidR="0088129E" w:rsidRDefault="0088129E">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88129E" w:rsidRDefault="0088129E">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rFonts w:ascii="sans-serif" w:hAnsi="sans-serif" w:cs="sans-serif"/>
                <w:color w:val="000000"/>
                <w:szCs w:val="24"/>
              </w:rPr>
            </w:pPr>
          </w:p>
        </w:tc>
      </w:tr>
      <w:tr w:rsidR="008812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8129E" w:rsidRDefault="0088129E">
            <w:pPr>
              <w:autoSpaceDE w:val="0"/>
              <w:autoSpaceDN w:val="0"/>
              <w:adjustRightInd w:val="0"/>
              <w:rPr>
                <w:color w:val="000000"/>
                <w:sz w:val="20"/>
              </w:rPr>
            </w:pPr>
            <w:r>
              <w:rPr>
                <w:color w:val="000000"/>
                <w:sz w:val="20"/>
              </w:rPr>
              <w:t>+:</w:t>
            </w:r>
          </w:p>
          <w:p w:rsidR="0088129E" w:rsidRDefault="0088129E">
            <w:pPr>
              <w:autoSpaceDE w:val="0"/>
              <w:autoSpaceDN w:val="0"/>
              <w:adjustRightInd w:val="0"/>
              <w:rPr>
                <w:color w:val="000000"/>
                <w:sz w:val="20"/>
              </w:rPr>
            </w:pPr>
            <w:r>
              <w:rPr>
                <w:color w:val="000000"/>
                <w:sz w:val="20"/>
              </w:rPr>
              <w:t>–:</w:t>
            </w:r>
          </w:p>
          <w:p w:rsidR="0088129E" w:rsidRDefault="0088129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color w:val="000000"/>
                <w:sz w:val="20"/>
              </w:rPr>
            </w:pPr>
            <w:r>
              <w:rPr>
                <w:color w:val="000000"/>
                <w:sz w:val="20"/>
              </w:rPr>
              <w:t>46</w:t>
            </w:r>
          </w:p>
          <w:p w:rsidR="0088129E" w:rsidRDefault="0088129E">
            <w:pPr>
              <w:autoSpaceDE w:val="0"/>
              <w:autoSpaceDN w:val="0"/>
              <w:adjustRightInd w:val="0"/>
              <w:rPr>
                <w:color w:val="000000"/>
                <w:sz w:val="20"/>
              </w:rPr>
            </w:pPr>
            <w:r>
              <w:rPr>
                <w:color w:val="000000"/>
                <w:sz w:val="20"/>
              </w:rPr>
              <w:t>5</w:t>
            </w:r>
          </w:p>
          <w:p w:rsidR="0088129E" w:rsidRDefault="0088129E">
            <w:pPr>
              <w:autoSpaceDE w:val="0"/>
              <w:autoSpaceDN w:val="0"/>
              <w:adjustRightInd w:val="0"/>
              <w:rPr>
                <w:color w:val="000000"/>
                <w:sz w:val="20"/>
              </w:rPr>
            </w:pPr>
            <w:r>
              <w:rPr>
                <w:color w:val="000000"/>
                <w:sz w:val="20"/>
              </w:rPr>
              <w:t>2</w:t>
            </w:r>
          </w:p>
        </w:tc>
      </w:tr>
      <w:tr w:rsidR="008812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color w:val="000000"/>
                <w:sz w:val="20"/>
              </w:rPr>
            </w:pPr>
            <w:r>
              <w:rPr>
                <w:color w:val="000000"/>
                <w:sz w:val="20"/>
              </w:rPr>
              <w:t xml:space="preserve">Magdalena Adamowicz, Abir Al-Sahlani, Malik Azmani, Vladimír Bilčík, Vasile Blaga, Karolin Braunsberger-Reinhold, Patrick Breyer, Saskia Bricmont, </w:t>
            </w:r>
            <w:bookmarkStart w:id="4" w:name="_GoBack"/>
            <w:bookmarkEnd w:id="4"/>
            <w:r>
              <w:rPr>
                <w:color w:val="000000"/>
                <w:sz w:val="20"/>
              </w:rPr>
              <w:t>Joachim Stanisław Brudziński, Jorge Buxadé Villalba, Damien Carême, Clare Daly, Marcel de Graaff, Anna Júlia Donáth, Lucia Ďuriš Nicholsonová, Cornelia Ernst, Laura Ferrara, Nicolaus Fest, Jean-Paul Garraud, Sophia in ‘t Veld, Patryk Jaki, Assita Kanko, Fabienne Keller, Peter Kofod, Moritz Körner, Alice Kuhnke, Hélène Laporte, Jeroen Lenaers, Lukas Mandl, Nuno Melo, Nadine Morano, Maite Pagazaurtundúa, Emil Radev, Paulo Rangel, Terry Reintke, Karlo Ressler, Diana Riba i Giner, Sara Skyttedal, Vincenzo Sofo, Martin Sonneborn, Tineke Strik, Ramona Strugariu, Annalisa Tardino, Tomas Tobé, Yana Toom, Tom Vandendriessche, Elissavet Vozemberg-Vrionidi, Jadwiga Wiśniewska, Javier Zarzalejos</w:t>
            </w:r>
          </w:p>
        </w:tc>
      </w:tr>
      <w:tr w:rsidR="008812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color w:val="000000"/>
                <w:sz w:val="20"/>
              </w:rPr>
            </w:pPr>
            <w:r>
              <w:rPr>
                <w:color w:val="000000"/>
                <w:sz w:val="20"/>
              </w:rPr>
              <w:t>Bartosz Arłukowicz, Christian Doleschal, Anne-Sophie Pelletier, Miguel Urbán Crespo</w:t>
            </w:r>
          </w:p>
        </w:tc>
      </w:tr>
      <w:tr w:rsidR="008812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b/>
                <w:bCs/>
                <w:color w:val="000000"/>
                <w:sz w:val="20"/>
              </w:rPr>
            </w:pPr>
            <w:r>
              <w:rPr>
                <w:b/>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8129E" w:rsidRDefault="0088129E">
            <w:pPr>
              <w:autoSpaceDE w:val="0"/>
              <w:autoSpaceDN w:val="0"/>
              <w:adjustRightInd w:val="0"/>
              <w:rPr>
                <w:color w:val="000000"/>
                <w:sz w:val="20"/>
              </w:rPr>
            </w:pPr>
            <w:r>
              <w:rPr>
                <w:color w:val="000000"/>
                <w:sz w:val="20"/>
              </w:rPr>
              <w:t>1.4.2022</w:t>
            </w:r>
          </w:p>
        </w:tc>
      </w:tr>
    </w:tbl>
    <w:p w:rsidR="0088129E" w:rsidRDefault="0088129E"/>
    <w:bookmarkEnd w:id="2"/>
    <w:p w:rsidR="00A167E3" w:rsidRDefault="00A167E3" w:rsidP="00A167E3">
      <w:pPr>
        <w:sectPr w:rsidR="00A167E3" w:rsidSect="00A167E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167E3" w:rsidRPr="00A167E3" w:rsidRDefault="00A167E3" w:rsidP="00A167E3"/>
    <w:p w:rsidR="00A167E3" w:rsidRPr="0099178F" w:rsidRDefault="00A167E3" w:rsidP="008B71C9">
      <w:pPr>
        <w:pStyle w:val="PageHeading"/>
      </w:pPr>
      <w:bookmarkStart w:id="5" w:name="RollCallPageRR"/>
      <w:bookmarkStart w:id="6" w:name="_Toc100755105"/>
      <w:r>
        <w:t>VOTE FINAL PAR APPEL NOMINAL</w:t>
      </w:r>
      <w:r>
        <w:br/>
        <w:t>EN COMMISSION COMPÉTENTE AU FOND</w:t>
      </w:r>
      <w:bookmarkEnd w:id="6"/>
    </w:p>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1358"/>
        <w:gridCol w:w="7696"/>
      </w:tblGrid>
      <w:tr w:rsidR="00A167E3" w:rsidRPr="00CF08D2" w:rsidTr="00000C7C">
        <w:tc>
          <w:tcPr>
            <w:tcW w:w="750" w:type="pct"/>
            <w:tcBorders>
              <w:top w:val="single" w:sz="6" w:space="0" w:color="000000"/>
              <w:left w:val="single" w:sz="6" w:space="0" w:color="000000"/>
              <w:bottom w:val="single" w:sz="6" w:space="0" w:color="000000"/>
              <w:right w:val="single" w:sz="6" w:space="0" w:color="000000"/>
            </w:tcBorders>
            <w:shd w:val="clear" w:color="auto" w:fill="C0C0C0"/>
            <w:hideMark/>
          </w:tcPr>
          <w:p w:rsidR="00A167E3" w:rsidRPr="00CF08D2" w:rsidRDefault="00A167E3" w:rsidP="00000C7C">
            <w:pPr>
              <w:widowControl/>
              <w:jc w:val="center"/>
              <w:rPr>
                <w:b/>
                <w:bCs/>
                <w:szCs w:val="24"/>
              </w:rPr>
            </w:pPr>
            <w:r>
              <w:rPr>
                <w:b/>
              </w:rPr>
              <w:t>46</w:t>
            </w:r>
          </w:p>
        </w:tc>
        <w:tc>
          <w:tcPr>
            <w:tcW w:w="4250" w:type="pct"/>
            <w:tcBorders>
              <w:top w:val="single" w:sz="6" w:space="0" w:color="000000"/>
              <w:left w:val="single" w:sz="6" w:space="0" w:color="000000"/>
              <w:bottom w:val="single" w:sz="6" w:space="0" w:color="000000"/>
              <w:right w:val="single" w:sz="6" w:space="0" w:color="000000"/>
            </w:tcBorders>
            <w:shd w:val="clear" w:color="auto" w:fill="C0C0C0"/>
            <w:hideMark/>
          </w:tcPr>
          <w:p w:rsidR="00A167E3" w:rsidRPr="00CF08D2" w:rsidRDefault="00A167E3" w:rsidP="00000C7C">
            <w:pPr>
              <w:widowControl/>
              <w:jc w:val="center"/>
              <w:rPr>
                <w:b/>
                <w:bCs/>
                <w:szCs w:val="24"/>
              </w:rPr>
            </w:pPr>
            <w:r>
              <w:rPr>
                <w:b/>
              </w:rPr>
              <w:t>+</w:t>
            </w:r>
          </w:p>
        </w:tc>
      </w:tr>
      <w:tr w:rsidR="00A167E3" w:rsidRPr="00CF08D2" w:rsidTr="00000C7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ECR</w:t>
            </w:r>
          </w:p>
        </w:t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Joachim Stanisław Brudziński, Jorge Buxadé Villalba, Patryk Jaki, Assita Kanko, Vincenzo Sofo, Jadwiga Wiśniewska</w:t>
            </w:r>
          </w:p>
        </w:tc>
      </w:tr>
      <w:tr w:rsidR="00A167E3" w:rsidRPr="00CF08D2" w:rsidTr="00000C7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ID</w:t>
            </w:r>
          </w:p>
        </w:t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Nicolaus Fest, Jean-Paul Garraud, Peter Kofod, Hélène Laporte, Annalisa Tardino, Tom Vandendriessche</w:t>
            </w:r>
          </w:p>
        </w:tc>
      </w:tr>
      <w:tr w:rsidR="00A167E3" w:rsidRPr="00CF08D2" w:rsidTr="00000C7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NI</w:t>
            </w:r>
          </w:p>
        </w:t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Laura Ferrara</w:t>
            </w:r>
          </w:p>
        </w:tc>
      </w:tr>
      <w:tr w:rsidR="00A167E3" w:rsidRPr="00CF08D2" w:rsidTr="00000C7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PPE</w:t>
            </w:r>
          </w:p>
        </w:t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Magdalena Adamowicz, Bartosz Arłukowicz, Vladimír Bilčík, Vasile Blaga, Karolin Braunsberger-Reinhold, Christian Doleschal, Jeroen Lenaers, Lukas Mandl, Nuno Melo, Nadine Morano, Emil Radev, Paulo Rangel, Karlo Ressler, Sara Skyttedal, Tomas Tobé, Elissavet Vozemberg-Vrionidi, Javier Zarzalejos</w:t>
            </w:r>
          </w:p>
        </w:tc>
      </w:tr>
      <w:tr w:rsidR="00A167E3" w:rsidRPr="00CF08D2" w:rsidTr="00000C7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Renew</w:t>
            </w:r>
          </w:p>
        </w:t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Abir Al-Sahlani, Malik Azmani, Anna Júlia Donáth, Lucia Ďuriš Nicholsonová, Sophia in 't Veld, Moritz Körner, Maite Pagazaurtundúa, Ramona Strugariu, Yana Toom</w:t>
            </w:r>
          </w:p>
        </w:tc>
      </w:tr>
      <w:tr w:rsidR="00A167E3" w:rsidRPr="00CF08D2" w:rsidTr="00000C7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Verts/ALE</w:t>
            </w:r>
          </w:p>
        </w:t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Patrick Breyer, Saskia Bricmont, Damien Carême, Alice Kuhnke, Terry Reintke, Diana Riba i Giner, Tineke Strik</w:t>
            </w:r>
          </w:p>
        </w:tc>
      </w:tr>
    </w:tbl>
    <w:p w:rsidR="00A167E3" w:rsidRPr="00CF08D2" w:rsidRDefault="00A167E3" w:rsidP="00A167E3"/>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1358"/>
        <w:gridCol w:w="7696"/>
      </w:tblGrid>
      <w:tr w:rsidR="00A167E3" w:rsidRPr="00CF08D2" w:rsidTr="00000C7C">
        <w:tc>
          <w:tcPr>
            <w:tcW w:w="750" w:type="pct"/>
            <w:tcBorders>
              <w:top w:val="single" w:sz="6" w:space="0" w:color="000000"/>
              <w:left w:val="single" w:sz="6" w:space="0" w:color="000000"/>
              <w:bottom w:val="single" w:sz="6" w:space="0" w:color="000000"/>
              <w:right w:val="single" w:sz="6" w:space="0" w:color="000000"/>
            </w:tcBorders>
            <w:shd w:val="clear" w:color="auto" w:fill="C0C0C0"/>
            <w:hideMark/>
          </w:tcPr>
          <w:p w:rsidR="00A167E3" w:rsidRPr="00CF08D2" w:rsidRDefault="00A167E3" w:rsidP="00000C7C">
            <w:pPr>
              <w:widowControl/>
              <w:jc w:val="center"/>
              <w:rPr>
                <w:b/>
                <w:bCs/>
                <w:szCs w:val="24"/>
              </w:rPr>
            </w:pPr>
            <w:r>
              <w:rPr>
                <w:b/>
              </w:rPr>
              <w:t>5</w:t>
            </w:r>
          </w:p>
        </w:tc>
        <w:tc>
          <w:tcPr>
            <w:tcW w:w="4250" w:type="pct"/>
            <w:tcBorders>
              <w:top w:val="single" w:sz="6" w:space="0" w:color="000000"/>
              <w:left w:val="single" w:sz="6" w:space="0" w:color="000000"/>
              <w:bottom w:val="single" w:sz="6" w:space="0" w:color="000000"/>
              <w:right w:val="single" w:sz="6" w:space="0" w:color="000000"/>
            </w:tcBorders>
            <w:shd w:val="clear" w:color="auto" w:fill="C0C0C0"/>
            <w:hideMark/>
          </w:tcPr>
          <w:p w:rsidR="00A167E3" w:rsidRPr="00CF08D2" w:rsidRDefault="00A167E3" w:rsidP="00000C7C">
            <w:pPr>
              <w:widowControl/>
              <w:jc w:val="center"/>
              <w:rPr>
                <w:b/>
                <w:bCs/>
                <w:szCs w:val="24"/>
              </w:rPr>
            </w:pPr>
            <w:r>
              <w:rPr>
                <w:b/>
              </w:rPr>
              <w:t>-</w:t>
            </w:r>
          </w:p>
        </w:tc>
      </w:tr>
      <w:tr w:rsidR="00A167E3" w:rsidRPr="00CF08D2" w:rsidTr="00000C7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ID</w:t>
            </w:r>
          </w:p>
        </w:t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Marcel de Graaff</w:t>
            </w:r>
          </w:p>
        </w:tc>
      </w:tr>
      <w:tr w:rsidR="00A167E3" w:rsidRPr="00CF08D2" w:rsidTr="00000C7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The Left</w:t>
            </w:r>
          </w:p>
        </w:t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Clare Daly, Cornelia Ernst, Anne-Sophie Pelletier, Miguel Urbán Crespo</w:t>
            </w:r>
          </w:p>
        </w:tc>
      </w:tr>
    </w:tbl>
    <w:p w:rsidR="00A167E3" w:rsidRPr="00CF08D2" w:rsidRDefault="00A167E3" w:rsidP="00A167E3"/>
    <w:tbl>
      <w:tblPr>
        <w:tblW w:w="5000" w:type="pct"/>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1358"/>
        <w:gridCol w:w="7696"/>
      </w:tblGrid>
      <w:tr w:rsidR="00A167E3" w:rsidRPr="00CF08D2" w:rsidTr="00000C7C">
        <w:tc>
          <w:tcPr>
            <w:tcW w:w="750" w:type="pct"/>
            <w:tcBorders>
              <w:top w:val="single" w:sz="6" w:space="0" w:color="000000"/>
              <w:left w:val="single" w:sz="6" w:space="0" w:color="000000"/>
              <w:bottom w:val="single" w:sz="6" w:space="0" w:color="000000"/>
              <w:right w:val="single" w:sz="6" w:space="0" w:color="000000"/>
            </w:tcBorders>
            <w:shd w:val="clear" w:color="auto" w:fill="C0C0C0"/>
            <w:hideMark/>
          </w:tcPr>
          <w:p w:rsidR="00A167E3" w:rsidRPr="00CF08D2" w:rsidRDefault="00A167E3" w:rsidP="00000C7C">
            <w:pPr>
              <w:widowControl/>
              <w:jc w:val="center"/>
              <w:rPr>
                <w:b/>
                <w:bCs/>
                <w:szCs w:val="24"/>
              </w:rPr>
            </w:pPr>
            <w:r>
              <w:rPr>
                <w:b/>
              </w:rPr>
              <w:t>2</w:t>
            </w:r>
          </w:p>
        </w:tc>
        <w:tc>
          <w:tcPr>
            <w:tcW w:w="4250" w:type="pct"/>
            <w:tcBorders>
              <w:top w:val="single" w:sz="6" w:space="0" w:color="000000"/>
              <w:left w:val="single" w:sz="6" w:space="0" w:color="000000"/>
              <w:bottom w:val="single" w:sz="6" w:space="0" w:color="000000"/>
              <w:right w:val="single" w:sz="6" w:space="0" w:color="000000"/>
            </w:tcBorders>
            <w:shd w:val="clear" w:color="auto" w:fill="C0C0C0"/>
            <w:hideMark/>
          </w:tcPr>
          <w:p w:rsidR="00A167E3" w:rsidRPr="00CF08D2" w:rsidRDefault="00A167E3" w:rsidP="00000C7C">
            <w:pPr>
              <w:widowControl/>
              <w:jc w:val="center"/>
              <w:rPr>
                <w:b/>
                <w:bCs/>
                <w:szCs w:val="24"/>
              </w:rPr>
            </w:pPr>
            <w:r>
              <w:rPr>
                <w:b/>
              </w:rPr>
              <w:t>0</w:t>
            </w:r>
          </w:p>
        </w:tc>
      </w:tr>
      <w:tr w:rsidR="00A167E3" w:rsidRPr="00CF08D2" w:rsidTr="00000C7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NI</w:t>
            </w:r>
          </w:p>
        </w:t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Martin Sonneborn</w:t>
            </w:r>
          </w:p>
        </w:tc>
      </w:tr>
      <w:tr w:rsidR="00A167E3" w:rsidRPr="00CF08D2" w:rsidTr="00000C7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Renew</w:t>
            </w:r>
          </w:p>
        </w:tc>
        <w:tc>
          <w:tcPr>
            <w:tcW w:w="0" w:type="auto"/>
            <w:tcBorders>
              <w:top w:val="single" w:sz="6" w:space="0" w:color="000000"/>
              <w:left w:val="single" w:sz="6" w:space="0" w:color="000000"/>
              <w:bottom w:val="single" w:sz="6" w:space="0" w:color="000000"/>
              <w:right w:val="single" w:sz="6" w:space="0" w:color="000000"/>
            </w:tcBorders>
            <w:hideMark/>
          </w:tcPr>
          <w:p w:rsidR="00A167E3" w:rsidRPr="00CF08D2" w:rsidRDefault="00A167E3" w:rsidP="00000C7C">
            <w:pPr>
              <w:widowControl/>
              <w:rPr>
                <w:szCs w:val="24"/>
              </w:rPr>
            </w:pPr>
            <w:r>
              <w:t>Fabienne Keller</w:t>
            </w:r>
          </w:p>
        </w:tc>
      </w:tr>
    </w:tbl>
    <w:p w:rsidR="00A167E3" w:rsidRDefault="00A167E3" w:rsidP="00147FBF">
      <w:pPr>
        <w:pStyle w:val="Normal12a"/>
      </w:pPr>
    </w:p>
    <w:p w:rsidR="00A167E3" w:rsidRDefault="00A167E3" w:rsidP="00B735E3">
      <w:r>
        <w:t>Légende des signes utilisés:</w:t>
      </w:r>
    </w:p>
    <w:p w:rsidR="00A167E3" w:rsidRDefault="00A167E3" w:rsidP="001C6342">
      <w:pPr>
        <w:pStyle w:val="RollCallTabs"/>
      </w:pPr>
      <w:r>
        <w:t>+</w:t>
      </w:r>
      <w:r>
        <w:tab/>
        <w:t>:</w:t>
      </w:r>
      <w:r>
        <w:tab/>
        <w:t>pour</w:t>
      </w:r>
    </w:p>
    <w:p w:rsidR="00A167E3" w:rsidRDefault="00A167E3" w:rsidP="001C6342">
      <w:pPr>
        <w:pStyle w:val="RollCallTabs"/>
      </w:pPr>
      <w:r>
        <w:t>-</w:t>
      </w:r>
      <w:r>
        <w:tab/>
        <w:t>:</w:t>
      </w:r>
      <w:r>
        <w:tab/>
        <w:t>contre</w:t>
      </w:r>
    </w:p>
    <w:p w:rsidR="00A167E3" w:rsidRDefault="00A167E3" w:rsidP="001C6342">
      <w:pPr>
        <w:pStyle w:val="RollCallTabs"/>
      </w:pPr>
      <w:r>
        <w:t>0</w:t>
      </w:r>
      <w:r>
        <w:tab/>
        <w:t>:</w:t>
      </w:r>
      <w:r>
        <w:tab/>
        <w:t>abstention</w:t>
      </w:r>
    </w:p>
    <w:p w:rsidR="00A167E3" w:rsidRDefault="00A167E3" w:rsidP="00AD5932"/>
    <w:bookmarkEnd w:id="5"/>
    <w:p w:rsidR="00D60642" w:rsidRPr="00A167E3" w:rsidRDefault="00D60642" w:rsidP="00A167E3"/>
    <w:sectPr w:rsidR="00D60642" w:rsidRPr="00A167E3" w:rsidSect="00A167E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88E" w:rsidRPr="007670BB" w:rsidRDefault="00E0088E">
      <w:r w:rsidRPr="007670BB">
        <w:separator/>
      </w:r>
    </w:p>
  </w:endnote>
  <w:endnote w:type="continuationSeparator" w:id="0">
    <w:p w:rsidR="00E0088E" w:rsidRPr="007670BB" w:rsidRDefault="00E0088E">
      <w:r w:rsidRPr="007670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29E" w:rsidRDefault="0088129E" w:rsidP="0088129E">
    <w:pPr>
      <w:pStyle w:val="EPFooter"/>
    </w:pPr>
    <w:r>
      <w:t>PE</w:t>
    </w:r>
    <w:r w:rsidRPr="0088129E">
      <w:rPr>
        <w:rStyle w:val="HideTWBExt"/>
      </w:rPr>
      <w:t>&lt;NoPE&gt;</w:t>
    </w:r>
    <w:r>
      <w:t>704.675</w:t>
    </w:r>
    <w:r w:rsidRPr="0088129E">
      <w:rPr>
        <w:rStyle w:val="HideTWBExt"/>
      </w:rPr>
      <w:t>&lt;/NoPE&gt;&lt;Version&gt;</w:t>
    </w:r>
    <w:r>
      <w:t>v02-00</w:t>
    </w:r>
    <w:r w:rsidRPr="0088129E">
      <w:rPr>
        <w:rStyle w:val="HideTWBExt"/>
      </w:rPr>
      <w:t>&lt;/Version&gt;</w:t>
    </w:r>
    <w:r>
      <w:tab/>
    </w:r>
    <w:r>
      <w:fldChar w:fldCharType="begin"/>
    </w:r>
    <w:r>
      <w:instrText xml:space="preserve"> PAGE  \* MERGEFORMAT </w:instrText>
    </w:r>
    <w:r>
      <w:fldChar w:fldCharType="separate"/>
    </w:r>
    <w:r w:rsidR="00DE5C3D">
      <w:rPr>
        <w:noProof/>
      </w:rPr>
      <w:t>8</w:t>
    </w:r>
    <w:r>
      <w:fldChar w:fldCharType="end"/>
    </w:r>
    <w:r>
      <w:t>/</w:t>
    </w:r>
    <w:r w:rsidR="00DE5C3D">
      <w:fldChar w:fldCharType="begin"/>
    </w:r>
    <w:r w:rsidR="00DE5C3D">
      <w:instrText xml:space="preserve"> NUMPAGES  \* MERGEFORMAT </w:instrText>
    </w:r>
    <w:r w:rsidR="00DE5C3D">
      <w:fldChar w:fldCharType="separate"/>
    </w:r>
    <w:r w:rsidR="00DE5C3D">
      <w:rPr>
        <w:noProof/>
      </w:rPr>
      <w:t>9</w:t>
    </w:r>
    <w:r w:rsidR="00DE5C3D">
      <w:rPr>
        <w:noProof/>
      </w:rPr>
      <w:fldChar w:fldCharType="end"/>
    </w:r>
    <w:r>
      <w:tab/>
    </w:r>
    <w:r w:rsidRPr="0088129E">
      <w:rPr>
        <w:rStyle w:val="HideTWBExt"/>
      </w:rPr>
      <w:t>&lt;PathFdR&gt;</w:t>
    </w:r>
    <w:r>
      <w:t>RR\1253443FR.docx</w:t>
    </w:r>
    <w:r w:rsidRPr="0088129E">
      <w:rPr>
        <w:rStyle w:val="HideTWBExt"/>
      </w:rPr>
      <w:t>&lt;/PathFdR&gt;</w:t>
    </w:r>
  </w:p>
  <w:p w:rsidR="00D971B7" w:rsidRPr="007670BB" w:rsidRDefault="0088129E" w:rsidP="0088129E">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29E" w:rsidRDefault="0088129E" w:rsidP="0088129E">
    <w:pPr>
      <w:pStyle w:val="EPFooter"/>
    </w:pPr>
    <w:r w:rsidRPr="0088129E">
      <w:rPr>
        <w:rStyle w:val="HideTWBExt"/>
      </w:rPr>
      <w:t>&lt;PathFdR&gt;</w:t>
    </w:r>
    <w:r>
      <w:t>RR\1253443FR.docx</w:t>
    </w:r>
    <w:r w:rsidRPr="0088129E">
      <w:rPr>
        <w:rStyle w:val="HideTWBExt"/>
      </w:rPr>
      <w:t>&lt;/PathFdR&gt;</w:t>
    </w:r>
    <w:r>
      <w:tab/>
    </w:r>
    <w:r>
      <w:fldChar w:fldCharType="begin"/>
    </w:r>
    <w:r>
      <w:instrText xml:space="preserve"> PAGE  \* MERGEFORMAT </w:instrText>
    </w:r>
    <w:r>
      <w:fldChar w:fldCharType="separate"/>
    </w:r>
    <w:r w:rsidR="00DE5C3D">
      <w:rPr>
        <w:noProof/>
      </w:rPr>
      <w:t>7</w:t>
    </w:r>
    <w:r>
      <w:fldChar w:fldCharType="end"/>
    </w:r>
    <w:r>
      <w:t>/</w:t>
    </w:r>
    <w:r w:rsidR="00DE5C3D">
      <w:fldChar w:fldCharType="begin"/>
    </w:r>
    <w:r w:rsidR="00DE5C3D">
      <w:instrText xml:space="preserve"> NUMPAGES  \* MERGEFORMAT </w:instrText>
    </w:r>
    <w:r w:rsidR="00DE5C3D">
      <w:fldChar w:fldCharType="separate"/>
    </w:r>
    <w:r w:rsidR="00DE5C3D">
      <w:rPr>
        <w:noProof/>
      </w:rPr>
      <w:t>9</w:t>
    </w:r>
    <w:r w:rsidR="00DE5C3D">
      <w:rPr>
        <w:noProof/>
      </w:rPr>
      <w:fldChar w:fldCharType="end"/>
    </w:r>
    <w:r>
      <w:tab/>
      <w:t>PE</w:t>
    </w:r>
    <w:r w:rsidRPr="0088129E">
      <w:rPr>
        <w:rStyle w:val="HideTWBExt"/>
      </w:rPr>
      <w:t>&lt;NoPE&gt;</w:t>
    </w:r>
    <w:r>
      <w:t>704.675</w:t>
    </w:r>
    <w:r w:rsidRPr="0088129E">
      <w:rPr>
        <w:rStyle w:val="HideTWBExt"/>
      </w:rPr>
      <w:t>&lt;/NoPE&gt;&lt;Version&gt;</w:t>
    </w:r>
    <w:r>
      <w:t>v02-00</w:t>
    </w:r>
    <w:r w:rsidRPr="0088129E">
      <w:rPr>
        <w:rStyle w:val="HideTWBExt"/>
      </w:rPr>
      <w:t>&lt;/Version&gt;</w:t>
    </w:r>
  </w:p>
  <w:p w:rsidR="00D971B7" w:rsidRPr="007670BB" w:rsidRDefault="0088129E" w:rsidP="0088129E">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29E" w:rsidRDefault="0088129E" w:rsidP="0088129E">
    <w:pPr>
      <w:pStyle w:val="EPFooter"/>
    </w:pPr>
    <w:r w:rsidRPr="0088129E">
      <w:rPr>
        <w:rStyle w:val="HideTWBExt"/>
      </w:rPr>
      <w:t>&lt;PathFdR&gt;</w:t>
    </w:r>
    <w:r>
      <w:t>RR\1253443FR.docx</w:t>
    </w:r>
    <w:r w:rsidRPr="0088129E">
      <w:rPr>
        <w:rStyle w:val="HideTWBExt"/>
      </w:rPr>
      <w:t>&lt;/PathFdR&gt;</w:t>
    </w:r>
    <w:r>
      <w:tab/>
    </w:r>
    <w:r>
      <w:tab/>
      <w:t>PE</w:t>
    </w:r>
    <w:r w:rsidRPr="0088129E">
      <w:rPr>
        <w:rStyle w:val="HideTWBExt"/>
      </w:rPr>
      <w:t>&lt;NoPE&gt;</w:t>
    </w:r>
    <w:r>
      <w:t>704.675</w:t>
    </w:r>
    <w:r w:rsidRPr="0088129E">
      <w:rPr>
        <w:rStyle w:val="HideTWBExt"/>
      </w:rPr>
      <w:t>&lt;/NoPE&gt;&lt;Version&gt;</w:t>
    </w:r>
    <w:r>
      <w:t>v02-00</w:t>
    </w:r>
    <w:r w:rsidRPr="0088129E">
      <w:rPr>
        <w:rStyle w:val="HideTWBExt"/>
      </w:rPr>
      <w:t>&lt;/Version&gt;</w:t>
    </w:r>
  </w:p>
  <w:p w:rsidR="00D971B7" w:rsidRPr="007670BB" w:rsidRDefault="0088129E" w:rsidP="0088129E">
    <w:pPr>
      <w:pStyle w:val="EPFooter2"/>
    </w:pPr>
    <w:r>
      <w:t>FR</w:t>
    </w:r>
    <w:r>
      <w:tab/>
    </w:r>
    <w:r w:rsidRPr="0088129E">
      <w:rPr>
        <w:b w:val="0"/>
        <w:i/>
        <w:color w:val="C0C0C0"/>
        <w:sz w:val="22"/>
      </w:rPr>
      <w:t>Unie dans la diversité</w:t>
    </w:r>
    <w:r>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88E" w:rsidRPr="007670BB" w:rsidRDefault="00E0088E">
      <w:r w:rsidRPr="007670BB">
        <w:separator/>
      </w:r>
    </w:p>
  </w:footnote>
  <w:footnote w:type="continuationSeparator" w:id="0">
    <w:p w:rsidR="00E0088E" w:rsidRPr="007670BB" w:rsidRDefault="00E0088E">
      <w:r w:rsidRPr="007670BB">
        <w:continuationSeparator/>
      </w:r>
    </w:p>
  </w:footnote>
  <w:footnote w:id="1">
    <w:p w:rsidR="00A167E3" w:rsidRPr="00DE5C3D" w:rsidRDefault="00A167E3" w:rsidP="00A167E3">
      <w:pPr>
        <w:pStyle w:val="FootnoteText"/>
        <w:rPr>
          <w:lang w:val="da-DK"/>
        </w:rPr>
      </w:pPr>
      <w:r>
        <w:rPr>
          <w:rStyle w:val="FootnoteReference"/>
        </w:rPr>
        <w:footnoteRef/>
      </w:r>
      <w:r w:rsidRPr="00DE5C3D">
        <w:rPr>
          <w:lang w:val="da-DK"/>
        </w:rPr>
        <w:tab/>
        <w:t>JO L 236 du 23.9.2003, p. 33.</w:t>
      </w:r>
    </w:p>
  </w:footnote>
  <w:footnote w:id="2">
    <w:p w:rsidR="00A167E3" w:rsidRPr="00DE5C3D" w:rsidRDefault="00A167E3" w:rsidP="00A167E3">
      <w:pPr>
        <w:pStyle w:val="FootnoteText"/>
        <w:rPr>
          <w:lang w:val="da-DK"/>
        </w:rPr>
      </w:pPr>
      <w:r>
        <w:rPr>
          <w:rStyle w:val="FootnoteReference"/>
        </w:rPr>
        <w:footnoteRef/>
      </w:r>
      <w:r w:rsidRPr="00DE5C3D">
        <w:rPr>
          <w:lang w:val="da-DK"/>
        </w:rPr>
        <w:tab/>
        <w:t>JO L 295 du 6.11.2013, p. 27.</w:t>
      </w:r>
    </w:p>
  </w:footnote>
  <w:footnote w:id="3">
    <w:p w:rsidR="00A167E3" w:rsidRPr="009E5C2C" w:rsidRDefault="00A167E3" w:rsidP="00A167E3">
      <w:pPr>
        <w:pStyle w:val="FootnoteText"/>
      </w:pPr>
      <w:r>
        <w:rPr>
          <w:rStyle w:val="FootnoteReference"/>
        </w:rPr>
        <w:footnoteRef/>
      </w:r>
      <w:r>
        <w:tab/>
        <w:t>C (2020) 8150.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7E3" w:rsidRDefault="00A167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7E3" w:rsidRDefault="00A167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7E3" w:rsidRDefault="00A167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RTEURATOMMNU" w:val=" 3"/>
    <w:docVar w:name="ARTMNU" w:val=" 1"/>
    <w:docVar w:name="COMKEY" w:val="LIBE"/>
    <w:docVar w:name="CopyToNetwork" w:val="-1"/>
    <w:docVar w:name="DOCMNU" w:val=" 3"/>
    <w:docVar w:name="LastEditedSection" w:val=" 1"/>
    <w:docVar w:name="strDocTypeID" w:val="PR_NLE-CN_LegAct_app"/>
    <w:docVar w:name="strSubDir" w:val="1253"/>
    <w:docVar w:name="TITLEMNU" w:val=" 1"/>
    <w:docVar w:name="TXTLANGUE" w:val="FR"/>
    <w:docVar w:name="TXTLANGUEMIN" w:val="fr"/>
    <w:docVar w:name="TXTNRC" w:val="0350/2021"/>
    <w:docVar w:name="TXTNRCOM" w:val="(2021)0472"/>
    <w:docVar w:name="TXTNRNLE" w:val="2021/0266"/>
    <w:docVar w:name="TXTNRPE" w:val="704.675"/>
    <w:docVar w:name="TXTPEorAP" w:val="PE"/>
    <w:docVar w:name="TXTROUTE" w:val="RR\1253443FR.docx"/>
    <w:docVar w:name="TXTTITLE" w:val="on the application of the provisions of the Schengen acquis in the area of the Schengen Information System in the Republic of Cyprus"/>
    <w:docVar w:name="TXTVERSION" w:val="02-00"/>
  </w:docVars>
  <w:rsids>
    <w:rsidRoot w:val="00E0088E"/>
    <w:rsid w:val="00056EA7"/>
    <w:rsid w:val="000A4101"/>
    <w:rsid w:val="000E5E07"/>
    <w:rsid w:val="000F0018"/>
    <w:rsid w:val="000F6E2F"/>
    <w:rsid w:val="00104AEE"/>
    <w:rsid w:val="0011565F"/>
    <w:rsid w:val="00167085"/>
    <w:rsid w:val="001907B9"/>
    <w:rsid w:val="001A06D8"/>
    <w:rsid w:val="001E5CC5"/>
    <w:rsid w:val="001F57B7"/>
    <w:rsid w:val="0026211E"/>
    <w:rsid w:val="00270901"/>
    <w:rsid w:val="002B272A"/>
    <w:rsid w:val="002F7000"/>
    <w:rsid w:val="00302A66"/>
    <w:rsid w:val="00307CF0"/>
    <w:rsid w:val="00311F27"/>
    <w:rsid w:val="00313498"/>
    <w:rsid w:val="00321196"/>
    <w:rsid w:val="00346E47"/>
    <w:rsid w:val="003B3E3C"/>
    <w:rsid w:val="003D1C5B"/>
    <w:rsid w:val="003D298E"/>
    <w:rsid w:val="003F1120"/>
    <w:rsid w:val="00402EBA"/>
    <w:rsid w:val="004136C1"/>
    <w:rsid w:val="004532F4"/>
    <w:rsid w:val="004D7B3B"/>
    <w:rsid w:val="00506964"/>
    <w:rsid w:val="00543B7B"/>
    <w:rsid w:val="005A2D41"/>
    <w:rsid w:val="005F1E20"/>
    <w:rsid w:val="006640F9"/>
    <w:rsid w:val="00692CF3"/>
    <w:rsid w:val="006B515B"/>
    <w:rsid w:val="006D2F7B"/>
    <w:rsid w:val="007670BB"/>
    <w:rsid w:val="007A2499"/>
    <w:rsid w:val="007B0773"/>
    <w:rsid w:val="007D611D"/>
    <w:rsid w:val="007F2463"/>
    <w:rsid w:val="00812576"/>
    <w:rsid w:val="00821459"/>
    <w:rsid w:val="00832F3A"/>
    <w:rsid w:val="00854F36"/>
    <w:rsid w:val="0087012A"/>
    <w:rsid w:val="00874129"/>
    <w:rsid w:val="0088129E"/>
    <w:rsid w:val="008852BA"/>
    <w:rsid w:val="00892486"/>
    <w:rsid w:val="008C5A86"/>
    <w:rsid w:val="008E22DF"/>
    <w:rsid w:val="009206A8"/>
    <w:rsid w:val="00936787"/>
    <w:rsid w:val="009B256A"/>
    <w:rsid w:val="009B56ED"/>
    <w:rsid w:val="009C5730"/>
    <w:rsid w:val="009D0C99"/>
    <w:rsid w:val="00A06680"/>
    <w:rsid w:val="00A167E3"/>
    <w:rsid w:val="00A16D23"/>
    <w:rsid w:val="00A43E6A"/>
    <w:rsid w:val="00A82A70"/>
    <w:rsid w:val="00A87B7C"/>
    <w:rsid w:val="00AC4A09"/>
    <w:rsid w:val="00AC520F"/>
    <w:rsid w:val="00AD26AD"/>
    <w:rsid w:val="00AF7573"/>
    <w:rsid w:val="00B102D4"/>
    <w:rsid w:val="00B37926"/>
    <w:rsid w:val="00B76CA8"/>
    <w:rsid w:val="00BA5B12"/>
    <w:rsid w:val="00BC1E8A"/>
    <w:rsid w:val="00BD28D4"/>
    <w:rsid w:val="00BE4EC7"/>
    <w:rsid w:val="00C35050"/>
    <w:rsid w:val="00C509A7"/>
    <w:rsid w:val="00C54859"/>
    <w:rsid w:val="00C70DDE"/>
    <w:rsid w:val="00C71491"/>
    <w:rsid w:val="00C71A3C"/>
    <w:rsid w:val="00C82EBC"/>
    <w:rsid w:val="00CA7CFA"/>
    <w:rsid w:val="00CB4D44"/>
    <w:rsid w:val="00CC1F4B"/>
    <w:rsid w:val="00CF66B5"/>
    <w:rsid w:val="00D53385"/>
    <w:rsid w:val="00D60642"/>
    <w:rsid w:val="00D95B1F"/>
    <w:rsid w:val="00D971B7"/>
    <w:rsid w:val="00DA6B0C"/>
    <w:rsid w:val="00DC3DED"/>
    <w:rsid w:val="00DE5C3D"/>
    <w:rsid w:val="00E0088E"/>
    <w:rsid w:val="00E27A49"/>
    <w:rsid w:val="00E77115"/>
    <w:rsid w:val="00E87657"/>
    <w:rsid w:val="00EA3A82"/>
    <w:rsid w:val="00EA6650"/>
    <w:rsid w:val="00EA7757"/>
    <w:rsid w:val="00ED0609"/>
    <w:rsid w:val="00ED0821"/>
    <w:rsid w:val="00EF2530"/>
    <w:rsid w:val="00F460EE"/>
    <w:rsid w:val="00F5051B"/>
    <w:rsid w:val="00F51F5C"/>
    <w:rsid w:val="00FA08CB"/>
    <w:rsid w:val="00FA23A0"/>
    <w:rsid w:val="00FB22A6"/>
    <w:rsid w:val="00FC479A"/>
    <w:rsid w:val="00FC4FB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54CB245-EBA1-484E-BF13-26FB1735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02D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B0773"/>
    <w:pPr>
      <w:spacing w:before="480" w:after="240"/>
    </w:pPr>
  </w:style>
  <w:style w:type="paragraph" w:styleId="TOC1">
    <w:name w:val="toc 1"/>
    <w:basedOn w:val="Normal"/>
    <w:next w:val="Normal"/>
    <w:autoRedefine/>
    <w:uiPriority w:val="39"/>
    <w:rsid w:val="003D298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1F57B7"/>
    <w:pPr>
      <w:spacing w:before="80" w:after="80"/>
    </w:pPr>
    <w:rPr>
      <w:rFonts w:ascii="Arial Narrow" w:hAnsi="Arial Narrow" w:cs="Arial"/>
      <w:b/>
      <w:sz w:val="32"/>
      <w:szCs w:val="22"/>
    </w:rPr>
  </w:style>
  <w:style w:type="paragraph" w:customStyle="1" w:styleId="CoverNormal24a">
    <w:name w:val="CoverNormal24a"/>
    <w:basedOn w:val="Normal"/>
    <w:rsid w:val="00D53385"/>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11565F"/>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53385"/>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E5CC5"/>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1F57B7"/>
    <w:pPr>
      <w:spacing w:after="80"/>
    </w:pPr>
    <w:rPr>
      <w:rFonts w:ascii="Arial" w:hAnsi="Arial" w:cs="Arial"/>
      <w:sz w:val="20"/>
      <w:szCs w:val="22"/>
    </w:rPr>
  </w:style>
  <w:style w:type="paragraph" w:customStyle="1" w:styleId="EPLogo">
    <w:name w:val="EPLogo"/>
    <w:basedOn w:val="Normal"/>
    <w:qFormat/>
    <w:rsid w:val="001F57B7"/>
    <w:pPr>
      <w:jc w:val="right"/>
    </w:pPr>
  </w:style>
  <w:style w:type="paragraph" w:customStyle="1" w:styleId="EPFooter">
    <w:name w:val="EPFooter"/>
    <w:basedOn w:val="Normal"/>
    <w:rsid w:val="00D5338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E5CC5"/>
    <w:rPr>
      <w:sz w:val="24"/>
    </w:rPr>
  </w:style>
  <w:style w:type="paragraph" w:customStyle="1" w:styleId="Lgendesigne">
    <w:name w:val="Légende signe"/>
    <w:basedOn w:val="Normal"/>
    <w:rsid w:val="00821459"/>
    <w:pPr>
      <w:tabs>
        <w:tab w:val="right" w:pos="454"/>
        <w:tab w:val="left" w:pos="737"/>
      </w:tabs>
      <w:ind w:left="737" w:hanging="737"/>
    </w:pPr>
    <w:rPr>
      <w:snapToGrid w:val="0"/>
      <w:sz w:val="18"/>
      <w:lang w:eastAsia="en-US"/>
    </w:rPr>
  </w:style>
  <w:style w:type="paragraph" w:customStyle="1" w:styleId="Lgendetitre">
    <w:name w:val="Légende titre"/>
    <w:basedOn w:val="Normal"/>
    <w:rsid w:val="00821459"/>
    <w:pPr>
      <w:spacing w:before="240" w:after="240"/>
    </w:pPr>
    <w:rPr>
      <w:b/>
      <w:i/>
      <w:snapToGrid w:val="0"/>
      <w:lang w:eastAsia="en-US"/>
    </w:rPr>
  </w:style>
  <w:style w:type="paragraph" w:customStyle="1" w:styleId="Lgendestandard">
    <w:name w:val="Légende standard"/>
    <w:basedOn w:val="Normal"/>
    <w:rsid w:val="00821459"/>
    <w:rPr>
      <w:sz w:val="18"/>
    </w:rPr>
  </w:style>
  <w:style w:type="paragraph" w:styleId="Footer">
    <w:name w:val="footer"/>
    <w:basedOn w:val="Normal"/>
    <w:link w:val="FooterChar"/>
    <w:semiHidden/>
    <w:rsid w:val="008852BA"/>
    <w:pPr>
      <w:tabs>
        <w:tab w:val="center" w:pos="4513"/>
        <w:tab w:val="right" w:pos="9026"/>
      </w:tabs>
    </w:pPr>
  </w:style>
  <w:style w:type="character" w:customStyle="1" w:styleId="FooterChar">
    <w:name w:val="Footer Char"/>
    <w:basedOn w:val="DefaultParagraphFont"/>
    <w:link w:val="Footer"/>
    <w:semiHidden/>
    <w:rsid w:val="008852BA"/>
    <w:rPr>
      <w:sz w:val="24"/>
    </w:rPr>
  </w:style>
  <w:style w:type="paragraph" w:styleId="FootnoteText">
    <w:name w:val="footnote text"/>
    <w:basedOn w:val="Normal"/>
    <w:link w:val="FootnoteTextChar"/>
    <w:uiPriority w:val="99"/>
    <w:unhideWhenUsed/>
    <w:rsid w:val="005F1E20"/>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5F1E20"/>
    <w:rPr>
      <w:rFonts w:eastAsiaTheme="minorHAnsi"/>
      <w:lang w:eastAsia="en-US"/>
    </w:rPr>
  </w:style>
  <w:style w:type="character" w:styleId="FootnoteReference">
    <w:name w:val="footnote reference"/>
    <w:basedOn w:val="DefaultParagraphFont"/>
    <w:uiPriority w:val="99"/>
    <w:unhideWhenUsed/>
    <w:rsid w:val="005F1E20"/>
    <w:rPr>
      <w:shd w:val="clear" w:color="auto" w:fill="auto"/>
      <w:vertAlign w:val="superscript"/>
    </w:rPr>
  </w:style>
  <w:style w:type="paragraph" w:customStyle="1" w:styleId="Normal12Hanging">
    <w:name w:val="Normal12Hanging"/>
    <w:basedOn w:val="Normal"/>
    <w:rsid w:val="005F1E20"/>
    <w:pPr>
      <w:spacing w:after="240"/>
      <w:ind w:left="567" w:hanging="567"/>
    </w:pPr>
  </w:style>
  <w:style w:type="paragraph" w:styleId="BalloonText">
    <w:name w:val="Balloon Text"/>
    <w:basedOn w:val="Normal"/>
    <w:link w:val="BalloonTextChar"/>
    <w:semiHidden/>
    <w:unhideWhenUsed/>
    <w:rsid w:val="006B515B"/>
    <w:rPr>
      <w:rFonts w:ascii="Segoe UI" w:hAnsi="Segoe UI" w:cs="Segoe UI"/>
      <w:sz w:val="18"/>
      <w:szCs w:val="18"/>
    </w:rPr>
  </w:style>
  <w:style w:type="character" w:customStyle="1" w:styleId="BalloonTextChar">
    <w:name w:val="Balloon Text Char"/>
    <w:basedOn w:val="DefaultParagraphFont"/>
    <w:link w:val="BalloonText"/>
    <w:semiHidden/>
    <w:rsid w:val="006B515B"/>
    <w:rPr>
      <w:rFonts w:ascii="Segoe UI" w:hAnsi="Segoe UI" w:cs="Segoe UI"/>
      <w:sz w:val="18"/>
      <w:szCs w:val="18"/>
    </w:rPr>
  </w:style>
  <w:style w:type="paragraph" w:customStyle="1" w:styleId="Normal12a">
    <w:name w:val="Normal12a"/>
    <w:basedOn w:val="Normal"/>
    <w:rsid w:val="00A167E3"/>
    <w:pPr>
      <w:spacing w:after="240"/>
    </w:pPr>
  </w:style>
  <w:style w:type="paragraph" w:customStyle="1" w:styleId="RollCallVotes">
    <w:name w:val="RollCallVotes"/>
    <w:basedOn w:val="Normal"/>
    <w:rsid w:val="00A167E3"/>
    <w:pPr>
      <w:spacing w:before="120" w:after="120"/>
      <w:jc w:val="center"/>
    </w:pPr>
    <w:rPr>
      <w:b/>
      <w:bCs/>
      <w:snapToGrid w:val="0"/>
      <w:sz w:val="16"/>
      <w:lang w:eastAsia="en-US"/>
    </w:rPr>
  </w:style>
  <w:style w:type="paragraph" w:customStyle="1" w:styleId="RollCallTabs">
    <w:name w:val="RollCallTabs"/>
    <w:basedOn w:val="Normal"/>
    <w:qFormat/>
    <w:rsid w:val="00A167E3"/>
    <w:pPr>
      <w:tabs>
        <w:tab w:val="center" w:pos="284"/>
        <w:tab w:val="left" w:pos="426"/>
      </w:tabs>
    </w:pPr>
    <w:rPr>
      <w:snapToGrid w:val="0"/>
      <w:lang w:eastAsia="en-US"/>
    </w:rPr>
  </w:style>
  <w:style w:type="paragraph" w:customStyle="1" w:styleId="RollCallSymbols14pt">
    <w:name w:val="RollCallSymbols14pt"/>
    <w:basedOn w:val="Normal"/>
    <w:rsid w:val="00A167E3"/>
    <w:pPr>
      <w:spacing w:before="120" w:after="120"/>
      <w:jc w:val="center"/>
    </w:pPr>
    <w:rPr>
      <w:rFonts w:ascii="Arial" w:hAnsi="Arial"/>
      <w:b/>
      <w:bCs/>
      <w:snapToGrid w:val="0"/>
      <w:sz w:val="28"/>
      <w:lang w:eastAsia="en-US"/>
    </w:rPr>
  </w:style>
  <w:style w:type="paragraph" w:customStyle="1" w:styleId="RollCallTable">
    <w:name w:val="RollCallTable"/>
    <w:basedOn w:val="Normal"/>
    <w:rsid w:val="00A167E3"/>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1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1587</Words>
  <Characters>9175</Characters>
  <Application>Microsoft Office Word</Application>
  <DocSecurity>0</DocSecurity>
  <Lines>278</Lines>
  <Paragraphs>145</Paragraphs>
  <ScaleCrop>false</ScaleCrop>
  <HeadingPairs>
    <vt:vector size="2" baseType="variant">
      <vt:variant>
        <vt:lpstr>Title</vt:lpstr>
      </vt:variant>
      <vt:variant>
        <vt:i4>1</vt:i4>
      </vt:variant>
    </vt:vector>
  </HeadingPairs>
  <TitlesOfParts>
    <vt:vector size="1" baseType="lpstr">
      <vt:lpstr>PR_NLE-CN_LegAct_app</vt:lpstr>
    </vt:vector>
  </TitlesOfParts>
  <Company/>
  <LinksUpToDate>false</LinksUpToDate>
  <CharactersWithSpaces>10617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PR_NLE-CN_LegAct_app</dc:title>
  <dc:subject/>
  <dc:creator>TOADER Maria</dc:creator>
  <cp:keywords/>
  <dc:description/>
  <cp:lastModifiedBy>GRANET-CORNEE Coline</cp:lastModifiedBy>
  <cp:revision>2</cp:revision>
  <cp:lastPrinted>2004-11-04T10:10:00Z</cp:lastPrinted>
  <dcterms:created xsi:type="dcterms:W3CDTF">2022-04-13T13:11:00Z</dcterms:created>
  <dcterms:modified xsi:type="dcterms:W3CDTF">2022-04-13T13:11:00Z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9.12.0 Build [20211204]</vt:lpwstr>
  </property>
  <property fmtid="{D5CDD505-2E9C-101B-9397-08002B2CF9AE}" pid="4" name="LastEdited with">
    <vt:lpwstr>9.11.0 Build [20211103]</vt:lpwstr>
  </property>
  <property fmtid="{D5CDD505-2E9C-101B-9397-08002B2CF9AE}" pid="5" name="&lt;FdR&gt;">
    <vt:lpwstr>1253443</vt:lpwstr>
  </property>
  <property fmtid="{D5CDD505-2E9C-101B-9397-08002B2CF9AE}" pid="6" name="&lt;Type&gt;">
    <vt:lpwstr>RR</vt:lpwstr>
  </property>
  <property fmtid="{D5CDD505-2E9C-101B-9397-08002B2CF9AE}" pid="7" name="&lt;ModelCod&gt;">
    <vt:lpwstr>\\eiciBRUpr1\pdocep$\DocEP\DOCS\General\PR\PR_Leg\NLE\NLE-CN_LegAct\PR_NLE-CN_LegAct_app.dotx(17/04/2020 18:28:06)</vt:lpwstr>
  </property>
  <property fmtid="{D5CDD505-2E9C-101B-9397-08002B2CF9AE}" pid="8" name="&lt;ModelTra&gt;">
    <vt:lpwstr>\\eiciBRUpr1\pdocep$\DocEP\TRANSFIL\EN\PR_NLE-CN_LegAct_app.EN(08/07/2019 18:21:19)</vt:lpwstr>
  </property>
  <property fmtid="{D5CDD505-2E9C-101B-9397-08002B2CF9AE}" pid="9" name="&lt;Model&gt;">
    <vt:lpwstr>PR_NLE-CN_LegAct_app</vt:lpwstr>
  </property>
  <property fmtid="{D5CDD505-2E9C-101B-9397-08002B2CF9AE}" pid="10" name="FooterPath">
    <vt:lpwstr>RR\1253443FR.docx</vt:lpwstr>
  </property>
  <property fmtid="{D5CDD505-2E9C-101B-9397-08002B2CF9AE}" pid="11" name="PE number">
    <vt:lpwstr>704.675</vt:lpwstr>
  </property>
  <property fmtid="{D5CDD505-2E9C-101B-9397-08002B2CF9AE}" pid="12" name="SendToEpades">
    <vt:lpwstr>OK - 2022/02/24 17:23</vt:lpwstr>
  </property>
  <property fmtid="{D5CDD505-2E9C-101B-9397-08002B2CF9AE}" pid="13" name="Bookout">
    <vt:lpwstr>OK - 2022/04/13 15:11</vt:lpwstr>
  </property>
  <property fmtid="{D5CDD505-2E9C-101B-9397-08002B2CF9AE}" pid="14" name="SDLStudio">
    <vt:lpwstr/>
  </property>
</Properties>
</file>