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113CA2" w:rsidTr="00C85D0F">
        <w:trPr>
          <w:trHeight w:hRule="exact" w:val="1418"/>
        </w:trPr>
        <w:tc>
          <w:tcPr>
            <w:tcW w:w="6804" w:type="dxa"/>
            <w:shd w:val="clear" w:color="auto" w:fill="auto"/>
            <w:vAlign w:val="center"/>
          </w:tcPr>
          <w:p w:rsidR="00C05DD8" w:rsidRPr="00113CA2" w:rsidRDefault="005736C5" w:rsidP="00C85D0F">
            <w:pPr>
              <w:pStyle w:val="EPName"/>
            </w:pPr>
            <w:r>
              <w:t>Parlement européen</w:t>
            </w:r>
          </w:p>
          <w:p w:rsidR="00C05DD8" w:rsidRPr="00113CA2" w:rsidRDefault="00A07380" w:rsidP="00A07380">
            <w:pPr>
              <w:pStyle w:val="EPTerm"/>
            </w:pPr>
            <w:r>
              <w:t>2019-2024</w:t>
            </w:r>
          </w:p>
        </w:tc>
        <w:tc>
          <w:tcPr>
            <w:tcW w:w="2268" w:type="dxa"/>
            <w:shd w:val="clear" w:color="auto" w:fill="auto"/>
          </w:tcPr>
          <w:p w:rsidR="00C05DD8" w:rsidRPr="00113CA2" w:rsidRDefault="00C05DD8" w:rsidP="00C85D0F">
            <w:pPr>
              <w:pStyle w:val="EPLogo"/>
            </w:pPr>
            <w:r w:rsidRPr="00113CA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113CA2" w:rsidRDefault="009612AA" w:rsidP="009612AA">
      <w:pPr>
        <w:pStyle w:val="LineTop"/>
      </w:pPr>
    </w:p>
    <w:p w:rsidR="009612AA" w:rsidRPr="00113CA2" w:rsidRDefault="003F7099" w:rsidP="009612AA">
      <w:pPr>
        <w:pStyle w:val="EPBody"/>
      </w:pPr>
      <w:r>
        <w:t>Document de séance</w:t>
      </w:r>
    </w:p>
    <w:p w:rsidR="009612AA" w:rsidRPr="00113CA2" w:rsidRDefault="009612AA" w:rsidP="009612AA">
      <w:pPr>
        <w:pStyle w:val="LineBottom"/>
      </w:pPr>
    </w:p>
    <w:p w:rsidR="00363B94" w:rsidRPr="00113CA2" w:rsidRDefault="003F7099">
      <w:pPr>
        <w:pStyle w:val="CoverReference"/>
      </w:pPr>
      <w:r>
        <w:rPr>
          <w:rStyle w:val="HideTWBExt"/>
        </w:rPr>
        <w:t>&lt;NoDocSe&gt;</w:t>
      </w:r>
      <w:r>
        <w:t>A9</w:t>
      </w:r>
      <w:r>
        <w:noBreakHyphen/>
        <w:t>0273/2022</w:t>
      </w:r>
      <w:r>
        <w:rPr>
          <w:rStyle w:val="HideTWBExt"/>
        </w:rPr>
        <w:t>&lt;/NoDocSe&gt;</w:t>
      </w:r>
    </w:p>
    <w:p w:rsidR="00363B94" w:rsidRPr="00113CA2" w:rsidRDefault="00363B94">
      <w:pPr>
        <w:pStyle w:val="CoverDate"/>
      </w:pPr>
      <w:r>
        <w:rPr>
          <w:rStyle w:val="HideTWBExt"/>
        </w:rPr>
        <w:t>&lt;Date&gt;</w:t>
      </w:r>
      <w:r>
        <w:rPr>
          <w:rStyle w:val="HideTWBInt"/>
        </w:rPr>
        <w:t>{16/11/2022}</w:t>
      </w:r>
      <w:r>
        <w:t>16.11.2022</w:t>
      </w:r>
      <w:r>
        <w:rPr>
          <w:rStyle w:val="HideTWBExt"/>
        </w:rPr>
        <w:t>&lt;/Date&gt;</w:t>
      </w:r>
    </w:p>
    <w:p w:rsidR="00363B94" w:rsidRPr="00113CA2" w:rsidRDefault="00363B94">
      <w:pPr>
        <w:pStyle w:val="CoverDocType"/>
      </w:pPr>
      <w:r>
        <w:rPr>
          <w:rStyle w:val="HideTWBExt"/>
          <w:b w:val="0"/>
        </w:rPr>
        <w:t>&lt;RefProcLect&gt;</w:t>
      </w:r>
      <w:r>
        <w:t>***</w:t>
      </w:r>
      <w:r>
        <w:rPr>
          <w:rStyle w:val="HideTWBExt"/>
          <w:b w:val="0"/>
        </w:rPr>
        <w:t>&lt;/RefProcLect&gt;</w:t>
      </w:r>
    </w:p>
    <w:p w:rsidR="00363B94" w:rsidRPr="00113CA2" w:rsidRDefault="00363B94">
      <w:pPr>
        <w:pStyle w:val="CoverDocType24a"/>
      </w:pPr>
      <w:r>
        <w:rPr>
          <w:rStyle w:val="HideTWBExt"/>
          <w:b w:val="0"/>
        </w:rPr>
        <w:t>&lt;TitreType&gt;</w:t>
      </w:r>
      <w:r>
        <w:t>RECOMMANDATION</w:t>
      </w:r>
      <w:r>
        <w:rPr>
          <w:rStyle w:val="HideTWBExt"/>
          <w:b w:val="0"/>
        </w:rPr>
        <w:t>&lt;/TitreType&gt;</w:t>
      </w:r>
    </w:p>
    <w:p w:rsidR="00363B94" w:rsidRPr="00113CA2" w:rsidRDefault="00363B94">
      <w:pPr>
        <w:pStyle w:val="CoverNormal"/>
      </w:pPr>
      <w:r>
        <w:rPr>
          <w:rStyle w:val="HideTWBExt"/>
        </w:rPr>
        <w:t>&lt;Titre&gt;</w:t>
      </w:r>
      <w:r>
        <w:t>sur la proposition de décision du Conseil relative à la conclusion, au nom de l’Union européenne, de l’accord entre l’Union européenne et la Nouvelle-Zélande conformément à l’article XXVIII de l’accord général sur les tarifs douaniers et le commerce (GATT) de 1994 concernant la modification des concessions pour l’ensemble des contingents tarifaires de la liste CLXXV de l’UE à la suite du retrait du Royaume-Uni de l’Union européenne</w:t>
      </w:r>
      <w:r>
        <w:rPr>
          <w:rStyle w:val="HideTWBExt"/>
        </w:rPr>
        <w:t>&lt;/Titre&gt;</w:t>
      </w:r>
    </w:p>
    <w:p w:rsidR="00363B94" w:rsidRPr="00113CA2" w:rsidRDefault="00363B94">
      <w:pPr>
        <w:pStyle w:val="CoverNormal24a"/>
      </w:pPr>
      <w:r>
        <w:rPr>
          <w:rStyle w:val="HideTWBExt"/>
        </w:rPr>
        <w:t>&lt;DocRef&gt;</w:t>
      </w:r>
      <w:r>
        <w:t>(COM(2022)0149 – C9</w:t>
      </w:r>
      <w:r>
        <w:noBreakHyphen/>
        <w:t>0296/2022 – 2022/0098(NLE))</w:t>
      </w:r>
      <w:r>
        <w:rPr>
          <w:rStyle w:val="HideTWBExt"/>
        </w:rPr>
        <w:t>&lt;/DocRef&gt;</w:t>
      </w:r>
    </w:p>
    <w:p w:rsidR="00363B94" w:rsidRPr="00113CA2" w:rsidRDefault="00363B94">
      <w:pPr>
        <w:pStyle w:val="CoverNormal24a"/>
      </w:pPr>
      <w:r>
        <w:rPr>
          <w:rStyle w:val="HideTWBExt"/>
        </w:rPr>
        <w:t>&lt;Commission&gt;</w:t>
      </w:r>
      <w:r>
        <w:rPr>
          <w:rStyle w:val="HideTWBInt"/>
        </w:rPr>
        <w:t>{INTA}</w:t>
      </w:r>
      <w:r>
        <w:t>Commission du commerce international</w:t>
      </w:r>
      <w:r>
        <w:rPr>
          <w:rStyle w:val="HideTWBExt"/>
        </w:rPr>
        <w:t>&lt;/Commission&gt;</w:t>
      </w:r>
    </w:p>
    <w:p w:rsidR="00363B94" w:rsidRPr="00113CA2" w:rsidRDefault="00A07380">
      <w:pPr>
        <w:pStyle w:val="CoverNormal24a"/>
      </w:pPr>
      <w:r>
        <w:t xml:space="preserve">Rapporteur: </w:t>
      </w:r>
      <w:r>
        <w:rPr>
          <w:rStyle w:val="HideTWBExt"/>
        </w:rPr>
        <w:t>&lt;Depute&gt;</w:t>
      </w:r>
      <w:r>
        <w:t>Daniel Caspary</w:t>
      </w:r>
      <w:r>
        <w:rPr>
          <w:rStyle w:val="HideTWBExt"/>
        </w:rPr>
        <w:t>&lt;/Depute&gt;</w:t>
      </w:r>
    </w:p>
    <w:p w:rsidR="00B42885" w:rsidRPr="00113CA2" w:rsidRDefault="00B42885" w:rsidP="00B42885">
      <w:pPr>
        <w:pStyle w:val="CoverNormal"/>
      </w:pPr>
    </w:p>
    <w:p w:rsidR="00A07380" w:rsidRPr="00113CA2" w:rsidRDefault="00363B94" w:rsidP="00016E55">
      <w:r>
        <w:br w:type="page"/>
      </w:r>
      <w:fldSimple w:instr=" TITLE  \* MERGEFORMAT ">
        <w:r w:rsidR="009472F1">
          <w:t>PR_NLE-AP_Agreement</w:t>
        </w:r>
      </w:fldSimple>
    </w:p>
    <w:p w:rsidR="00A07380" w:rsidRPr="00113CA2" w:rsidRDefault="00A07380" w:rsidP="00016E55"/>
    <w:p w:rsidR="00A07380" w:rsidRPr="00113CA2" w:rsidRDefault="00A0738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07380" w:rsidRPr="00113CA2">
        <w:tc>
          <w:tcPr>
            <w:tcW w:w="5811" w:type="dxa"/>
          </w:tcPr>
          <w:p w:rsidR="00A07380" w:rsidRPr="00113CA2" w:rsidRDefault="00A07380" w:rsidP="00016E55">
            <w:pPr>
              <w:pStyle w:val="Lgendetitre"/>
            </w:pPr>
            <w:r>
              <w:t>Légende des signes utilisés</w:t>
            </w:r>
          </w:p>
        </w:tc>
      </w:tr>
      <w:tr w:rsidR="00A07380" w:rsidRPr="00113CA2" w:rsidTr="007948A1">
        <w:trPr>
          <w:cantSplit/>
          <w:trHeight w:val="1944"/>
        </w:trPr>
        <w:tc>
          <w:tcPr>
            <w:tcW w:w="5811" w:type="dxa"/>
            <w:tcBorders>
              <w:bottom w:val="single" w:sz="4" w:space="0" w:color="auto"/>
            </w:tcBorders>
          </w:tcPr>
          <w:p w:rsidR="00A07380" w:rsidRPr="00113CA2" w:rsidRDefault="00A07380" w:rsidP="00016E55">
            <w:pPr>
              <w:pStyle w:val="Lgendesigne"/>
            </w:pPr>
            <w:r>
              <w:tab/>
              <w:t>*</w:t>
            </w:r>
            <w:r>
              <w:tab/>
              <w:t>Procédure de consultation</w:t>
            </w:r>
          </w:p>
          <w:p w:rsidR="00A07380" w:rsidRPr="00113CA2" w:rsidRDefault="00A07380" w:rsidP="00016E55">
            <w:pPr>
              <w:pStyle w:val="Lgendesigne"/>
            </w:pPr>
            <w:r>
              <w:tab/>
              <w:t>***</w:t>
            </w:r>
            <w:r>
              <w:tab/>
              <w:t>Procédure d’approbation</w:t>
            </w:r>
          </w:p>
          <w:p w:rsidR="00A07380" w:rsidRPr="00113CA2" w:rsidRDefault="00A07380" w:rsidP="00016E55">
            <w:pPr>
              <w:pStyle w:val="Lgendesigne"/>
            </w:pPr>
            <w:r>
              <w:tab/>
              <w:t>***I</w:t>
            </w:r>
            <w:r>
              <w:tab/>
              <w:t>Procédure législative ordinaire (première lecture)</w:t>
            </w:r>
          </w:p>
          <w:p w:rsidR="00A07380" w:rsidRPr="00113CA2" w:rsidRDefault="00A07380" w:rsidP="00016E55">
            <w:pPr>
              <w:pStyle w:val="Lgendesigne"/>
            </w:pPr>
            <w:r>
              <w:tab/>
              <w:t>***II</w:t>
            </w:r>
            <w:r>
              <w:tab/>
              <w:t>Procédure législative ordinaire (deuxième lecture)</w:t>
            </w:r>
          </w:p>
          <w:p w:rsidR="00A07380" w:rsidRPr="00113CA2" w:rsidRDefault="00A07380" w:rsidP="00016E55">
            <w:pPr>
              <w:pStyle w:val="Lgendesigne"/>
            </w:pPr>
            <w:r>
              <w:tab/>
              <w:t>***III</w:t>
            </w:r>
            <w:r>
              <w:tab/>
              <w:t>Procédure législative ordinaire (troisième lecture)</w:t>
            </w:r>
          </w:p>
          <w:p w:rsidR="00A07380" w:rsidRPr="00113CA2" w:rsidRDefault="00A07380" w:rsidP="00016E55">
            <w:pPr>
              <w:pStyle w:val="Lgendestandard"/>
            </w:pPr>
          </w:p>
          <w:p w:rsidR="00A07380" w:rsidRPr="00113CA2" w:rsidRDefault="00A07380" w:rsidP="00016E55">
            <w:pPr>
              <w:pStyle w:val="Lgendestandard"/>
            </w:pPr>
            <w:r>
              <w:t>(La procédure indiquée est fondée sur la base juridique proposée par le projet d’acte.)</w:t>
            </w:r>
          </w:p>
          <w:p w:rsidR="00A07380" w:rsidRPr="00113CA2" w:rsidRDefault="00A07380" w:rsidP="000F1972">
            <w:pPr>
              <w:pStyle w:val="Lgendestandard"/>
            </w:pPr>
          </w:p>
        </w:tc>
      </w:tr>
    </w:tbl>
    <w:p w:rsidR="00A07380" w:rsidRPr="00113CA2" w:rsidRDefault="00A07380" w:rsidP="00016E55"/>
    <w:p w:rsidR="00363B94" w:rsidRPr="00113CA2" w:rsidRDefault="00363B94" w:rsidP="00613F2E">
      <w:pPr>
        <w:widowControl/>
        <w:tabs>
          <w:tab w:val="center" w:pos="4677"/>
        </w:tabs>
      </w:pPr>
    </w:p>
    <w:p w:rsidR="00363B94" w:rsidRPr="00113CA2" w:rsidRDefault="00363B94">
      <w:pPr>
        <w:pStyle w:val="TOCHeading"/>
      </w:pPr>
      <w:r>
        <w:br w:type="page"/>
      </w:r>
      <w:r>
        <w:lastRenderedPageBreak/>
        <w:t>SOMMAIRE</w:t>
      </w:r>
    </w:p>
    <w:p w:rsidR="00A0768D" w:rsidRPr="00113CA2" w:rsidRDefault="00A0768D" w:rsidP="00A0768D">
      <w:pPr>
        <w:pStyle w:val="TOCPage"/>
      </w:pPr>
      <w:r>
        <w:t>Page</w:t>
      </w:r>
    </w:p>
    <w:p w:rsidR="009472F1" w:rsidRDefault="00A0768D">
      <w:pPr>
        <w:pStyle w:val="TOC1"/>
        <w:tabs>
          <w:tab w:val="right" w:leader="dot" w:pos="9060"/>
        </w:tabs>
        <w:rPr>
          <w:rFonts w:asciiTheme="minorHAnsi" w:eastAsiaTheme="minorEastAsia" w:hAnsiTheme="minorHAnsi" w:cstheme="minorBidi"/>
          <w:noProof/>
          <w:sz w:val="22"/>
          <w:szCs w:val="22"/>
          <w:lang w:val="en-GB"/>
        </w:rPr>
      </w:pPr>
      <w:r w:rsidRPr="00113CA2">
        <w:fldChar w:fldCharType="begin"/>
      </w:r>
      <w:r w:rsidRPr="00113CA2">
        <w:instrText xml:space="preserve"> TOC \t "PageHeading;1" </w:instrText>
      </w:r>
      <w:r w:rsidRPr="00113CA2">
        <w:fldChar w:fldCharType="separate"/>
      </w:r>
      <w:r w:rsidR="009472F1">
        <w:rPr>
          <w:noProof/>
        </w:rPr>
        <w:t>PROJET DE RÉSOLUTION LÉGISLATIVE DU PARLEMENT EUROPÉEN</w:t>
      </w:r>
      <w:r w:rsidR="009472F1">
        <w:rPr>
          <w:noProof/>
        </w:rPr>
        <w:tab/>
      </w:r>
      <w:r w:rsidR="009472F1">
        <w:rPr>
          <w:noProof/>
        </w:rPr>
        <w:fldChar w:fldCharType="begin"/>
      </w:r>
      <w:r w:rsidR="009472F1">
        <w:rPr>
          <w:noProof/>
        </w:rPr>
        <w:instrText xml:space="preserve"> PAGEREF _Toc119594012 \h </w:instrText>
      </w:r>
      <w:r w:rsidR="009472F1">
        <w:rPr>
          <w:noProof/>
        </w:rPr>
      </w:r>
      <w:r w:rsidR="009472F1">
        <w:rPr>
          <w:noProof/>
        </w:rPr>
        <w:fldChar w:fldCharType="separate"/>
      </w:r>
      <w:r w:rsidR="009472F1">
        <w:rPr>
          <w:noProof/>
        </w:rPr>
        <w:t>5</w:t>
      </w:r>
      <w:r w:rsidR="009472F1">
        <w:rPr>
          <w:noProof/>
        </w:rPr>
        <w:fldChar w:fldCharType="end"/>
      </w:r>
    </w:p>
    <w:p w:rsidR="009472F1" w:rsidRDefault="009472F1">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_Toc119594013 \h </w:instrText>
      </w:r>
      <w:r>
        <w:rPr>
          <w:noProof/>
        </w:rPr>
      </w:r>
      <w:r>
        <w:rPr>
          <w:noProof/>
        </w:rPr>
        <w:fldChar w:fldCharType="separate"/>
      </w:r>
      <w:r>
        <w:rPr>
          <w:noProof/>
        </w:rPr>
        <w:t>6</w:t>
      </w:r>
      <w:r>
        <w:rPr>
          <w:noProof/>
        </w:rPr>
        <w:fldChar w:fldCharType="end"/>
      </w:r>
    </w:p>
    <w:p w:rsidR="009472F1" w:rsidRDefault="009472F1">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_Toc119594014 \h </w:instrText>
      </w:r>
      <w:r>
        <w:rPr>
          <w:noProof/>
        </w:rPr>
      </w:r>
      <w:r>
        <w:rPr>
          <w:noProof/>
        </w:rPr>
        <w:fldChar w:fldCharType="separate"/>
      </w:r>
      <w:r>
        <w:rPr>
          <w:noProof/>
        </w:rPr>
        <w:t>7</w:t>
      </w:r>
      <w:r>
        <w:rPr>
          <w:noProof/>
        </w:rPr>
        <w:fldChar w:fldCharType="end"/>
      </w:r>
    </w:p>
    <w:p w:rsidR="009472F1" w:rsidRDefault="009472F1">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_Toc119594015 \h </w:instrText>
      </w:r>
      <w:r>
        <w:rPr>
          <w:noProof/>
        </w:rPr>
      </w:r>
      <w:r>
        <w:rPr>
          <w:noProof/>
        </w:rPr>
        <w:fldChar w:fldCharType="separate"/>
      </w:r>
      <w:r>
        <w:rPr>
          <w:noProof/>
        </w:rPr>
        <w:t>8</w:t>
      </w:r>
      <w:r>
        <w:rPr>
          <w:noProof/>
        </w:rPr>
        <w:fldChar w:fldCharType="end"/>
      </w:r>
    </w:p>
    <w:p w:rsidR="00A0768D" w:rsidRPr="00113CA2" w:rsidRDefault="00A0768D" w:rsidP="00A0768D">
      <w:r w:rsidRPr="00113CA2">
        <w:fldChar w:fldCharType="end"/>
      </w:r>
    </w:p>
    <w:p w:rsidR="00A0768D" w:rsidRPr="00113CA2" w:rsidRDefault="00A0768D" w:rsidP="00A0768D">
      <w:pPr>
        <w:pStyle w:val="PageHeading"/>
      </w:pPr>
      <w:r>
        <w:br w:type="page"/>
      </w:r>
      <w:r>
        <w:lastRenderedPageBreak/>
        <w:br w:type="page"/>
      </w:r>
      <w:bookmarkStart w:id="0" w:name="_Toc119594012"/>
      <w:r>
        <w:lastRenderedPageBreak/>
        <w:t>PROJET DE RÉSOLUTION LÉGISLATIVE DU PARLEMENT EUROPÉEN</w:t>
      </w:r>
      <w:bookmarkEnd w:id="0"/>
    </w:p>
    <w:p w:rsidR="00A0768D" w:rsidRPr="00113CA2" w:rsidRDefault="00A0768D" w:rsidP="00A0768D">
      <w:pPr>
        <w:pStyle w:val="NormalBold"/>
      </w:pPr>
      <w:r>
        <w:t>sur le projet de décision du Conseil relatif à la conclusion, au nom de l’Union européenne, de l’accord entre l’Union européenne et la Nouvelle-Zélande conformément à l’article XXVIII de l’accord général sur les tarifs douaniers et le commerce (GATT) de 1994 concernant la modification des concessions pour l’ensemble des contingents tarifaires de la liste CLXXV de l’UE à la suite du retrait du Royaume-Uni de l’Union européenne</w:t>
      </w:r>
    </w:p>
    <w:p w:rsidR="00A0768D" w:rsidRPr="00113CA2" w:rsidRDefault="00A0768D" w:rsidP="00A0768D">
      <w:pPr>
        <w:pStyle w:val="NormalBold12a"/>
      </w:pPr>
      <w:r>
        <w:t>(07910/2022 – C9</w:t>
      </w:r>
      <w:r>
        <w:noBreakHyphen/>
        <w:t>0296/2022 – 2022/0098(NLE))</w:t>
      </w:r>
    </w:p>
    <w:p w:rsidR="00A0768D" w:rsidRPr="00113CA2" w:rsidRDefault="00A0768D" w:rsidP="00A0768D">
      <w:pPr>
        <w:pStyle w:val="NormalBold"/>
      </w:pPr>
      <w:r>
        <w:t>(Approbation)</w:t>
      </w:r>
    </w:p>
    <w:p w:rsidR="00A0768D" w:rsidRPr="00113CA2" w:rsidRDefault="00A0768D" w:rsidP="00A0768D">
      <w:pPr>
        <w:pStyle w:val="EPComma"/>
      </w:pPr>
      <w:r>
        <w:rPr>
          <w:i/>
        </w:rPr>
        <w:t>Le Parlement européen</w:t>
      </w:r>
      <w:r>
        <w:t>,</w:t>
      </w:r>
    </w:p>
    <w:p w:rsidR="00A0768D" w:rsidRPr="00113CA2" w:rsidRDefault="00A0768D" w:rsidP="00A0768D">
      <w:pPr>
        <w:pStyle w:val="NormalHanging12a"/>
      </w:pPr>
      <w:r>
        <w:t>–</w:t>
      </w:r>
      <w:r>
        <w:tab/>
        <w:t>vu le projet de décision du Conseil (07910/2022),</w:t>
      </w:r>
    </w:p>
    <w:p w:rsidR="00A0768D" w:rsidRPr="00113CA2" w:rsidRDefault="00A0768D" w:rsidP="00A0768D">
      <w:pPr>
        <w:pStyle w:val="NormalHanging12a"/>
      </w:pPr>
      <w:r>
        <w:t>–</w:t>
      </w:r>
      <w:r>
        <w:tab/>
        <w:t>vu le projet d’accord entre l’Union européenne et la Nouvelle-Zélande au titre de l’article XXVIII de l’accord général sur les tarifs douaniers et le commerce (GATT) de 1994 concernant la modification des concessions pour l’ensemble des contingents tarifaires de la liste CLXXV de l’UE à la suite du retrait du Royaume-Uni de l’Union européenne (07911/2022),</w:t>
      </w:r>
    </w:p>
    <w:p w:rsidR="00A0768D" w:rsidRPr="00113CA2" w:rsidRDefault="00A0768D" w:rsidP="00A0768D">
      <w:pPr>
        <w:pStyle w:val="NormalHanging12a"/>
      </w:pPr>
      <w:r>
        <w:t>–</w:t>
      </w:r>
      <w:r>
        <w:tab/>
        <w:t>vu la demande d’approbation présentée par le Conseil conformément à l’article 207, paragraphe 4, premier alinéa, et à l’article 218, paragraphe 6, deuxième alinéa, point a) v), du traité sur le fonctionnement de l’Union européenne (C9</w:t>
      </w:r>
      <w:r>
        <w:noBreakHyphen/>
        <w:t>0296/2022),</w:t>
      </w:r>
    </w:p>
    <w:p w:rsidR="00A0768D" w:rsidRPr="00113CA2" w:rsidRDefault="00A0768D" w:rsidP="00A0768D">
      <w:pPr>
        <w:pStyle w:val="NormalHanging12a"/>
      </w:pPr>
      <w:r>
        <w:t>–</w:t>
      </w:r>
      <w:r>
        <w:tab/>
        <w:t>vu l’article 105, paragraphes 1 et 4, ainsi que l’article 114, paragraphe 7, de son règlement intérieur,</w:t>
      </w:r>
    </w:p>
    <w:p w:rsidR="00A0768D" w:rsidRPr="00113CA2" w:rsidRDefault="00A0768D" w:rsidP="00A0768D">
      <w:pPr>
        <w:pStyle w:val="NormalHanging12a"/>
      </w:pPr>
      <w:r>
        <w:t>–</w:t>
      </w:r>
      <w:r>
        <w:tab/>
        <w:t>vu la recommandation de la commission du commerce international (A9-0273/2022),</w:t>
      </w:r>
    </w:p>
    <w:p w:rsidR="00A0768D" w:rsidRPr="00113CA2" w:rsidRDefault="00A0768D" w:rsidP="00A0768D">
      <w:pPr>
        <w:pStyle w:val="NormalHanging12a"/>
      </w:pPr>
      <w:r>
        <w:t>1.</w:t>
      </w:r>
      <w:r>
        <w:tab/>
        <w:t>donne son approbation à la conclusion de l’accord;</w:t>
      </w:r>
    </w:p>
    <w:p w:rsidR="00A0768D" w:rsidRPr="00113CA2" w:rsidRDefault="00A0768D" w:rsidP="00A0768D">
      <w:pPr>
        <w:pStyle w:val="NormalHanging12a"/>
      </w:pPr>
      <w:r>
        <w:t>2.</w:t>
      </w:r>
      <w:r>
        <w:tab/>
        <w:t>charge sa Présidente de transmettre la position du Parlement au Conseil et à la Commission, ainsi qu’aux gouvernements et aux parlements des États membres et de la Nouvelle-Zélande.</w:t>
      </w:r>
    </w:p>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 w:rsidR="00A0768D" w:rsidRPr="00113CA2" w:rsidRDefault="00A0768D" w:rsidP="00A0768D">
      <w:pPr>
        <w:pStyle w:val="PageHeading"/>
      </w:pPr>
      <w:bookmarkStart w:id="1" w:name="_Toc67571658"/>
      <w:bookmarkStart w:id="2" w:name="_Toc65570774"/>
      <w:bookmarkStart w:id="3" w:name="_Toc66281661"/>
      <w:bookmarkStart w:id="4" w:name="_Toc119594013"/>
      <w:r>
        <w:t>EXPOSÉ DES MOTIFS</w:t>
      </w:r>
      <w:bookmarkEnd w:id="1"/>
      <w:bookmarkEnd w:id="2"/>
      <w:bookmarkEnd w:id="3"/>
      <w:bookmarkEnd w:id="4"/>
    </w:p>
    <w:p w:rsidR="00A0768D" w:rsidRPr="00113CA2" w:rsidRDefault="00A0768D" w:rsidP="00A0768D">
      <w:pPr>
        <w:shd w:val="clear" w:color="auto" w:fill="FFFFFF"/>
        <w:autoSpaceDE w:val="0"/>
        <w:autoSpaceDN w:val="0"/>
        <w:adjustRightInd w:val="0"/>
        <w:spacing w:before="230" w:line="269" w:lineRule="exact"/>
        <w:ind w:right="86"/>
        <w:jc w:val="both"/>
        <w:rPr>
          <w:noProof/>
        </w:rPr>
      </w:pPr>
      <w:r>
        <w:t>En octobre 2018, dans la perspective du retrait du Royaume-Uni de l’Union européenne, cette dernière a officiellement ouvert les négociations au titre de l’article XXVIII de l’accord général sur les tarifs douaniers et le commerce (GATT) de 1994 avec plusieurs membres de l’Organisation mondiale du commerce (OMC), dont la Nouvelle-Zélande. Les négociations reposent sur u</w:t>
      </w:r>
      <w:bookmarkStart w:id="5" w:name="_GoBack"/>
      <w:bookmarkEnd w:id="5"/>
      <w:r>
        <w:t>ne «approche commune» élaborée en 2017 par l’Union et le Royaume-Uni sur la façon de répartir les engagements quantitatifs contenus dans la liste OMC de l’Union à 28 en ce qui concerne les 143 contingents tarifaires de l’Union dans le cadre de l’OMC pour des produits agricoles, halieutiques et industriels. La logique de cette approche est de maintenir pleinement le volume existant de chaque contingent tarifaire après le retrait du Royaume-Uni de l’Union européenne, mais de le répartir entre deux territoires douaniers distincts: l’Union à 27 et le Royaume-Uni.</w:t>
      </w:r>
    </w:p>
    <w:p w:rsidR="00A0768D" w:rsidRPr="00113CA2" w:rsidRDefault="00A0768D" w:rsidP="00A0768D">
      <w:pPr>
        <w:shd w:val="clear" w:color="auto" w:fill="FFFFFF"/>
        <w:autoSpaceDE w:val="0"/>
        <w:autoSpaceDN w:val="0"/>
        <w:adjustRightInd w:val="0"/>
        <w:spacing w:before="230" w:line="269" w:lineRule="exact"/>
        <w:ind w:right="86"/>
        <w:jc w:val="both"/>
        <w:rPr>
          <w:noProof/>
        </w:rPr>
      </w:pPr>
      <w:r>
        <w:t xml:space="preserve">Les accords négociés au titre de l’article XXVIII du GATT doivent garantir que les flux commerciaux récemment observés dans l’Union et au Royaume-Uni ne sont pas perturbés pour les contingents tarifaires concernés. L’«approche commune» a donc pour but de garantir que les membres de l’OMC conservent leurs droits d’accès au marché dans cette situation sans précédent. Cependant, certains partenaires commerciaux, dont la Nouvelle-Zélande, ont remis en cause le principe et la méthode de la répartition proposée, ce qui a donné lieu à de longues négociations. </w:t>
      </w:r>
    </w:p>
    <w:p w:rsidR="00A0768D" w:rsidRPr="00113CA2" w:rsidRDefault="00A0768D" w:rsidP="00A0768D">
      <w:pPr>
        <w:shd w:val="clear" w:color="auto" w:fill="FFFFFF"/>
        <w:autoSpaceDE w:val="0"/>
        <w:autoSpaceDN w:val="0"/>
        <w:adjustRightInd w:val="0"/>
        <w:spacing w:before="230" w:line="269" w:lineRule="exact"/>
        <w:ind w:right="86"/>
        <w:jc w:val="both"/>
        <w:rPr>
          <w:noProof/>
        </w:rPr>
      </w:pPr>
      <w:r>
        <w:t>Les négociations avec la Nouvelle-Zélande ont porté sur des contingents tarifaires sur des produits sensibles comme la viande ovine, la viande bovine et les produits laitiers, y compris le beurre, les fromages destinés à la transformation et le cheddar. Finalement, les volumes des contingents tarifaires définis avec la méthode de l’«approche commune» n’ont pas été modifiés, hormis deux contingents tarifaires spécifiques par pays pour la viande qui ont été ajustés sur la base de données plus récentes et deux contingents tarifaires spécifiques par pays pour les produits laitiers qui ont été adaptés de façon à améliorer la gestion de ces contingents.</w:t>
      </w:r>
    </w:p>
    <w:p w:rsidR="00A0768D" w:rsidRPr="00113CA2" w:rsidRDefault="00A0768D" w:rsidP="00A0768D">
      <w:pPr>
        <w:shd w:val="clear" w:color="auto" w:fill="FFFFFF"/>
        <w:autoSpaceDE w:val="0"/>
        <w:autoSpaceDN w:val="0"/>
        <w:adjustRightInd w:val="0"/>
        <w:spacing w:before="230" w:line="269" w:lineRule="exact"/>
        <w:ind w:right="86"/>
        <w:jc w:val="both"/>
        <w:rPr>
          <w:color w:val="000000"/>
          <w:szCs w:val="24"/>
        </w:rPr>
      </w:pPr>
      <w:r>
        <w:rPr>
          <w:color w:val="000000"/>
        </w:rPr>
        <w:t xml:space="preserve">L’article 218, paragraphe 6, du traité sur le fonctionnement de l’Union européenne requiert l’approbation du Parlement européen pour que le Conseil puisse adopter une décision visant à conclure l’accord et que celui-ci entre en vigueur en temps voulu. </w:t>
      </w:r>
    </w:p>
    <w:p w:rsidR="00A0768D" w:rsidRPr="00113CA2" w:rsidRDefault="00A0768D" w:rsidP="00A0768D">
      <w:r>
        <w:t>À la lumière des remarques précédentes, le rapporteur recommande au Parlement de donner son approbation à la conclusion de l’accord, sans préjudice de son droit démocratique de contrôle permanent.</w:t>
      </w:r>
    </w:p>
    <w:p w:rsidR="00A0768D" w:rsidRPr="00113CA2" w:rsidRDefault="00A0768D" w:rsidP="00A0768D"/>
    <w:p w:rsidR="00A0768D" w:rsidRPr="00113CA2" w:rsidRDefault="00A0768D" w:rsidP="00A0768D">
      <w:r>
        <w:br w:type="page"/>
      </w:r>
    </w:p>
    <w:p w:rsidR="00A0768D" w:rsidRPr="00113CA2" w:rsidRDefault="00A0768D" w:rsidP="00A0768D">
      <w:pPr>
        <w:pStyle w:val="PageHeading"/>
      </w:pPr>
      <w:bookmarkStart w:id="6" w:name="ProcPageRR"/>
      <w:bookmarkStart w:id="7" w:name="_Toc119594014"/>
      <w:r>
        <w:lastRenderedPageBreak/>
        <w:t>PROCÉDURE DE LA COMMISSION COMPÉTENTE AU FOND</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Accord entre l’Union européenne et la Nouvelle-Zélande relatif à la modification des concessions pour l’ensemble des contingents tarifaires de la liste CLXXV de l’UE à la suite du retrait du Royaume-Uni de l’Union européenne</w:t>
            </w: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07910/2022 – C9-0296/2022 – 2022/0098(NLE)</w:t>
            </w: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Date de consultation ou de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20.7.2022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Commission compétente au fond</w:t>
            </w:r>
          </w:p>
          <w:p w:rsidR="00A0768D" w:rsidRPr="00113CA2" w:rsidRDefault="00A0768D" w:rsidP="00F01532">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INTA</w:t>
            </w:r>
          </w:p>
          <w:p w:rsidR="00A0768D" w:rsidRPr="00113CA2" w:rsidRDefault="00A0768D" w:rsidP="00F01532">
            <w:pPr>
              <w:autoSpaceDE w:val="0"/>
              <w:autoSpaceDN w:val="0"/>
              <w:adjustRightInd w:val="0"/>
              <w:rPr>
                <w:color w:val="000000"/>
                <w:sz w:val="20"/>
              </w:rPr>
            </w:pPr>
            <w:r>
              <w:rPr>
                <w:color w:val="000000"/>
                <w:sz w:val="20"/>
              </w:rPr>
              <w:t>12.9.2022</w:t>
            </w: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Commissions saisies pour avis</w:t>
            </w:r>
          </w:p>
          <w:p w:rsidR="00A0768D" w:rsidRPr="00113CA2" w:rsidRDefault="00A0768D" w:rsidP="00F01532">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AGRI</w:t>
            </w:r>
          </w:p>
          <w:p w:rsidR="00A0768D" w:rsidRPr="00113CA2" w:rsidRDefault="00A0768D" w:rsidP="00F01532">
            <w:pPr>
              <w:autoSpaceDE w:val="0"/>
              <w:autoSpaceDN w:val="0"/>
              <w:adjustRightInd w:val="0"/>
              <w:rPr>
                <w:color w:val="000000"/>
                <w:sz w:val="20"/>
              </w:rPr>
            </w:pPr>
            <w:r>
              <w:rPr>
                <w:color w:val="000000"/>
                <w:sz w:val="20"/>
              </w:rPr>
              <w:t>12.9.2022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Avis non émis</w:t>
            </w:r>
          </w:p>
          <w:p w:rsidR="00A0768D" w:rsidRPr="00113CA2" w:rsidRDefault="00A0768D" w:rsidP="00F01532">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AGRI</w:t>
            </w:r>
          </w:p>
          <w:p w:rsidR="00A0768D" w:rsidRPr="00113CA2" w:rsidRDefault="00A0768D" w:rsidP="00F01532">
            <w:pPr>
              <w:autoSpaceDE w:val="0"/>
              <w:autoSpaceDN w:val="0"/>
              <w:adjustRightInd w:val="0"/>
              <w:rPr>
                <w:color w:val="000000"/>
                <w:sz w:val="20"/>
              </w:rPr>
            </w:pPr>
            <w:r>
              <w:rPr>
                <w:color w:val="000000"/>
                <w:sz w:val="20"/>
              </w:rPr>
              <w:t>23.5.2022</w:t>
            </w: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Rapporteur</w:t>
            </w:r>
          </w:p>
          <w:p w:rsidR="00A0768D" w:rsidRPr="00113CA2" w:rsidRDefault="00A0768D" w:rsidP="00F01532">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Daniel Caspary</w:t>
            </w:r>
          </w:p>
          <w:p w:rsidR="00A0768D" w:rsidRPr="00113CA2" w:rsidRDefault="00A0768D" w:rsidP="00F01532">
            <w:pPr>
              <w:autoSpaceDE w:val="0"/>
              <w:autoSpaceDN w:val="0"/>
              <w:adjustRightInd w:val="0"/>
              <w:rPr>
                <w:color w:val="000000"/>
                <w:sz w:val="20"/>
              </w:rPr>
            </w:pPr>
            <w:r>
              <w:rPr>
                <w:color w:val="000000"/>
                <w:sz w:val="20"/>
              </w:rPr>
              <w:t>20.4.2022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24.10.2022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14.11.2022</w:t>
            </w: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rFonts w:ascii="sans-serif" w:hAnsi="sans-serif" w:cs="sans-serif"/>
                <w:color w:val="000000"/>
                <w:szCs w:val="24"/>
              </w:rPr>
            </w:pP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w:t>
            </w:r>
          </w:p>
          <w:p w:rsidR="00A0768D" w:rsidRPr="00113CA2" w:rsidRDefault="00A0768D" w:rsidP="00F01532">
            <w:pPr>
              <w:autoSpaceDE w:val="0"/>
              <w:autoSpaceDN w:val="0"/>
              <w:adjustRightInd w:val="0"/>
              <w:rPr>
                <w:color w:val="000000"/>
                <w:sz w:val="20"/>
              </w:rPr>
            </w:pPr>
            <w:r>
              <w:rPr>
                <w:color w:val="000000"/>
                <w:sz w:val="20"/>
              </w:rPr>
              <w:t>–:</w:t>
            </w:r>
          </w:p>
          <w:p w:rsidR="00A0768D" w:rsidRPr="00113CA2" w:rsidRDefault="00A0768D" w:rsidP="00F0153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29</w:t>
            </w:r>
          </w:p>
          <w:p w:rsidR="00A0768D" w:rsidRPr="00113CA2" w:rsidRDefault="00A0768D" w:rsidP="00F01532">
            <w:pPr>
              <w:autoSpaceDE w:val="0"/>
              <w:autoSpaceDN w:val="0"/>
              <w:adjustRightInd w:val="0"/>
              <w:rPr>
                <w:color w:val="000000"/>
                <w:sz w:val="20"/>
              </w:rPr>
            </w:pPr>
            <w:r>
              <w:rPr>
                <w:color w:val="000000"/>
                <w:sz w:val="20"/>
              </w:rPr>
              <w:t>0</w:t>
            </w:r>
          </w:p>
          <w:p w:rsidR="00A0768D" w:rsidRPr="00113CA2" w:rsidRDefault="00A0768D" w:rsidP="00F01532">
            <w:pPr>
              <w:autoSpaceDE w:val="0"/>
              <w:autoSpaceDN w:val="0"/>
              <w:adjustRightInd w:val="0"/>
              <w:rPr>
                <w:color w:val="000000"/>
                <w:sz w:val="20"/>
              </w:rPr>
            </w:pPr>
            <w:r>
              <w:rPr>
                <w:color w:val="000000"/>
                <w:sz w:val="20"/>
              </w:rPr>
              <w:t>1</w:t>
            </w:r>
          </w:p>
        </w:tc>
      </w:tr>
      <w:tr w:rsidR="00A0768D" w:rsidRPr="00113CA2" w:rsidTr="00F0153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Barry Andrews, Anna-Michelle Asimakopoulou, Saskia Bricmont, Udo Bullmann, Jordi Cañas, Arnaud Danjean, Raphaël Glucksmann, Heidi Hautala, Danuta Maria Hübner, Karin Karlsbro, Bernd Lange, Margarida Marques, Carles Puigdemont i Casamajó, Samira Rafaela, Catharina Rinzema, Inma Rodríguez-Piñero, Massimiliano Salini, Helmut Scholz, Mihai Tudose, Iuliu Winkler, Jan Zahradil</w:t>
            </w: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Anna Cavazzini, Svenja Hahn, Javier Moreno Sánchez, Annie Schreijer-Pierik, Joachim Schuster, Massimiliano Smeriglio, Angelika Winzig</w:t>
            </w: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Stefan Berger, Andreas Schwab</w:t>
            </w:r>
          </w:p>
        </w:tc>
      </w:tr>
      <w:tr w:rsidR="00A0768D" w:rsidRPr="00113CA2" w:rsidTr="00F0153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768D" w:rsidRPr="00113CA2" w:rsidRDefault="00A0768D" w:rsidP="00F01532">
            <w:pPr>
              <w:autoSpaceDE w:val="0"/>
              <w:autoSpaceDN w:val="0"/>
              <w:adjustRightInd w:val="0"/>
              <w:rPr>
                <w:color w:val="000000"/>
                <w:sz w:val="20"/>
              </w:rPr>
            </w:pPr>
            <w:r>
              <w:rPr>
                <w:color w:val="000000"/>
                <w:sz w:val="20"/>
              </w:rPr>
              <w:t>16.11.2022</w:t>
            </w:r>
          </w:p>
        </w:tc>
      </w:tr>
    </w:tbl>
    <w:p w:rsidR="00A0768D" w:rsidRPr="00113CA2" w:rsidRDefault="00A0768D" w:rsidP="00A0768D"/>
    <w:bookmarkEnd w:id="6"/>
    <w:p w:rsidR="00A0768D" w:rsidRPr="00113CA2" w:rsidRDefault="00A0768D" w:rsidP="00A0768D">
      <w:pPr>
        <w:sectPr w:rsidR="00A0768D" w:rsidRPr="00113CA2" w:rsidSect="003D4D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0768D" w:rsidRPr="00113CA2" w:rsidRDefault="00A0768D" w:rsidP="00A0768D">
      <w:pPr>
        <w:pStyle w:val="PageHeading"/>
      </w:pPr>
      <w:bookmarkStart w:id="8" w:name="RollCallPageRR"/>
      <w:bookmarkStart w:id="9" w:name="_Toc119594015"/>
      <w:r>
        <w:lastRenderedPageBreak/>
        <w:t>VOTE FINAL PAR APPEL NOMINAL EN COMMISSION COMPÉTENTE AU FOND</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68D" w:rsidRPr="00113CA2" w:rsidTr="00F01532">
        <w:trPr>
          <w:cantSplit/>
        </w:trPr>
        <w:tc>
          <w:tcPr>
            <w:tcW w:w="1701" w:type="dxa"/>
            <w:shd w:val="pct10" w:color="000000" w:fill="FFFFFF"/>
            <w:vAlign w:val="center"/>
          </w:tcPr>
          <w:p w:rsidR="00A0768D" w:rsidRPr="00113CA2" w:rsidRDefault="00A0768D" w:rsidP="00F01532">
            <w:pPr>
              <w:pStyle w:val="RollCallVotes"/>
            </w:pPr>
            <w:r>
              <w:t>29</w:t>
            </w:r>
          </w:p>
        </w:tc>
        <w:tc>
          <w:tcPr>
            <w:tcW w:w="7371" w:type="dxa"/>
            <w:shd w:val="pct10" w:color="000000" w:fill="FFFFFF"/>
          </w:tcPr>
          <w:p w:rsidR="00A0768D" w:rsidRPr="00113CA2" w:rsidRDefault="00A0768D" w:rsidP="00F01532">
            <w:pPr>
              <w:pStyle w:val="RollCallSymbols14pt"/>
            </w:pPr>
            <w:r>
              <w:t>+</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ECR</w:t>
            </w:r>
          </w:p>
        </w:tc>
        <w:tc>
          <w:tcPr>
            <w:tcW w:w="7371" w:type="dxa"/>
            <w:shd w:val="clear" w:color="auto" w:fill="FFFFFF"/>
          </w:tcPr>
          <w:p w:rsidR="00A0768D" w:rsidRPr="00113CA2" w:rsidRDefault="00A0768D" w:rsidP="00F01532">
            <w:pPr>
              <w:pStyle w:val="RollCallTable"/>
            </w:pPr>
            <w:r>
              <w:t>Jan Zahradil</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NI</w:t>
            </w:r>
          </w:p>
        </w:tc>
        <w:tc>
          <w:tcPr>
            <w:tcW w:w="7371" w:type="dxa"/>
            <w:shd w:val="clear" w:color="auto" w:fill="FFFFFF"/>
          </w:tcPr>
          <w:p w:rsidR="00A0768D" w:rsidRPr="00113CA2" w:rsidRDefault="00A0768D" w:rsidP="00F01532">
            <w:pPr>
              <w:pStyle w:val="RollCallTable"/>
            </w:pPr>
            <w:r>
              <w:t>Carles Puigdemont i Casamajó</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PPE</w:t>
            </w:r>
          </w:p>
        </w:tc>
        <w:tc>
          <w:tcPr>
            <w:tcW w:w="7371" w:type="dxa"/>
            <w:shd w:val="clear" w:color="auto" w:fill="FFFFFF"/>
          </w:tcPr>
          <w:p w:rsidR="00A0768D" w:rsidRPr="00113CA2" w:rsidRDefault="00A0768D" w:rsidP="00F01532">
            <w:pPr>
              <w:pStyle w:val="RollCallTable"/>
            </w:pPr>
            <w:r>
              <w:t>Anna-Michelle Asimakopoulou, Stefan Berger, Arnaud Danjean, Danuta Maria Hübner, Massimiliano Salini, Annie Schreijer-Pierik, Andreas Schwab, Iuliu Winkler, Angelika Winzig</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RENEW</w:t>
            </w:r>
          </w:p>
        </w:tc>
        <w:tc>
          <w:tcPr>
            <w:tcW w:w="7371" w:type="dxa"/>
            <w:shd w:val="clear" w:color="auto" w:fill="FFFFFF"/>
          </w:tcPr>
          <w:p w:rsidR="00A0768D" w:rsidRPr="00113CA2" w:rsidRDefault="00A0768D" w:rsidP="00F01532">
            <w:pPr>
              <w:pStyle w:val="RollCallTable"/>
            </w:pPr>
            <w:r>
              <w:t>Barry Andrews, Jordi Cañas, Svenja Hahn, Karin Karlsbro, Samira Rafaela, Catharina Rinzema</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S&amp;D</w:t>
            </w:r>
          </w:p>
        </w:tc>
        <w:tc>
          <w:tcPr>
            <w:tcW w:w="7371" w:type="dxa"/>
            <w:shd w:val="clear" w:color="auto" w:fill="FFFFFF"/>
          </w:tcPr>
          <w:p w:rsidR="00A0768D" w:rsidRPr="00113CA2" w:rsidRDefault="00A0768D" w:rsidP="00F01532">
            <w:pPr>
              <w:pStyle w:val="RollCallTable"/>
            </w:pPr>
            <w:r>
              <w:t>Udo Bullmann, Raphaël Glucksmann, Bernd Lange, Margarida Marques, Javier Moreno Sánchez, Inma Rodríguez-Piñero, Joachim Schuster, Massimiliano Smeriglio, Mihai Tudose</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VERTS/ALE</w:t>
            </w:r>
          </w:p>
        </w:tc>
        <w:tc>
          <w:tcPr>
            <w:tcW w:w="7371" w:type="dxa"/>
            <w:shd w:val="clear" w:color="auto" w:fill="FFFFFF"/>
          </w:tcPr>
          <w:p w:rsidR="00A0768D" w:rsidRPr="00113CA2" w:rsidRDefault="00A0768D" w:rsidP="00F01532">
            <w:pPr>
              <w:pStyle w:val="RollCallTable"/>
            </w:pPr>
            <w:r>
              <w:t>Saskia Bricmont, Anna Cavazzini, Heidi Hautala</w:t>
            </w:r>
          </w:p>
        </w:tc>
      </w:tr>
    </w:tbl>
    <w:p w:rsidR="00A0768D" w:rsidRPr="00113CA2" w:rsidRDefault="00A0768D" w:rsidP="00A076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68D" w:rsidRPr="00113CA2" w:rsidTr="00F01532">
        <w:trPr>
          <w:cantSplit/>
        </w:trPr>
        <w:tc>
          <w:tcPr>
            <w:tcW w:w="1701" w:type="dxa"/>
            <w:shd w:val="pct10" w:color="000000" w:fill="FFFFFF"/>
            <w:vAlign w:val="center"/>
          </w:tcPr>
          <w:p w:rsidR="00A0768D" w:rsidRPr="00113CA2" w:rsidRDefault="00A0768D" w:rsidP="00F01532">
            <w:pPr>
              <w:pStyle w:val="RollCallVotes"/>
            </w:pPr>
            <w:r>
              <w:t>0</w:t>
            </w:r>
          </w:p>
        </w:tc>
        <w:tc>
          <w:tcPr>
            <w:tcW w:w="7371" w:type="dxa"/>
            <w:shd w:val="pct10" w:color="000000" w:fill="FFFFFF"/>
          </w:tcPr>
          <w:p w:rsidR="00A0768D" w:rsidRPr="00113CA2" w:rsidRDefault="00A0768D" w:rsidP="00F01532">
            <w:pPr>
              <w:pStyle w:val="RollCallSymbols14pt"/>
            </w:pPr>
            <w:r>
              <w:t>–</w:t>
            </w:r>
          </w:p>
        </w:tc>
      </w:tr>
      <w:tr w:rsidR="00A0768D" w:rsidRPr="00113CA2" w:rsidTr="00F01532">
        <w:trPr>
          <w:cantSplit/>
        </w:trPr>
        <w:tc>
          <w:tcPr>
            <w:tcW w:w="1701" w:type="dxa"/>
            <w:shd w:val="clear" w:color="auto" w:fill="FFFFFF"/>
          </w:tcPr>
          <w:p w:rsidR="00A0768D" w:rsidRPr="00113CA2" w:rsidRDefault="00A0768D" w:rsidP="00F01532">
            <w:pPr>
              <w:pStyle w:val="RollCallTable"/>
            </w:pPr>
          </w:p>
        </w:tc>
        <w:tc>
          <w:tcPr>
            <w:tcW w:w="7371" w:type="dxa"/>
            <w:shd w:val="clear" w:color="auto" w:fill="FFFFFF"/>
          </w:tcPr>
          <w:p w:rsidR="00A0768D" w:rsidRPr="00113CA2" w:rsidRDefault="00A0768D" w:rsidP="00F01532">
            <w:pPr>
              <w:pStyle w:val="RollCallTable"/>
            </w:pPr>
          </w:p>
        </w:tc>
      </w:tr>
    </w:tbl>
    <w:p w:rsidR="00A0768D" w:rsidRPr="00113CA2" w:rsidRDefault="00A0768D" w:rsidP="00A0768D"/>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768D" w:rsidRPr="00113CA2" w:rsidTr="00F01532">
        <w:trPr>
          <w:cantSplit/>
        </w:trPr>
        <w:tc>
          <w:tcPr>
            <w:tcW w:w="1701" w:type="dxa"/>
            <w:shd w:val="pct10" w:color="000000" w:fill="FFFFFF"/>
            <w:vAlign w:val="center"/>
          </w:tcPr>
          <w:p w:rsidR="00A0768D" w:rsidRPr="00113CA2" w:rsidRDefault="00A0768D" w:rsidP="00F01532">
            <w:pPr>
              <w:pStyle w:val="RollCallVotes"/>
            </w:pPr>
            <w:r>
              <w:t>1</w:t>
            </w:r>
          </w:p>
        </w:tc>
        <w:tc>
          <w:tcPr>
            <w:tcW w:w="7371" w:type="dxa"/>
            <w:shd w:val="pct10" w:color="000000" w:fill="FFFFFF"/>
          </w:tcPr>
          <w:p w:rsidR="00A0768D" w:rsidRPr="00113CA2" w:rsidRDefault="00A0768D" w:rsidP="00F01532">
            <w:pPr>
              <w:pStyle w:val="RollCallSymbols14pt"/>
            </w:pPr>
            <w:r>
              <w:t>0</w:t>
            </w:r>
          </w:p>
        </w:tc>
      </w:tr>
      <w:tr w:rsidR="00A0768D" w:rsidRPr="00113CA2" w:rsidTr="00F01532">
        <w:trPr>
          <w:cantSplit/>
        </w:trPr>
        <w:tc>
          <w:tcPr>
            <w:tcW w:w="1701" w:type="dxa"/>
            <w:shd w:val="clear" w:color="auto" w:fill="FFFFFF"/>
          </w:tcPr>
          <w:p w:rsidR="00A0768D" w:rsidRPr="00113CA2" w:rsidRDefault="00A0768D" w:rsidP="00F01532">
            <w:pPr>
              <w:pStyle w:val="RollCallTable"/>
            </w:pPr>
            <w:r>
              <w:t>THE LEFT</w:t>
            </w:r>
          </w:p>
        </w:tc>
        <w:tc>
          <w:tcPr>
            <w:tcW w:w="7371" w:type="dxa"/>
            <w:shd w:val="clear" w:color="auto" w:fill="FFFFFF"/>
          </w:tcPr>
          <w:p w:rsidR="00A0768D" w:rsidRPr="00113CA2" w:rsidRDefault="00A0768D" w:rsidP="00F01532">
            <w:pPr>
              <w:pStyle w:val="RollCallTable"/>
            </w:pPr>
            <w:r>
              <w:t>Helmut Scholz</w:t>
            </w:r>
          </w:p>
        </w:tc>
      </w:tr>
    </w:tbl>
    <w:p w:rsidR="00A0768D" w:rsidRPr="00113CA2" w:rsidRDefault="00A0768D" w:rsidP="00A0768D">
      <w:pPr>
        <w:pStyle w:val="Normal12a"/>
      </w:pPr>
    </w:p>
    <w:p w:rsidR="00A0768D" w:rsidRPr="00113CA2" w:rsidRDefault="00A0768D" w:rsidP="00A0768D">
      <w:r>
        <w:t>Légende des signes utilisés:</w:t>
      </w:r>
    </w:p>
    <w:p w:rsidR="00A0768D" w:rsidRPr="00113CA2" w:rsidRDefault="00A0768D" w:rsidP="00A0768D">
      <w:pPr>
        <w:pStyle w:val="RollCallTabs"/>
      </w:pPr>
      <w:r>
        <w:t>+</w:t>
      </w:r>
      <w:r>
        <w:tab/>
        <w:t>:</w:t>
      </w:r>
      <w:r>
        <w:tab/>
        <w:t>pour</w:t>
      </w:r>
    </w:p>
    <w:p w:rsidR="00A0768D" w:rsidRPr="00113CA2" w:rsidRDefault="00A0768D" w:rsidP="00A0768D">
      <w:pPr>
        <w:pStyle w:val="RollCallTabs"/>
      </w:pPr>
      <w:r>
        <w:t>–</w:t>
      </w:r>
      <w:r>
        <w:tab/>
        <w:t>:</w:t>
      </w:r>
      <w:r>
        <w:tab/>
        <w:t>contre</w:t>
      </w:r>
    </w:p>
    <w:p w:rsidR="00A0768D" w:rsidRPr="00113CA2" w:rsidRDefault="00A0768D" w:rsidP="00A0768D">
      <w:pPr>
        <w:pStyle w:val="RollCallTabs"/>
      </w:pPr>
      <w:r>
        <w:t>0</w:t>
      </w:r>
      <w:r>
        <w:tab/>
        <w:t>:</w:t>
      </w:r>
      <w:r>
        <w:tab/>
        <w:t>abstention</w:t>
      </w:r>
    </w:p>
    <w:p w:rsidR="00A0768D" w:rsidRPr="00113CA2" w:rsidRDefault="00A0768D" w:rsidP="00A0768D"/>
    <w:bookmarkEnd w:id="8"/>
    <w:p w:rsidR="00363B94" w:rsidRPr="00113CA2" w:rsidRDefault="00363B94" w:rsidP="003F7099"/>
    <w:sectPr w:rsidR="00363B94" w:rsidRPr="00113CA2" w:rsidSect="003D4D3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6C5" w:rsidRPr="00113CA2" w:rsidRDefault="005736C5">
      <w:r w:rsidRPr="00113CA2">
        <w:separator/>
      </w:r>
    </w:p>
  </w:endnote>
  <w:endnote w:type="continuationSeparator" w:id="0">
    <w:p w:rsidR="005736C5" w:rsidRPr="00113CA2" w:rsidRDefault="005736C5">
      <w:r w:rsidRPr="00113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35" w:rsidRPr="00113CA2" w:rsidRDefault="003D4D35" w:rsidP="003D4D35">
    <w:pPr>
      <w:pStyle w:val="EPFooter"/>
    </w:pPr>
    <w:r w:rsidRPr="00113CA2">
      <w:t>PE</w:t>
    </w:r>
    <w:r w:rsidRPr="00113CA2">
      <w:rPr>
        <w:rStyle w:val="HideTWBExt"/>
      </w:rPr>
      <w:t>&lt;NoPE&gt;</w:t>
    </w:r>
    <w:r w:rsidRPr="00113CA2">
      <w:t>735.764</w:t>
    </w:r>
    <w:r w:rsidRPr="00113CA2">
      <w:rPr>
        <w:rStyle w:val="HideTWBExt"/>
      </w:rPr>
      <w:t>&lt;/NoPE&gt;&lt;Version&gt;</w:t>
    </w:r>
    <w:r w:rsidRPr="00113CA2">
      <w:t>v02-00</w:t>
    </w:r>
    <w:r w:rsidRPr="00113CA2">
      <w:rPr>
        <w:rStyle w:val="HideTWBExt"/>
      </w:rPr>
      <w:t>&lt;/Version&gt;</w:t>
    </w:r>
    <w:r w:rsidRPr="00113CA2">
      <w:tab/>
    </w:r>
    <w:r w:rsidRPr="00113CA2">
      <w:fldChar w:fldCharType="begin"/>
    </w:r>
    <w:r w:rsidRPr="00113CA2">
      <w:instrText xml:space="preserve"> PAGE  \* MERGEFORMAT </w:instrText>
    </w:r>
    <w:r w:rsidRPr="00113CA2">
      <w:fldChar w:fldCharType="separate"/>
    </w:r>
    <w:r w:rsidR="009472F1">
      <w:rPr>
        <w:noProof/>
      </w:rPr>
      <w:t>8</w:t>
    </w:r>
    <w:r w:rsidRPr="00113CA2">
      <w:fldChar w:fldCharType="end"/>
    </w:r>
    <w:r w:rsidRPr="00113CA2">
      <w:t>/</w:t>
    </w:r>
    <w:r w:rsidR="009472F1">
      <w:fldChar w:fldCharType="begin"/>
    </w:r>
    <w:r w:rsidR="009472F1">
      <w:instrText xml:space="preserve"> NUMPAGES  \* MERGEFORMAT </w:instrText>
    </w:r>
    <w:r w:rsidR="009472F1">
      <w:fldChar w:fldCharType="separate"/>
    </w:r>
    <w:r w:rsidR="009472F1">
      <w:rPr>
        <w:noProof/>
      </w:rPr>
      <w:t>8</w:t>
    </w:r>
    <w:r w:rsidR="009472F1">
      <w:rPr>
        <w:noProof/>
      </w:rPr>
      <w:fldChar w:fldCharType="end"/>
    </w:r>
    <w:r w:rsidRPr="00113CA2">
      <w:tab/>
    </w:r>
    <w:r w:rsidRPr="00113CA2">
      <w:rPr>
        <w:rStyle w:val="HideTWBExt"/>
      </w:rPr>
      <w:t>&lt;PathFdR&gt;</w:t>
    </w:r>
    <w:r w:rsidRPr="00113CA2">
      <w:t>RR\1267054FR.docx</w:t>
    </w:r>
    <w:r w:rsidRPr="00113CA2">
      <w:rPr>
        <w:rStyle w:val="HideTWBExt"/>
      </w:rPr>
      <w:t>&lt;/PathFdR&gt;</w:t>
    </w:r>
  </w:p>
  <w:p w:rsidR="00A0768D" w:rsidRPr="00113CA2" w:rsidRDefault="003D4D35" w:rsidP="003D4D35">
    <w:pPr>
      <w:pStyle w:val="EPFooter2"/>
    </w:pPr>
    <w:r w:rsidRPr="00113CA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35" w:rsidRPr="00113CA2" w:rsidRDefault="003D4D35" w:rsidP="003D4D35">
    <w:pPr>
      <w:pStyle w:val="EPFooter"/>
    </w:pPr>
    <w:r w:rsidRPr="00113CA2">
      <w:rPr>
        <w:rStyle w:val="HideTWBExt"/>
      </w:rPr>
      <w:t>&lt;PathFdR&gt;</w:t>
    </w:r>
    <w:r w:rsidRPr="00113CA2">
      <w:t>RR\1267054FR.docx</w:t>
    </w:r>
    <w:r w:rsidRPr="00113CA2">
      <w:rPr>
        <w:rStyle w:val="HideTWBExt"/>
      </w:rPr>
      <w:t>&lt;/PathFdR&gt;</w:t>
    </w:r>
    <w:r w:rsidRPr="00113CA2">
      <w:tab/>
    </w:r>
    <w:r w:rsidRPr="00113CA2">
      <w:fldChar w:fldCharType="begin"/>
    </w:r>
    <w:r w:rsidRPr="00113CA2">
      <w:instrText xml:space="preserve"> PAGE  \* MERGEFORMAT </w:instrText>
    </w:r>
    <w:r w:rsidRPr="00113CA2">
      <w:fldChar w:fldCharType="separate"/>
    </w:r>
    <w:r w:rsidR="009472F1">
      <w:rPr>
        <w:noProof/>
      </w:rPr>
      <w:t>7</w:t>
    </w:r>
    <w:r w:rsidRPr="00113CA2">
      <w:fldChar w:fldCharType="end"/>
    </w:r>
    <w:r w:rsidRPr="00113CA2">
      <w:t>/</w:t>
    </w:r>
    <w:r w:rsidR="009472F1">
      <w:fldChar w:fldCharType="begin"/>
    </w:r>
    <w:r w:rsidR="009472F1">
      <w:instrText xml:space="preserve"> NUMPAGES  \* MERGEFORMAT </w:instrText>
    </w:r>
    <w:r w:rsidR="009472F1">
      <w:fldChar w:fldCharType="separate"/>
    </w:r>
    <w:r w:rsidR="009472F1">
      <w:rPr>
        <w:noProof/>
      </w:rPr>
      <w:t>8</w:t>
    </w:r>
    <w:r w:rsidR="009472F1">
      <w:rPr>
        <w:noProof/>
      </w:rPr>
      <w:fldChar w:fldCharType="end"/>
    </w:r>
    <w:r w:rsidRPr="00113CA2">
      <w:tab/>
      <w:t>PE</w:t>
    </w:r>
    <w:r w:rsidRPr="00113CA2">
      <w:rPr>
        <w:rStyle w:val="HideTWBExt"/>
      </w:rPr>
      <w:t>&lt;NoPE&gt;</w:t>
    </w:r>
    <w:r w:rsidRPr="00113CA2">
      <w:t>735.764</w:t>
    </w:r>
    <w:r w:rsidRPr="00113CA2">
      <w:rPr>
        <w:rStyle w:val="HideTWBExt"/>
      </w:rPr>
      <w:t>&lt;/NoPE&gt;&lt;Version&gt;</w:t>
    </w:r>
    <w:r w:rsidRPr="00113CA2">
      <w:t>v02-00</w:t>
    </w:r>
    <w:r w:rsidRPr="00113CA2">
      <w:rPr>
        <w:rStyle w:val="HideTWBExt"/>
      </w:rPr>
      <w:t>&lt;/Version&gt;</w:t>
    </w:r>
  </w:p>
  <w:p w:rsidR="00A0768D" w:rsidRPr="00113CA2" w:rsidRDefault="003D4D35" w:rsidP="003D4D35">
    <w:pPr>
      <w:pStyle w:val="EPFooter2"/>
    </w:pPr>
    <w:r w:rsidRPr="00113CA2">
      <w:tab/>
    </w:r>
    <w:r w:rsidRPr="00113CA2">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35" w:rsidRPr="00113CA2" w:rsidRDefault="003D4D35" w:rsidP="003D4D35">
    <w:pPr>
      <w:pStyle w:val="EPFooter"/>
    </w:pPr>
    <w:r w:rsidRPr="00113CA2">
      <w:rPr>
        <w:rStyle w:val="HideTWBExt"/>
      </w:rPr>
      <w:t>&lt;PathFdR&gt;</w:t>
    </w:r>
    <w:r w:rsidRPr="00113CA2">
      <w:t>RR\1267054FR.docx</w:t>
    </w:r>
    <w:r w:rsidRPr="00113CA2">
      <w:rPr>
        <w:rStyle w:val="HideTWBExt"/>
      </w:rPr>
      <w:t>&lt;/PathFdR&gt;</w:t>
    </w:r>
    <w:r w:rsidRPr="00113CA2">
      <w:tab/>
    </w:r>
    <w:r w:rsidRPr="00113CA2">
      <w:tab/>
      <w:t>PE</w:t>
    </w:r>
    <w:r w:rsidRPr="00113CA2">
      <w:rPr>
        <w:rStyle w:val="HideTWBExt"/>
      </w:rPr>
      <w:t>&lt;NoPE&gt;</w:t>
    </w:r>
    <w:r w:rsidRPr="00113CA2">
      <w:t>735.764</w:t>
    </w:r>
    <w:r w:rsidRPr="00113CA2">
      <w:rPr>
        <w:rStyle w:val="HideTWBExt"/>
      </w:rPr>
      <w:t>&lt;/NoPE&gt;&lt;Version&gt;</w:t>
    </w:r>
    <w:r w:rsidRPr="00113CA2">
      <w:t>v02-00</w:t>
    </w:r>
    <w:r w:rsidRPr="00113CA2">
      <w:rPr>
        <w:rStyle w:val="HideTWBExt"/>
      </w:rPr>
      <w:t>&lt;/Version&gt;</w:t>
    </w:r>
  </w:p>
  <w:p w:rsidR="00A0768D" w:rsidRPr="00113CA2" w:rsidRDefault="003D4D35" w:rsidP="003D4D35">
    <w:pPr>
      <w:pStyle w:val="EPFooter2"/>
    </w:pPr>
    <w:r w:rsidRPr="00113CA2">
      <w:t>FR</w:t>
    </w:r>
    <w:r w:rsidRPr="00113CA2">
      <w:tab/>
    </w:r>
    <w:r w:rsidRPr="00113CA2">
      <w:rPr>
        <w:b w:val="0"/>
        <w:i/>
        <w:color w:val="C0C0C0"/>
        <w:sz w:val="22"/>
      </w:rPr>
      <w:t>Unie dans la diversité</w:t>
    </w:r>
    <w:r w:rsidRPr="00113CA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099" w:rsidRPr="00113CA2" w:rsidRDefault="003F7099" w:rsidP="003F7099">
    <w:pPr>
      <w:pStyle w:val="EPFooter"/>
    </w:pPr>
    <w:r w:rsidRPr="00113CA2">
      <w:rPr>
        <w:rStyle w:val="HideTWBExt"/>
      </w:rPr>
      <w:t>&lt;PathFdR&gt;</w:t>
    </w:r>
    <w:r w:rsidR="00113CA2" w:rsidRPr="00113CA2">
      <w:t>RR\1267054FR.docx</w:t>
    </w:r>
    <w:r w:rsidRPr="00113CA2">
      <w:rPr>
        <w:rStyle w:val="HideTWBExt"/>
      </w:rPr>
      <w:t>&lt;/PathFdR&gt;</w:t>
    </w:r>
    <w:r w:rsidRPr="00113CA2">
      <w:tab/>
    </w:r>
    <w:r w:rsidRPr="00113CA2">
      <w:tab/>
      <w:t>PE</w:t>
    </w:r>
    <w:r w:rsidRPr="00113CA2">
      <w:rPr>
        <w:rStyle w:val="HideTWBExt"/>
      </w:rPr>
      <w:t>&lt;NoPE&gt;</w:t>
    </w:r>
    <w:r w:rsidRPr="00113CA2">
      <w:t>735.764</w:t>
    </w:r>
    <w:r w:rsidRPr="00113CA2">
      <w:rPr>
        <w:rStyle w:val="HideTWBExt"/>
      </w:rPr>
      <w:t>&lt;/NoPE&gt;&lt;Version&gt;</w:t>
    </w:r>
    <w:r w:rsidRPr="00113CA2">
      <w:t>v02-00</w:t>
    </w:r>
    <w:r w:rsidRPr="00113CA2">
      <w:rPr>
        <w:rStyle w:val="HideTWBExt"/>
      </w:rPr>
      <w:t>&lt;/Version&gt;</w:t>
    </w:r>
  </w:p>
  <w:p w:rsidR="0085501C" w:rsidRPr="00113CA2" w:rsidRDefault="003F7099" w:rsidP="003F7099">
    <w:pPr>
      <w:pStyle w:val="EPFooter2"/>
    </w:pPr>
    <w:r w:rsidRPr="00113CA2">
      <w:t>FR</w:t>
    </w:r>
    <w:r w:rsidRPr="00113CA2">
      <w:tab/>
    </w:r>
    <w:r w:rsidRPr="00113CA2">
      <w:rPr>
        <w:b w:val="0"/>
        <w:i/>
        <w:color w:val="C0C0C0"/>
        <w:sz w:val="22"/>
      </w:rPr>
      <w:t>Unie dans la diversité</w:t>
    </w:r>
    <w:r w:rsidRPr="00113CA2">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6C5" w:rsidRPr="00113CA2" w:rsidRDefault="005736C5">
      <w:r w:rsidRPr="00113CA2">
        <w:separator/>
      </w:r>
    </w:p>
  </w:footnote>
  <w:footnote w:type="continuationSeparator" w:id="0">
    <w:p w:rsidR="005736C5" w:rsidRPr="00113CA2" w:rsidRDefault="005736C5">
      <w:r w:rsidRPr="00113C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AA5" w:rsidRDefault="00251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AA5" w:rsidRDefault="00251A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AA5" w:rsidRDefault="00251AA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380" w:rsidRDefault="00A07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380" w:rsidRDefault="00A073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380" w:rsidRDefault="00A07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INTA"/>
    <w:docVar w:name="LastEditedSection" w:val=" 1"/>
    <w:docVar w:name="strDocTypeID" w:val="CONV"/>
    <w:docVar w:name="strSubDir" w:val="1267"/>
    <w:docVar w:name="TITLEMNU" w:val=" 1"/>
    <w:docVar w:name="TXTAUTHOR" w:val="Daniel Caspary"/>
    <w:docVar w:name="TXTLANGUE" w:val="FR"/>
    <w:docVar w:name="TXTLANGUEMIN" w:val="fr"/>
    <w:docVar w:name="TXTNRC" w:val="0296/2022"/>
    <w:docVar w:name="TXTNRCOM" w:val="(2022)0149"/>
    <w:docVar w:name="TXTNRNLE" w:val="2022/0098"/>
    <w:docVar w:name="TXTNRPE" w:val="735.764"/>
    <w:docVar w:name="TXTPEorAP" w:val="PE"/>
    <w:docVar w:name="TXTROUTE" w:val="RR\1267054FR.docx"/>
    <w:docVar w:name="TXTVERSION" w:val="02-00"/>
  </w:docVars>
  <w:rsids>
    <w:rsidRoot w:val="005736C5"/>
    <w:rsid w:val="00001D52"/>
    <w:rsid w:val="0000443F"/>
    <w:rsid w:val="000053E3"/>
    <w:rsid w:val="0006167F"/>
    <w:rsid w:val="00061EFE"/>
    <w:rsid w:val="00095D8B"/>
    <w:rsid w:val="000A2F73"/>
    <w:rsid w:val="000C123D"/>
    <w:rsid w:val="000D78AF"/>
    <w:rsid w:val="00113CA2"/>
    <w:rsid w:val="00180664"/>
    <w:rsid w:val="001874D8"/>
    <w:rsid w:val="001D02E3"/>
    <w:rsid w:val="001F7BBE"/>
    <w:rsid w:val="0021049A"/>
    <w:rsid w:val="0022685A"/>
    <w:rsid w:val="00251AA5"/>
    <w:rsid w:val="002E2E20"/>
    <w:rsid w:val="002F5A83"/>
    <w:rsid w:val="003072BE"/>
    <w:rsid w:val="00337C92"/>
    <w:rsid w:val="00363B94"/>
    <w:rsid w:val="003B598C"/>
    <w:rsid w:val="003D4D35"/>
    <w:rsid w:val="003F7099"/>
    <w:rsid w:val="004174FC"/>
    <w:rsid w:val="00460BD6"/>
    <w:rsid w:val="004859B3"/>
    <w:rsid w:val="004C083C"/>
    <w:rsid w:val="004E1650"/>
    <w:rsid w:val="0053367A"/>
    <w:rsid w:val="00544D48"/>
    <w:rsid w:val="005736C5"/>
    <w:rsid w:val="005877C0"/>
    <w:rsid w:val="005A6B14"/>
    <w:rsid w:val="005D0B97"/>
    <w:rsid w:val="005F5D6C"/>
    <w:rsid w:val="005F6371"/>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472F1"/>
    <w:rsid w:val="009612AA"/>
    <w:rsid w:val="009E39A7"/>
    <w:rsid w:val="00A07380"/>
    <w:rsid w:val="00A0768D"/>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24EE5"/>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B02DBF-AC1C-4AD6-9E03-D7663AC73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07380"/>
    <w:pPr>
      <w:tabs>
        <w:tab w:val="right" w:pos="454"/>
        <w:tab w:val="left" w:pos="737"/>
      </w:tabs>
      <w:ind w:left="737" w:hanging="737"/>
    </w:pPr>
    <w:rPr>
      <w:snapToGrid w:val="0"/>
      <w:sz w:val="18"/>
      <w:lang w:eastAsia="en-US"/>
    </w:rPr>
  </w:style>
  <w:style w:type="paragraph" w:customStyle="1" w:styleId="Lgendetitre">
    <w:name w:val="Légende titre"/>
    <w:basedOn w:val="Normal"/>
    <w:rsid w:val="00A07380"/>
    <w:pPr>
      <w:spacing w:before="240" w:after="240"/>
    </w:pPr>
    <w:rPr>
      <w:b/>
      <w:i/>
      <w:snapToGrid w:val="0"/>
      <w:lang w:eastAsia="en-US"/>
    </w:rPr>
  </w:style>
  <w:style w:type="paragraph" w:customStyle="1" w:styleId="Lgendestandard">
    <w:name w:val="Légende standard"/>
    <w:basedOn w:val="Normal"/>
    <w:rsid w:val="00A07380"/>
    <w:rPr>
      <w:sz w:val="18"/>
    </w:rPr>
  </w:style>
  <w:style w:type="paragraph" w:styleId="Footer">
    <w:name w:val="footer"/>
    <w:basedOn w:val="Normal"/>
    <w:link w:val="FooterChar"/>
    <w:semiHidden/>
    <w:rsid w:val="00A07380"/>
    <w:pPr>
      <w:tabs>
        <w:tab w:val="center" w:pos="4513"/>
        <w:tab w:val="right" w:pos="9026"/>
      </w:tabs>
    </w:pPr>
  </w:style>
  <w:style w:type="character" w:customStyle="1" w:styleId="FooterChar">
    <w:name w:val="Footer Char"/>
    <w:basedOn w:val="DefaultParagraphFont"/>
    <w:link w:val="Footer"/>
    <w:semiHidden/>
    <w:rsid w:val="00A07380"/>
    <w:rPr>
      <w:sz w:val="24"/>
      <w:lang w:val="fr-FR"/>
    </w:rPr>
  </w:style>
  <w:style w:type="paragraph" w:customStyle="1" w:styleId="Normal12a">
    <w:name w:val="Normal12a"/>
    <w:basedOn w:val="Normal"/>
    <w:rsid w:val="00A0768D"/>
    <w:pPr>
      <w:spacing w:after="240"/>
    </w:pPr>
  </w:style>
  <w:style w:type="paragraph" w:customStyle="1" w:styleId="RollCallVotes">
    <w:name w:val="RollCallVotes"/>
    <w:basedOn w:val="Normal"/>
    <w:rsid w:val="00A0768D"/>
    <w:pPr>
      <w:spacing w:before="120" w:after="120"/>
      <w:jc w:val="center"/>
    </w:pPr>
    <w:rPr>
      <w:b/>
      <w:bCs/>
      <w:snapToGrid w:val="0"/>
      <w:sz w:val="16"/>
      <w:lang w:eastAsia="en-US"/>
    </w:rPr>
  </w:style>
  <w:style w:type="paragraph" w:customStyle="1" w:styleId="RollCallTabs">
    <w:name w:val="RollCallTabs"/>
    <w:basedOn w:val="Normal"/>
    <w:qFormat/>
    <w:rsid w:val="00A0768D"/>
    <w:pPr>
      <w:tabs>
        <w:tab w:val="center" w:pos="284"/>
        <w:tab w:val="left" w:pos="426"/>
      </w:tabs>
    </w:pPr>
    <w:rPr>
      <w:snapToGrid w:val="0"/>
      <w:lang w:eastAsia="en-US"/>
    </w:rPr>
  </w:style>
  <w:style w:type="paragraph" w:customStyle="1" w:styleId="RollCallSymbols14pt">
    <w:name w:val="RollCallSymbols14pt"/>
    <w:basedOn w:val="Normal"/>
    <w:rsid w:val="00A0768D"/>
    <w:pPr>
      <w:spacing w:before="120" w:after="120"/>
      <w:jc w:val="center"/>
    </w:pPr>
    <w:rPr>
      <w:rFonts w:ascii="Arial" w:hAnsi="Arial"/>
      <w:b/>
      <w:bCs/>
      <w:snapToGrid w:val="0"/>
      <w:sz w:val="28"/>
      <w:lang w:eastAsia="en-US"/>
    </w:rPr>
  </w:style>
  <w:style w:type="paragraph" w:customStyle="1" w:styleId="RollCallTable">
    <w:name w:val="RollCallTable"/>
    <w:basedOn w:val="Normal"/>
    <w:rsid w:val="00A0768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29CCE-3ED7-4BBD-BBFB-05396D01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1182</Words>
  <Characters>6942</Characters>
  <Application>Microsoft Office Word</Application>
  <DocSecurity>0</DocSecurity>
  <Lines>247</Lines>
  <Paragraphs>135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PEYROUX François Joseph</dc:creator>
  <cp:keywords/>
  <cp:lastModifiedBy>GONRY Amandine</cp:lastModifiedBy>
  <cp:revision>2</cp:revision>
  <cp:lastPrinted>2002-12-11T09:25:00Z</cp:lastPrinted>
  <dcterms:created xsi:type="dcterms:W3CDTF">2022-11-17T15:13:00Z</dcterms:created>
  <dcterms:modified xsi:type="dcterms:W3CDTF">2022-11-17T15:13:00Z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1267054</vt:lpwstr>
  </property>
  <property fmtid="{D5CDD505-2E9C-101B-9397-08002B2CF9AE}" pid="6" name="&lt;Type&gt;">
    <vt:lpwstr>RR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\\eiciBRUpr1\pdocep$\DocEP\TRANSFIL\FR\PR_NLE-AP_Agreement.FR(29/06/2022 10:22:54)</vt:lpwstr>
  </property>
  <property fmtid="{D5CDD505-2E9C-101B-9397-08002B2CF9AE}" pid="9" name="&lt;Model&gt;">
    <vt:lpwstr>PR_NLE-AP_Agreement</vt:lpwstr>
  </property>
  <property fmtid="{D5CDD505-2E9C-101B-9397-08002B2CF9AE}" pid="10" name="FooterPath">
    <vt:lpwstr>RR\1267054FR.docx</vt:lpwstr>
  </property>
  <property fmtid="{D5CDD505-2E9C-101B-9397-08002B2CF9AE}" pid="11" name="PE number">
    <vt:lpwstr>735.764</vt:lpwstr>
  </property>
  <property fmtid="{D5CDD505-2E9C-101B-9397-08002B2CF9AE}" pid="12" name="Bookout">
    <vt:lpwstr>OK - 2022/11/17 16:13</vt:lpwstr>
  </property>
  <property fmtid="{D5CDD505-2E9C-101B-9397-08002B2CF9AE}" pid="13" name="SDLStudio">
    <vt:lpwstr/>
  </property>
</Properties>
</file>