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75B91" w:rsidRPr="00036E51" w:rsidTr="00C85D0F">
        <w:trPr>
          <w:trHeight w:hRule="exact" w:val="1418"/>
        </w:trPr>
        <w:tc>
          <w:tcPr>
            <w:tcW w:w="6804" w:type="dxa"/>
            <w:shd w:val="clear" w:color="auto" w:fill="auto"/>
            <w:vAlign w:val="center"/>
          </w:tcPr>
          <w:p w:rsidR="00775B91" w:rsidRPr="00036E51" w:rsidRDefault="00EB2C40" w:rsidP="00C85D0F">
            <w:pPr>
              <w:pStyle w:val="EPName"/>
            </w:pPr>
            <w:bookmarkStart w:id="0" w:name="_GoBack"/>
            <w:bookmarkEnd w:id="0"/>
            <w:r w:rsidRPr="00036E51">
              <w:t>Parlement européen</w:t>
            </w:r>
          </w:p>
          <w:p w:rsidR="00775B91" w:rsidRPr="00036E51" w:rsidRDefault="00E3684F" w:rsidP="00E3684F">
            <w:pPr>
              <w:pStyle w:val="EPTerm"/>
            </w:pPr>
            <w:r w:rsidRPr="00036E51">
              <w:t>2019-2024</w:t>
            </w:r>
          </w:p>
        </w:tc>
        <w:tc>
          <w:tcPr>
            <w:tcW w:w="2268" w:type="dxa"/>
            <w:shd w:val="clear" w:color="auto" w:fill="auto"/>
          </w:tcPr>
          <w:p w:rsidR="00775B91" w:rsidRPr="00036E51" w:rsidRDefault="00775B91" w:rsidP="00C85D0F">
            <w:pPr>
              <w:pStyle w:val="EPLogo"/>
            </w:pPr>
            <w:r w:rsidRPr="00036E51">
              <w:rPr>
                <w:noProof/>
              </w:rPr>
              <w:drawing>
                <wp:inline distT="0" distB="0" distL="0" distR="0" wp14:anchorId="4B8BE00E" wp14:editId="501F4E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332734" w:rsidRPr="00036E51" w:rsidRDefault="00332734" w:rsidP="00332734">
      <w:pPr>
        <w:pStyle w:val="LineTop"/>
      </w:pPr>
    </w:p>
    <w:p w:rsidR="00332734" w:rsidRPr="00036E51" w:rsidRDefault="00E3684F" w:rsidP="00332734">
      <w:pPr>
        <w:pStyle w:val="EPBody"/>
      </w:pPr>
      <w:r w:rsidRPr="00036E51">
        <w:t>Document de séance</w:t>
      </w:r>
    </w:p>
    <w:p w:rsidR="00332734" w:rsidRPr="00036E51" w:rsidRDefault="00332734" w:rsidP="00332734">
      <w:pPr>
        <w:pStyle w:val="LineBottom"/>
      </w:pPr>
    </w:p>
    <w:p w:rsidR="00ED0821" w:rsidRPr="00036E51" w:rsidRDefault="00E3684F">
      <w:pPr>
        <w:pStyle w:val="CoverReference"/>
      </w:pPr>
      <w:r w:rsidRPr="00036E51">
        <w:rPr>
          <w:rStyle w:val="HideTWBExt"/>
        </w:rPr>
        <w:t>&lt;NoDocSe&gt;</w:t>
      </w:r>
      <w:r w:rsidRPr="00036E51">
        <w:t>A9-0303/2023</w:t>
      </w:r>
      <w:r w:rsidRPr="00036E51">
        <w:rPr>
          <w:rStyle w:val="HideTWBExt"/>
        </w:rPr>
        <w:t>&lt;/NoDocSe&gt;</w:t>
      </w:r>
    </w:p>
    <w:p w:rsidR="00ED0821" w:rsidRPr="00036E51" w:rsidRDefault="00ED0821">
      <w:pPr>
        <w:pStyle w:val="CoverDate"/>
      </w:pPr>
      <w:r w:rsidRPr="00036E51">
        <w:rPr>
          <w:rStyle w:val="HideTWBExt"/>
        </w:rPr>
        <w:t>&lt;Date&gt;</w:t>
      </w:r>
      <w:r w:rsidRPr="00036E51">
        <w:rPr>
          <w:rStyle w:val="HideTWBInt"/>
        </w:rPr>
        <w:t>{26/10/2023}</w:t>
      </w:r>
      <w:r w:rsidRPr="00036E51">
        <w:t>26.10.2023</w:t>
      </w:r>
      <w:r w:rsidRPr="00036E51">
        <w:rPr>
          <w:rStyle w:val="HideTWBExt"/>
        </w:rPr>
        <w:t>&lt;/Date&gt;</w:t>
      </w:r>
    </w:p>
    <w:p w:rsidR="00ED0821" w:rsidRPr="00036E51" w:rsidRDefault="00ED0821">
      <w:pPr>
        <w:pStyle w:val="CoverDocType"/>
      </w:pPr>
      <w:r w:rsidRPr="00036E51">
        <w:rPr>
          <w:rStyle w:val="HideTWBExt"/>
          <w:b w:val="0"/>
        </w:rPr>
        <w:t>&lt;RefProcLect&gt;</w:t>
      </w:r>
      <w:r w:rsidRPr="00036E51">
        <w:t>***I</w:t>
      </w:r>
      <w:r w:rsidRPr="00036E51">
        <w:rPr>
          <w:rStyle w:val="HideTWBExt"/>
          <w:b w:val="0"/>
        </w:rPr>
        <w:t>&lt;/RefProcLect&gt;</w:t>
      </w:r>
    </w:p>
    <w:p w:rsidR="00ED0821" w:rsidRPr="00036E51" w:rsidRDefault="00ED0821">
      <w:pPr>
        <w:pStyle w:val="CoverDocType24a"/>
      </w:pPr>
      <w:r w:rsidRPr="00036E51">
        <w:rPr>
          <w:rStyle w:val="HideTWBExt"/>
          <w:b w:val="0"/>
        </w:rPr>
        <w:t>&lt;TitreType&gt;</w:t>
      </w:r>
      <w:r w:rsidRPr="00036E51">
        <w:t>RAPPORT</w:t>
      </w:r>
      <w:r w:rsidRPr="00036E51">
        <w:rPr>
          <w:rStyle w:val="HideTWBExt"/>
          <w:b w:val="0"/>
        </w:rPr>
        <w:t>&lt;/TitreType&gt;</w:t>
      </w:r>
    </w:p>
    <w:p w:rsidR="00ED0821" w:rsidRPr="00036E51" w:rsidRDefault="00ED0821">
      <w:pPr>
        <w:pStyle w:val="CoverNormal"/>
      </w:pPr>
      <w:r w:rsidRPr="00036E51">
        <w:rPr>
          <w:rStyle w:val="HideTWBExt"/>
        </w:rPr>
        <w:t>&lt;Titre&gt;</w:t>
      </w:r>
      <w:r w:rsidRPr="00036E51">
        <w:t>sur la proposition de directive du Parlement européen et du Conseil modifiant la directive 2014/65/UE afin de rendre les marchés des capitaux de l</w:t>
      </w:r>
      <w:r w:rsidR="00BA38FE">
        <w:t>’</w:t>
      </w:r>
      <w:r w:rsidRPr="00036E51">
        <w:t>Union plus attractifs pour les entreprises et de faciliter l</w:t>
      </w:r>
      <w:r w:rsidR="00BA38FE">
        <w:t>’</w:t>
      </w:r>
      <w:r w:rsidRPr="00036E51">
        <w:t>accès des petites et moyennes entreprises aux capitaux, et abrogeant la directive 2001/34/CE</w:t>
      </w:r>
      <w:r w:rsidRPr="00036E51">
        <w:rPr>
          <w:rStyle w:val="HideTWBExt"/>
        </w:rPr>
        <w:t>&lt;/Titre&gt;</w:t>
      </w:r>
    </w:p>
    <w:p w:rsidR="00ED0821" w:rsidRPr="00036E51" w:rsidRDefault="00ED0821">
      <w:pPr>
        <w:pStyle w:val="CoverNormal24a"/>
      </w:pPr>
      <w:r w:rsidRPr="00036E51">
        <w:rPr>
          <w:rStyle w:val="HideTWBExt"/>
        </w:rPr>
        <w:t>&lt;DocRef&gt;</w:t>
      </w:r>
      <w:r w:rsidRPr="00036E51">
        <w:t>(COM(2022)0760 – C9</w:t>
      </w:r>
      <w:r w:rsidRPr="00036E51">
        <w:noBreakHyphen/>
        <w:t>0415/2022 – 2022/0405(COD))</w:t>
      </w:r>
      <w:r w:rsidRPr="00036E51">
        <w:rPr>
          <w:rStyle w:val="HideTWBExt"/>
        </w:rPr>
        <w:t>&lt;/DocRef&gt;</w:t>
      </w:r>
    </w:p>
    <w:p w:rsidR="00ED0821" w:rsidRPr="00036E51" w:rsidRDefault="00ED0821">
      <w:pPr>
        <w:pStyle w:val="CoverNormal24a"/>
      </w:pPr>
      <w:r w:rsidRPr="00036E51">
        <w:rPr>
          <w:rStyle w:val="HideTWBExt"/>
        </w:rPr>
        <w:t>&lt;Commission&gt;</w:t>
      </w:r>
      <w:r w:rsidRPr="00036E51">
        <w:rPr>
          <w:rStyle w:val="HideTWBInt"/>
        </w:rPr>
        <w:t>{ECON}</w:t>
      </w:r>
      <w:r w:rsidRPr="00036E51">
        <w:t>Commission des affaires économiques et monétaires</w:t>
      </w:r>
      <w:r w:rsidRPr="00036E51">
        <w:rPr>
          <w:rStyle w:val="HideTWBExt"/>
        </w:rPr>
        <w:t>&lt;/Commission&gt;</w:t>
      </w:r>
    </w:p>
    <w:p w:rsidR="00ED0821" w:rsidRPr="00036E51" w:rsidRDefault="00E3684F">
      <w:pPr>
        <w:pStyle w:val="CoverNormal24a"/>
      </w:pPr>
      <w:r w:rsidRPr="00036E51">
        <w:t xml:space="preserve">Rapporteur: </w:t>
      </w:r>
      <w:r w:rsidRPr="00036E51">
        <w:rPr>
          <w:rStyle w:val="HideTWBExt"/>
        </w:rPr>
        <w:t>&lt;Depute&gt;</w:t>
      </w:r>
      <w:r w:rsidRPr="00036E51">
        <w:t>Alfred Sant</w:t>
      </w:r>
      <w:r w:rsidRPr="00036E51">
        <w:rPr>
          <w:rStyle w:val="HideTWBExt"/>
        </w:rPr>
        <w:t>&lt;/Depute&gt;</w:t>
      </w:r>
    </w:p>
    <w:p w:rsidR="00BE4EC7" w:rsidRPr="00036E51" w:rsidRDefault="00BE4EC7" w:rsidP="00BE4EC7">
      <w:pPr>
        <w:pStyle w:val="CoverNormal"/>
      </w:pPr>
    </w:p>
    <w:p w:rsidR="00E3684F" w:rsidRPr="00036E51" w:rsidRDefault="00ED0821" w:rsidP="00894923">
      <w:r w:rsidRPr="00036E51">
        <w:br w:type="page"/>
      </w:r>
      <w:fldSimple w:instr=" TITLE  \* MERGEFORMAT ">
        <w:r w:rsidR="00BA38FE">
          <w:t>PR_COD_1consamCom</w:t>
        </w:r>
      </w:fldSimple>
    </w:p>
    <w:p w:rsidR="00E3684F" w:rsidRPr="00036E51" w:rsidRDefault="00E3684F" w:rsidP="00894923"/>
    <w:p w:rsidR="00E3684F" w:rsidRPr="00036E51" w:rsidRDefault="00E3684F" w:rsidP="00894923"/>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E3684F" w:rsidRPr="00036E51">
        <w:tc>
          <w:tcPr>
            <w:tcW w:w="5811" w:type="dxa"/>
          </w:tcPr>
          <w:p w:rsidR="00E3684F" w:rsidRPr="00036E51" w:rsidRDefault="00E3684F" w:rsidP="00894923">
            <w:pPr>
              <w:pStyle w:val="Lgendetitre"/>
            </w:pPr>
            <w:r w:rsidRPr="00036E51">
              <w:t>Légende des signes utilisés</w:t>
            </w:r>
          </w:p>
        </w:tc>
      </w:tr>
      <w:tr w:rsidR="00E3684F" w:rsidRPr="00036E51" w:rsidTr="00C50C36">
        <w:trPr>
          <w:cantSplit/>
          <w:trHeight w:val="1944"/>
        </w:trPr>
        <w:tc>
          <w:tcPr>
            <w:tcW w:w="5811" w:type="dxa"/>
            <w:tcBorders>
              <w:bottom w:val="single" w:sz="4" w:space="0" w:color="auto"/>
            </w:tcBorders>
          </w:tcPr>
          <w:p w:rsidR="00E3684F" w:rsidRPr="00036E51" w:rsidRDefault="00E3684F" w:rsidP="0069092A">
            <w:pPr>
              <w:pStyle w:val="Lgendesigne"/>
            </w:pPr>
            <w:r w:rsidRPr="00036E51">
              <w:tab/>
              <w:t>*</w:t>
            </w:r>
            <w:r w:rsidRPr="00036E51">
              <w:tab/>
              <w:t>Procédure de consultation</w:t>
            </w:r>
          </w:p>
          <w:p w:rsidR="00E3684F" w:rsidRPr="00036E51" w:rsidRDefault="00E3684F" w:rsidP="0069092A">
            <w:pPr>
              <w:pStyle w:val="Lgendesigne"/>
            </w:pPr>
            <w:r w:rsidRPr="00036E51">
              <w:tab/>
              <w:t>***</w:t>
            </w:r>
            <w:r w:rsidRPr="00036E51">
              <w:tab/>
              <w:t>Procédure d</w:t>
            </w:r>
            <w:r w:rsidR="00BA38FE">
              <w:t>’</w:t>
            </w:r>
            <w:r w:rsidRPr="00036E51">
              <w:t>approbation</w:t>
            </w:r>
          </w:p>
          <w:p w:rsidR="00E3684F" w:rsidRPr="00036E51" w:rsidRDefault="00E3684F" w:rsidP="0069092A">
            <w:pPr>
              <w:pStyle w:val="Lgendesigne"/>
            </w:pPr>
            <w:r w:rsidRPr="00036E51">
              <w:tab/>
              <w:t>***I</w:t>
            </w:r>
            <w:r w:rsidRPr="00036E51">
              <w:tab/>
              <w:t>Procédure législative ordinaire (première lecture)</w:t>
            </w:r>
          </w:p>
          <w:p w:rsidR="00E3684F" w:rsidRPr="00036E51" w:rsidRDefault="00E3684F" w:rsidP="0069092A">
            <w:pPr>
              <w:pStyle w:val="Lgendesigne"/>
            </w:pPr>
            <w:r w:rsidRPr="00036E51">
              <w:tab/>
              <w:t>***II</w:t>
            </w:r>
            <w:r w:rsidRPr="00036E51">
              <w:tab/>
              <w:t>Procédure législative ordinaire (deuxième lecture)</w:t>
            </w:r>
          </w:p>
          <w:p w:rsidR="00E3684F" w:rsidRPr="00036E51" w:rsidRDefault="00E3684F" w:rsidP="0069092A">
            <w:pPr>
              <w:pStyle w:val="Lgendesigne"/>
            </w:pPr>
            <w:r w:rsidRPr="00036E51">
              <w:tab/>
              <w:t>***III</w:t>
            </w:r>
            <w:r w:rsidRPr="00036E51">
              <w:tab/>
              <w:t>Procédure législative ordinaire (troisième lecture)</w:t>
            </w:r>
          </w:p>
          <w:p w:rsidR="00E3684F" w:rsidRPr="00036E51" w:rsidRDefault="00E3684F" w:rsidP="0069092A">
            <w:pPr>
              <w:pStyle w:val="Lgendestandard"/>
            </w:pPr>
          </w:p>
          <w:p w:rsidR="00E3684F" w:rsidRPr="00036E51" w:rsidRDefault="00E3684F" w:rsidP="0069092A">
            <w:pPr>
              <w:pStyle w:val="Lgendestandard"/>
            </w:pPr>
            <w:r w:rsidRPr="00036E51">
              <w:t>(La procédure indiquée est fondée sur la base juridique proposée par le projet d</w:t>
            </w:r>
            <w:r w:rsidR="00BA38FE">
              <w:t>’</w:t>
            </w:r>
            <w:r w:rsidRPr="00036E51">
              <w:t>acte.)</w:t>
            </w:r>
          </w:p>
          <w:p w:rsidR="00E3684F" w:rsidRPr="00036E51" w:rsidRDefault="00E3684F" w:rsidP="00784280">
            <w:pPr>
              <w:pStyle w:val="Lgendestandard"/>
            </w:pPr>
          </w:p>
        </w:tc>
      </w:tr>
    </w:tbl>
    <w:p w:rsidR="00E3684F" w:rsidRPr="00036E51" w:rsidRDefault="00E3684F" w:rsidP="00894923"/>
    <w:p w:rsidR="00E3684F" w:rsidRPr="00036E51" w:rsidRDefault="00E3684F" w:rsidP="00894923"/>
    <w:p w:rsidR="00E3684F" w:rsidRPr="00036E51" w:rsidRDefault="00E3684F" w:rsidP="00894923"/>
    <w:p w:rsidR="00E3684F" w:rsidRPr="00036E51" w:rsidRDefault="00E3684F" w:rsidP="00894923"/>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E3684F" w:rsidRPr="00036E51">
        <w:tc>
          <w:tcPr>
            <w:tcW w:w="5811" w:type="dxa"/>
          </w:tcPr>
          <w:p w:rsidR="00E3684F" w:rsidRPr="00036E51" w:rsidRDefault="00E3684F" w:rsidP="00894923">
            <w:pPr>
              <w:pStyle w:val="Lgendetitre"/>
            </w:pPr>
            <w:r w:rsidRPr="00036E51">
              <w:t>Amendements à un projet d</w:t>
            </w:r>
            <w:r w:rsidR="00BA38FE">
              <w:t>’</w:t>
            </w:r>
            <w:r w:rsidRPr="00036E51">
              <w:t>acte</w:t>
            </w:r>
          </w:p>
        </w:tc>
      </w:tr>
      <w:tr w:rsidR="00E3684F" w:rsidRPr="00036E51" w:rsidTr="00161731">
        <w:trPr>
          <w:trHeight w:val="4923"/>
        </w:trPr>
        <w:tc>
          <w:tcPr>
            <w:tcW w:w="5811" w:type="dxa"/>
          </w:tcPr>
          <w:p w:rsidR="00E3684F" w:rsidRPr="00036E51" w:rsidRDefault="00E3684F" w:rsidP="0069092A">
            <w:pPr>
              <w:pStyle w:val="Lgendestandard"/>
              <w:rPr>
                <w:b/>
                <w:szCs w:val="18"/>
              </w:rPr>
            </w:pPr>
            <w:r w:rsidRPr="00036E51">
              <w:rPr>
                <w:b/>
              </w:rPr>
              <w:t>Amendements du Parlement présentés en deux colonnes</w:t>
            </w:r>
          </w:p>
          <w:p w:rsidR="00E3684F" w:rsidRPr="00036E51" w:rsidRDefault="00E3684F" w:rsidP="0069092A">
            <w:pPr>
              <w:pStyle w:val="Lgendestandard"/>
              <w:rPr>
                <w:szCs w:val="18"/>
              </w:rPr>
            </w:pPr>
          </w:p>
          <w:p w:rsidR="00E3684F" w:rsidRPr="00036E51" w:rsidRDefault="00E3684F" w:rsidP="0069092A">
            <w:pPr>
              <w:pStyle w:val="Lgendestandard"/>
              <w:rPr>
                <w:szCs w:val="18"/>
              </w:rPr>
            </w:pPr>
            <w:r w:rsidRPr="00036E51">
              <w:t xml:space="preserve">Les suppressions sont signalées par des </w:t>
            </w:r>
            <w:r w:rsidRPr="00036E51">
              <w:rPr>
                <w:b/>
                <w:i/>
              </w:rPr>
              <w:t>italiques gras</w:t>
            </w:r>
            <w:r w:rsidRPr="00036E51">
              <w:t xml:space="preserve"> dans la colonne de gauche. Les remplacements sont signalés par des </w:t>
            </w:r>
            <w:r w:rsidRPr="00036E51">
              <w:rPr>
                <w:b/>
                <w:i/>
              </w:rPr>
              <w:t xml:space="preserve">italiques gras </w:t>
            </w:r>
            <w:r w:rsidRPr="00036E51">
              <w:t>dans les deux colonnes. Le texte nouveau est signalé par des</w:t>
            </w:r>
            <w:r w:rsidRPr="00036E51">
              <w:rPr>
                <w:b/>
                <w:i/>
              </w:rPr>
              <w:t xml:space="preserve"> italiques gras</w:t>
            </w:r>
            <w:r w:rsidRPr="00036E51">
              <w:t xml:space="preserve"> dans la colonne de droite.</w:t>
            </w:r>
          </w:p>
          <w:p w:rsidR="00E3684F" w:rsidRPr="00036E51" w:rsidRDefault="00E3684F" w:rsidP="0069092A">
            <w:pPr>
              <w:pStyle w:val="Lgendestandard"/>
            </w:pPr>
          </w:p>
          <w:p w:rsidR="00E3684F" w:rsidRPr="00036E51" w:rsidRDefault="00E3684F" w:rsidP="0069092A">
            <w:pPr>
              <w:pStyle w:val="Lgendestandard"/>
            </w:pPr>
            <w:r w:rsidRPr="00036E51">
              <w:t>Les première et deuxième lignes de l</w:t>
            </w:r>
            <w:r w:rsidR="00BA38FE">
              <w:t>’</w:t>
            </w:r>
            <w:r w:rsidRPr="00036E51">
              <w:t>en-tête de chaque amendement identifient le passage concerné dans le projet d</w:t>
            </w:r>
            <w:r w:rsidR="00BA38FE">
              <w:t>’</w:t>
            </w:r>
            <w:r w:rsidRPr="00036E51">
              <w:t>acte à l</w:t>
            </w:r>
            <w:r w:rsidR="00BA38FE">
              <w:t>’</w:t>
            </w:r>
            <w:r w:rsidRPr="00036E51">
              <w:t>examen. Si un amendement porte sur un acte existant, que le projet d</w:t>
            </w:r>
            <w:r w:rsidR="00BA38FE">
              <w:t>’</w:t>
            </w:r>
            <w:r w:rsidRPr="00036E51">
              <w:t>acte entend modifier, l</w:t>
            </w:r>
            <w:r w:rsidR="00BA38FE">
              <w:t>’</w:t>
            </w:r>
            <w:r w:rsidRPr="00036E51">
              <w:t>en-tête comporte en outre une troisième et une quatrième lignes qui identifient respectivement l</w:t>
            </w:r>
            <w:r w:rsidR="00BA38FE">
              <w:t>’</w:t>
            </w:r>
            <w:r w:rsidRPr="00036E51">
              <w:t xml:space="preserve">acte existant et la disposition de celui-ci qui est concernée. </w:t>
            </w:r>
          </w:p>
          <w:p w:rsidR="00E3684F" w:rsidRPr="00036E51" w:rsidRDefault="00E3684F" w:rsidP="0069092A">
            <w:pPr>
              <w:pStyle w:val="Lgendestandard"/>
            </w:pPr>
          </w:p>
          <w:p w:rsidR="00E3684F" w:rsidRPr="00036E51" w:rsidRDefault="00E3684F" w:rsidP="0069092A">
            <w:pPr>
              <w:pStyle w:val="Lgendestandard"/>
              <w:rPr>
                <w:b/>
                <w:szCs w:val="18"/>
              </w:rPr>
            </w:pPr>
            <w:r w:rsidRPr="00036E51">
              <w:rPr>
                <w:b/>
              </w:rPr>
              <w:t>Amendements du Parlement prenant la forme d</w:t>
            </w:r>
            <w:r w:rsidR="00BA38FE">
              <w:rPr>
                <w:b/>
              </w:rPr>
              <w:t>’</w:t>
            </w:r>
            <w:r w:rsidRPr="00036E51">
              <w:rPr>
                <w:b/>
              </w:rPr>
              <w:t>un texte consolidé</w:t>
            </w:r>
          </w:p>
          <w:p w:rsidR="00E3684F" w:rsidRPr="00036E51" w:rsidRDefault="00E3684F" w:rsidP="0069092A">
            <w:pPr>
              <w:pStyle w:val="Lgendestandard"/>
              <w:rPr>
                <w:szCs w:val="18"/>
              </w:rPr>
            </w:pPr>
          </w:p>
          <w:p w:rsidR="00E3684F" w:rsidRPr="00036E51" w:rsidRDefault="00E3684F" w:rsidP="0069092A">
            <w:pPr>
              <w:pStyle w:val="Lgendestandard"/>
              <w:rPr>
                <w:szCs w:val="18"/>
              </w:rPr>
            </w:pPr>
            <w:r w:rsidRPr="00036E51">
              <w:t xml:space="preserve">Les parties de textes nouvelles sont indiquées en </w:t>
            </w:r>
            <w:r w:rsidRPr="00036E51">
              <w:rPr>
                <w:b/>
                <w:i/>
              </w:rPr>
              <w:t>italiques gras</w:t>
            </w:r>
            <w:r w:rsidRPr="00036E51">
              <w:t xml:space="preserve">. Les parties de texte supprimées sont indiquées par le symbole ▌ ou barrées. Les remplacements sont signalés en indiquant en </w:t>
            </w:r>
            <w:r w:rsidRPr="00036E51">
              <w:rPr>
                <w:b/>
                <w:i/>
              </w:rPr>
              <w:t xml:space="preserve">italiques gras </w:t>
            </w:r>
            <w:r w:rsidRPr="00036E51">
              <w:t xml:space="preserve">le texte nouveau et en effaçant ou en barrant le texte remplacé. </w:t>
            </w:r>
          </w:p>
          <w:p w:rsidR="00E3684F" w:rsidRPr="00036E51" w:rsidRDefault="00E3684F" w:rsidP="0069092A">
            <w:pPr>
              <w:pStyle w:val="Lgendestandard"/>
            </w:pPr>
            <w:r w:rsidRPr="00036E51">
              <w:t>Par exception, les modifications de nature strictement technique apportées par les services en vue de l</w:t>
            </w:r>
            <w:r w:rsidR="00BA38FE">
              <w:t>’</w:t>
            </w:r>
            <w:r w:rsidRPr="00036E51">
              <w:t>élaboration du texte final ne sont pas marquées.</w:t>
            </w:r>
          </w:p>
          <w:p w:rsidR="00E3684F" w:rsidRPr="00036E51" w:rsidRDefault="00E3684F" w:rsidP="0069092A">
            <w:pPr>
              <w:pStyle w:val="Lgendestandard"/>
            </w:pPr>
          </w:p>
        </w:tc>
      </w:tr>
    </w:tbl>
    <w:p w:rsidR="00E3684F" w:rsidRPr="00036E51" w:rsidRDefault="00E3684F" w:rsidP="00894923"/>
    <w:p w:rsidR="00ED0821" w:rsidRPr="00036E51" w:rsidRDefault="00ED0821" w:rsidP="006506C7">
      <w:pPr>
        <w:widowControl/>
        <w:tabs>
          <w:tab w:val="center" w:pos="4677"/>
        </w:tabs>
      </w:pPr>
    </w:p>
    <w:p w:rsidR="00ED0821" w:rsidRPr="00036E51" w:rsidRDefault="00ED0821">
      <w:pPr>
        <w:pStyle w:val="TOCHeading"/>
      </w:pPr>
      <w:r w:rsidRPr="00036E51">
        <w:br w:type="page"/>
      </w:r>
      <w:r w:rsidRPr="00036E51">
        <w:lastRenderedPageBreak/>
        <w:t>SOMMAIRE</w:t>
      </w:r>
    </w:p>
    <w:p w:rsidR="00ED0821" w:rsidRPr="00036E51" w:rsidRDefault="00EB2C40">
      <w:pPr>
        <w:pStyle w:val="TOCPage"/>
      </w:pPr>
      <w:r w:rsidRPr="00036E51">
        <w:t>Page</w:t>
      </w:r>
    </w:p>
    <w:p w:rsidR="00BA38FE" w:rsidRDefault="006506C7">
      <w:pPr>
        <w:pStyle w:val="TOC1"/>
        <w:tabs>
          <w:tab w:val="right" w:leader="dot" w:pos="9060"/>
        </w:tabs>
        <w:rPr>
          <w:rFonts w:asciiTheme="minorHAnsi" w:eastAsiaTheme="minorEastAsia" w:hAnsiTheme="minorHAnsi" w:cstheme="minorBidi"/>
          <w:noProof/>
          <w:sz w:val="22"/>
          <w:szCs w:val="22"/>
          <w:lang w:val="en-GB"/>
        </w:rPr>
      </w:pPr>
      <w:r w:rsidRPr="00036E51">
        <w:rPr>
          <w:b/>
        </w:rPr>
        <w:fldChar w:fldCharType="begin"/>
      </w:r>
      <w:r w:rsidRPr="00036E51">
        <w:rPr>
          <w:b/>
        </w:rPr>
        <w:instrText xml:space="preserve"> TOC \t "PageHeading</w:instrText>
      </w:r>
      <w:r w:rsidR="00E3684F" w:rsidRPr="00036E51">
        <w:rPr>
          <w:b/>
        </w:rPr>
        <w:instrText>;</w:instrText>
      </w:r>
      <w:r w:rsidRPr="00036E51">
        <w:rPr>
          <w:b/>
        </w:rPr>
        <w:instrText xml:space="preserve">1" </w:instrText>
      </w:r>
      <w:r w:rsidRPr="00036E51">
        <w:rPr>
          <w:b/>
        </w:rPr>
        <w:fldChar w:fldCharType="separate"/>
      </w:r>
      <w:r w:rsidR="00BA38FE">
        <w:rPr>
          <w:noProof/>
        </w:rPr>
        <w:t>PROJET DE RÉSOLUTION LÉGISLATIVE DU PARLEMENT EUROPÉEN</w:t>
      </w:r>
      <w:r w:rsidR="00BA38FE">
        <w:rPr>
          <w:noProof/>
        </w:rPr>
        <w:tab/>
      </w:r>
      <w:r w:rsidR="00BA38FE">
        <w:rPr>
          <w:noProof/>
        </w:rPr>
        <w:fldChar w:fldCharType="begin"/>
      </w:r>
      <w:r w:rsidR="00BA38FE">
        <w:rPr>
          <w:noProof/>
        </w:rPr>
        <w:instrText xml:space="preserve"> PAGEREF _Toc150936843 \h </w:instrText>
      </w:r>
      <w:r w:rsidR="00BA38FE">
        <w:rPr>
          <w:noProof/>
        </w:rPr>
      </w:r>
      <w:r w:rsidR="00BA38FE">
        <w:rPr>
          <w:noProof/>
        </w:rPr>
        <w:fldChar w:fldCharType="separate"/>
      </w:r>
      <w:r w:rsidR="00BA38FE">
        <w:rPr>
          <w:noProof/>
        </w:rPr>
        <w:t>5</w:t>
      </w:r>
      <w:r w:rsidR="00BA38FE">
        <w:rPr>
          <w:noProof/>
        </w:rPr>
        <w:fldChar w:fldCharType="end"/>
      </w:r>
    </w:p>
    <w:p w:rsidR="00BA38FE" w:rsidRDefault="00BA38FE">
      <w:pPr>
        <w:pStyle w:val="TOC1"/>
        <w:tabs>
          <w:tab w:val="right" w:leader="dot" w:pos="9060"/>
        </w:tabs>
        <w:rPr>
          <w:rFonts w:asciiTheme="minorHAnsi" w:eastAsiaTheme="minorEastAsia" w:hAnsiTheme="minorHAnsi" w:cstheme="minorBidi"/>
          <w:noProof/>
          <w:sz w:val="22"/>
          <w:szCs w:val="22"/>
          <w:lang w:val="en-GB"/>
        </w:rPr>
      </w:pPr>
      <w:r>
        <w:rPr>
          <w:noProof/>
        </w:rPr>
        <w:t>PROCÉDURE DE LA COMMISSION COMPÉTENTE AU FOND</w:t>
      </w:r>
      <w:r>
        <w:rPr>
          <w:noProof/>
        </w:rPr>
        <w:tab/>
      </w:r>
      <w:r>
        <w:rPr>
          <w:noProof/>
        </w:rPr>
        <w:fldChar w:fldCharType="begin"/>
      </w:r>
      <w:r>
        <w:rPr>
          <w:noProof/>
        </w:rPr>
        <w:instrText xml:space="preserve"> PAGEREF _Toc150936844 \h </w:instrText>
      </w:r>
      <w:r>
        <w:rPr>
          <w:noProof/>
        </w:rPr>
      </w:r>
      <w:r>
        <w:rPr>
          <w:noProof/>
        </w:rPr>
        <w:fldChar w:fldCharType="separate"/>
      </w:r>
      <w:r>
        <w:rPr>
          <w:noProof/>
        </w:rPr>
        <w:t>20</w:t>
      </w:r>
      <w:r>
        <w:rPr>
          <w:noProof/>
        </w:rPr>
        <w:fldChar w:fldCharType="end"/>
      </w:r>
    </w:p>
    <w:p w:rsidR="00BA38FE" w:rsidRDefault="00BA38FE">
      <w:pPr>
        <w:pStyle w:val="TOC1"/>
        <w:tabs>
          <w:tab w:val="right" w:leader="dot" w:pos="9060"/>
        </w:tabs>
        <w:rPr>
          <w:rFonts w:asciiTheme="minorHAnsi" w:eastAsiaTheme="minorEastAsia" w:hAnsiTheme="minorHAnsi" w:cstheme="minorBidi"/>
          <w:noProof/>
          <w:sz w:val="22"/>
          <w:szCs w:val="22"/>
          <w:lang w:val="en-GB"/>
        </w:rPr>
      </w:pPr>
      <w:r>
        <w:rPr>
          <w:noProof/>
        </w:rPr>
        <w:t>VOTE FINAL PAR APPEL NOMINAL EN COMMISSION COMPÉTENTE AU FOND</w:t>
      </w:r>
      <w:r>
        <w:rPr>
          <w:noProof/>
        </w:rPr>
        <w:tab/>
      </w:r>
      <w:r>
        <w:rPr>
          <w:noProof/>
        </w:rPr>
        <w:fldChar w:fldCharType="begin"/>
      </w:r>
      <w:r>
        <w:rPr>
          <w:noProof/>
        </w:rPr>
        <w:instrText xml:space="preserve"> PAGEREF _Toc150936845 \h </w:instrText>
      </w:r>
      <w:r>
        <w:rPr>
          <w:noProof/>
        </w:rPr>
      </w:r>
      <w:r>
        <w:rPr>
          <w:noProof/>
        </w:rPr>
        <w:fldChar w:fldCharType="separate"/>
      </w:r>
      <w:r>
        <w:rPr>
          <w:noProof/>
        </w:rPr>
        <w:t>21</w:t>
      </w:r>
      <w:r>
        <w:rPr>
          <w:noProof/>
        </w:rPr>
        <w:fldChar w:fldCharType="end"/>
      </w:r>
    </w:p>
    <w:p w:rsidR="001A06D8" w:rsidRPr="00036E51" w:rsidRDefault="006506C7" w:rsidP="002C16AB">
      <w:r w:rsidRPr="00036E51">
        <w:rPr>
          <w:b/>
        </w:rPr>
        <w:fldChar w:fldCharType="end"/>
      </w:r>
    </w:p>
    <w:p w:rsidR="00ED0821" w:rsidRPr="00036E51" w:rsidRDefault="00ED0821">
      <w:pPr>
        <w:pStyle w:val="PageHeading"/>
      </w:pPr>
      <w:r w:rsidRPr="00036E51">
        <w:br w:type="page"/>
      </w:r>
      <w:r w:rsidRPr="00036E51">
        <w:lastRenderedPageBreak/>
        <w:br w:type="page"/>
      </w:r>
      <w:bookmarkStart w:id="1" w:name="_Toc150936843"/>
      <w:r w:rsidRPr="00036E51">
        <w:lastRenderedPageBreak/>
        <w:t>PROJET DE RÉSOLUTION LÉGISLATIVE DU PARLEMENT EUROPÉEN</w:t>
      </w:r>
      <w:bookmarkEnd w:id="1"/>
    </w:p>
    <w:p w:rsidR="00E3684F" w:rsidRPr="00036E51" w:rsidRDefault="00E3684F" w:rsidP="00E3684F">
      <w:pPr>
        <w:pStyle w:val="NormalBold"/>
      </w:pPr>
      <w:r w:rsidRPr="00036E51">
        <w:t>sur la proposition de directive du Parlement européen et du Conseil modifiant la directive 2014/65/UE afin de rendre les marchés des capitaux de l</w:t>
      </w:r>
      <w:r w:rsidR="00BA38FE">
        <w:t>’</w:t>
      </w:r>
      <w:r w:rsidRPr="00036E51">
        <w:t>Union plus attractifs pour les entreprises et de faciliter l</w:t>
      </w:r>
      <w:r w:rsidR="00BA38FE">
        <w:t>’</w:t>
      </w:r>
      <w:r w:rsidRPr="00036E51">
        <w:t>accès des petites et moyennes entreprises aux capitaux, et abrogeant la directive 2001/34/CE</w:t>
      </w:r>
    </w:p>
    <w:p w:rsidR="00ED0821" w:rsidRPr="00036E51" w:rsidRDefault="00E3684F" w:rsidP="00E3684F">
      <w:pPr>
        <w:pStyle w:val="NormalBold12a"/>
      </w:pPr>
      <w:r w:rsidRPr="00036E51">
        <w:t>(COM(2022)0760 – C9</w:t>
      </w:r>
      <w:r w:rsidRPr="00036E51">
        <w:noBreakHyphen/>
        <w:t>0415/2022 – 2022/0405(COD))</w:t>
      </w:r>
    </w:p>
    <w:p w:rsidR="00ED0821" w:rsidRPr="00036E51" w:rsidRDefault="00EB2C40" w:rsidP="00B03ED6">
      <w:pPr>
        <w:pStyle w:val="NormalBold"/>
      </w:pPr>
      <w:r w:rsidRPr="00036E51">
        <w:t>(Procédure législative ordinaire: première lecture)</w:t>
      </w:r>
    </w:p>
    <w:p w:rsidR="00ED0821" w:rsidRPr="00036E51" w:rsidRDefault="00EB2C40">
      <w:pPr>
        <w:pStyle w:val="EPComma"/>
      </w:pPr>
      <w:r w:rsidRPr="00036E51">
        <w:rPr>
          <w:i/>
        </w:rPr>
        <w:t>Le Parlement européen</w:t>
      </w:r>
      <w:r w:rsidRPr="00036E51">
        <w:t>,</w:t>
      </w:r>
    </w:p>
    <w:p w:rsidR="00E3684F" w:rsidRPr="00036E51" w:rsidRDefault="00ED0821" w:rsidP="00E3684F">
      <w:pPr>
        <w:pStyle w:val="NormalHanging12a"/>
      </w:pPr>
      <w:r w:rsidRPr="00036E51">
        <w:t>–</w:t>
      </w:r>
      <w:r w:rsidRPr="00036E51">
        <w:tab/>
        <w:t>vu la proposition de la Commission au Parlement et au Conseil (COM(2022)0760),</w:t>
      </w:r>
    </w:p>
    <w:p w:rsidR="00E3684F" w:rsidRPr="00036E51" w:rsidRDefault="00E3684F" w:rsidP="00E3684F">
      <w:pPr>
        <w:pStyle w:val="NormalHanging12a"/>
      </w:pPr>
      <w:r w:rsidRPr="00036E51">
        <w:t>–</w:t>
      </w:r>
      <w:r w:rsidRPr="00036E51">
        <w:tab/>
        <w:t>vu l</w:t>
      </w:r>
      <w:r w:rsidR="00BA38FE">
        <w:t>’</w:t>
      </w:r>
      <w:r w:rsidRPr="00036E51">
        <w:t>article 294, paragraphe 2, ainsi que l</w:t>
      </w:r>
      <w:r w:rsidR="00BA38FE">
        <w:t>’</w:t>
      </w:r>
      <w:r w:rsidRPr="00036E51">
        <w:t>article 50, l</w:t>
      </w:r>
      <w:r w:rsidR="00BA38FE">
        <w:t>’</w:t>
      </w:r>
      <w:r w:rsidRPr="00036E51">
        <w:t>article 51, paragraphe 2, et l</w:t>
      </w:r>
      <w:r w:rsidR="00BA38FE">
        <w:t>’</w:t>
      </w:r>
      <w:r w:rsidRPr="00036E51">
        <w:t>article 114 du traité sur le fonctionnement de l</w:t>
      </w:r>
      <w:r w:rsidR="00BA38FE">
        <w:t>’</w:t>
      </w:r>
      <w:r w:rsidRPr="00036E51">
        <w:t>Union européenne, conformément auxquels la proposition lui a été présentée par la Commission (C9</w:t>
      </w:r>
      <w:r w:rsidRPr="00036E51">
        <w:noBreakHyphen/>
        <w:t>0415/2022),</w:t>
      </w:r>
    </w:p>
    <w:p w:rsidR="00E3684F" w:rsidRPr="00036E51" w:rsidRDefault="00E3684F" w:rsidP="00E3684F">
      <w:pPr>
        <w:pStyle w:val="NormalHanging12a"/>
      </w:pPr>
      <w:r w:rsidRPr="00036E51">
        <w:t>–</w:t>
      </w:r>
      <w:r w:rsidRPr="00036E51">
        <w:tab/>
        <w:t>vu l</w:t>
      </w:r>
      <w:r w:rsidR="00BA38FE">
        <w:t>’</w:t>
      </w:r>
      <w:r w:rsidRPr="00036E51">
        <w:t>article 294, paragraphe 3, du traité sur le fonctionnement de l</w:t>
      </w:r>
      <w:r w:rsidR="00BA38FE">
        <w:t>’</w:t>
      </w:r>
      <w:r w:rsidRPr="00036E51">
        <w:t>Union européenne,</w:t>
      </w:r>
    </w:p>
    <w:p w:rsidR="00E3684F" w:rsidRPr="00036E51" w:rsidRDefault="00E3684F" w:rsidP="00E3684F">
      <w:pPr>
        <w:pStyle w:val="NormalHanging12a"/>
      </w:pPr>
      <w:r w:rsidRPr="00036E51">
        <w:t>–</w:t>
      </w:r>
      <w:r w:rsidRPr="00036E51">
        <w:tab/>
        <w:t>vu l</w:t>
      </w:r>
      <w:r w:rsidR="00BA38FE">
        <w:t>’</w:t>
      </w:r>
      <w:r w:rsidRPr="00036E51">
        <w:t>avis du Comité économique et social européen du 23 mars 2023</w:t>
      </w:r>
      <w:r w:rsidRPr="00036E51">
        <w:rPr>
          <w:rStyle w:val="FootnoteReference"/>
          <w:szCs w:val="24"/>
        </w:rPr>
        <w:footnoteReference w:id="1"/>
      </w:r>
      <w:r w:rsidRPr="00036E51">
        <w:t>,</w:t>
      </w:r>
    </w:p>
    <w:p w:rsidR="00BA38FE" w:rsidRDefault="00E3684F" w:rsidP="00E3684F">
      <w:pPr>
        <w:pStyle w:val="NormalHanging12a"/>
      </w:pPr>
      <w:r w:rsidRPr="00036E51">
        <w:t>–</w:t>
      </w:r>
      <w:r w:rsidRPr="00036E51">
        <w:tab/>
        <w:t>vu l</w:t>
      </w:r>
      <w:r w:rsidR="00BA38FE">
        <w:t>’</w:t>
      </w:r>
      <w:r w:rsidRPr="00036E51">
        <w:t>article 59 de son règlement intérieur,</w:t>
      </w:r>
    </w:p>
    <w:p w:rsidR="00E3684F" w:rsidRPr="00036E51" w:rsidRDefault="00E3684F" w:rsidP="00E3684F">
      <w:pPr>
        <w:pStyle w:val="NormalHanging12a"/>
      </w:pPr>
      <w:r w:rsidRPr="00036E51">
        <w:t>–</w:t>
      </w:r>
      <w:r w:rsidRPr="00036E51">
        <w:tab/>
        <w:t>vu le rapport de la commission des affaires économiques et monétaires (A9-0303/2023),</w:t>
      </w:r>
    </w:p>
    <w:p w:rsidR="00E3684F" w:rsidRPr="00036E51" w:rsidRDefault="00E3684F" w:rsidP="00E3684F">
      <w:pPr>
        <w:pStyle w:val="NormalHanging12a"/>
        <w:ind w:left="0" w:firstLine="0"/>
      </w:pPr>
      <w:r w:rsidRPr="00036E51">
        <w:tab/>
      </w:r>
      <w:r w:rsidRPr="00036E51">
        <w:tab/>
      </w:r>
    </w:p>
    <w:p w:rsidR="00E3684F" w:rsidRPr="00036E51" w:rsidRDefault="00E3684F" w:rsidP="00E3684F">
      <w:pPr>
        <w:pStyle w:val="NormalHanging12a"/>
      </w:pPr>
      <w:r w:rsidRPr="00036E51">
        <w:t>1.</w:t>
      </w:r>
      <w:r w:rsidRPr="00036E51">
        <w:tab/>
        <w:t>arrête la position en première lecture figurant ci-après;</w:t>
      </w:r>
    </w:p>
    <w:p w:rsidR="00E3684F" w:rsidRPr="00036E51" w:rsidRDefault="00E3684F" w:rsidP="00E3684F">
      <w:pPr>
        <w:pStyle w:val="NormalHanging12a"/>
      </w:pPr>
      <w:r w:rsidRPr="00036E51">
        <w:t>2.</w:t>
      </w:r>
      <w:r w:rsidRPr="00036E51">
        <w:tab/>
        <w:t>demande à la Commission de le saisir à nouveau, si elle remplace, modifie de manière substantielle ou entend modifier de manière substantielle sa proposition;</w:t>
      </w:r>
    </w:p>
    <w:p w:rsidR="00E3684F" w:rsidRPr="00036E51" w:rsidRDefault="00E3684F" w:rsidP="00E3684F">
      <w:pPr>
        <w:pStyle w:val="NormalHanging12a"/>
      </w:pPr>
      <w:r w:rsidRPr="00036E51">
        <w:t>3.</w:t>
      </w:r>
      <w:r w:rsidRPr="00036E51">
        <w:tab/>
        <w:t>charge sa Présidente de transmettre la position du Parlement au Conseil et à la Commission ainsi qu</w:t>
      </w:r>
      <w:r w:rsidR="00BA38FE">
        <w:t>’</w:t>
      </w:r>
      <w:r w:rsidRPr="00036E51">
        <w:t>aux parlements nationaux.</w:t>
      </w:r>
    </w:p>
    <w:p w:rsidR="00ED0821" w:rsidRPr="00036E51" w:rsidRDefault="00ED0821" w:rsidP="00E3684F">
      <w:pPr>
        <w:pStyle w:val="NormalHanging12a"/>
      </w:pPr>
    </w:p>
    <w:p w:rsidR="005508B4" w:rsidRPr="00036E51" w:rsidRDefault="00EB2C40" w:rsidP="005508B4">
      <w:pPr>
        <w:pStyle w:val="AmNumberTabs"/>
        <w:keepNext/>
      </w:pPr>
      <w:r w:rsidRPr="00036E51">
        <w:t>Amendement</w:t>
      </w:r>
      <w:r w:rsidRPr="00036E51">
        <w:tab/>
      </w:r>
      <w:r w:rsidRPr="00036E51">
        <w:tab/>
        <w:t>1</w:t>
      </w:r>
    </w:p>
    <w:p w:rsidR="00DD5DB1" w:rsidRPr="00036E51" w:rsidRDefault="00EB2C40" w:rsidP="00DD5DB1">
      <w:pPr>
        <w:pStyle w:val="AmHeadingConsam"/>
      </w:pPr>
      <w:r w:rsidRPr="00036E51">
        <w:t>AMENDEMENTS DU PARLEMENT EUROPÉEN</w:t>
      </w:r>
      <w:r w:rsidRPr="00036E51">
        <w:rPr>
          <w:rStyle w:val="FootnoteReference"/>
        </w:rPr>
        <w:footnoteReference w:customMarkFollows="1" w:id="2"/>
        <w:t>*</w:t>
      </w:r>
    </w:p>
    <w:p w:rsidR="00DD5DB1" w:rsidRPr="00036E51" w:rsidRDefault="00EB2C40" w:rsidP="0050599C">
      <w:pPr>
        <w:pStyle w:val="NormalCenter12a"/>
      </w:pPr>
      <w:r w:rsidRPr="00036E51">
        <w:t>à la proposition de la Commission</w:t>
      </w:r>
    </w:p>
    <w:p w:rsidR="00842A4F" w:rsidRPr="00036E51" w:rsidRDefault="00842A4F" w:rsidP="0050599C">
      <w:pPr>
        <w:pStyle w:val="NormalCenter12a"/>
      </w:pPr>
      <w:r w:rsidRPr="00036E51">
        <w:lastRenderedPageBreak/>
        <w:t>---------------------------------------------------------</w:t>
      </w:r>
    </w:p>
    <w:p w:rsidR="00E3684F" w:rsidRPr="00036E51" w:rsidRDefault="00E3684F" w:rsidP="00E3684F">
      <w:pPr>
        <w:pStyle w:val="Statut"/>
        <w:rPr>
          <w:noProof/>
        </w:rPr>
      </w:pPr>
      <w:r w:rsidRPr="00036E51">
        <w:t>Proposition de</w:t>
      </w:r>
    </w:p>
    <w:p w:rsidR="00E3684F" w:rsidRPr="00036E51" w:rsidRDefault="00E3684F" w:rsidP="00E3684F">
      <w:pPr>
        <w:pStyle w:val="Typedudocument"/>
        <w:rPr>
          <w:noProof/>
        </w:rPr>
      </w:pPr>
      <w:r w:rsidRPr="00036E51">
        <w:t>DIRECTIVE DU PARLEMENT EUROPÉEN ET DU CONSEIL</w:t>
      </w:r>
    </w:p>
    <w:p w:rsidR="00E3684F" w:rsidRPr="00036E51" w:rsidRDefault="00E3684F" w:rsidP="00E3684F">
      <w:pPr>
        <w:pStyle w:val="Titreobjet"/>
        <w:rPr>
          <w:noProof/>
        </w:rPr>
      </w:pPr>
      <w:r w:rsidRPr="00036E51">
        <w:t>modifiant la directive 2014/65/UE afin de rendre les marchés des capitaux de l</w:t>
      </w:r>
      <w:r w:rsidR="00BA38FE">
        <w:t>’</w:t>
      </w:r>
      <w:r w:rsidRPr="00036E51">
        <w:t>Union plus attractifs pour les entreprises et de faciliter l</w:t>
      </w:r>
      <w:r w:rsidR="00BA38FE">
        <w:t>’</w:t>
      </w:r>
      <w:r w:rsidRPr="00036E51">
        <w:t>accès des petites et moyennes entreprises aux capitaux, et abrogeant la directive 2001/34/CE</w:t>
      </w:r>
    </w:p>
    <w:p w:rsidR="00E3684F" w:rsidRPr="00036E51" w:rsidRDefault="00E3684F" w:rsidP="00E3684F">
      <w:pPr>
        <w:pStyle w:val="IntrtEEE"/>
        <w:rPr>
          <w:noProof/>
        </w:rPr>
      </w:pPr>
      <w:r w:rsidRPr="00036E51">
        <w:t>(Texte présentant de l</w:t>
      </w:r>
      <w:r w:rsidR="00BA38FE">
        <w:t>’</w:t>
      </w:r>
      <w:r w:rsidRPr="00036E51">
        <w:t>intérêt pour l</w:t>
      </w:r>
      <w:r w:rsidR="00BA38FE">
        <w:t>’</w:t>
      </w:r>
      <w:r w:rsidRPr="00036E51">
        <w:t>EEE)</w:t>
      </w:r>
    </w:p>
    <w:p w:rsidR="00E3684F" w:rsidRPr="00036E51" w:rsidRDefault="00E3684F" w:rsidP="00E3684F">
      <w:pPr>
        <w:pStyle w:val="Institutionquiagit"/>
        <w:rPr>
          <w:noProof/>
        </w:rPr>
      </w:pPr>
      <w:r w:rsidRPr="00036E51">
        <w:t>LE PARLEMENT EUROPÉEN ET LE CONSEIL DE L</w:t>
      </w:r>
      <w:r w:rsidR="00BA38FE">
        <w:t>’</w:t>
      </w:r>
      <w:r w:rsidRPr="00036E51">
        <w:t>UNION EUROPÉENNE,</w:t>
      </w:r>
    </w:p>
    <w:p w:rsidR="00E3684F" w:rsidRPr="00036E51" w:rsidRDefault="00E3684F" w:rsidP="00E3684F">
      <w:pPr>
        <w:rPr>
          <w:noProof/>
        </w:rPr>
      </w:pPr>
      <w:r w:rsidRPr="00036E51">
        <w:t>vu le traité sur le fonctionnement de l</w:t>
      </w:r>
      <w:r w:rsidR="00BA38FE">
        <w:t>’</w:t>
      </w:r>
      <w:r w:rsidRPr="00036E51">
        <w:t>Union européenne, et notamment son article 50, son article 53, paragraphe 1, et son article 114,</w:t>
      </w:r>
    </w:p>
    <w:p w:rsidR="00E3684F" w:rsidRPr="00036E51" w:rsidRDefault="00E3684F" w:rsidP="00E3684F">
      <w:pPr>
        <w:rPr>
          <w:noProof/>
        </w:rPr>
      </w:pPr>
      <w:r w:rsidRPr="00036E51">
        <w:t>vu la proposition de la Commission européenne,</w:t>
      </w:r>
    </w:p>
    <w:p w:rsidR="00E3684F" w:rsidRPr="00036E51" w:rsidRDefault="00E3684F" w:rsidP="00E3684F">
      <w:pPr>
        <w:rPr>
          <w:noProof/>
        </w:rPr>
      </w:pPr>
      <w:r w:rsidRPr="00036E51">
        <w:t>après transmission du projet d</w:t>
      </w:r>
      <w:r w:rsidR="00BA38FE">
        <w:t>’</w:t>
      </w:r>
      <w:r w:rsidRPr="00036E51">
        <w:t>acte législatif aux parlements nationaux,</w:t>
      </w:r>
    </w:p>
    <w:p w:rsidR="00E3684F" w:rsidRPr="00036E51" w:rsidRDefault="00E3684F" w:rsidP="00E3684F">
      <w:pPr>
        <w:rPr>
          <w:noProof/>
        </w:rPr>
      </w:pPr>
      <w:r w:rsidRPr="00036E51">
        <w:t>vu l</w:t>
      </w:r>
      <w:r w:rsidR="00BA38FE">
        <w:t>’</w:t>
      </w:r>
      <w:r w:rsidRPr="00036E51">
        <w:t>avis du Comité économique et social européen</w:t>
      </w:r>
      <w:r w:rsidRPr="00036E51">
        <w:rPr>
          <w:rStyle w:val="FootnoteReference"/>
          <w:noProof/>
        </w:rPr>
        <w:footnoteReference w:id="3"/>
      </w:r>
      <w:r w:rsidRPr="00036E51">
        <w:t xml:space="preserve">, </w:t>
      </w:r>
    </w:p>
    <w:p w:rsidR="00E3684F" w:rsidRPr="00036E51" w:rsidRDefault="00E3684F" w:rsidP="00E3684F">
      <w:pPr>
        <w:rPr>
          <w:noProof/>
        </w:rPr>
      </w:pPr>
      <w:r w:rsidRPr="00036E51">
        <w:t>statuant conformément à la procédure législative ordinaire,</w:t>
      </w:r>
    </w:p>
    <w:p w:rsidR="00E3684F" w:rsidRPr="00036E51" w:rsidRDefault="00E3684F" w:rsidP="00E3684F">
      <w:pPr>
        <w:rPr>
          <w:noProof/>
        </w:rPr>
      </w:pPr>
      <w:r w:rsidRPr="00036E51">
        <w:t>considérant ce qui suit:</w:t>
      </w:r>
    </w:p>
    <w:p w:rsidR="00E3684F" w:rsidRPr="00036E51" w:rsidRDefault="00E3684F" w:rsidP="00E3684F">
      <w:pPr>
        <w:pStyle w:val="ManualConsidrant"/>
        <w:rPr>
          <w:noProof/>
        </w:rPr>
      </w:pPr>
      <w:r w:rsidRPr="00036E51">
        <w:t>(1)</w:t>
      </w:r>
      <w:r w:rsidRPr="00036E51">
        <w:tab/>
        <w:t>La directive 2014/65/UE du Parlement européen et du Conseil</w:t>
      </w:r>
      <w:r w:rsidRPr="00036E51">
        <w:rPr>
          <w:rStyle w:val="FootnoteReference"/>
          <w:noProof/>
        </w:rPr>
        <w:footnoteReference w:id="4"/>
      </w:r>
      <w:r w:rsidRPr="00036E51">
        <w:t xml:space="preserve"> a été modifiée par le règlement (UE) 2019/2115 du Parlement européen et du Conseil</w:t>
      </w:r>
      <w:r w:rsidRPr="00036E51">
        <w:rPr>
          <w:rStyle w:val="FootnoteReference"/>
          <w:noProof/>
        </w:rPr>
        <w:footnoteReference w:id="5"/>
      </w:r>
      <w:r w:rsidRPr="00036E51">
        <w:t>, lequel a introduit des allègements proportionnés afin de renforcer le recours aux marchés de croissance des PME et de réduire les exigences réglementaires excessives imposées aux émetteurs sollicitant l</w:t>
      </w:r>
      <w:r w:rsidR="00BA38FE">
        <w:t>’</w:t>
      </w:r>
      <w:r w:rsidRPr="00036E51">
        <w:t>admission de valeurs mobilières sur les marchés de croissance des PME, tout en préservant un niveau approprié de protection des investisseurs et d</w:t>
      </w:r>
      <w:r w:rsidR="00BA38FE">
        <w:t>’</w:t>
      </w:r>
      <w:r w:rsidRPr="00036E51">
        <w:t>intégrité du marché. Toutefois, afin de rationaliser le processus d</w:t>
      </w:r>
      <w:r w:rsidR="00BA38FE">
        <w:t>’</w:t>
      </w:r>
      <w:r w:rsidRPr="00036E51">
        <w:t>admission à la cote et de rendre le traitement réglementaire des entreprises plus souple et plus proportionné à leur taille, il est indispensable d</w:t>
      </w:r>
      <w:r w:rsidR="00BA38FE">
        <w:t>’</w:t>
      </w:r>
      <w:r w:rsidRPr="00036E51">
        <w:t>apporter de nouvelles modifications à la directive 2014/65/UE.</w:t>
      </w:r>
    </w:p>
    <w:p w:rsidR="00E3684F" w:rsidRPr="00036E51" w:rsidRDefault="00E3684F" w:rsidP="00E3684F">
      <w:pPr>
        <w:pStyle w:val="ManualConsidrant"/>
        <w:rPr>
          <w:noProof/>
        </w:rPr>
      </w:pPr>
      <w:r w:rsidRPr="00036E51">
        <w:t>(2)</w:t>
      </w:r>
      <w:r w:rsidRPr="00036E51">
        <w:tab/>
        <w:t>La directive 2014/65/UE et la directive déléguée (UE) 2017/593 de la Commission</w:t>
      </w:r>
      <w:r w:rsidRPr="00036E51">
        <w:rPr>
          <w:rStyle w:val="FootnoteReference"/>
          <w:noProof/>
        </w:rPr>
        <w:footnoteReference w:id="6"/>
      </w:r>
      <w:r w:rsidRPr="00036E51">
        <w:t xml:space="preserve"> définissent les conditions à respecter pour que les travaux de recherche en investissements fournis par des tiers à des entreprises d</w:t>
      </w:r>
      <w:r w:rsidR="00BA38FE">
        <w:t>’</w:t>
      </w:r>
      <w:r w:rsidRPr="00036E51">
        <w:t>investissement prestataires de services de gestion de portefeuille ou d</w:t>
      </w:r>
      <w:r w:rsidR="00BA38FE">
        <w:t>’</w:t>
      </w:r>
      <w:r w:rsidRPr="00036E51">
        <w:t>autres services d</w:t>
      </w:r>
      <w:r w:rsidR="00BA38FE">
        <w:t>’</w:t>
      </w:r>
      <w:r w:rsidRPr="00036E51">
        <w:t>investissement ou services auxiliaires ne soit pas considérée comme une incitation. Afin d</w:t>
      </w:r>
      <w:r w:rsidR="00BA38FE">
        <w:t>’</w:t>
      </w:r>
      <w:r w:rsidRPr="00036E51">
        <w:t xml:space="preserve">encourager davantage </w:t>
      </w:r>
      <w:r w:rsidRPr="00036E51">
        <w:lastRenderedPageBreak/>
        <w:t>la recherche en investissements sur les entreprises de l</w:t>
      </w:r>
      <w:r w:rsidR="00BA38FE">
        <w:t>’</w:t>
      </w:r>
      <w:r w:rsidRPr="00036E51">
        <w:t xml:space="preserve">Union, en particulier sur les </w:t>
      </w:r>
      <w:bookmarkStart w:id="2" w:name="_Hlk120611120"/>
      <w:r w:rsidRPr="00036E51">
        <w:rPr>
          <w:shd w:val="clear" w:color="auto" w:fill="FFFFFF"/>
        </w:rPr>
        <w:t>entreprises à faible ou moyenne capitalisation</w:t>
      </w:r>
      <w:bookmarkEnd w:id="2"/>
      <w:r w:rsidRPr="00036E51">
        <w:t>, et de donner à ces entreprises plus de visibilité et plus de possibilités d</w:t>
      </w:r>
      <w:r w:rsidR="00BA38FE">
        <w:t>’</w:t>
      </w:r>
      <w:r w:rsidRPr="00036E51">
        <w:t>attirer des investisseurs potentiels, il est nécessaire d</w:t>
      </w:r>
      <w:r w:rsidR="00BA38FE">
        <w:t>’</w:t>
      </w:r>
      <w:r w:rsidRPr="00036E51">
        <w:t>apporter</w:t>
      </w:r>
      <w:bookmarkStart w:id="3" w:name="_Hlk120611157"/>
      <w:r w:rsidRPr="00036E51">
        <w:t xml:space="preserve"> </w:t>
      </w:r>
      <w:r w:rsidRPr="00036E51">
        <w:rPr>
          <w:b/>
          <w:bCs/>
          <w:i/>
          <w:iCs/>
        </w:rPr>
        <w:t>des</w:t>
      </w:r>
      <w:r w:rsidRPr="00036E51">
        <w:t xml:space="preserve"> modifications</w:t>
      </w:r>
      <w:bookmarkEnd w:id="3"/>
      <w:r w:rsidRPr="00036E51">
        <w:t xml:space="preserve"> à ladite directive.</w:t>
      </w:r>
    </w:p>
    <w:p w:rsidR="00E3684F" w:rsidRPr="00036E51" w:rsidRDefault="00E3684F" w:rsidP="00E3684F">
      <w:pPr>
        <w:pStyle w:val="ManualConsidrant"/>
        <w:rPr>
          <w:noProof/>
        </w:rPr>
      </w:pPr>
      <w:r w:rsidRPr="00036E51">
        <w:t>(3)</w:t>
      </w:r>
      <w:r w:rsidRPr="00036E51">
        <w:tab/>
        <w:t>Les dispositions de la directive 2014/65/UE relatives à la recherche imposent aux entreprises d</w:t>
      </w:r>
      <w:r w:rsidR="00BA38FE">
        <w:t>’</w:t>
      </w:r>
      <w:r w:rsidRPr="00036E51">
        <w:t>investissement de séparer les paiements qu</w:t>
      </w:r>
      <w:r w:rsidR="00BA38FE">
        <w:t>’</w:t>
      </w:r>
      <w:r w:rsidRPr="00036E51">
        <w:t>elles reçoivent en tant que commissions de courtage des rémunérations perçues pour la recherche en investissements («règles de dissociation de la recherche»), ou de financer la recherche en investissements sur leurs propres ressources, et d</w:t>
      </w:r>
      <w:r w:rsidR="00BA38FE">
        <w:t>’</w:t>
      </w:r>
      <w:r w:rsidRPr="00036E51">
        <w:t>évaluer la qualité des travaux de recherche qu</w:t>
      </w:r>
      <w:r w:rsidR="00BA38FE">
        <w:t>’</w:t>
      </w:r>
      <w:r w:rsidRPr="00036E51">
        <w:t>elles achètent à l</w:t>
      </w:r>
      <w:r w:rsidR="00BA38FE">
        <w:t>’</w:t>
      </w:r>
      <w:r w:rsidRPr="00036E51">
        <w:t>aune de critères de qualité solides, ainsi que la capacité de ces travaux à améliorer leurs décisions d</w:t>
      </w:r>
      <w:r w:rsidR="00BA38FE">
        <w:t>’</w:t>
      </w:r>
      <w:r w:rsidRPr="00036E51">
        <w:t>investissement. En 2021, ces règles ont été modifiées par la directive (UE) 2021/338 du Parlement européen et du Conseil</w:t>
      </w:r>
      <w:r w:rsidRPr="00036E51">
        <w:rPr>
          <w:rStyle w:val="FootnoteReference"/>
          <w:noProof/>
        </w:rPr>
        <w:footnoteReference w:id="7"/>
      </w:r>
      <w:r w:rsidRPr="00036E51">
        <w:t xml:space="preserve"> afin de permettre des paiements groupés pour la prestation de services d</w:t>
      </w:r>
      <w:r w:rsidR="00BA38FE">
        <w:t>’</w:t>
      </w:r>
      <w:r w:rsidRPr="00036E51">
        <w:t xml:space="preserve">exécution et de recherche pour </w:t>
      </w:r>
      <w:bookmarkStart w:id="4" w:name="_Hlk120611232"/>
      <w:r w:rsidRPr="00036E51">
        <w:rPr>
          <w:shd w:val="clear" w:color="auto" w:fill="FFFFFF"/>
        </w:rPr>
        <w:t>les entreprises à faible et à moyenne capitalisation</w:t>
      </w:r>
      <w:bookmarkEnd w:id="4"/>
      <w:r w:rsidRPr="00036E51">
        <w:t xml:space="preserve"> dont la capitalisation boursière est inférieure à 1 milliard d</w:t>
      </w:r>
      <w:r w:rsidR="00BA38FE">
        <w:t>’</w:t>
      </w:r>
      <w:r w:rsidRPr="00036E51">
        <w:t>EUR. La diminution des activités de recherche en investissements n</w:t>
      </w:r>
      <w:r w:rsidR="00BA38FE">
        <w:t>’</w:t>
      </w:r>
      <w:r w:rsidRPr="00036E51">
        <w:t>a toutefois pas ralenti.</w:t>
      </w:r>
    </w:p>
    <w:p w:rsidR="00E3684F" w:rsidRPr="00036E51" w:rsidRDefault="00E3684F" w:rsidP="00E3684F">
      <w:pPr>
        <w:pStyle w:val="ManualConsidrant"/>
        <w:rPr>
          <w:noProof/>
        </w:rPr>
      </w:pPr>
      <w:r w:rsidRPr="00036E51">
        <w:t>(4)</w:t>
      </w:r>
      <w:r w:rsidRPr="00036E51">
        <w:tab/>
      </w:r>
      <w:r w:rsidRPr="00036E51">
        <w:rPr>
          <w:b/>
          <w:i/>
        </w:rPr>
        <w:t>Par rapport aux entreprises de plus grande envergure, les petites et moyennes entreprises (PME) sont encore caractérisées par un nombre plus faible de recherches effectuées par des analystes, un risque plus élevé de réduction de leur couverture, des recherches de moins bonne qualité et une liquidité du marché secondaire limitée.</w:t>
      </w:r>
      <w:r w:rsidRPr="00036E51">
        <w:rPr>
          <w:i/>
        </w:rPr>
        <w:t xml:space="preserve"> </w:t>
      </w:r>
      <w:r w:rsidRPr="00036E51">
        <w:t>Afin de revitaliser le marché de la recherche en investissements et d</w:t>
      </w:r>
      <w:r w:rsidR="00BA38FE">
        <w:t>’</w:t>
      </w:r>
      <w:r w:rsidRPr="00036E51">
        <w:t>obtenir qu</w:t>
      </w:r>
      <w:r w:rsidR="00BA38FE">
        <w:t>’</w:t>
      </w:r>
      <w:r w:rsidRPr="00036E51">
        <w:t>elle couvre suffisamment d</w:t>
      </w:r>
      <w:r w:rsidR="00BA38FE">
        <w:t>’</w:t>
      </w:r>
      <w:r w:rsidRPr="00036E51">
        <w:t xml:space="preserve">entreprises, en particulier des entreprises à faible et à moyenne capitalisation, ▌les règles de dissociation </w:t>
      </w:r>
      <w:r w:rsidRPr="00036E51">
        <w:rPr>
          <w:b/>
          <w:i/>
        </w:rPr>
        <w:t>devraient être davantage assouplies</w:t>
      </w:r>
      <w:r w:rsidRPr="00036E51">
        <w:t>.</w:t>
      </w:r>
      <w:r w:rsidRPr="00036E51">
        <w:rPr>
          <w:b/>
          <w:i/>
        </w:rPr>
        <w:t xml:space="preserve"> Les entreprises d</w:t>
      </w:r>
      <w:r w:rsidR="00BA38FE">
        <w:rPr>
          <w:b/>
          <w:i/>
        </w:rPr>
        <w:t>’</w:t>
      </w:r>
      <w:r w:rsidRPr="00036E51">
        <w:rPr>
          <w:b/>
          <w:i/>
        </w:rPr>
        <w:t>investissement devraient disposer de plus de souplesse dans la façon dont elles décident d</w:t>
      </w:r>
      <w:r w:rsidR="00BA38FE">
        <w:rPr>
          <w:b/>
          <w:i/>
        </w:rPr>
        <w:t>’</w:t>
      </w:r>
      <w:r w:rsidRPr="00036E51">
        <w:rPr>
          <w:b/>
          <w:i/>
        </w:rPr>
        <w:t>organiser le paiement des services d</w:t>
      </w:r>
      <w:r w:rsidR="00BA38FE">
        <w:rPr>
          <w:b/>
          <w:i/>
        </w:rPr>
        <w:t>’</w:t>
      </w:r>
      <w:r w:rsidRPr="00036E51">
        <w:rPr>
          <w:b/>
          <w:i/>
        </w:rPr>
        <w:t>exécution et de recherche. Cette souplesse suppose cependant que les entreprises d</w:t>
      </w:r>
      <w:r w:rsidR="00BA38FE">
        <w:rPr>
          <w:b/>
          <w:i/>
        </w:rPr>
        <w:t>’</w:t>
      </w:r>
      <w:r w:rsidRPr="00036E51">
        <w:rPr>
          <w:b/>
          <w:i/>
        </w:rPr>
        <w:t>investissement conservent de la transparence vis-à-vis du client concernant leur choix. Les entreprise d</w:t>
      </w:r>
      <w:r w:rsidR="00BA38FE">
        <w:rPr>
          <w:b/>
          <w:i/>
        </w:rPr>
        <w:t>’</w:t>
      </w:r>
      <w:r w:rsidRPr="00036E51">
        <w:rPr>
          <w:b/>
          <w:i/>
        </w:rPr>
        <w:t>investissement devraient informer leurs clients quant à un recours au paiement séparé ou commun pour la prestation de services d</w:t>
      </w:r>
      <w:r w:rsidR="00BA38FE">
        <w:rPr>
          <w:b/>
          <w:i/>
        </w:rPr>
        <w:t>’</w:t>
      </w:r>
      <w:r w:rsidRPr="00036E51">
        <w:rPr>
          <w:b/>
          <w:i/>
        </w:rPr>
        <w:t>exécution et la fourniture de recherche par des tiers. Afin de garantir une information adéquate de leur clientèle, elles devraient consigner les charges imputables aux services de recherche et d</w:t>
      </w:r>
      <w:r w:rsidR="00BA38FE">
        <w:rPr>
          <w:b/>
          <w:i/>
        </w:rPr>
        <w:t>’</w:t>
      </w:r>
      <w:r w:rsidRPr="00036E51">
        <w:rPr>
          <w:b/>
          <w:i/>
        </w:rPr>
        <w:t>exécution et transmettre à leurs clients un rapport annuel sur ces paiements</w:t>
      </w:r>
      <w:r w:rsidRPr="00036E51">
        <w:t>.</w:t>
      </w:r>
    </w:p>
    <w:p w:rsidR="00E3684F" w:rsidRPr="00036E51" w:rsidRDefault="00E3684F" w:rsidP="00E3684F">
      <w:pPr>
        <w:pStyle w:val="ManualConsidrant"/>
        <w:rPr>
          <w:b/>
          <w:i/>
          <w:noProof/>
        </w:rPr>
      </w:pPr>
      <w:r w:rsidRPr="00036E51">
        <w:rPr>
          <w:b/>
          <w:i/>
        </w:rPr>
        <w:t>(4 bis)</w:t>
      </w:r>
      <w:r w:rsidRPr="00036E51">
        <w:rPr>
          <w:b/>
          <w:i/>
        </w:rPr>
        <w:tab/>
        <w:t>La seule adaptation des règles de dissociation ne suffira pas à revitaliser le marché de la recherche en investissements ni à remédier au problème chronique de la faible couverture des entreprises à petite et moyenne capitalisation par les travaux de recherche. Les mesures instaurées par la présente directive ne devraient pas affaiblir les progrès accomplis en matière de transparence des prix, de diminution des conflits d</w:t>
      </w:r>
      <w:r w:rsidR="00BA38FE">
        <w:rPr>
          <w:b/>
          <w:i/>
        </w:rPr>
        <w:t>’</w:t>
      </w:r>
      <w:r w:rsidRPr="00036E51">
        <w:rPr>
          <w:b/>
          <w:i/>
        </w:rPr>
        <w:t>intérêts ou d</w:t>
      </w:r>
      <w:r w:rsidR="00BA38FE">
        <w:rPr>
          <w:b/>
          <w:i/>
        </w:rPr>
        <w:t>’</w:t>
      </w:r>
      <w:r w:rsidRPr="00036E51">
        <w:rPr>
          <w:b/>
          <w:i/>
        </w:rPr>
        <w:t>autres objectifs réglementaires de la MiFID II. Il convient d</w:t>
      </w:r>
      <w:r w:rsidR="00BA38FE">
        <w:rPr>
          <w:b/>
          <w:i/>
        </w:rPr>
        <w:t>’</w:t>
      </w:r>
      <w:r w:rsidRPr="00036E51">
        <w:rPr>
          <w:b/>
          <w:i/>
        </w:rPr>
        <w:t>instituer des mesures supplémentaires afin d</w:t>
      </w:r>
      <w:r w:rsidR="00BA38FE">
        <w:rPr>
          <w:b/>
          <w:i/>
        </w:rPr>
        <w:t>’</w:t>
      </w:r>
      <w:r w:rsidRPr="00036E51">
        <w:rPr>
          <w:b/>
          <w:i/>
        </w:rPr>
        <w:t>améliorer la couverture des PME et la mise en avant de la recherche indépendante sur le marché.</w:t>
      </w:r>
    </w:p>
    <w:p w:rsidR="00E3684F" w:rsidRPr="00036E51" w:rsidRDefault="00E3684F" w:rsidP="00E3684F">
      <w:pPr>
        <w:widowControl/>
        <w:ind w:left="709" w:hanging="709"/>
        <w:rPr>
          <w:szCs w:val="24"/>
        </w:rPr>
      </w:pPr>
      <w:bookmarkStart w:id="5" w:name="_Hlk120611322"/>
      <w:r w:rsidRPr="00036E51">
        <w:t>(5)</w:t>
      </w:r>
      <w:r w:rsidRPr="00036E51">
        <w:tab/>
        <w:t>En outre, pour que davantage d</w:t>
      </w:r>
      <w:r w:rsidR="00BA38FE">
        <w:t>’</w:t>
      </w:r>
      <w:r w:rsidRPr="00036E51">
        <w:t xml:space="preserve">entreprises à faible et à moyenne capitalisation soient couvertes par des travaux de recherche en investissements, les travaux de recherche </w:t>
      </w:r>
      <w:r w:rsidRPr="00036E51">
        <w:lastRenderedPageBreak/>
        <w:t>entièrement ou partiellement financés par l</w:t>
      </w:r>
      <w:r w:rsidR="00BA38FE">
        <w:t>’</w:t>
      </w:r>
      <w:r w:rsidRPr="00036E51">
        <w:t>émetteur devraient être désignés comme «recherche financée par l</w:t>
      </w:r>
      <w:r w:rsidR="00BA38FE">
        <w:t>’</w:t>
      </w:r>
      <w:r w:rsidRPr="00036E51">
        <w:t xml:space="preserve">émetteur». </w:t>
      </w:r>
      <w:bookmarkEnd w:id="5"/>
      <w:r w:rsidRPr="00036E51">
        <w:t>Afin que le matériel issu de la recherche présente un niveau suffisant d</w:t>
      </w:r>
      <w:r w:rsidR="00BA38FE">
        <w:t>’</w:t>
      </w:r>
      <w:r w:rsidRPr="00036E51">
        <w:t>objectivité et d</w:t>
      </w:r>
      <w:r w:rsidR="00BA38FE">
        <w:t>’</w:t>
      </w:r>
      <w:r w:rsidRPr="00036E51">
        <w:t xml:space="preserve">indépendance, il devrait être produit conformément à un code de conduite élaboré ou approuvé par </w:t>
      </w:r>
      <w:r w:rsidRPr="00036E51">
        <w:rPr>
          <w:b/>
          <w:i/>
        </w:rPr>
        <w:t>l</w:t>
      </w:r>
      <w:r w:rsidR="00BA38FE">
        <w:rPr>
          <w:b/>
          <w:i/>
        </w:rPr>
        <w:t>’</w:t>
      </w:r>
      <w:r w:rsidRPr="00036E51">
        <w:rPr>
          <w:b/>
          <w:i/>
        </w:rPr>
        <w:t>AEMF au moyen de normes techniques de réglementation</w:t>
      </w:r>
      <w:r w:rsidRPr="00036E51">
        <w:t>.</w:t>
      </w:r>
      <w:r w:rsidRPr="00036E51">
        <w:rPr>
          <w:b/>
          <w:i/>
        </w:rPr>
        <w:t xml:space="preserve"> À cette fin, les entreprises d</w:t>
      </w:r>
      <w:r w:rsidR="00BA38FE">
        <w:rPr>
          <w:b/>
          <w:i/>
        </w:rPr>
        <w:t>’</w:t>
      </w:r>
      <w:r w:rsidRPr="00036E51">
        <w:rPr>
          <w:b/>
          <w:i/>
        </w:rPr>
        <w:t>investissement devraient disposer de procédures organisationnelles et de gouvernance garantissant que les recherches financées par l</w:t>
      </w:r>
      <w:r w:rsidR="00BA38FE">
        <w:rPr>
          <w:b/>
          <w:i/>
        </w:rPr>
        <w:t>’</w:t>
      </w:r>
      <w:r w:rsidRPr="00036E51">
        <w:rPr>
          <w:b/>
          <w:i/>
        </w:rPr>
        <w:t>émetteur qu</w:t>
      </w:r>
      <w:r w:rsidR="00BA38FE">
        <w:rPr>
          <w:b/>
          <w:i/>
        </w:rPr>
        <w:t>’</w:t>
      </w:r>
      <w:r w:rsidRPr="00036E51">
        <w:rPr>
          <w:b/>
          <w:i/>
        </w:rPr>
        <w:t>elles produisent, utilisent ou distribuent sont conformes à ce code de conduite et aux exigences fixées dans la présente directive. Les États membres devraient s</w:t>
      </w:r>
      <w:r w:rsidR="00BA38FE">
        <w:rPr>
          <w:b/>
          <w:i/>
        </w:rPr>
        <w:t>’</w:t>
      </w:r>
      <w:r w:rsidRPr="00036E51">
        <w:rPr>
          <w:b/>
          <w:i/>
        </w:rPr>
        <w:t>assurer que leurs autorités compétentes disposent de tous les pouvoirs de contrôle et d</w:t>
      </w:r>
      <w:r w:rsidR="00BA38FE">
        <w:rPr>
          <w:b/>
          <w:i/>
        </w:rPr>
        <w:t>’</w:t>
      </w:r>
      <w:r w:rsidRPr="00036E51">
        <w:rPr>
          <w:b/>
          <w:i/>
        </w:rPr>
        <w:t>enquête nécessaires pour garantir que les entreprises d</w:t>
      </w:r>
      <w:r w:rsidR="00BA38FE">
        <w:rPr>
          <w:b/>
          <w:i/>
        </w:rPr>
        <w:t>’</w:t>
      </w:r>
      <w:r w:rsidRPr="00036E51">
        <w:rPr>
          <w:b/>
          <w:i/>
        </w:rPr>
        <w:t>investissement respectent ces exigences</w:t>
      </w:r>
      <w:r w:rsidRPr="00036E51">
        <w:t>. Afin de favoriser une plus grande visibilité des recherches financées par des émetteurs, ceux-ci devraient ▌soumettre ce type de recherche à l</w:t>
      </w:r>
      <w:r w:rsidR="00BA38FE">
        <w:t>’</w:t>
      </w:r>
      <w:r w:rsidRPr="00036E51">
        <w:t xml:space="preserve">organisme de collecte compétent tel que défini </w:t>
      </w:r>
      <w:r w:rsidRPr="00036E51">
        <w:rPr>
          <w:b/>
          <w:bCs/>
          <w:i/>
          <w:iCs/>
        </w:rPr>
        <w:t>[</w:t>
      </w:r>
      <w:r w:rsidRPr="00036E51">
        <w:t>à l</w:t>
      </w:r>
      <w:r w:rsidR="00BA38FE">
        <w:t>’</w:t>
      </w:r>
      <w:r w:rsidRPr="00036E51">
        <w:t>article 2, paragraphe 2,</w:t>
      </w:r>
      <w:r w:rsidRPr="00036E51">
        <w:rPr>
          <w:b/>
          <w:i/>
        </w:rPr>
        <w:t>] dans le</w:t>
      </w:r>
      <w:r w:rsidRPr="00036E51">
        <w:t xml:space="preserve"> </w:t>
      </w:r>
      <w:r w:rsidRPr="00036E51">
        <w:rPr>
          <w:b/>
          <w:i/>
        </w:rPr>
        <w:t>règlement (UE)</w:t>
      </w:r>
      <w:r w:rsidR="00BA38FE">
        <w:rPr>
          <w:b/>
          <w:i/>
        </w:rPr>
        <w:t>.</w:t>
      </w:r>
      <w:r w:rsidRPr="00036E51">
        <w:rPr>
          <w:b/>
          <w:i/>
        </w:rPr>
        <w:t>../... du Parlement européen et du Conseil</w:t>
      </w:r>
      <w:r w:rsidRPr="00036E51">
        <w:rPr>
          <w:rStyle w:val="FootnoteReference"/>
          <w:noProof/>
        </w:rPr>
        <w:footnoteReference w:id="8"/>
      </w:r>
      <w:bookmarkStart w:id="6" w:name="_Hlk120611417"/>
      <w:bookmarkEnd w:id="6"/>
      <w:r w:rsidRPr="00036E51">
        <w:t>.</w:t>
      </w:r>
    </w:p>
    <w:p w:rsidR="00E3684F" w:rsidRPr="00036E51" w:rsidRDefault="00E3684F" w:rsidP="00E3684F">
      <w:pPr>
        <w:pStyle w:val="ManualConsidrant"/>
      </w:pPr>
      <w:r w:rsidRPr="00036E51">
        <w:t>(6)</w:t>
      </w:r>
      <w:r w:rsidRPr="00036E51">
        <w:tab/>
        <w:t>La directive 2014/65/UE a introduit la catégorie des marchés de croissance des PME pour accroître la visibilité et rehausser le profil des marchés spécialisés dans les PME et pour favoriser l</w:t>
      </w:r>
      <w:r w:rsidR="00BA38FE">
        <w:t>’</w:t>
      </w:r>
      <w:r w:rsidRPr="00036E51">
        <w:t>élaboration dans l</w:t>
      </w:r>
      <w:r w:rsidR="00BA38FE">
        <w:t>’</w:t>
      </w:r>
      <w:r w:rsidRPr="00036E51">
        <w:t>Union de normes réglementaires communes pour ces marchés. Les marchés de croissance des PME jouent un rôle essentiel dans la mesure où ils facilitent l</w:t>
      </w:r>
      <w:r w:rsidR="00BA38FE">
        <w:t>’</w:t>
      </w:r>
      <w:r w:rsidRPr="00036E51">
        <w:t>accès aux capitaux pour ces petits émetteurs en répondant à leurs besoins. Afin de favoriser le développement de ces marchés spécialisés et de limiter la charge organisationnelle imposée aux opérateurs de systèmes multilatéraux de négociation (MTF), il est nécessaire de permettre qu</w:t>
      </w:r>
      <w:r w:rsidR="00BA38FE">
        <w:t>’</w:t>
      </w:r>
      <w:r w:rsidRPr="00036E51">
        <w:t>un segment de MTF puisse demander à devenir un marché de croissance des PME, à condition que ce segment soit clairement séparé du reste du MTF.</w:t>
      </w:r>
    </w:p>
    <w:p w:rsidR="00E3684F" w:rsidRPr="00036E51" w:rsidRDefault="00E3684F" w:rsidP="00E3684F">
      <w:pPr>
        <w:pStyle w:val="ManualConsidrant"/>
      </w:pPr>
      <w:r w:rsidRPr="00036E51">
        <w:rPr>
          <w:b/>
          <w:i/>
        </w:rPr>
        <w:t>(6 bis)</w:t>
      </w:r>
      <w:r w:rsidRPr="00036E51">
        <w:rPr>
          <w:b/>
          <w:i/>
        </w:rPr>
        <w:tab/>
        <w:t>Les États membres devraient exiger que l</w:t>
      </w:r>
      <w:r w:rsidR="00BA38FE">
        <w:rPr>
          <w:b/>
          <w:i/>
        </w:rPr>
        <w:t>’</w:t>
      </w:r>
      <w:r w:rsidRPr="00036E51">
        <w:rPr>
          <w:b/>
          <w:i/>
        </w:rPr>
        <w:t>instrument financier d</w:t>
      </w:r>
      <w:r w:rsidR="00BA38FE">
        <w:rPr>
          <w:b/>
          <w:i/>
        </w:rPr>
        <w:t>’</w:t>
      </w:r>
      <w:r w:rsidRPr="00036E51">
        <w:rPr>
          <w:b/>
          <w:i/>
        </w:rPr>
        <w:t>un émetteur qui est admis à la négociation sur un marché de croissance des PME ne puisse être négocié sur une autre plate-forme de négociation que si l</w:t>
      </w:r>
      <w:r w:rsidR="00BA38FE">
        <w:rPr>
          <w:b/>
          <w:i/>
        </w:rPr>
        <w:t>’</w:t>
      </w:r>
      <w:r w:rsidRPr="00036E51">
        <w:rPr>
          <w:b/>
          <w:i/>
        </w:rPr>
        <w:t>émetteur en a été informé et ne s</w:t>
      </w:r>
      <w:r w:rsidR="00BA38FE">
        <w:rPr>
          <w:b/>
          <w:i/>
        </w:rPr>
        <w:t>’</w:t>
      </w:r>
      <w:r w:rsidRPr="00036E51">
        <w:rPr>
          <w:b/>
          <w:i/>
        </w:rPr>
        <w:t>y est pas opposé. Les actions émises par des PME sont souvent illiquides par nature car la capitalisation boursière et le volume de négociation de ces entreprises sont faibles. Il convient donc que les émetteurs puissent exprimer des objections à la négociation de leurs instruments sur une autre plate-forme de négociation, car cela pourrait réduire les risques de fragmentation de la liquidité</w:t>
      </w:r>
      <w:r w:rsidRPr="00036E51">
        <w:rPr>
          <w:b/>
          <w:i/>
          <w:color w:val="00B050"/>
        </w:rPr>
        <w:t>.</w:t>
      </w:r>
    </w:p>
    <w:p w:rsidR="00E3684F" w:rsidRPr="00036E51" w:rsidRDefault="00E3684F" w:rsidP="00E3684F">
      <w:pPr>
        <w:pStyle w:val="ManualConsidrant"/>
      </w:pPr>
      <w:r w:rsidRPr="00036E51">
        <w:t>(7)</w:t>
      </w:r>
      <w:r w:rsidRPr="00036E51">
        <w:tab/>
        <w:t>La directive 2001/34/CE du Parlement européen et du Conseil</w:t>
      </w:r>
      <w:r w:rsidRPr="00036E51">
        <w:rPr>
          <w:rStyle w:val="FootnoteReference"/>
        </w:rPr>
        <w:footnoteReference w:id="9"/>
      </w:r>
      <w:r w:rsidRPr="00036E51">
        <w:t xml:space="preserve"> définit des règles d</w:t>
      </w:r>
      <w:r w:rsidR="00BA38FE">
        <w:t>’</w:t>
      </w:r>
      <w:r w:rsidRPr="00036E51">
        <w:t>admission à la cote sur les marchés de l</w:t>
      </w:r>
      <w:r w:rsidR="00BA38FE">
        <w:t>’</w:t>
      </w:r>
      <w:r w:rsidRPr="00036E51">
        <w:t>Union. Cette directive vise à coordonner les règles relatives à l</w:t>
      </w:r>
      <w:r w:rsidR="00BA38FE">
        <w:t>’</w:t>
      </w:r>
      <w:r w:rsidRPr="00036E51">
        <w:t>admission de valeurs mobilières à la cote officielle d</w:t>
      </w:r>
      <w:r w:rsidR="00BA38FE">
        <w:t>’</w:t>
      </w:r>
      <w:r w:rsidRPr="00036E51">
        <w:t>une bourse de valeurs et à l</w:t>
      </w:r>
      <w:r w:rsidR="00BA38FE">
        <w:t>’</w:t>
      </w:r>
      <w:r w:rsidRPr="00036E51">
        <w:t>information à publier sur ces valeurs afin d</w:t>
      </w:r>
      <w:r w:rsidR="00BA38FE">
        <w:t>’</w:t>
      </w:r>
      <w:r w:rsidRPr="00036E51">
        <w:t>assurer une protection équivalente des investisseurs au niveau de l</w:t>
      </w:r>
      <w:r w:rsidR="00BA38FE">
        <w:t>’</w:t>
      </w:r>
      <w:r w:rsidRPr="00036E51">
        <w:t>Union. Elle fixe également les règles régissant le cadre de réglementation et de surveillance des marchés primaires de l</w:t>
      </w:r>
      <w:r w:rsidR="00BA38FE">
        <w:t>’</w:t>
      </w:r>
      <w:r w:rsidRPr="00036E51">
        <w:t>Union. Au fil des ans, la directive 2001/34/CE a été modifiée à plusieurs reprises de manière significative. La directive 2003/71/CE du Parlement européen et du Conseil</w:t>
      </w:r>
      <w:r w:rsidRPr="00036E51">
        <w:rPr>
          <w:rStyle w:val="FootnoteReference"/>
          <w:szCs w:val="24"/>
        </w:rPr>
        <w:footnoteReference w:id="10"/>
      </w:r>
      <w:r w:rsidRPr="00036E51">
        <w:t xml:space="preserve"> et la directive 2004/109/CE du Parlement européen et du Conseil</w:t>
      </w:r>
      <w:r w:rsidRPr="00036E51">
        <w:rPr>
          <w:rStyle w:val="FootnoteReference"/>
        </w:rPr>
        <w:footnoteReference w:id="11"/>
      </w:r>
      <w:r w:rsidRPr="00036E51">
        <w:t xml:space="preserve"> ont remplacé la plupart des dispositions harmonisant les conditions applicables à la fourniture d</w:t>
      </w:r>
      <w:r w:rsidR="00BA38FE">
        <w:t>’</w:t>
      </w:r>
      <w:r w:rsidRPr="00036E51">
        <w:t>informations relatives aux demandes d</w:t>
      </w:r>
      <w:r w:rsidR="00BA38FE">
        <w:t>’</w:t>
      </w:r>
      <w:r w:rsidRPr="00036E51">
        <w:t>admission de valeurs mobilières à la cote officielle et d</w:t>
      </w:r>
      <w:r w:rsidR="00BA38FE">
        <w:t>’</w:t>
      </w:r>
      <w:r w:rsidRPr="00036E51">
        <w:t>informations sur les valeurs mobilières admises à la négociation, et ont rendu superflue une grande partie de la directive 2001/34/CE. La directive 2001/34/CE, en tant que directive d</w:t>
      </w:r>
      <w:r w:rsidR="00BA38FE">
        <w:t>’</w:t>
      </w:r>
      <w:r w:rsidRPr="00036E51">
        <w:t>harmonisation minimale, confère aux États membres une marge d</w:t>
      </w:r>
      <w:r w:rsidR="00BA38FE">
        <w:t>’</w:t>
      </w:r>
      <w:r w:rsidRPr="00036E51">
        <w:t>appréciation assez large pour s</w:t>
      </w:r>
      <w:r w:rsidR="00BA38FE">
        <w:t>’</w:t>
      </w:r>
      <w:r w:rsidRPr="00036E51">
        <w:t>écarter des règles qui y sont énoncées, entraînant de la sorte une fragmentation du marché dans l</w:t>
      </w:r>
      <w:r w:rsidR="00BA38FE">
        <w:t>’</w:t>
      </w:r>
      <w:r w:rsidRPr="00036E51">
        <w:t>Union. Afin de favoriser l</w:t>
      </w:r>
      <w:r w:rsidR="00BA38FE">
        <w:t>’</w:t>
      </w:r>
      <w:r w:rsidRPr="00036E51">
        <w:t>harmonisation du marché au niveau de l</w:t>
      </w:r>
      <w:r w:rsidR="00BA38FE">
        <w:t>’</w:t>
      </w:r>
      <w:r w:rsidRPr="00036E51">
        <w:t>Union et de créer un corpus réglementaire unique, il convient d</w:t>
      </w:r>
      <w:r w:rsidR="00BA38FE">
        <w:t>’</w:t>
      </w:r>
      <w:r w:rsidRPr="00036E51">
        <w:t>abroger la directive 2001/34/CE.</w:t>
      </w:r>
    </w:p>
    <w:p w:rsidR="00E3684F" w:rsidRPr="00036E51" w:rsidRDefault="00E3684F" w:rsidP="00E3684F">
      <w:pPr>
        <w:pStyle w:val="ManualConsidrant"/>
      </w:pPr>
      <w:r w:rsidRPr="00036E51">
        <w:t>(8)</w:t>
      </w:r>
      <w:r w:rsidRPr="00036E51">
        <w:tab/>
        <w:t>La directive 2014/65/UE, à l</w:t>
      </w:r>
      <w:r w:rsidR="00BA38FE">
        <w:t>’</w:t>
      </w:r>
      <w:r w:rsidRPr="00036E51">
        <w:t>instar de la directive 2001/34/CE, prévoit la réglementation des marchés d</w:t>
      </w:r>
      <w:r w:rsidR="00BA38FE">
        <w:t>’</w:t>
      </w:r>
      <w:r w:rsidRPr="00036E51">
        <w:t>instruments financiers et renforce la protection des investisseurs dans l</w:t>
      </w:r>
      <w:r w:rsidR="00BA38FE">
        <w:t>’</w:t>
      </w:r>
      <w:r w:rsidRPr="00036E51">
        <w:t>Union. Elle définit aussi des règles pour l</w:t>
      </w:r>
      <w:r w:rsidR="00BA38FE">
        <w:t>’</w:t>
      </w:r>
      <w:r w:rsidRPr="00036E51">
        <w:t>admission d</w:t>
      </w:r>
      <w:r w:rsidR="00BA38FE">
        <w:t>’</w:t>
      </w:r>
      <w:r w:rsidRPr="00036E51">
        <w:t>instruments financiers à la négociation. L</w:t>
      </w:r>
      <w:r w:rsidR="00BA38FE">
        <w:t>’</w:t>
      </w:r>
      <w:r w:rsidRPr="00036E51">
        <w:t>extension du champ d</w:t>
      </w:r>
      <w:r w:rsidR="00BA38FE">
        <w:t>’</w:t>
      </w:r>
      <w:r w:rsidRPr="00036E51">
        <w:t>application de la directive 2014/65/UE à certaines dispositions spécifiques de la directive 2001/34/CE garantira le maintien de toutes les dispositions pertinentes de cette dernière. Un certain nombre de dispositions de la directive 2001/34/CE, y compris les exigences relatives au flottant et à la capitalisation boursière qui restent en vigueur, sont appliquées par les autorités compétentes et sont considérées comme des règles importantes lorsqu</w:t>
      </w:r>
      <w:r w:rsidR="00BA38FE">
        <w:t>’</w:t>
      </w:r>
      <w:r w:rsidRPr="00036E51">
        <w:t>il s</w:t>
      </w:r>
      <w:r w:rsidR="00BA38FE">
        <w:t>’</w:t>
      </w:r>
      <w:r w:rsidRPr="00036E51">
        <w:t>agit, pour les participants au marché, de demander l</w:t>
      </w:r>
      <w:r w:rsidR="00BA38FE">
        <w:t>’</w:t>
      </w:r>
      <w:r w:rsidRPr="00036E51">
        <w:t>admission à la négociation d</w:t>
      </w:r>
      <w:r w:rsidR="00BA38FE">
        <w:t>’</w:t>
      </w:r>
      <w:r w:rsidRPr="00036E51">
        <w:t>actions sur des marchés réglementés de l</w:t>
      </w:r>
      <w:r w:rsidR="00BA38FE">
        <w:t>’</w:t>
      </w:r>
      <w:r w:rsidRPr="00036E51">
        <w:t>Union. Il est donc nécessaire de transférer ces règles dans la directive 2014/65/UE afin de fixer, dans une nouvelle disposition de ladite directive, des conditions minimales spécifiques pour l</w:t>
      </w:r>
      <w:r w:rsidR="00BA38FE">
        <w:t>’</w:t>
      </w:r>
      <w:r w:rsidRPr="00036E51">
        <w:t>admission à la négociation d</w:t>
      </w:r>
      <w:r w:rsidR="00BA38FE">
        <w:t>’</w:t>
      </w:r>
      <w:r w:rsidRPr="00036E51">
        <w:t>actions sur des marchés réglementés. L</w:t>
      </w:r>
      <w:r w:rsidR="00BA38FE">
        <w:t>’</w:t>
      </w:r>
      <w:r w:rsidRPr="00036E51">
        <w:t>application de cette nouvelle disposition devrait compléter les dispositions générales de la directive 2014/65/UE relatives à l</w:t>
      </w:r>
      <w:r w:rsidR="00BA38FE">
        <w:t>’</w:t>
      </w:r>
      <w:r w:rsidRPr="00036E51">
        <w:t>admission d</w:t>
      </w:r>
      <w:r w:rsidR="00BA38FE">
        <w:t>’</w:t>
      </w:r>
      <w:r w:rsidRPr="00036E51">
        <w:t>instruments financiers à la négociation.</w:t>
      </w:r>
    </w:p>
    <w:p w:rsidR="00E3684F" w:rsidRPr="00036E51" w:rsidRDefault="00E3684F" w:rsidP="00E3684F">
      <w:pPr>
        <w:pStyle w:val="ManualConsidrant"/>
      </w:pPr>
      <w:r w:rsidRPr="00036E51">
        <w:t>(9)</w:t>
      </w:r>
      <w:r w:rsidRPr="00036E51">
        <w:tab/>
        <w:t>Afin de procurer une plus grande flexibilité aux émetteurs et de rendre les marchés de capitaux de l</w:t>
      </w:r>
      <w:r w:rsidR="00BA38FE">
        <w:t>’</w:t>
      </w:r>
      <w:r w:rsidRPr="00036E51">
        <w:t>Union plus compétitifs, l</w:t>
      </w:r>
      <w:r w:rsidR="00BA38FE">
        <w:t>’</w:t>
      </w:r>
      <w:r w:rsidRPr="00036E51">
        <w:t>exigence de flottant minimal devrait être ramenée à 10 %, un seuil à même de garantir un niveau suffisant de liquidités sur le marché. L</w:t>
      </w:r>
      <w:r w:rsidR="00BA38FE">
        <w:t>’</w:t>
      </w:r>
      <w:r w:rsidRPr="00036E51">
        <w:t>exigence de flottant prévue par la directive 2001/34/CE, selon laquelle un nombre suffisant d</w:t>
      </w:r>
      <w:r w:rsidR="00BA38FE">
        <w:t>’</w:t>
      </w:r>
      <w:r w:rsidRPr="00036E51">
        <w:t>actions doit être diffusé dans le public d</w:t>
      </w:r>
      <w:r w:rsidR="00BA38FE">
        <w:t>’</w:t>
      </w:r>
      <w:r w:rsidRPr="00036E51">
        <w:t>un ou de plusieurs États membres, fait référence au public au sein de l</w:t>
      </w:r>
      <w:r w:rsidR="00BA38FE">
        <w:t>’</w:t>
      </w:r>
      <w:r w:rsidRPr="00036E51">
        <w:t>Union et de l</w:t>
      </w:r>
      <w:r w:rsidR="00BA38FE">
        <w:t>’</w:t>
      </w:r>
      <w:r w:rsidRPr="00036E51">
        <w:t>Espace économique européen (UE/EEE). Cette restriction géographique de l</w:t>
      </w:r>
      <w:r w:rsidR="00BA38FE">
        <w:t>’</w:t>
      </w:r>
      <w:r w:rsidRPr="00036E51">
        <w:t>exigence de flottant à l</w:t>
      </w:r>
      <w:r w:rsidR="00BA38FE">
        <w:t>’</w:t>
      </w:r>
      <w:r w:rsidRPr="00036E51">
        <w:t>Union/EEE ne devrait pas être maintenue, étant donné que la directive 2014/65/UE ne prévoit pas de restriction de ce type pour les instruments financiers admis à la négociation. L</w:t>
      </w:r>
      <w:r w:rsidR="00BA38FE">
        <w:t>’</w:t>
      </w:r>
      <w:r w:rsidRPr="00036E51">
        <w:t>exigence selon laquelle une société doit avoir publié ou déposé ses comptes annuels pour une période donnée ne devrait pas être transférée dans la directive 2014/65/UE, puisque le règlement (UE) 2017/1129 du Parlement européen et du Conseil</w:t>
      </w:r>
      <w:r w:rsidRPr="00036E51">
        <w:rPr>
          <w:rStyle w:val="FootnoteReference"/>
        </w:rPr>
        <w:footnoteReference w:id="12"/>
      </w:r>
      <w:r w:rsidRPr="00036E51">
        <w:t xml:space="preserve"> contient déjà une disposition à cet effet. La directive 2014/65/UE contient déjà des dispositions sur la désignation des autorités compétentes. Les dispositions de la directive 2001/34/CE prévoyant la désignation d</w:t>
      </w:r>
      <w:r w:rsidR="00BA38FE">
        <w:t>’</w:t>
      </w:r>
      <w:r w:rsidRPr="00036E51">
        <w:t>une ou plusieurs autorités compétentes sont donc redondantes. L</w:t>
      </w:r>
      <w:r w:rsidR="00BA38FE">
        <w:t>’</w:t>
      </w:r>
      <w:r w:rsidRPr="00036E51">
        <w:t>exigence relative aux obligations, selon laquelle le montant de l</w:t>
      </w:r>
      <w:r w:rsidR="00BA38FE">
        <w:t>’</w:t>
      </w:r>
      <w:r w:rsidRPr="00036E51">
        <w:t>emprunt ne peut être inférieur à 200 000 EUR, est considérée comme obsolète au vu des pratiques actuelles du marché.</w:t>
      </w:r>
    </w:p>
    <w:p w:rsidR="00E3684F" w:rsidRPr="00036E51" w:rsidRDefault="00E3684F" w:rsidP="00E3684F">
      <w:pPr>
        <w:pStyle w:val="ManualConsidrant"/>
      </w:pPr>
      <w:r w:rsidRPr="00036E51">
        <w:t>(10)</w:t>
      </w:r>
      <w:r w:rsidRPr="00036E51">
        <w:tab/>
        <w:t>La notion d</w:t>
      </w:r>
      <w:r w:rsidR="00BA38FE">
        <w:t>’</w:t>
      </w:r>
      <w:r w:rsidRPr="00036E51">
        <w:t>admission de valeurs mobilières à la cote officielle d</w:t>
      </w:r>
      <w:r w:rsidR="00BA38FE">
        <w:t>’</w:t>
      </w:r>
      <w:r w:rsidRPr="00036E51">
        <w:t>une bourse de valeurs figurant dans la directive 2001/34/CE n</w:t>
      </w:r>
      <w:r w:rsidR="00BA38FE">
        <w:t>’</w:t>
      </w:r>
      <w:r w:rsidRPr="00036E51">
        <w:t>est plus utilisée de manière courante en raison de l</w:t>
      </w:r>
      <w:r w:rsidR="00BA38FE">
        <w:t>’</w:t>
      </w:r>
      <w:r w:rsidRPr="00036E51">
        <w:t>évolution du marché, la directive 2014/65/UE contenant déjà la notion d</w:t>
      </w:r>
      <w:r w:rsidR="00BA38FE">
        <w:t>’</w:t>
      </w:r>
      <w:r w:rsidRPr="00036E51">
        <w:t>«admission d</w:t>
      </w:r>
      <w:r w:rsidR="00BA38FE">
        <w:t>’</w:t>
      </w:r>
      <w:r w:rsidRPr="00036E51">
        <w:t>instruments financiers à la négociation sur un marché réglementé». Ces deux notions d</w:t>
      </w:r>
      <w:r w:rsidR="00BA38FE">
        <w:t>’</w:t>
      </w:r>
      <w:r w:rsidRPr="00036E51">
        <w:t>«admission à la cote officielle» et d</w:t>
      </w:r>
      <w:r w:rsidR="00BA38FE">
        <w:t>’</w:t>
      </w:r>
      <w:r w:rsidRPr="00036E51">
        <w:t>«admission à la négociation sur un marché réglementé» sont souvent utilisées de manière interchangeable dans certains États membres. Cela signifie que, dans certains États membres, aucune distinction n</w:t>
      </w:r>
      <w:r w:rsidR="00BA38FE">
        <w:t>’</w:t>
      </w:r>
      <w:r w:rsidRPr="00036E51">
        <w:t>est faite entre les deux. En outre, ce double régime d</w:t>
      </w:r>
      <w:r w:rsidR="00BA38FE">
        <w:t>’</w:t>
      </w:r>
      <w:r w:rsidRPr="00036E51">
        <w:t>admission à la négociation, d</w:t>
      </w:r>
      <w:r w:rsidR="00BA38FE">
        <w:t>’</w:t>
      </w:r>
      <w:r w:rsidRPr="00036E51">
        <w:t>une part, et d</w:t>
      </w:r>
      <w:r w:rsidR="00BA38FE">
        <w:t>’</w:t>
      </w:r>
      <w:r w:rsidRPr="00036E51">
        <w:t>admission à la cote officielle, d</w:t>
      </w:r>
      <w:r w:rsidR="00BA38FE">
        <w:t>’</w:t>
      </w:r>
      <w:r w:rsidRPr="00036E51">
        <w:t>autre part, pourrait être une source d</w:t>
      </w:r>
      <w:r w:rsidR="00BA38FE">
        <w:t>’</w:t>
      </w:r>
      <w:r w:rsidRPr="00036E51">
        <w:t>insécurité juridique au niveau de l</w:t>
      </w:r>
      <w:r w:rsidR="00BA38FE">
        <w:t>’</w:t>
      </w:r>
      <w:r w:rsidRPr="00036E51">
        <w:t>Union, notamment parce que les exigences de la directive 2003/71/CE, de la directive 2004/109/CE et de la directive 2014/57/UE du Parlement européen et du Conseil</w:t>
      </w:r>
      <w:r w:rsidRPr="00036E51">
        <w:rPr>
          <w:rStyle w:val="FootnoteReference"/>
        </w:rPr>
        <w:footnoteReference w:id="13"/>
      </w:r>
      <w:r w:rsidRPr="00036E51">
        <w:t xml:space="preserve"> ne s</w:t>
      </w:r>
      <w:r w:rsidR="00BA38FE">
        <w:t>’</w:t>
      </w:r>
      <w:r w:rsidRPr="00036E51">
        <w:t>appliquent pas aux instruments admis à la cote officielle, alors qu</w:t>
      </w:r>
      <w:r w:rsidR="00BA38FE">
        <w:t>’</w:t>
      </w:r>
      <w:r w:rsidRPr="00036E51">
        <w:t>elles s</w:t>
      </w:r>
      <w:r w:rsidR="00BA38FE">
        <w:t>’</w:t>
      </w:r>
      <w:r w:rsidRPr="00036E51">
        <w:t>appliquent aux instruments admis à la négociation sur un marché réglementé.</w:t>
      </w:r>
    </w:p>
    <w:p w:rsidR="00E3684F" w:rsidRPr="00036E51" w:rsidRDefault="00E3684F" w:rsidP="00E3684F">
      <w:pPr>
        <w:pStyle w:val="ManualConsidrant"/>
      </w:pPr>
      <w:r w:rsidRPr="00036E51">
        <w:t>(11)</w:t>
      </w:r>
      <w:r w:rsidRPr="00036E51">
        <w:tab/>
        <w:t>Afin de renforcer la visibilité des sociétés cotées, en particulier des PME, et d</w:t>
      </w:r>
      <w:r w:rsidR="00BA38FE">
        <w:t>’</w:t>
      </w:r>
      <w:r w:rsidRPr="00036E51">
        <w:t>adapter les conditions d</w:t>
      </w:r>
      <w:r w:rsidR="00BA38FE">
        <w:t>’</w:t>
      </w:r>
      <w:r w:rsidRPr="00036E51">
        <w:t>admission à la cote de manière à améliorer les exigences applicables aux émetteurs, il convient de déléguer à la Commission le pouvoir d</w:t>
      </w:r>
      <w:r w:rsidR="00BA38FE">
        <w:t>’</w:t>
      </w:r>
      <w:r w:rsidRPr="00036E51">
        <w:t>adopter, conformément à l</w:t>
      </w:r>
      <w:r w:rsidR="00BA38FE">
        <w:t>’</w:t>
      </w:r>
      <w:r w:rsidRPr="00036E51">
        <w:t>article 290 du traité sur le fonctionnement de l</w:t>
      </w:r>
      <w:r w:rsidR="00BA38FE">
        <w:t>’</w:t>
      </w:r>
      <w:r w:rsidRPr="00036E51">
        <w:t xml:space="preserve">Union européenne, des actes portant modification de la directive 2014/65/UE. Il convient </w:t>
      </w:r>
      <w:r w:rsidRPr="00036E51">
        <w:rPr>
          <w:b/>
          <w:i/>
        </w:rPr>
        <w:t>de supprimer</w:t>
      </w:r>
      <w:r w:rsidRPr="00036E51">
        <w:t xml:space="preserve"> le seuil de capitalisation boursière des sociétés en dessous duquel il serait possible de regrouper les frais d</w:t>
      </w:r>
      <w:r w:rsidR="00BA38FE">
        <w:t>’</w:t>
      </w:r>
      <w:r w:rsidRPr="00036E51">
        <w:t>exécution des transactions et les frais de recherche</w:t>
      </w:r>
      <w:r w:rsidRPr="00036E51">
        <w:rPr>
          <w:b/>
          <w:i/>
        </w:rPr>
        <w:t>, tout en instaurant des garanties permettant d</w:t>
      </w:r>
      <w:r w:rsidR="00BA38FE">
        <w:rPr>
          <w:b/>
          <w:i/>
        </w:rPr>
        <w:t>’</w:t>
      </w:r>
      <w:r w:rsidRPr="00036E51">
        <w:rPr>
          <w:b/>
          <w:i/>
        </w:rPr>
        <w:t>assurer la protection des investisseurs et de maintenir un niveau de transparence concernant les coûts associés à la recherche</w:t>
      </w:r>
      <w:r w:rsidRPr="00036E51">
        <w:t>. L</w:t>
      </w:r>
      <w:r w:rsidR="00BA38FE">
        <w:t>’</w:t>
      </w:r>
      <w:r w:rsidRPr="00036E51">
        <w:t>adaptation des règles d</w:t>
      </w:r>
      <w:r w:rsidR="00BA38FE">
        <w:t>’</w:t>
      </w:r>
      <w:r w:rsidRPr="00036E51">
        <w:t>admission à la cote dans l</w:t>
      </w:r>
      <w:r w:rsidR="00BA38FE">
        <w:t>’</w:t>
      </w:r>
      <w:r w:rsidRPr="00036E51">
        <w:t>Union devrait également refléter les pratiques du marché, dans un souci d</w:t>
      </w:r>
      <w:r w:rsidR="00BA38FE">
        <w:t>’</w:t>
      </w:r>
      <w:r w:rsidRPr="00036E51">
        <w:t>efficience et de promotion de la concurrence. Il importe particulièrement que la Commission procède aux consultations appropriées durant son travail préparatoire, y compris au niveau des experts, et que ces consultations soient menées conformément aux principes définis dans l</w:t>
      </w:r>
      <w:r w:rsidR="00BA38FE">
        <w:t>’</w:t>
      </w:r>
      <w:r w:rsidRPr="00036E51">
        <w:t>accord interinstitutionnel du 13 avril 2016 «Mieux légiférer»</w:t>
      </w:r>
      <w:r w:rsidRPr="00036E51">
        <w:rPr>
          <w:rStyle w:val="FootnoteReference"/>
        </w:rPr>
        <w:footnoteReference w:id="14"/>
      </w:r>
      <w:r w:rsidRPr="00036E51">
        <w:t>. En particulier, pour assurer leur égale participation à la préparation des actes délégués, le Parlement européen et le Conseil reçoivent tous les documents au même moment que les experts des États membres, et leurs experts ont systématiquement accès aux réunions des groupes d</w:t>
      </w:r>
      <w:r w:rsidR="00BA38FE">
        <w:t>’</w:t>
      </w:r>
      <w:r w:rsidRPr="00036E51">
        <w:t>experts de la Commission traitant de la préparation des actes délégués.</w:t>
      </w:r>
    </w:p>
    <w:p w:rsidR="00E3684F" w:rsidRPr="00036E51" w:rsidRDefault="00E3684F" w:rsidP="00E3684F">
      <w:pPr>
        <w:pStyle w:val="ManualConsidrant"/>
      </w:pPr>
      <w:r w:rsidRPr="00036E51">
        <w:t>(12)</w:t>
      </w:r>
      <w:r w:rsidRPr="00036E51">
        <w:tab/>
        <w:t>Il convient, dès lors, de modifier la directive 2014/65/UE en conséquence.</w:t>
      </w:r>
    </w:p>
    <w:p w:rsidR="00E3684F" w:rsidRPr="00036E51" w:rsidRDefault="00E3684F" w:rsidP="00E3684F">
      <w:pPr>
        <w:pStyle w:val="ManualConsidrant"/>
      </w:pPr>
      <w:r w:rsidRPr="00036E51">
        <w:t>(13)</w:t>
      </w:r>
      <w:r w:rsidRPr="00036E51">
        <w:tab/>
        <w:t>Étant donné que les objectifs de la présente directive, à savoir faciliter l</w:t>
      </w:r>
      <w:r w:rsidR="00BA38FE">
        <w:t>’</w:t>
      </w:r>
      <w:r w:rsidRPr="00036E51">
        <w:t>accès des entreprises à faible et à moyenne capitalisation aux marchés des capitaux et renforcer la cohérence des règles de l</w:t>
      </w:r>
      <w:r w:rsidR="00BA38FE">
        <w:t>’</w:t>
      </w:r>
      <w:r w:rsidRPr="00036E51">
        <w:t>Union relatives à l</w:t>
      </w:r>
      <w:r w:rsidR="00BA38FE">
        <w:t>’</w:t>
      </w:r>
      <w:r w:rsidRPr="00036E51">
        <w:t>admission à la cote, ne peuvent être atteints de manière suffisante par les États membres mais peuvent, en raison des améliorations et des effets visés, l</w:t>
      </w:r>
      <w:r w:rsidR="00BA38FE">
        <w:t>’</w:t>
      </w:r>
      <w:r w:rsidRPr="00036E51">
        <w:t>être mieux au niveau de l</w:t>
      </w:r>
      <w:r w:rsidR="00BA38FE">
        <w:t>’</w:t>
      </w:r>
      <w:r w:rsidRPr="00036E51">
        <w:t>Union, celle-ci peut prendre des mesures, conformément au principe de subsidiarité consacré à l</w:t>
      </w:r>
      <w:r w:rsidR="00BA38FE">
        <w:t>’</w:t>
      </w:r>
      <w:r w:rsidRPr="00036E51">
        <w:t>article 5 du traité sur l</w:t>
      </w:r>
      <w:r w:rsidR="00BA38FE">
        <w:t>’</w:t>
      </w:r>
      <w:r w:rsidRPr="00036E51">
        <w:t>Union européenne. Conformément au principe de proportionnalité énoncé audit article, la présente directive n</w:t>
      </w:r>
      <w:r w:rsidR="00BA38FE">
        <w:t>’</w:t>
      </w:r>
      <w:r w:rsidRPr="00036E51">
        <w:t>excède pas ce qui est nécessaire pour atteindre ces objectifs.</w:t>
      </w:r>
    </w:p>
    <w:p w:rsidR="00E3684F" w:rsidRPr="00036E51" w:rsidRDefault="00E3684F" w:rsidP="00E3684F">
      <w:pPr>
        <w:pStyle w:val="Formuledadoption"/>
      </w:pPr>
      <w:r w:rsidRPr="00036E51">
        <w:t>ONT ADOPTÉ LA PRÉSENTE DIRECTIVE:</w:t>
      </w:r>
    </w:p>
    <w:p w:rsidR="001C7823" w:rsidRPr="00036E51" w:rsidRDefault="001C7823" w:rsidP="001C7823">
      <w:pPr>
        <w:pStyle w:val="Titrearticle"/>
        <w:rPr>
          <w:b/>
          <w:bCs/>
          <w:i w:val="0"/>
          <w:iCs/>
        </w:rPr>
      </w:pPr>
      <w:r w:rsidRPr="00036E51">
        <w:t>Article premier</w:t>
      </w:r>
      <w:r w:rsidRPr="00036E51">
        <w:br/>
      </w:r>
      <w:r w:rsidRPr="00036E51">
        <w:rPr>
          <w:b/>
          <w:i w:val="0"/>
        </w:rPr>
        <w:t>Modifications apportées à la directive 2014/65/UE</w:t>
      </w:r>
    </w:p>
    <w:p w:rsidR="001C7823" w:rsidRPr="00036E51" w:rsidRDefault="001C7823" w:rsidP="001C7823">
      <w:r w:rsidRPr="00036E51">
        <w:t>La directive 2014/65/UE est modifiée comme suit:</w:t>
      </w:r>
    </w:p>
    <w:p w:rsidR="001C7823" w:rsidRPr="00036E51" w:rsidRDefault="001C7823" w:rsidP="001C7823">
      <w:pPr>
        <w:pStyle w:val="Point0"/>
      </w:pPr>
      <w:r w:rsidRPr="00036E51">
        <w:t>1)</w:t>
      </w:r>
      <w:r w:rsidRPr="00036E51">
        <w:tab/>
        <w:t>À l</w:t>
      </w:r>
      <w:r w:rsidR="00BA38FE">
        <w:t>’</w:t>
      </w:r>
      <w:r w:rsidRPr="00036E51">
        <w:t>article 4, paragraphe 1, le point 12) est remplacé par le texte suivant:</w:t>
      </w:r>
    </w:p>
    <w:p w:rsidR="001C7823" w:rsidRPr="00036E51" w:rsidRDefault="001C7823" w:rsidP="001C7823">
      <w:pPr>
        <w:pStyle w:val="QuotedNumPar"/>
      </w:pPr>
      <w:r w:rsidRPr="00036E51">
        <w:t>«12)</w:t>
      </w:r>
      <w:r w:rsidRPr="00036E51">
        <w:tab/>
        <w:t>“marché de croissance des PME”, un MTF, ou un segment de MTF, qui est enregistré en tant que marché de croissance des PME conformément à l</w:t>
      </w:r>
      <w:r w:rsidR="00BA38FE">
        <w:t>’</w:t>
      </w:r>
      <w:r w:rsidRPr="00036E51">
        <w:t>article 33;».</w:t>
      </w:r>
    </w:p>
    <w:p w:rsidR="001C7823" w:rsidRPr="00036E51" w:rsidRDefault="001C7823" w:rsidP="001C7823">
      <w:pPr>
        <w:pStyle w:val="Point0"/>
      </w:pPr>
      <w:r w:rsidRPr="00036E51">
        <w:t>2)</w:t>
      </w:r>
      <w:r w:rsidRPr="00036E51">
        <w:tab/>
        <w:t>L</w:t>
      </w:r>
      <w:r w:rsidR="00BA38FE">
        <w:t>’</w:t>
      </w:r>
      <w:r w:rsidRPr="00036E51">
        <w:t>article 24 est modifié comme suit:</w:t>
      </w:r>
    </w:p>
    <w:p w:rsidR="001C7823" w:rsidRPr="00036E51" w:rsidRDefault="001C7823" w:rsidP="001C7823">
      <w:pPr>
        <w:pStyle w:val="Point1"/>
      </w:pPr>
      <w:r w:rsidRPr="00036E51">
        <w:t>a)</w:t>
      </w:r>
      <w:r w:rsidRPr="00036E51">
        <w:tab/>
        <w:t>les paragraphes ▌suivants sont insérés:</w:t>
      </w:r>
    </w:p>
    <w:p w:rsidR="001C7823" w:rsidRPr="00036E51" w:rsidRDefault="001C7823" w:rsidP="001C7823">
      <w:pPr>
        <w:pStyle w:val="QuotedNumPar"/>
        <w:ind w:left="1984"/>
      </w:pPr>
      <w:r w:rsidRPr="00036E51">
        <w:t>«3 bis.</w:t>
      </w:r>
      <w:r w:rsidRPr="00036E51">
        <w:tab/>
        <w:t xml:space="preserve">Les travaux de recherche </w:t>
      </w:r>
      <w:r w:rsidRPr="00036E51">
        <w:rPr>
          <w:b/>
          <w:bCs/>
          <w:i/>
          <w:iCs/>
        </w:rPr>
        <w:t>utilisés ou distribués à des clients ou clients éventuels</w:t>
      </w:r>
      <w:r w:rsidRPr="00036E51">
        <w:t xml:space="preserve"> par des entreprises d</w:t>
      </w:r>
      <w:r w:rsidR="00BA38FE">
        <w:t>’</w:t>
      </w:r>
      <w:r w:rsidRPr="00036E51">
        <w:t>investissement qui fournissent des services de gestion de portefeuille ou d</w:t>
      </w:r>
      <w:r w:rsidR="00BA38FE">
        <w:t>’</w:t>
      </w:r>
      <w:r w:rsidRPr="00036E51">
        <w:t>autres services d</w:t>
      </w:r>
      <w:r w:rsidR="00BA38FE">
        <w:t>’</w:t>
      </w:r>
      <w:r w:rsidRPr="00036E51">
        <w:t xml:space="preserve">investissement ou services auxiliaires </w:t>
      </w:r>
      <w:r w:rsidRPr="00036E51">
        <w:rPr>
          <w:b/>
          <w:bCs/>
          <w:i/>
          <w:iCs/>
        </w:rPr>
        <w:t>et qui ont été produits par ces</w:t>
      </w:r>
      <w:r w:rsidRPr="00036E51">
        <w:t xml:space="preserve"> entreprises</w:t>
      </w:r>
      <w:r w:rsidRPr="00036E51">
        <w:rPr>
          <w:b/>
          <w:bCs/>
          <w:i/>
          <w:iCs/>
        </w:rPr>
        <w:t>, ou produits par des tiers et fournis à ces entreprises,</w:t>
      </w:r>
      <w:r w:rsidRPr="00036E51">
        <w:t xml:space="preserve"> sont corrects, clairs et non trompeurs. Les travaux de recherche sont clairement identifiables en tant que tels ou dans des termes similaires, pour autant que toutes les conditions qui leur sont applicables soient remplies.</w:t>
      </w:r>
    </w:p>
    <w:p w:rsidR="001C7823" w:rsidRPr="00036E51" w:rsidRDefault="001C7823" w:rsidP="001C7823">
      <w:pPr>
        <w:pStyle w:val="QuotedNumPar"/>
        <w:ind w:left="1984"/>
      </w:pPr>
      <w:r w:rsidRPr="00036E51">
        <w:t>3 ter.</w:t>
      </w:r>
      <w:r w:rsidRPr="00036E51">
        <w:tab/>
        <w:t>Lorsque les travaux de recherche sont entièrement ou partiellement financés par l</w:t>
      </w:r>
      <w:r w:rsidR="00BA38FE">
        <w:t>’</w:t>
      </w:r>
      <w:r w:rsidRPr="00036E51">
        <w:t>émetteur et diffusés auprès du public, d</w:t>
      </w:r>
      <w:r w:rsidR="00BA38FE">
        <w:t>’</w:t>
      </w:r>
      <w:r w:rsidRPr="00036E51">
        <w:t>entreprises d</w:t>
      </w:r>
      <w:r w:rsidR="00BA38FE">
        <w:t>’</w:t>
      </w:r>
      <w:r w:rsidRPr="00036E51">
        <w:t>investissement ou de clients d</w:t>
      </w:r>
      <w:r w:rsidR="00BA38FE">
        <w:t>’</w:t>
      </w:r>
      <w:r w:rsidRPr="00036E51">
        <w:t>entreprises d</w:t>
      </w:r>
      <w:r w:rsidR="00BA38FE">
        <w:t>’</w:t>
      </w:r>
      <w:r w:rsidRPr="00036E51">
        <w:t>investissement qui fournissent des services de gestion de portefeuille ou d</w:t>
      </w:r>
      <w:r w:rsidR="00BA38FE">
        <w:t>’</w:t>
      </w:r>
      <w:r w:rsidRPr="00036E51">
        <w:t>autres services d</w:t>
      </w:r>
      <w:r w:rsidR="00BA38FE">
        <w:t>’</w:t>
      </w:r>
      <w:r w:rsidRPr="00036E51">
        <w:t>investissement ou services auxiliaires, ils sont désignés comme des «recherches financées par l</w:t>
      </w:r>
      <w:r w:rsidR="00BA38FE">
        <w:t>’</w:t>
      </w:r>
      <w:r w:rsidRPr="00036E51">
        <w:t>émetteur», à condition d</w:t>
      </w:r>
      <w:r w:rsidR="00BA38FE">
        <w:t>’</w:t>
      </w:r>
      <w:r w:rsidRPr="00036E51">
        <w:t>être produits conformément à un code de conduite de l</w:t>
      </w:r>
      <w:r w:rsidR="00BA38FE">
        <w:t>’</w:t>
      </w:r>
      <w:r w:rsidRPr="00036E51">
        <w:t xml:space="preserve">Union </w:t>
      </w:r>
      <w:r w:rsidRPr="00036E51">
        <w:rPr>
          <w:b/>
          <w:bCs/>
          <w:i/>
          <w:iCs/>
        </w:rPr>
        <w:t>applicable aux recherches financées par l</w:t>
      </w:r>
      <w:r w:rsidR="00BA38FE">
        <w:rPr>
          <w:b/>
          <w:bCs/>
          <w:i/>
          <w:iCs/>
        </w:rPr>
        <w:t>’</w:t>
      </w:r>
      <w:r w:rsidRPr="00036E51">
        <w:rPr>
          <w:b/>
          <w:bCs/>
          <w:i/>
          <w:iCs/>
        </w:rPr>
        <w:t>émetteur et élaboré par l</w:t>
      </w:r>
      <w:r w:rsidR="00BA38FE">
        <w:rPr>
          <w:b/>
          <w:bCs/>
          <w:i/>
          <w:iCs/>
        </w:rPr>
        <w:t>’</w:t>
      </w:r>
      <w:r w:rsidRPr="00036E51">
        <w:rPr>
          <w:b/>
          <w:bCs/>
          <w:i/>
          <w:iCs/>
        </w:rPr>
        <w:t>AEMF conformément au deuxième alinéa</w:t>
      </w:r>
      <w:r w:rsidRPr="00036E51">
        <w:t xml:space="preserve">. </w:t>
      </w:r>
    </w:p>
    <w:p w:rsidR="001C7823" w:rsidRPr="00036E51" w:rsidRDefault="001C7823" w:rsidP="001C7823">
      <w:pPr>
        <w:pStyle w:val="QuotedNumPar"/>
        <w:ind w:left="1984" w:firstLine="0"/>
      </w:pPr>
      <w:r w:rsidRPr="00036E51">
        <w:rPr>
          <w:b/>
          <w:i/>
        </w:rPr>
        <w:t>L</w:t>
      </w:r>
      <w:r w:rsidR="00BA38FE">
        <w:rPr>
          <w:b/>
          <w:i/>
        </w:rPr>
        <w:t>’</w:t>
      </w:r>
      <w:r w:rsidRPr="00036E51">
        <w:rPr>
          <w:b/>
          <w:i/>
        </w:rPr>
        <w:t>AEMF élabore un projet de normes techniques de réglementation aux fins de l</w:t>
      </w:r>
      <w:r w:rsidR="00BA38FE">
        <w:rPr>
          <w:b/>
          <w:i/>
        </w:rPr>
        <w:t>’</w:t>
      </w:r>
      <w:r w:rsidRPr="00036E51">
        <w:rPr>
          <w:b/>
          <w:i/>
        </w:rPr>
        <w:t>établissement d</w:t>
      </w:r>
      <w:r w:rsidR="00BA38FE">
        <w:rPr>
          <w:b/>
          <w:i/>
        </w:rPr>
        <w:t>’</w:t>
      </w:r>
      <w:r w:rsidRPr="00036E51">
        <w:rPr>
          <w:b/>
          <w:i/>
        </w:rPr>
        <w:t>un code de conduite harmonisé de l</w:t>
      </w:r>
      <w:r w:rsidR="00BA38FE">
        <w:rPr>
          <w:b/>
          <w:i/>
        </w:rPr>
        <w:t>’</w:t>
      </w:r>
      <w:r w:rsidRPr="00036E51">
        <w:rPr>
          <w:b/>
          <w:i/>
        </w:rPr>
        <w:t>Union applicable aux recherches financées par l</w:t>
      </w:r>
      <w:r w:rsidR="00BA38FE">
        <w:rPr>
          <w:b/>
          <w:i/>
        </w:rPr>
        <w:t>’</w:t>
      </w:r>
      <w:r w:rsidRPr="00036E51">
        <w:rPr>
          <w:b/>
          <w:i/>
        </w:rPr>
        <w:t>émetteur.</w:t>
      </w:r>
      <w:r w:rsidRPr="00036E51">
        <w:t xml:space="preserve"> Ce code de conduite définit des normes minimales d</w:t>
      </w:r>
      <w:r w:rsidR="00BA38FE">
        <w:t>’</w:t>
      </w:r>
      <w:r w:rsidRPr="00036E51">
        <w:t>indépendance et d</w:t>
      </w:r>
      <w:r w:rsidR="00BA38FE">
        <w:t>’</w:t>
      </w:r>
      <w:r w:rsidRPr="00036E51">
        <w:t xml:space="preserve">objectivité à respecter par les fournisseurs de ces travaux de recherche </w:t>
      </w:r>
      <w:r w:rsidRPr="00036E51">
        <w:rPr>
          <w:b/>
          <w:bCs/>
          <w:i/>
          <w:iCs/>
        </w:rPr>
        <w:t>et précise les procédures de détection et de prévention des conflits d</w:t>
      </w:r>
      <w:r w:rsidR="00BA38FE">
        <w:rPr>
          <w:b/>
          <w:bCs/>
          <w:i/>
          <w:iCs/>
        </w:rPr>
        <w:t>’</w:t>
      </w:r>
      <w:r w:rsidRPr="00036E51">
        <w:rPr>
          <w:b/>
          <w:bCs/>
          <w:i/>
          <w:iCs/>
        </w:rPr>
        <w:t>intérêts</w:t>
      </w:r>
      <w:r w:rsidRPr="00036E51">
        <w:t xml:space="preserve">. </w:t>
      </w:r>
    </w:p>
    <w:p w:rsidR="001C7823" w:rsidRPr="00036E51" w:rsidRDefault="001C7823" w:rsidP="001C7823">
      <w:pPr>
        <w:pStyle w:val="QuotedNumPar"/>
        <w:ind w:left="1984" w:firstLine="0"/>
        <w:rPr>
          <w:b/>
          <w:i/>
        </w:rPr>
      </w:pPr>
      <w:r w:rsidRPr="00036E51">
        <w:rPr>
          <w:b/>
          <w:i/>
        </w:rPr>
        <w:t>Aux fins de l</w:t>
      </w:r>
      <w:r w:rsidR="00BA38FE">
        <w:rPr>
          <w:b/>
          <w:i/>
        </w:rPr>
        <w:t>’</w:t>
      </w:r>
      <w:r w:rsidRPr="00036E51">
        <w:rPr>
          <w:b/>
          <w:i/>
        </w:rPr>
        <w:t>élaboration de ces normes techniques de réglementation, l</w:t>
      </w:r>
      <w:r w:rsidR="00BA38FE">
        <w:rPr>
          <w:b/>
          <w:i/>
        </w:rPr>
        <w:t>’</w:t>
      </w:r>
      <w:r w:rsidRPr="00036E51">
        <w:rPr>
          <w:b/>
          <w:i/>
        </w:rPr>
        <w:t>AEMF tient compte des codes de conduite pertinents établis à l</w:t>
      </w:r>
      <w:r w:rsidR="00BA38FE">
        <w:rPr>
          <w:b/>
          <w:i/>
        </w:rPr>
        <w:t>’</w:t>
      </w:r>
      <w:r w:rsidRPr="00036E51">
        <w:rPr>
          <w:b/>
          <w:i/>
        </w:rPr>
        <w:t>échelon national. L</w:t>
      </w:r>
      <w:r w:rsidR="00BA38FE">
        <w:rPr>
          <w:b/>
          <w:i/>
        </w:rPr>
        <w:t>’</w:t>
      </w:r>
      <w:r w:rsidRPr="00036E51">
        <w:rPr>
          <w:b/>
          <w:i/>
        </w:rPr>
        <w:t>AEMF soumet ce projet de normes techniques de réglementation à la Commission au plus tard le … [12 mois à compter de la date d</w:t>
      </w:r>
      <w:r w:rsidR="00BA38FE">
        <w:rPr>
          <w:b/>
          <w:i/>
        </w:rPr>
        <w:t>’</w:t>
      </w:r>
      <w:r w:rsidRPr="00036E51">
        <w:rPr>
          <w:b/>
          <w:i/>
        </w:rPr>
        <w:t>entrée en vigueur de la présente directive modificative].</w:t>
      </w:r>
    </w:p>
    <w:p w:rsidR="001C7823" w:rsidRPr="00036E51" w:rsidRDefault="001C7823" w:rsidP="001C7823">
      <w:pPr>
        <w:pStyle w:val="QuotedNumPar"/>
        <w:ind w:left="1984" w:firstLine="0"/>
        <w:rPr>
          <w:b/>
          <w:i/>
        </w:rPr>
      </w:pPr>
      <w:r w:rsidRPr="00036E51">
        <w:rPr>
          <w:b/>
          <w:i/>
        </w:rPr>
        <w:t>La Commission est habilitée à compléter le présent règlement en adoptant les normes techniques de réglementation visées au deuxième alinéa conformément aux articles 10 à 14 du règlement (UE) nº 1095/2010 du Parlement européen et du Conseil*.</w:t>
      </w:r>
    </w:p>
    <w:p w:rsidR="001C7823" w:rsidRPr="00036E51" w:rsidRDefault="001C7823" w:rsidP="001C7823">
      <w:pPr>
        <w:pStyle w:val="QuotedNumPar"/>
        <w:ind w:left="1984" w:firstLine="0"/>
      </w:pPr>
      <w:r w:rsidRPr="00036E51">
        <w:rPr>
          <w:b/>
          <w:i/>
        </w:rPr>
        <w:t>Le code de conduite de l</w:t>
      </w:r>
      <w:r w:rsidR="00BA38FE">
        <w:rPr>
          <w:b/>
          <w:i/>
        </w:rPr>
        <w:t>’</w:t>
      </w:r>
      <w:r w:rsidRPr="00036E51">
        <w:rPr>
          <w:b/>
          <w:i/>
        </w:rPr>
        <w:t>Union applicable aux recherches financées par l</w:t>
      </w:r>
      <w:r w:rsidR="00BA38FE">
        <w:rPr>
          <w:b/>
          <w:i/>
        </w:rPr>
        <w:t>’</w:t>
      </w:r>
      <w:r w:rsidRPr="00036E51">
        <w:rPr>
          <w:b/>
          <w:i/>
        </w:rPr>
        <w:t>émetteur est publié sur le site de l</w:t>
      </w:r>
      <w:r w:rsidR="00BA38FE">
        <w:rPr>
          <w:b/>
          <w:i/>
        </w:rPr>
        <w:t>’</w:t>
      </w:r>
      <w:r w:rsidRPr="00036E51">
        <w:rPr>
          <w:b/>
          <w:i/>
        </w:rPr>
        <w:t>AEMF.</w:t>
      </w:r>
    </w:p>
    <w:p w:rsidR="001C7823" w:rsidRPr="00036E51" w:rsidRDefault="001C7823" w:rsidP="001C7823">
      <w:pPr>
        <w:pStyle w:val="QuotedNumPar"/>
        <w:ind w:left="1984"/>
      </w:pPr>
      <w:r w:rsidRPr="00036E51">
        <w:t xml:space="preserve">3 quater. </w:t>
      </w:r>
      <w:r w:rsidRPr="00036E51">
        <w:tab/>
        <w:t>Les États membres veillent à ce que tout émetteur puisse soumettre ses recherches financées par l</w:t>
      </w:r>
      <w:r w:rsidR="00BA38FE">
        <w:t>’</w:t>
      </w:r>
      <w:r w:rsidRPr="00036E51">
        <w:t>émetteur, telles que mentionnées au paragraphe 3 ter du présent article, à l</w:t>
      </w:r>
      <w:r w:rsidR="00BA38FE">
        <w:t>’</w:t>
      </w:r>
      <w:r w:rsidRPr="00036E51">
        <w:t>organisme de collecte compétent défini à [l</w:t>
      </w:r>
      <w:r w:rsidR="00BA38FE">
        <w:t>’</w:t>
      </w:r>
      <w:r w:rsidRPr="00036E51">
        <w:t>article 2, paragraphe 2</w:t>
      </w:r>
      <w:r w:rsidRPr="00036E51">
        <w:rPr>
          <w:b/>
          <w:bCs/>
          <w:i/>
          <w:iCs/>
        </w:rPr>
        <w:t>] du règlement (UE)</w:t>
      </w:r>
      <w:r w:rsidR="00BA38FE">
        <w:rPr>
          <w:b/>
          <w:bCs/>
          <w:i/>
          <w:iCs/>
        </w:rPr>
        <w:t>.</w:t>
      </w:r>
      <w:r w:rsidRPr="00036E51">
        <w:rPr>
          <w:b/>
          <w:bCs/>
          <w:i/>
          <w:iCs/>
        </w:rPr>
        <w:t>../... du Parlement européen et du Conseil</w:t>
      </w:r>
      <w:r w:rsidRPr="00036E51">
        <w:rPr>
          <w:rFonts w:ascii="Times New Roman Bold" w:hAnsi="Times New Roman Bold"/>
          <w:b/>
          <w:bCs/>
          <w:i/>
          <w:iCs/>
          <w:vertAlign w:val="superscript"/>
        </w:rPr>
        <w:t>**</w:t>
      </w:r>
      <w:r w:rsidRPr="00036E51">
        <w:t>.</w:t>
      </w:r>
    </w:p>
    <w:p w:rsidR="001C7823" w:rsidRPr="00036E51" w:rsidRDefault="001C7823" w:rsidP="001C7823">
      <w:pPr>
        <w:pStyle w:val="QuotedNumPar"/>
        <w:ind w:left="1984"/>
      </w:pPr>
      <w:r w:rsidRPr="00036E51">
        <w:tab/>
      </w:r>
      <w:r w:rsidRPr="00036E51">
        <w:rPr>
          <w:b/>
          <w:i/>
        </w:rPr>
        <w:t>Lorsqu</w:t>
      </w:r>
      <w:r w:rsidR="00BA38FE">
        <w:rPr>
          <w:b/>
          <w:i/>
        </w:rPr>
        <w:t>’</w:t>
      </w:r>
      <w:r w:rsidRPr="00036E51">
        <w:rPr>
          <w:b/>
          <w:i/>
        </w:rPr>
        <w:t>il soumet ces informations à l</w:t>
      </w:r>
      <w:r w:rsidR="00BA38FE">
        <w:rPr>
          <w:b/>
          <w:i/>
        </w:rPr>
        <w:t>’</w:t>
      </w:r>
      <w:r w:rsidRPr="00036E51">
        <w:rPr>
          <w:b/>
          <w:i/>
        </w:rPr>
        <w:t>organisme de collecte, l</w:t>
      </w:r>
      <w:r w:rsidR="00BA38FE">
        <w:rPr>
          <w:b/>
          <w:i/>
        </w:rPr>
        <w:t>’</w:t>
      </w:r>
      <w:r w:rsidRPr="00036E51">
        <w:rPr>
          <w:b/>
          <w:i/>
        </w:rPr>
        <w:t>émetteur veille à ce qu</w:t>
      </w:r>
      <w:r w:rsidR="00BA38FE">
        <w:rPr>
          <w:b/>
          <w:i/>
        </w:rPr>
        <w:t>’</w:t>
      </w:r>
      <w:r w:rsidRPr="00036E51">
        <w:rPr>
          <w:b/>
          <w:i/>
        </w:rPr>
        <w:t>elles soient accompagnées de métadonnées précisant que les informations sont conformes au code de conduite de l</w:t>
      </w:r>
      <w:r w:rsidR="00BA38FE">
        <w:rPr>
          <w:b/>
          <w:i/>
        </w:rPr>
        <w:t>’</w:t>
      </w:r>
      <w:r w:rsidRPr="00036E51">
        <w:rPr>
          <w:b/>
          <w:i/>
        </w:rPr>
        <w:t>Union pour la recherche financée par l</w:t>
      </w:r>
      <w:r w:rsidR="00BA38FE">
        <w:rPr>
          <w:b/>
          <w:i/>
        </w:rPr>
        <w:t>’</w:t>
      </w:r>
      <w:r w:rsidRPr="00036E51">
        <w:rPr>
          <w:b/>
          <w:i/>
        </w:rPr>
        <w:t>émetteur mais qu</w:t>
      </w:r>
      <w:r w:rsidR="00BA38FE">
        <w:rPr>
          <w:b/>
          <w:i/>
        </w:rPr>
        <w:t>’</w:t>
      </w:r>
      <w:r w:rsidRPr="00036E51">
        <w:rPr>
          <w:b/>
          <w:i/>
        </w:rPr>
        <w:t>elles ne doivent pas être considérées comme des informations réglementées au sens de la directive 2004/109/CE du Parlement européen et du Conseil</w:t>
      </w:r>
      <w:r w:rsidRPr="00036E51">
        <w:rPr>
          <w:b/>
          <w:i/>
          <w:vertAlign w:val="superscript"/>
        </w:rPr>
        <w:t>***</w:t>
      </w:r>
      <w:r w:rsidRPr="00036E51">
        <w:rPr>
          <w:b/>
          <w:i/>
        </w:rPr>
        <w:t xml:space="preserve"> ni comme une recherche en investissement au sens de la directive 2014/65/UE et ne sont donc pas soumises au même niveau de contrôle réglementaire que ces informations réglementées ou cette recherche en investissements.</w:t>
      </w:r>
    </w:p>
    <w:p w:rsidR="001C7823" w:rsidRPr="00036E51" w:rsidRDefault="001C7823" w:rsidP="001C7823">
      <w:pPr>
        <w:pStyle w:val="QuotedNumPar"/>
        <w:ind w:left="1984"/>
      </w:pPr>
      <w:r w:rsidRPr="00036E51">
        <w:t>3 quinquies.</w:t>
      </w:r>
      <w:r w:rsidRPr="00036E51">
        <w:tab/>
        <w:t>Les travaux de recherche désignés comme des recherches financées par l</w:t>
      </w:r>
      <w:r w:rsidR="00BA38FE">
        <w:t>’</w:t>
      </w:r>
      <w:r w:rsidRPr="00036E51">
        <w:t>émetteur indiquent en première page, de manière claire et visible, qu</w:t>
      </w:r>
      <w:r w:rsidR="00BA38FE">
        <w:t>’</w:t>
      </w:r>
      <w:r w:rsidRPr="00036E51">
        <w:t xml:space="preserve">ils ont été produits conformément </w:t>
      </w:r>
      <w:r w:rsidRPr="00036E51">
        <w:rPr>
          <w:b/>
          <w:bCs/>
          <w:i/>
          <w:iCs/>
        </w:rPr>
        <w:t>au</w:t>
      </w:r>
      <w:r w:rsidRPr="00036E51">
        <w:t xml:space="preserve"> code de conduite </w:t>
      </w:r>
      <w:r w:rsidRPr="00036E51">
        <w:rPr>
          <w:b/>
          <w:bCs/>
          <w:i/>
          <w:iCs/>
        </w:rPr>
        <w:t>de l</w:t>
      </w:r>
      <w:r w:rsidR="00BA38FE">
        <w:rPr>
          <w:b/>
          <w:bCs/>
          <w:i/>
          <w:iCs/>
        </w:rPr>
        <w:t>’</w:t>
      </w:r>
      <w:r w:rsidRPr="00036E51">
        <w:rPr>
          <w:b/>
          <w:bCs/>
          <w:i/>
          <w:iCs/>
        </w:rPr>
        <w:t>Union visé au paragraphe 3 ter</w:t>
      </w:r>
      <w:r w:rsidRPr="00036E51">
        <w:t>. ▌Tout autre matériel de recherche entièrement ou partiellement financé par l</w:t>
      </w:r>
      <w:r w:rsidR="00BA38FE">
        <w:t>’</w:t>
      </w:r>
      <w:r w:rsidRPr="00036E51">
        <w:t xml:space="preserve">émetteur mais non </w:t>
      </w:r>
      <w:r w:rsidRPr="00036E51">
        <w:rPr>
          <w:b/>
          <w:bCs/>
          <w:i/>
          <w:iCs/>
        </w:rPr>
        <w:t>préparé</w:t>
      </w:r>
      <w:r w:rsidRPr="00036E51">
        <w:t xml:space="preserve"> conformément </w:t>
      </w:r>
      <w:r w:rsidRPr="00036E51">
        <w:rPr>
          <w:b/>
          <w:bCs/>
          <w:i/>
          <w:iCs/>
        </w:rPr>
        <w:t>au</w:t>
      </w:r>
      <w:r w:rsidRPr="00036E51">
        <w:t xml:space="preserve"> code de conduite</w:t>
      </w:r>
      <w:r w:rsidRPr="00036E51">
        <w:rPr>
          <w:b/>
          <w:bCs/>
          <w:i/>
          <w:iCs/>
        </w:rPr>
        <w:t xml:space="preserve"> de l</w:t>
      </w:r>
      <w:r w:rsidR="00BA38FE">
        <w:rPr>
          <w:b/>
          <w:bCs/>
          <w:i/>
          <w:iCs/>
        </w:rPr>
        <w:t>’</w:t>
      </w:r>
      <w:r w:rsidRPr="00036E51">
        <w:rPr>
          <w:b/>
          <w:bCs/>
          <w:i/>
          <w:iCs/>
        </w:rPr>
        <w:t>Union</w:t>
      </w:r>
      <w:r w:rsidRPr="00036E51">
        <w:t xml:space="preserve">, comme prévu au paragraphe 3 ter, est désigné comme information publicitaire. </w:t>
      </w:r>
      <w:r w:rsidRPr="00036E51">
        <w:rPr>
          <w:b/>
          <w:bCs/>
          <w:i/>
          <w:iCs/>
        </w:rPr>
        <w:t>Les États membres veillent à ce que les autorités compétentes disposent des pouvoirs de surveillance et d</w:t>
      </w:r>
      <w:r w:rsidR="00BA38FE">
        <w:rPr>
          <w:b/>
          <w:bCs/>
          <w:i/>
          <w:iCs/>
        </w:rPr>
        <w:t>’</w:t>
      </w:r>
      <w:r w:rsidRPr="00036E51">
        <w:rPr>
          <w:b/>
          <w:bCs/>
          <w:i/>
          <w:iCs/>
        </w:rPr>
        <w:t>enquête nécessaires pour faire respecter le code de conduite de l</w:t>
      </w:r>
      <w:r w:rsidR="00BA38FE">
        <w:rPr>
          <w:b/>
          <w:bCs/>
          <w:i/>
          <w:iCs/>
        </w:rPr>
        <w:t>’</w:t>
      </w:r>
      <w:r w:rsidRPr="00036E51">
        <w:rPr>
          <w:b/>
          <w:bCs/>
          <w:i/>
          <w:iCs/>
        </w:rPr>
        <w:t>Union visé au paragraphe 3 ter par les entreprises d</w:t>
      </w:r>
      <w:r w:rsidR="00BA38FE">
        <w:rPr>
          <w:b/>
          <w:bCs/>
          <w:i/>
          <w:iCs/>
        </w:rPr>
        <w:t>’</w:t>
      </w:r>
      <w:r w:rsidRPr="00036E51">
        <w:rPr>
          <w:b/>
          <w:bCs/>
          <w:i/>
          <w:iCs/>
        </w:rPr>
        <w:t>investissement qui produisent ou utilisent des recherches financées par l</w:t>
      </w:r>
      <w:r w:rsidR="00BA38FE">
        <w:rPr>
          <w:b/>
          <w:bCs/>
          <w:i/>
          <w:iCs/>
        </w:rPr>
        <w:t>’</w:t>
      </w:r>
      <w:r w:rsidRPr="00036E51">
        <w:rPr>
          <w:b/>
          <w:bCs/>
          <w:i/>
          <w:iCs/>
        </w:rPr>
        <w:t>émetteur.</w:t>
      </w:r>
      <w:r w:rsidRPr="00036E51">
        <w:t>»;</w:t>
      </w:r>
    </w:p>
    <w:p w:rsidR="001C7823" w:rsidRPr="00036E51" w:rsidRDefault="001C7823" w:rsidP="001C7823">
      <w:pPr>
        <w:pStyle w:val="Point1"/>
      </w:pPr>
      <w:r w:rsidRPr="00036E51">
        <w:t>b)</w:t>
      </w:r>
      <w:r w:rsidRPr="00036E51">
        <w:tab/>
        <w:t xml:space="preserve">▌le paragraphe 9 bis </w:t>
      </w:r>
      <w:r w:rsidRPr="00036E51">
        <w:rPr>
          <w:b/>
          <w:bCs/>
          <w:i/>
          <w:iCs/>
        </w:rPr>
        <w:t>est modifié comme suit</w:t>
      </w:r>
      <w:r w:rsidRPr="00036E51">
        <w:t>:</w:t>
      </w:r>
    </w:p>
    <w:p w:rsidR="001C7823" w:rsidRPr="00036E51" w:rsidRDefault="001C7823" w:rsidP="001C7823">
      <w:pPr>
        <w:pStyle w:val="Point1"/>
        <w:rPr>
          <w:b/>
          <w:i/>
        </w:rPr>
      </w:pPr>
      <w:r w:rsidRPr="00036E51">
        <w:tab/>
      </w:r>
      <w:r w:rsidRPr="00036E51">
        <w:rPr>
          <w:b/>
          <w:i/>
        </w:rPr>
        <w:t>i) le premier alinéa est remplacé par le texte suivant:</w:t>
      </w:r>
    </w:p>
    <w:p w:rsidR="001C7823" w:rsidRPr="00036E51" w:rsidRDefault="001C7823" w:rsidP="001C7823">
      <w:pPr>
        <w:pStyle w:val="Point1"/>
        <w:ind w:firstLine="0"/>
        <w:rPr>
          <w:b/>
          <w:i/>
        </w:rPr>
      </w:pPr>
      <w:r w:rsidRPr="00036E51">
        <w:rPr>
          <w:b/>
          <w:i/>
        </w:rPr>
        <w:t>«9 bis. Les États membres veillent à ce que la fourniture de travaux de recherche par des tiers à des entreprises d</w:t>
      </w:r>
      <w:r w:rsidR="00BA38FE">
        <w:rPr>
          <w:b/>
          <w:i/>
        </w:rPr>
        <w:t>’</w:t>
      </w:r>
      <w:r w:rsidRPr="00036E51">
        <w:rPr>
          <w:b/>
          <w:i/>
        </w:rPr>
        <w:t>investissement qui fournissent des services de gestion de portefeuille ou d</w:t>
      </w:r>
      <w:r w:rsidR="00BA38FE">
        <w:rPr>
          <w:b/>
          <w:i/>
        </w:rPr>
        <w:t>’</w:t>
      </w:r>
      <w:r w:rsidRPr="00036E51">
        <w:rPr>
          <w:b/>
          <w:i/>
        </w:rPr>
        <w:t>autres services d</w:t>
      </w:r>
      <w:r w:rsidR="00BA38FE">
        <w:rPr>
          <w:b/>
          <w:i/>
        </w:rPr>
        <w:t>’</w:t>
      </w:r>
      <w:r w:rsidRPr="00036E51">
        <w:rPr>
          <w:b/>
          <w:i/>
        </w:rPr>
        <w:t>investissement ou services auxiliaires à des clients soit considérée comme remplissant les obligations prévues au paragraphe 1 si:</w:t>
      </w:r>
    </w:p>
    <w:p w:rsidR="001C7823" w:rsidRPr="00036E51" w:rsidRDefault="001C7823" w:rsidP="001C7823">
      <w:pPr>
        <w:pStyle w:val="Point1"/>
        <w:ind w:left="1440" w:firstLine="23"/>
        <w:rPr>
          <w:b/>
          <w:i/>
        </w:rPr>
      </w:pPr>
      <w:r w:rsidRPr="00036E51">
        <w:rPr>
          <w:b/>
          <w:i/>
        </w:rPr>
        <w:t>a) un accord a été conclu entre l</w:t>
      </w:r>
      <w:r w:rsidR="00BA38FE">
        <w:rPr>
          <w:b/>
          <w:i/>
        </w:rPr>
        <w:t>’</w:t>
      </w:r>
      <w:r w:rsidRPr="00036E51">
        <w:rPr>
          <w:b/>
          <w:i/>
        </w:rPr>
        <w:t>entreprise d</w:t>
      </w:r>
      <w:r w:rsidR="00BA38FE">
        <w:rPr>
          <w:b/>
          <w:i/>
        </w:rPr>
        <w:t>’</w:t>
      </w:r>
      <w:r w:rsidRPr="00036E51">
        <w:rPr>
          <w:b/>
          <w:i/>
        </w:rPr>
        <w:t>investissement et le prestataire de recherche, précisant quelle partie des éventuels frais combinés ou paiements conjoints liés aux services d</w:t>
      </w:r>
      <w:r w:rsidR="00BA38FE">
        <w:rPr>
          <w:b/>
          <w:i/>
        </w:rPr>
        <w:t>’</w:t>
      </w:r>
      <w:r w:rsidRPr="00036E51">
        <w:rPr>
          <w:b/>
          <w:i/>
        </w:rPr>
        <w:t>exécution et de recherche est imputable à la recherche;</w:t>
      </w:r>
    </w:p>
    <w:p w:rsidR="001C7823" w:rsidRPr="00036E51" w:rsidRDefault="001C7823" w:rsidP="001C7823">
      <w:pPr>
        <w:pStyle w:val="Point1"/>
        <w:ind w:left="1440" w:firstLine="23"/>
        <w:rPr>
          <w:b/>
          <w:i/>
        </w:rPr>
      </w:pPr>
      <w:r w:rsidRPr="00036E51">
        <w:rPr>
          <w:b/>
          <w:i/>
        </w:rPr>
        <w:t>b) l</w:t>
      </w:r>
      <w:r w:rsidR="00BA38FE">
        <w:rPr>
          <w:b/>
          <w:i/>
        </w:rPr>
        <w:t>’</w:t>
      </w:r>
      <w:r w:rsidRPr="00036E51">
        <w:rPr>
          <w:b/>
          <w:i/>
        </w:rPr>
        <w:t>entreprise d</w:t>
      </w:r>
      <w:r w:rsidR="00BA38FE">
        <w:rPr>
          <w:b/>
          <w:i/>
        </w:rPr>
        <w:t>’</w:t>
      </w:r>
      <w:r w:rsidRPr="00036E51">
        <w:rPr>
          <w:b/>
          <w:i/>
        </w:rPr>
        <w:t>investissement informe ses clients des paiements séparés ou conjoints, selon le cas, effectués en faveur de prestataires tiers de recherche pour des services d</w:t>
      </w:r>
      <w:r w:rsidR="00BA38FE">
        <w:rPr>
          <w:b/>
          <w:i/>
        </w:rPr>
        <w:t>’</w:t>
      </w:r>
      <w:r w:rsidRPr="00036E51">
        <w:rPr>
          <w:b/>
          <w:i/>
        </w:rPr>
        <w:t>exécution et de recherche, et des conséquences du choix de paiements séparés ou conjoints pour le client; et</w:t>
      </w:r>
    </w:p>
    <w:p w:rsidR="001C7823" w:rsidRPr="00036E51" w:rsidRDefault="001C7823" w:rsidP="001C7823">
      <w:pPr>
        <w:pStyle w:val="point10"/>
        <w:ind w:left="1440" w:firstLine="0"/>
      </w:pPr>
      <w:r w:rsidRPr="00036E51">
        <w:rPr>
          <w:b/>
          <w:i/>
        </w:rPr>
        <w:t>c) l</w:t>
      </w:r>
      <w:r w:rsidR="00BA38FE">
        <w:rPr>
          <w:b/>
          <w:i/>
        </w:rPr>
        <w:t>’</w:t>
      </w:r>
      <w:r w:rsidRPr="00036E51">
        <w:rPr>
          <w:b/>
          <w:i/>
        </w:rPr>
        <w:t>entreprise d</w:t>
      </w:r>
      <w:r w:rsidR="00BA38FE">
        <w:rPr>
          <w:b/>
          <w:i/>
        </w:rPr>
        <w:t>’</w:t>
      </w:r>
      <w:r w:rsidRPr="00036E51">
        <w:rPr>
          <w:b/>
          <w:i/>
        </w:rPr>
        <w:t>investissement évalue régulièrement la qualité et le prix de la recherche utilisée en se fondant sur des critères de qualité et de prix solides et sur sa capacité à contribuer à de meilleures décisions d</w:t>
      </w:r>
      <w:r w:rsidR="00BA38FE">
        <w:rPr>
          <w:b/>
          <w:i/>
        </w:rPr>
        <w:t>’</w:t>
      </w:r>
      <w:r w:rsidRPr="00036E51">
        <w:rPr>
          <w:b/>
          <w:i/>
        </w:rPr>
        <w:t>investissement. L</w:t>
      </w:r>
      <w:r w:rsidR="00BA38FE">
        <w:rPr>
          <w:b/>
          <w:i/>
        </w:rPr>
        <w:t>’</w:t>
      </w:r>
      <w:r w:rsidRPr="00036E51">
        <w:rPr>
          <w:b/>
          <w:i/>
        </w:rPr>
        <w:t>AEMF élabore des orientations à l</w:t>
      </w:r>
      <w:r w:rsidR="00BA38FE">
        <w:rPr>
          <w:b/>
          <w:i/>
        </w:rPr>
        <w:t>’</w:t>
      </w:r>
      <w:r w:rsidRPr="00036E51">
        <w:rPr>
          <w:b/>
          <w:i/>
        </w:rPr>
        <w:t>intention des entreprises d</w:t>
      </w:r>
      <w:r w:rsidR="00BA38FE">
        <w:rPr>
          <w:b/>
          <w:i/>
        </w:rPr>
        <w:t>’</w:t>
      </w:r>
      <w:r w:rsidRPr="00036E51">
        <w:rPr>
          <w:b/>
          <w:i/>
        </w:rPr>
        <w:t>investissement aux fins de ces évaluations.</w:t>
      </w:r>
    </w:p>
    <w:p w:rsidR="001C7823" w:rsidRPr="00036E51" w:rsidRDefault="001C7823" w:rsidP="001C7823">
      <w:pPr>
        <w:pStyle w:val="Point0"/>
      </w:pPr>
    </w:p>
    <w:p w:rsidR="001C7823" w:rsidRPr="00036E51" w:rsidRDefault="001C7823" w:rsidP="001C7823">
      <w:pPr>
        <w:pStyle w:val="Point1"/>
        <w:spacing w:after="0"/>
        <w:ind w:left="720" w:firstLine="720"/>
        <w:rPr>
          <w:b/>
          <w:i/>
        </w:rPr>
      </w:pPr>
      <w:r w:rsidRPr="00036E51">
        <w:rPr>
          <w:b/>
          <w:i/>
        </w:rPr>
        <w:t>ii) les alinéas suivants sont ajoutés:</w:t>
      </w:r>
    </w:p>
    <w:p w:rsidR="001C7823" w:rsidRPr="00036E51" w:rsidRDefault="001C7823" w:rsidP="001C7823">
      <w:pPr>
        <w:pStyle w:val="QuotedNumPar"/>
        <w:ind w:left="1440" w:hanging="23"/>
        <w:rPr>
          <w:i/>
        </w:rPr>
      </w:pPr>
      <w:r w:rsidRPr="00036E51">
        <w:rPr>
          <w:b/>
          <w:i/>
        </w:rPr>
        <w:t>Les États membres veillent également à ce qu</w:t>
      </w:r>
      <w:r w:rsidR="00BA38FE">
        <w:rPr>
          <w:b/>
          <w:i/>
        </w:rPr>
        <w:t>’</w:t>
      </w:r>
      <w:r w:rsidRPr="00036E51">
        <w:rPr>
          <w:b/>
          <w:i/>
        </w:rPr>
        <w:t>une recherche effectuée par des tiers au profit d</w:t>
      </w:r>
      <w:r w:rsidR="00BA38FE">
        <w:rPr>
          <w:b/>
          <w:i/>
        </w:rPr>
        <w:t>’</w:t>
      </w:r>
      <w:r w:rsidRPr="00036E51">
        <w:rPr>
          <w:b/>
          <w:i/>
        </w:rPr>
        <w:t>entreprises d</w:t>
      </w:r>
      <w:r w:rsidR="00BA38FE">
        <w:rPr>
          <w:b/>
          <w:i/>
        </w:rPr>
        <w:t>’</w:t>
      </w:r>
      <w:r w:rsidRPr="00036E51">
        <w:rPr>
          <w:b/>
          <w:i/>
        </w:rPr>
        <w:t>investissement qui fournissent à leurs clients des services de gestion de portefeuille ou d</w:t>
      </w:r>
      <w:r w:rsidR="00BA38FE">
        <w:rPr>
          <w:b/>
          <w:i/>
        </w:rPr>
        <w:t>’</w:t>
      </w:r>
      <w:r w:rsidRPr="00036E51">
        <w:rPr>
          <w:b/>
          <w:i/>
        </w:rPr>
        <w:t>autres services d</w:t>
      </w:r>
      <w:r w:rsidR="00BA38FE">
        <w:rPr>
          <w:b/>
          <w:i/>
        </w:rPr>
        <w:t>’</w:t>
      </w:r>
      <w:r w:rsidRPr="00036E51">
        <w:rPr>
          <w:b/>
          <w:i/>
        </w:rPr>
        <w:t>investissement ou services auxiliaires soit considérée comme respectant les obligations prévues au paragraphe 1 si la recherche est fournie par un prestataire de recherche indépendant qui ne prend pas part à des services d</w:t>
      </w:r>
      <w:r w:rsidR="00BA38FE">
        <w:rPr>
          <w:b/>
          <w:i/>
        </w:rPr>
        <w:t>’</w:t>
      </w:r>
      <w:r w:rsidRPr="00036E51">
        <w:rPr>
          <w:b/>
          <w:i/>
        </w:rPr>
        <w:t>exécution et qui n</w:t>
      </w:r>
      <w:r w:rsidR="00BA38FE">
        <w:rPr>
          <w:b/>
          <w:i/>
        </w:rPr>
        <w:t>’</w:t>
      </w:r>
      <w:r w:rsidRPr="00036E51">
        <w:rPr>
          <w:b/>
          <w:i/>
        </w:rPr>
        <w:t>appartient pas à un groupe de services financiers comprenant une entreprise d</w:t>
      </w:r>
      <w:r w:rsidR="00BA38FE">
        <w:rPr>
          <w:b/>
          <w:i/>
        </w:rPr>
        <w:t>’</w:t>
      </w:r>
      <w:r w:rsidRPr="00036E51">
        <w:rPr>
          <w:b/>
          <w:i/>
        </w:rPr>
        <w:t>investissement qui propose des services d</w:t>
      </w:r>
      <w:r w:rsidR="00BA38FE">
        <w:rPr>
          <w:b/>
          <w:i/>
        </w:rPr>
        <w:t>’</w:t>
      </w:r>
      <w:r w:rsidRPr="00036E51">
        <w:rPr>
          <w:b/>
          <w:i/>
        </w:rPr>
        <w:t xml:space="preserve">exécution ou de courtage. </w:t>
      </w:r>
    </w:p>
    <w:p w:rsidR="001C7823" w:rsidRPr="00036E51" w:rsidRDefault="001C7823" w:rsidP="001C7823">
      <w:pPr>
        <w:pStyle w:val="QuotedNumPar"/>
        <w:ind w:left="1440" w:firstLine="0"/>
        <w:rPr>
          <w:i/>
        </w:rPr>
      </w:pPr>
      <w:r w:rsidRPr="00036E51">
        <w:rPr>
          <w:b/>
          <w:i/>
        </w:rPr>
        <w:t>Les entreprises d</w:t>
      </w:r>
      <w:r w:rsidR="00BA38FE">
        <w:rPr>
          <w:b/>
          <w:i/>
        </w:rPr>
        <w:t>’</w:t>
      </w:r>
      <w:r w:rsidRPr="00036E51">
        <w:rPr>
          <w:b/>
          <w:i/>
        </w:rPr>
        <w:t>investissement tiennent un registre des paiements séparés et rassemblent des informations dans lesquelles elles précisent quelle partie des éventuels frais combinés ou paiements conjoints liés aux services d</w:t>
      </w:r>
      <w:r w:rsidR="00BA38FE">
        <w:rPr>
          <w:b/>
          <w:i/>
        </w:rPr>
        <w:t>’</w:t>
      </w:r>
      <w:r w:rsidRPr="00036E51">
        <w:rPr>
          <w:b/>
          <w:i/>
        </w:rPr>
        <w:t>exécution et de recherche est imputable à la recherche qui leur a été fournie. Les entreprises d</w:t>
      </w:r>
      <w:r w:rsidR="00BA38FE">
        <w:rPr>
          <w:b/>
          <w:i/>
        </w:rPr>
        <w:t>’</w:t>
      </w:r>
      <w:r w:rsidRPr="00036E51">
        <w:rPr>
          <w:b/>
          <w:i/>
        </w:rPr>
        <w:t>investissement informent chaque année leurs clients, sous forme agrégée, de leurs dépenses annuelles de recherche qui sont imputables aux clients.</w:t>
      </w:r>
    </w:p>
    <w:p w:rsidR="001C7823" w:rsidRPr="00036E51" w:rsidRDefault="001C7823" w:rsidP="001C7823">
      <w:pPr>
        <w:pStyle w:val="QuotedNumPar"/>
        <w:ind w:left="1440" w:firstLine="0"/>
        <w:rPr>
          <w:b/>
          <w:i/>
        </w:rPr>
      </w:pPr>
      <w:r w:rsidRPr="00036E51">
        <w:rPr>
          <w:b/>
          <w:i/>
        </w:rPr>
        <w:t>Les États membres veillent à ce que les prestataires tiers de recherche ne soient pas tenus de faciliter le paiement conjoint, de la part des entreprises d</w:t>
      </w:r>
      <w:r w:rsidR="00BA38FE">
        <w:rPr>
          <w:b/>
          <w:i/>
        </w:rPr>
        <w:t>’</w:t>
      </w:r>
      <w:r w:rsidRPr="00036E51">
        <w:rPr>
          <w:b/>
          <w:i/>
        </w:rPr>
        <w:t>investissement, pour les services d</w:t>
      </w:r>
      <w:r w:rsidR="00BA38FE">
        <w:rPr>
          <w:b/>
          <w:i/>
        </w:rPr>
        <w:t>’</w:t>
      </w:r>
      <w:r w:rsidRPr="00036E51">
        <w:rPr>
          <w:b/>
          <w:i/>
        </w:rPr>
        <w:t>exécution et de recherche. Les États membres veillent également à ce que les entreprises d</w:t>
      </w:r>
      <w:r w:rsidR="00BA38FE">
        <w:rPr>
          <w:b/>
          <w:i/>
        </w:rPr>
        <w:t>’</w:t>
      </w:r>
      <w:r w:rsidRPr="00036E51">
        <w:rPr>
          <w:b/>
          <w:i/>
        </w:rPr>
        <w:t>investissement qui achètent des travaux de recherche auprès de prestataires tiers de recherche soient toujours en mesure de payer séparément les services d</w:t>
      </w:r>
      <w:r w:rsidR="00BA38FE">
        <w:rPr>
          <w:b/>
          <w:i/>
        </w:rPr>
        <w:t>’</w:t>
      </w:r>
      <w:r w:rsidRPr="00036E51">
        <w:rPr>
          <w:b/>
          <w:i/>
        </w:rPr>
        <w:t>exécution et de recherche qu</w:t>
      </w:r>
      <w:r w:rsidR="00BA38FE">
        <w:rPr>
          <w:b/>
          <w:i/>
        </w:rPr>
        <w:t>’</w:t>
      </w:r>
      <w:r w:rsidRPr="00036E51">
        <w:rPr>
          <w:b/>
          <w:i/>
        </w:rPr>
        <w:t>elles reçoivent.</w:t>
      </w:r>
    </w:p>
    <w:p w:rsidR="001C7823" w:rsidRPr="00036E51" w:rsidRDefault="001C7823" w:rsidP="001C7823">
      <w:pPr>
        <w:pStyle w:val="QuotedNumPar"/>
        <w:ind w:left="1418" w:firstLine="0"/>
        <w:rPr>
          <w:b/>
          <w:i/>
        </w:rPr>
      </w:pPr>
      <w:r w:rsidRPr="00036E51">
        <w:rPr>
          <w:b/>
          <w:i/>
        </w:rPr>
        <w:t>Au plus tard le</w:t>
      </w:r>
      <w:r w:rsidR="00BA38FE">
        <w:rPr>
          <w:b/>
          <w:i/>
        </w:rPr>
        <w:t>.</w:t>
      </w:r>
      <w:r w:rsidRPr="00036E51">
        <w:rPr>
          <w:b/>
          <w:i/>
        </w:rPr>
        <w:t>.. [3 ans à compter de la date d</w:t>
      </w:r>
      <w:r w:rsidR="00BA38FE">
        <w:rPr>
          <w:b/>
          <w:i/>
        </w:rPr>
        <w:t>’</w:t>
      </w:r>
      <w:r w:rsidRPr="00036E51">
        <w:rPr>
          <w:b/>
          <w:i/>
        </w:rPr>
        <w:t>entrée en vigueur de la présente directive modificative], l</w:t>
      </w:r>
      <w:r w:rsidR="00BA38FE">
        <w:rPr>
          <w:b/>
          <w:i/>
        </w:rPr>
        <w:t>’</w:t>
      </w:r>
      <w:r w:rsidRPr="00036E51">
        <w:rPr>
          <w:b/>
          <w:i/>
        </w:rPr>
        <w:t>AEMF élabore un rapport contenant une évaluation complète de l</w:t>
      </w:r>
      <w:r w:rsidR="00BA38FE">
        <w:rPr>
          <w:b/>
          <w:i/>
        </w:rPr>
        <w:t>’</w:t>
      </w:r>
      <w:r w:rsidRPr="00036E51">
        <w:rPr>
          <w:b/>
          <w:i/>
        </w:rPr>
        <w:t>évolution du marché en ce qui concerne la recherche au sens du présent article. Cette évaluation tient compte au minimum de la couverture des travaux de recherche des entreprises cotées, des coûts et de la qualité de cette recherche, de l</w:t>
      </w:r>
      <w:r w:rsidR="00BA38FE">
        <w:rPr>
          <w:b/>
          <w:i/>
        </w:rPr>
        <w:t>’</w:t>
      </w:r>
      <w:r w:rsidRPr="00036E51">
        <w:rPr>
          <w:b/>
          <w:i/>
        </w:rPr>
        <w:t>incidence des paiements conjoints sur «l</w:t>
      </w:r>
      <w:r w:rsidR="00BA38FE">
        <w:rPr>
          <w:b/>
          <w:i/>
        </w:rPr>
        <w:t>’</w:t>
      </w:r>
      <w:r w:rsidRPr="00036E51">
        <w:rPr>
          <w:b/>
          <w:i/>
        </w:rPr>
        <w:t>exécution au mieux» par les entreprises d</w:t>
      </w:r>
      <w:r w:rsidR="00BA38FE">
        <w:rPr>
          <w:b/>
          <w:i/>
        </w:rPr>
        <w:t>’</w:t>
      </w:r>
      <w:r w:rsidRPr="00036E51">
        <w:rPr>
          <w:b/>
          <w:i/>
        </w:rPr>
        <w:t>investissement, de la part des paiements séparés et des paiements conjoints effectués par les entreprises d</w:t>
      </w:r>
      <w:r w:rsidR="00BA38FE">
        <w:rPr>
          <w:b/>
          <w:i/>
        </w:rPr>
        <w:t>’</w:t>
      </w:r>
      <w:r w:rsidRPr="00036E51">
        <w:rPr>
          <w:b/>
          <w:i/>
        </w:rPr>
        <w:t>investissement en faveur de prestataires tiers pour des services d</w:t>
      </w:r>
      <w:r w:rsidR="00BA38FE">
        <w:rPr>
          <w:b/>
          <w:i/>
        </w:rPr>
        <w:t>’</w:t>
      </w:r>
      <w:r w:rsidRPr="00036E51">
        <w:rPr>
          <w:b/>
          <w:i/>
        </w:rPr>
        <w:t>exécution et de recherche, et du niveau de satisfaction de la demande de recherche des investisseurs et autres acheteurs.</w:t>
      </w:r>
    </w:p>
    <w:p w:rsidR="001C7823" w:rsidRPr="00036E51" w:rsidRDefault="001C7823" w:rsidP="001C7823">
      <w:pPr>
        <w:pStyle w:val="QuotedNumPar"/>
        <w:ind w:left="1418" w:firstLine="0"/>
        <w:rPr>
          <w:b/>
          <w:i/>
        </w:rPr>
      </w:pPr>
      <w:r w:rsidRPr="00036E51">
        <w:rPr>
          <w:b/>
          <w:i/>
        </w:rPr>
        <w:t xml:space="preserve">Sur la base de ce rapport, la Commission peut, le cas échéant, soumettre au Parlement européen et au Conseil une proposition législative concernant des modifications des règles établies dans la présente directive en ce qui concerne la recherche. </w:t>
      </w:r>
    </w:p>
    <w:p w:rsidR="001C7823" w:rsidRPr="00036E51" w:rsidRDefault="001C7823" w:rsidP="001C7823">
      <w:pPr>
        <w:pStyle w:val="QuotedNumPar"/>
        <w:rPr>
          <w:b/>
          <w:i/>
        </w:rPr>
      </w:pPr>
      <w:r w:rsidRPr="00036E51">
        <w:rPr>
          <w:b/>
          <w:i/>
        </w:rPr>
        <w:t>c)</w:t>
      </w:r>
      <w:r w:rsidRPr="00036E51">
        <w:rPr>
          <w:b/>
          <w:i/>
        </w:rPr>
        <w:tab/>
        <w:t>le paragraphe suivant est inséré:</w:t>
      </w:r>
    </w:p>
    <w:p w:rsidR="001C7823" w:rsidRPr="00036E51" w:rsidRDefault="001C7823" w:rsidP="001C7823">
      <w:pPr>
        <w:pStyle w:val="QuotedNumPar"/>
        <w:ind w:left="1440" w:firstLine="0"/>
        <w:rPr>
          <w:b/>
          <w:i/>
        </w:rPr>
      </w:pPr>
      <w:r w:rsidRPr="00036E51">
        <w:rPr>
          <w:b/>
          <w:i/>
        </w:rPr>
        <w:t>9 ter. L</w:t>
      </w:r>
      <w:r w:rsidR="00BA38FE">
        <w:rPr>
          <w:b/>
          <w:i/>
        </w:rPr>
        <w:t>’</w:t>
      </w:r>
      <w:r w:rsidRPr="00036E51">
        <w:rPr>
          <w:b/>
          <w:i/>
        </w:rPr>
        <w:t>AEMF organise une procédure pour la création d</w:t>
      </w:r>
      <w:r w:rsidR="00BA38FE">
        <w:rPr>
          <w:b/>
          <w:i/>
        </w:rPr>
        <w:t>’</w:t>
      </w:r>
      <w:r w:rsidRPr="00036E51">
        <w:rPr>
          <w:b/>
          <w:i/>
        </w:rPr>
        <w:t>une place de marché volontaire de la recherche à l</w:t>
      </w:r>
      <w:r w:rsidR="00BA38FE">
        <w:rPr>
          <w:b/>
          <w:i/>
        </w:rPr>
        <w:t>’</w:t>
      </w:r>
      <w:r w:rsidRPr="00036E51">
        <w:rPr>
          <w:b/>
          <w:i/>
        </w:rPr>
        <w:t>échelle de l</w:t>
      </w:r>
      <w:r w:rsidR="00BA38FE">
        <w:rPr>
          <w:b/>
          <w:i/>
        </w:rPr>
        <w:t>’</w:t>
      </w:r>
      <w:r w:rsidRPr="00036E51">
        <w:rPr>
          <w:b/>
          <w:i/>
        </w:rPr>
        <w:t>Union centrée sur la recherche portant sur les petites et moyennes entreprises et sur l</w:t>
      </w:r>
      <w:r w:rsidR="00BA38FE">
        <w:rPr>
          <w:b/>
          <w:i/>
        </w:rPr>
        <w:t>’</w:t>
      </w:r>
      <w:r w:rsidRPr="00036E51">
        <w:rPr>
          <w:b/>
          <w:i/>
        </w:rPr>
        <w:t>introduction en bourse. La place de marché de la recherche est financée par des contributions fixes des entreprises participantes. La recherche est commandée par des prestataires de recherche indépendants.</w:t>
      </w:r>
    </w:p>
    <w:p w:rsidR="001C7823" w:rsidRPr="00036E51" w:rsidRDefault="001C7823" w:rsidP="001C7823">
      <w:pPr>
        <w:pStyle w:val="QuotedNumPar"/>
        <w:ind w:left="1440" w:firstLine="0"/>
        <w:rPr>
          <w:b/>
          <w:i/>
        </w:rPr>
      </w:pPr>
      <w:r w:rsidRPr="00036E51">
        <w:rPr>
          <w:b/>
          <w:i/>
        </w:rPr>
        <w:t>L</w:t>
      </w:r>
      <w:r w:rsidR="00BA38FE">
        <w:rPr>
          <w:b/>
          <w:i/>
        </w:rPr>
        <w:t>’</w:t>
      </w:r>
      <w:r w:rsidRPr="00036E51">
        <w:rPr>
          <w:b/>
          <w:i/>
        </w:rPr>
        <w:t>AEMF élabore un projet de normes techniques de réglementation fixant les conditions de la création d</w:t>
      </w:r>
      <w:r w:rsidR="00BA38FE">
        <w:rPr>
          <w:b/>
          <w:i/>
        </w:rPr>
        <w:t>’</w:t>
      </w:r>
      <w:r w:rsidRPr="00036E51">
        <w:rPr>
          <w:b/>
          <w:i/>
        </w:rPr>
        <w:t>une place de marché volontaire de la recherche à l</w:t>
      </w:r>
      <w:r w:rsidR="00BA38FE">
        <w:rPr>
          <w:b/>
          <w:i/>
        </w:rPr>
        <w:t>’</w:t>
      </w:r>
      <w:r w:rsidRPr="00036E51">
        <w:rPr>
          <w:b/>
          <w:i/>
        </w:rPr>
        <w:t>échelle de l</w:t>
      </w:r>
      <w:r w:rsidR="00BA38FE">
        <w:rPr>
          <w:b/>
          <w:i/>
        </w:rPr>
        <w:t>’</w:t>
      </w:r>
      <w:r w:rsidRPr="00036E51">
        <w:rPr>
          <w:b/>
          <w:i/>
        </w:rPr>
        <w:t>Union centrée sur la recherche portant sur les petites et moyennes entreprises. Ce projet définit au moins les éléments suivants:</w:t>
      </w:r>
    </w:p>
    <w:p w:rsidR="001C7823" w:rsidRPr="00036E51" w:rsidRDefault="001C7823" w:rsidP="001C7823">
      <w:pPr>
        <w:pStyle w:val="QuotedNumPar"/>
        <w:ind w:left="2183" w:hanging="740"/>
        <w:rPr>
          <w:b/>
          <w:i/>
        </w:rPr>
      </w:pPr>
      <w:r w:rsidRPr="00036E51">
        <w:rPr>
          <w:b/>
          <w:i/>
        </w:rPr>
        <w:t>a) les conditions d</w:t>
      </w:r>
      <w:r w:rsidR="00BA38FE">
        <w:rPr>
          <w:b/>
          <w:i/>
        </w:rPr>
        <w:t>’</w:t>
      </w:r>
      <w:r w:rsidRPr="00036E51">
        <w:rPr>
          <w:b/>
          <w:i/>
        </w:rPr>
        <w:t>entrée sur la place de marché de la recherche;</w:t>
      </w:r>
    </w:p>
    <w:p w:rsidR="001C7823" w:rsidRPr="00036E51" w:rsidRDefault="001C7823" w:rsidP="001C7823">
      <w:pPr>
        <w:pStyle w:val="QuotedNumPar"/>
        <w:ind w:left="2183" w:hanging="740"/>
        <w:rPr>
          <w:b/>
          <w:i/>
        </w:rPr>
      </w:pPr>
      <w:r w:rsidRPr="00036E51">
        <w:rPr>
          <w:b/>
          <w:i/>
        </w:rPr>
        <w:t>b) les principes de gouvernance;</w:t>
      </w:r>
    </w:p>
    <w:p w:rsidR="001C7823" w:rsidRPr="00036E51" w:rsidRDefault="001C7823" w:rsidP="001C7823">
      <w:pPr>
        <w:pStyle w:val="QuotedNumPar"/>
        <w:ind w:left="2183" w:hanging="740"/>
        <w:rPr>
          <w:b/>
          <w:i/>
        </w:rPr>
      </w:pPr>
      <w:r w:rsidRPr="00036E51">
        <w:rPr>
          <w:b/>
          <w:i/>
        </w:rPr>
        <w:t>c) les modalités de financement;</w:t>
      </w:r>
    </w:p>
    <w:p w:rsidR="001C7823" w:rsidRPr="00036E51" w:rsidRDefault="001C7823" w:rsidP="001C7823">
      <w:pPr>
        <w:pStyle w:val="QuotedNumPar"/>
        <w:ind w:left="2183" w:hanging="740"/>
        <w:rPr>
          <w:b/>
          <w:i/>
        </w:rPr>
      </w:pPr>
      <w:r w:rsidRPr="00036E51">
        <w:rPr>
          <w:b/>
          <w:i/>
        </w:rPr>
        <w:t>d) la couverture des travaux de recherche de la place de marché de la recherche.</w:t>
      </w:r>
    </w:p>
    <w:p w:rsidR="001C7823" w:rsidRPr="00036E51" w:rsidRDefault="001C7823" w:rsidP="001C7823">
      <w:pPr>
        <w:pStyle w:val="QuotedNumPar"/>
        <w:ind w:left="1440" w:firstLine="0"/>
        <w:rPr>
          <w:b/>
          <w:i/>
        </w:rPr>
      </w:pPr>
      <w:r w:rsidRPr="00036E51">
        <w:rPr>
          <w:b/>
          <w:i/>
        </w:rPr>
        <w:t>L</w:t>
      </w:r>
      <w:r w:rsidR="00BA38FE">
        <w:rPr>
          <w:b/>
          <w:i/>
        </w:rPr>
        <w:t>’</w:t>
      </w:r>
      <w:r w:rsidRPr="00036E51">
        <w:rPr>
          <w:b/>
          <w:i/>
        </w:rPr>
        <w:t>AEMF soumet ce projet de normes techniques de réglementation à la Commission au plus tard le … [12 mois à compter de la date d</w:t>
      </w:r>
      <w:r w:rsidR="00BA38FE">
        <w:rPr>
          <w:b/>
          <w:i/>
        </w:rPr>
        <w:t>’</w:t>
      </w:r>
      <w:r w:rsidRPr="00036E51">
        <w:rPr>
          <w:b/>
          <w:i/>
        </w:rPr>
        <w:t>entrée en vigueur de la présente directive modificative].</w:t>
      </w:r>
    </w:p>
    <w:p w:rsidR="001C7823" w:rsidRPr="00036E51" w:rsidRDefault="001C7823" w:rsidP="001C7823">
      <w:pPr>
        <w:pStyle w:val="QuotedNumPar"/>
        <w:ind w:left="1440" w:firstLine="0"/>
        <w:rPr>
          <w:b/>
        </w:rPr>
      </w:pPr>
      <w:r w:rsidRPr="00036E51">
        <w:rPr>
          <w:b/>
          <w:i/>
        </w:rPr>
        <w:t>Pouvoir est délégué à la Commission de compléter la présente directive en adoptant les normes techniques de réglementation visées au deuxième alinéa du présent paragraphe conformément aux articles 10 à 14 du règlement (UE) nº 1095/2010</w:t>
      </w:r>
      <w:r w:rsidRPr="00036E51">
        <w:rPr>
          <w:b/>
        </w:rPr>
        <w:t>.</w:t>
      </w:r>
    </w:p>
    <w:p w:rsidR="001C7823" w:rsidRPr="00036E51" w:rsidRDefault="001C7823" w:rsidP="001C7823">
      <w:pPr>
        <w:widowControl/>
        <w:spacing w:before="120" w:after="120" w:line="360" w:lineRule="auto"/>
        <w:ind w:left="1985" w:hanging="567"/>
        <w:rPr>
          <w:rFonts w:eastAsia="Calibri"/>
          <w:b/>
          <w:i/>
          <w:szCs w:val="24"/>
        </w:rPr>
      </w:pPr>
      <w:r w:rsidRPr="00036E51">
        <w:rPr>
          <w:b/>
          <w:i/>
        </w:rPr>
        <w:t>__________________</w:t>
      </w:r>
    </w:p>
    <w:p w:rsidR="001C7823" w:rsidRPr="00036E51" w:rsidRDefault="001C7823" w:rsidP="001C7823">
      <w:pPr>
        <w:pStyle w:val="QuotedNumPar"/>
        <w:ind w:left="1440"/>
        <w:rPr>
          <w:rFonts w:eastAsia="Calibri"/>
          <w:b/>
          <w:i/>
          <w:iCs/>
          <w:szCs w:val="24"/>
        </w:rPr>
      </w:pPr>
      <w:r w:rsidRPr="00036E51">
        <w:rPr>
          <w:b/>
          <w:i/>
          <w:vertAlign w:val="superscript"/>
        </w:rPr>
        <w:t>*</w:t>
      </w:r>
      <w:r w:rsidRPr="00036E51">
        <w:rPr>
          <w:b/>
          <w:i/>
        </w:rPr>
        <w:tab/>
        <w:t>Règlement (UE) n° 1095/2010 du Parlement européen et du Conseil du 24 novembre 2010 instituant une Autorité européenne de surveillance (Autorité européenne des marchés financiers), modifiant la décision n° 716/2009/CE et abrogeant la décision 2009/77/CE de la Commission (JO L 331 du 15.12.2010, p. 84).</w:t>
      </w:r>
    </w:p>
    <w:p w:rsidR="001C7823" w:rsidRPr="00036E51" w:rsidRDefault="001C7823" w:rsidP="001C7823">
      <w:pPr>
        <w:pStyle w:val="QuotedNumPar"/>
        <w:ind w:left="1440"/>
        <w:rPr>
          <w:rFonts w:eastAsia="Calibri"/>
          <w:b/>
          <w:i/>
          <w:iCs/>
          <w:szCs w:val="24"/>
        </w:rPr>
      </w:pPr>
      <w:r w:rsidRPr="00036E51">
        <w:rPr>
          <w:b/>
          <w:i/>
          <w:vertAlign w:val="superscript"/>
        </w:rPr>
        <w:t>**</w:t>
      </w:r>
      <w:r w:rsidRPr="00036E51">
        <w:rPr>
          <w:b/>
          <w:i/>
          <w:vertAlign w:val="superscript"/>
        </w:rPr>
        <w:tab/>
      </w:r>
      <w:r w:rsidRPr="00036E51">
        <w:rPr>
          <w:rFonts w:ascii="Times New Roman Bold" w:hAnsi="Times New Roman Bold"/>
          <w:b/>
          <w:i/>
        </w:rPr>
        <w:t>Règlement (UE) …/… du Parlement européen et du Conseil du … établissant un point d</w:t>
      </w:r>
      <w:r w:rsidR="00BA38FE">
        <w:rPr>
          <w:rFonts w:ascii="Times New Roman Bold" w:hAnsi="Times New Roman Bold"/>
          <w:b/>
          <w:i/>
        </w:rPr>
        <w:t>’</w:t>
      </w:r>
      <w:r w:rsidRPr="00036E51">
        <w:rPr>
          <w:rFonts w:ascii="Times New Roman Bold" w:hAnsi="Times New Roman Bold"/>
          <w:b/>
          <w:i/>
        </w:rPr>
        <w:t>accès unique européen fournissant un accès centralisé aux informations publiées utiles pour les services financiers, les marchés des capitaux et la durabilité (JO L du …, p. …, ELI: …).</w:t>
      </w:r>
    </w:p>
    <w:p w:rsidR="001C7823" w:rsidRPr="00036E51" w:rsidRDefault="001C7823" w:rsidP="001C7823">
      <w:pPr>
        <w:pStyle w:val="QuotedNumPar"/>
        <w:ind w:left="1440"/>
        <w:rPr>
          <w:rFonts w:eastAsia="Calibri"/>
          <w:b/>
          <w:i/>
          <w:szCs w:val="24"/>
        </w:rPr>
      </w:pPr>
      <w:r w:rsidRPr="00036E51">
        <w:rPr>
          <w:b/>
          <w:i/>
          <w:vertAlign w:val="superscript"/>
        </w:rPr>
        <w:t>***</w:t>
      </w:r>
      <w:r w:rsidRPr="00036E51">
        <w:rPr>
          <w:b/>
          <w:i/>
          <w:vertAlign w:val="superscript"/>
        </w:rPr>
        <w:tab/>
      </w:r>
      <w:r w:rsidRPr="00036E51">
        <w:rPr>
          <w:rFonts w:ascii="Times New Roman Bold" w:hAnsi="Times New Roman Bold"/>
          <w:b/>
          <w:i/>
        </w:rPr>
        <w:t>Directive 2004/109/CE du Parlement européen et du Conseil du 15 décembre 2004 sur l</w:t>
      </w:r>
      <w:r w:rsidR="00BA38FE">
        <w:rPr>
          <w:rFonts w:ascii="Times New Roman Bold" w:hAnsi="Times New Roman Bold"/>
          <w:b/>
          <w:i/>
        </w:rPr>
        <w:t>’</w:t>
      </w:r>
      <w:r w:rsidRPr="00036E51">
        <w:rPr>
          <w:rFonts w:ascii="Times New Roman Bold" w:hAnsi="Times New Roman Bold"/>
          <w:b/>
          <w:i/>
        </w:rPr>
        <w:t>harmonisation des obligations de transparence concernant l</w:t>
      </w:r>
      <w:r w:rsidR="00BA38FE">
        <w:rPr>
          <w:rFonts w:ascii="Times New Roman Bold" w:hAnsi="Times New Roman Bold"/>
          <w:b/>
          <w:i/>
        </w:rPr>
        <w:t>’</w:t>
      </w:r>
      <w:r w:rsidRPr="00036E51">
        <w:rPr>
          <w:rFonts w:ascii="Times New Roman Bold" w:hAnsi="Times New Roman Bold"/>
          <w:b/>
          <w:i/>
        </w:rPr>
        <w:t>information sur les émetteurs dont les valeurs mobilières sont admises à la négociation sur un marché réglementé et modifiant la directive 2001/34/CE (JO L 390 du 31.12.2004, p. 38).»;</w:t>
      </w:r>
    </w:p>
    <w:p w:rsidR="001C7823" w:rsidRPr="00036E51" w:rsidRDefault="001C7823" w:rsidP="001C7823">
      <w:pPr>
        <w:pStyle w:val="QuotedNumPar"/>
        <w:ind w:left="1440" w:firstLine="0"/>
        <w:rPr>
          <w:b/>
        </w:rPr>
      </w:pPr>
    </w:p>
    <w:p w:rsidR="001C7823" w:rsidRPr="00036E51" w:rsidRDefault="001C7823" w:rsidP="001C7823">
      <w:pPr>
        <w:rPr>
          <w:rFonts w:ascii="Times New Roman Bold" w:hAnsi="Times New Roman Bold"/>
          <w:b/>
          <w:i/>
          <w:szCs w:val="24"/>
        </w:rPr>
      </w:pPr>
      <w:r w:rsidRPr="00036E51">
        <w:rPr>
          <w:rFonts w:ascii="Times New Roman Bold" w:hAnsi="Times New Roman Bold"/>
          <w:b/>
          <w:i/>
        </w:rPr>
        <w:t>2 bis)</w:t>
      </w:r>
      <w:r w:rsidRPr="00036E51">
        <w:rPr>
          <w:rFonts w:ascii="Times New Roman Bold" w:hAnsi="Times New Roman Bold"/>
          <w:b/>
          <w:i/>
        </w:rPr>
        <w:tab/>
        <w:t>L</w:t>
      </w:r>
      <w:r w:rsidR="00BA38FE">
        <w:rPr>
          <w:rFonts w:ascii="Times New Roman Bold" w:hAnsi="Times New Roman Bold"/>
          <w:b/>
          <w:i/>
        </w:rPr>
        <w:t>’</w:t>
      </w:r>
      <w:r w:rsidRPr="00036E51">
        <w:rPr>
          <w:rFonts w:ascii="Times New Roman Bold" w:hAnsi="Times New Roman Bold"/>
          <w:b/>
          <w:i/>
        </w:rPr>
        <w:t>article 27 est modifié comme suit:</w:t>
      </w:r>
    </w:p>
    <w:p w:rsidR="001C7823" w:rsidRPr="00036E51" w:rsidRDefault="001C7823" w:rsidP="001C7823">
      <w:pPr>
        <w:rPr>
          <w:rFonts w:ascii="Times New Roman Bold" w:hAnsi="Times New Roman Bold"/>
          <w:b/>
          <w:i/>
          <w:szCs w:val="24"/>
        </w:rPr>
      </w:pPr>
    </w:p>
    <w:p w:rsidR="001C7823" w:rsidRPr="00036E51" w:rsidRDefault="001C7823" w:rsidP="001C7823">
      <w:pPr>
        <w:ind w:firstLine="851"/>
        <w:rPr>
          <w:rFonts w:ascii="Times New Roman Bold" w:hAnsi="Times New Roman Bold"/>
          <w:b/>
          <w:i/>
          <w:szCs w:val="24"/>
        </w:rPr>
      </w:pPr>
      <w:r w:rsidRPr="00036E51">
        <w:rPr>
          <w:rFonts w:ascii="Times New Roman Bold" w:hAnsi="Times New Roman Bold"/>
          <w:b/>
          <w:i/>
        </w:rPr>
        <w:t xml:space="preserve">a) </w:t>
      </w:r>
      <w:r w:rsidRPr="00036E51">
        <w:rPr>
          <w:rFonts w:ascii="Times New Roman Bold" w:hAnsi="Times New Roman Bold"/>
          <w:b/>
          <w:i/>
        </w:rPr>
        <w:tab/>
        <w:t>au paragraphe 1, le premier alinéa est remplacé par le texte suivant:</w:t>
      </w:r>
    </w:p>
    <w:p w:rsidR="001C7823" w:rsidRPr="00036E51" w:rsidRDefault="001C7823" w:rsidP="001C7823">
      <w:pPr>
        <w:ind w:left="1440"/>
        <w:jc w:val="both"/>
        <w:rPr>
          <w:rFonts w:ascii="Times New Roman Bold" w:hAnsi="Times New Roman Bold"/>
          <w:b/>
          <w:i/>
          <w:szCs w:val="24"/>
        </w:rPr>
      </w:pPr>
    </w:p>
    <w:p w:rsidR="001C7823" w:rsidRPr="00036E51" w:rsidRDefault="001C7823" w:rsidP="001C7823">
      <w:pPr>
        <w:ind w:left="1440"/>
        <w:jc w:val="both"/>
        <w:rPr>
          <w:b/>
          <w:i/>
        </w:rPr>
      </w:pPr>
      <w:r w:rsidRPr="00036E51">
        <w:rPr>
          <w:rFonts w:ascii="Times New Roman Bold" w:hAnsi="Times New Roman Bold"/>
          <w:b/>
          <w:i/>
        </w:rPr>
        <w:t xml:space="preserve">«1. </w:t>
      </w:r>
      <w:r w:rsidRPr="00036E51">
        <w:rPr>
          <w:rFonts w:ascii="Times New Roman Bold" w:hAnsi="Times New Roman Bold"/>
          <w:b/>
          <w:i/>
        </w:rPr>
        <w:tab/>
        <w:t>Les États membres exigent des entreprises d</w:t>
      </w:r>
      <w:r w:rsidR="00BA38FE">
        <w:rPr>
          <w:rFonts w:ascii="Times New Roman Bold" w:hAnsi="Times New Roman Bold"/>
          <w:b/>
          <w:i/>
        </w:rPr>
        <w:t>’</w:t>
      </w:r>
      <w:r w:rsidRPr="00036E51">
        <w:rPr>
          <w:rFonts w:ascii="Times New Roman Bold" w:hAnsi="Times New Roman Bold"/>
          <w:b/>
          <w:i/>
        </w:rPr>
        <w:t>investissement qu</w:t>
      </w:r>
      <w:r w:rsidR="00BA38FE">
        <w:rPr>
          <w:rFonts w:ascii="Times New Roman Bold" w:hAnsi="Times New Roman Bold"/>
          <w:b/>
          <w:i/>
        </w:rPr>
        <w:t>’</w:t>
      </w:r>
      <w:r w:rsidRPr="00036E51">
        <w:rPr>
          <w:rFonts w:ascii="Times New Roman Bold" w:hAnsi="Times New Roman Bold"/>
          <w:b/>
          <w:i/>
        </w:rPr>
        <w:t>elles prennent toutes les mesures suffisantes pour obtenir, lors de l</w:t>
      </w:r>
      <w:r w:rsidR="00BA38FE">
        <w:rPr>
          <w:rFonts w:ascii="Times New Roman Bold" w:hAnsi="Times New Roman Bold"/>
          <w:b/>
          <w:i/>
        </w:rPr>
        <w:t>’</w:t>
      </w:r>
      <w:r w:rsidRPr="00036E51">
        <w:rPr>
          <w:rFonts w:ascii="Times New Roman Bold" w:hAnsi="Times New Roman Bold"/>
          <w:b/>
          <w:i/>
        </w:rPr>
        <w:t>exécution des ordres, le meilleur résultat possible pour leurs clients compte tenu du prix, du coût, de la rapidité, de la probabilité de l</w:t>
      </w:r>
      <w:r w:rsidR="00BA38FE">
        <w:rPr>
          <w:rFonts w:ascii="Times New Roman Bold" w:hAnsi="Times New Roman Bold"/>
          <w:b/>
          <w:i/>
        </w:rPr>
        <w:t>’</w:t>
      </w:r>
      <w:r w:rsidRPr="00036E51">
        <w:rPr>
          <w:rFonts w:ascii="Times New Roman Bold" w:hAnsi="Times New Roman Bold"/>
          <w:b/>
          <w:i/>
        </w:rPr>
        <w:t>exécution et du règlement, de la taille, de la nature de l</w:t>
      </w:r>
      <w:r w:rsidR="00BA38FE">
        <w:rPr>
          <w:rFonts w:ascii="Times New Roman Bold" w:hAnsi="Times New Roman Bold"/>
          <w:b/>
          <w:i/>
        </w:rPr>
        <w:t>’</w:t>
      </w:r>
      <w:r w:rsidRPr="00036E51">
        <w:rPr>
          <w:rFonts w:ascii="Times New Roman Bold" w:hAnsi="Times New Roman Bold"/>
          <w:b/>
          <w:i/>
        </w:rPr>
        <w:t>ordre, de la prestation de recherche en investissement ou de toute autre considération relative à l</w:t>
      </w:r>
      <w:r w:rsidR="00BA38FE">
        <w:rPr>
          <w:rFonts w:ascii="Times New Roman Bold" w:hAnsi="Times New Roman Bold"/>
          <w:b/>
          <w:i/>
        </w:rPr>
        <w:t>’</w:t>
      </w:r>
      <w:r w:rsidRPr="00036E51">
        <w:rPr>
          <w:rFonts w:ascii="Times New Roman Bold" w:hAnsi="Times New Roman Bold"/>
          <w:b/>
          <w:i/>
        </w:rPr>
        <w:t>exécution de l</w:t>
      </w:r>
      <w:r w:rsidR="00BA38FE">
        <w:rPr>
          <w:rFonts w:ascii="Times New Roman Bold" w:hAnsi="Times New Roman Bold"/>
          <w:b/>
          <w:i/>
        </w:rPr>
        <w:t>’</w:t>
      </w:r>
      <w:r w:rsidRPr="00036E51">
        <w:rPr>
          <w:rFonts w:ascii="Times New Roman Bold" w:hAnsi="Times New Roman Bold"/>
          <w:b/>
          <w:i/>
        </w:rPr>
        <w:t>ordre. Néanmoins, chaque fois qu</w:t>
      </w:r>
      <w:r w:rsidR="00BA38FE">
        <w:rPr>
          <w:rFonts w:ascii="Times New Roman Bold" w:hAnsi="Times New Roman Bold"/>
          <w:b/>
          <w:i/>
        </w:rPr>
        <w:t>’</w:t>
      </w:r>
      <w:r w:rsidRPr="00036E51">
        <w:rPr>
          <w:rFonts w:ascii="Times New Roman Bold" w:hAnsi="Times New Roman Bold"/>
          <w:b/>
          <w:i/>
        </w:rPr>
        <w:t>il existe une instruction spécifique donnée par les clients, l</w:t>
      </w:r>
      <w:r w:rsidR="00BA38FE">
        <w:rPr>
          <w:rFonts w:ascii="Times New Roman Bold" w:hAnsi="Times New Roman Bold"/>
          <w:b/>
          <w:i/>
        </w:rPr>
        <w:t>’</w:t>
      </w:r>
      <w:r w:rsidRPr="00036E51">
        <w:rPr>
          <w:rFonts w:ascii="Times New Roman Bold" w:hAnsi="Times New Roman Bold"/>
          <w:b/>
          <w:i/>
        </w:rPr>
        <w:t>entreprise d</w:t>
      </w:r>
      <w:r w:rsidR="00BA38FE">
        <w:rPr>
          <w:rFonts w:ascii="Times New Roman Bold" w:hAnsi="Times New Roman Bold"/>
          <w:b/>
          <w:i/>
        </w:rPr>
        <w:t>’</w:t>
      </w:r>
      <w:r w:rsidRPr="00036E51">
        <w:rPr>
          <w:rFonts w:ascii="Times New Roman Bold" w:hAnsi="Times New Roman Bold"/>
          <w:b/>
          <w:i/>
        </w:rPr>
        <w:t>investissement exécute l</w:t>
      </w:r>
      <w:r w:rsidR="00BA38FE">
        <w:rPr>
          <w:rFonts w:ascii="Times New Roman Bold" w:hAnsi="Times New Roman Bold"/>
          <w:b/>
          <w:i/>
        </w:rPr>
        <w:t>’</w:t>
      </w:r>
      <w:r w:rsidRPr="00036E51">
        <w:rPr>
          <w:rFonts w:ascii="Times New Roman Bold" w:hAnsi="Times New Roman Bold"/>
          <w:b/>
          <w:i/>
        </w:rPr>
        <w:t>ordre conformément à cette instruction.».</w:t>
      </w:r>
      <w:r w:rsidRPr="00036E51">
        <w:rPr>
          <w:b/>
          <w:i/>
        </w:rPr>
        <w:t xml:space="preserve"> </w:t>
      </w:r>
    </w:p>
    <w:p w:rsidR="001C7823" w:rsidRPr="00036E51" w:rsidRDefault="001C7823" w:rsidP="001C7823">
      <w:pPr>
        <w:tabs>
          <w:tab w:val="left" w:pos="851"/>
        </w:tabs>
        <w:jc w:val="both"/>
        <w:rPr>
          <w:b/>
        </w:rPr>
      </w:pPr>
    </w:p>
    <w:p w:rsidR="001C7823" w:rsidRPr="00036E51" w:rsidRDefault="001C7823" w:rsidP="001C7823">
      <w:pPr>
        <w:ind w:left="720" w:firstLine="720"/>
        <w:jc w:val="both"/>
        <w:rPr>
          <w:b/>
          <w:i/>
        </w:rPr>
      </w:pPr>
      <w:r w:rsidRPr="00036E51">
        <w:rPr>
          <w:b/>
          <w:i/>
        </w:rPr>
        <w:t>a ter) le paragraphe suivant est inséré:</w:t>
      </w:r>
    </w:p>
    <w:p w:rsidR="001C7823" w:rsidRPr="00036E51" w:rsidRDefault="001C7823" w:rsidP="001C7823">
      <w:pPr>
        <w:jc w:val="both"/>
        <w:rPr>
          <w:b/>
          <w:i/>
        </w:rPr>
      </w:pPr>
    </w:p>
    <w:p w:rsidR="001C7823" w:rsidRPr="00036E51" w:rsidRDefault="001C7823" w:rsidP="001C7823">
      <w:pPr>
        <w:ind w:left="1440"/>
        <w:jc w:val="both"/>
        <w:rPr>
          <w:b/>
          <w:i/>
        </w:rPr>
      </w:pPr>
      <w:r w:rsidRPr="00036E51">
        <w:rPr>
          <w:b/>
          <w:i/>
        </w:rPr>
        <w:t>«1 bis. L</w:t>
      </w:r>
      <w:r w:rsidR="00BA38FE">
        <w:rPr>
          <w:b/>
          <w:i/>
        </w:rPr>
        <w:t>’</w:t>
      </w:r>
      <w:r w:rsidRPr="00036E51">
        <w:rPr>
          <w:b/>
          <w:i/>
        </w:rPr>
        <w:t>AEMF élabore des orientations sur la manière dont les entreprises d</w:t>
      </w:r>
      <w:r w:rsidR="00BA38FE">
        <w:rPr>
          <w:b/>
          <w:i/>
        </w:rPr>
        <w:t>’</w:t>
      </w:r>
      <w:r w:rsidRPr="00036E51">
        <w:rPr>
          <w:b/>
          <w:i/>
        </w:rPr>
        <w:t>investissement qui fournissent des services de gestion de portefeuille ou d</w:t>
      </w:r>
      <w:r w:rsidR="00BA38FE">
        <w:rPr>
          <w:b/>
          <w:i/>
        </w:rPr>
        <w:t>’</w:t>
      </w:r>
      <w:r w:rsidRPr="00036E51">
        <w:rPr>
          <w:b/>
          <w:i/>
        </w:rPr>
        <w:t>autres services d</w:t>
      </w:r>
      <w:r w:rsidR="00BA38FE">
        <w:rPr>
          <w:b/>
          <w:i/>
        </w:rPr>
        <w:t>’</w:t>
      </w:r>
      <w:r w:rsidRPr="00036E51">
        <w:rPr>
          <w:b/>
          <w:i/>
        </w:rPr>
        <w:t>investissement ou auxiliaires à des clients peuvent se conformer à leurs obligations d</w:t>
      </w:r>
      <w:r w:rsidR="00BA38FE">
        <w:rPr>
          <w:b/>
          <w:i/>
        </w:rPr>
        <w:t>’</w:t>
      </w:r>
      <w:r w:rsidRPr="00036E51">
        <w:rPr>
          <w:b/>
          <w:i/>
        </w:rPr>
        <w:t>«exécution au mieux» lorsque l</w:t>
      </w:r>
      <w:r w:rsidR="00BA38FE">
        <w:rPr>
          <w:b/>
          <w:i/>
        </w:rPr>
        <w:t>’</w:t>
      </w:r>
      <w:r w:rsidRPr="00036E51">
        <w:rPr>
          <w:b/>
          <w:i/>
        </w:rPr>
        <w:t>entreprise d</w:t>
      </w:r>
      <w:r w:rsidR="00BA38FE">
        <w:rPr>
          <w:b/>
          <w:i/>
        </w:rPr>
        <w:t>’</w:t>
      </w:r>
      <w:r w:rsidRPr="00036E51">
        <w:rPr>
          <w:b/>
          <w:i/>
        </w:rPr>
        <w:t>investissement utilise des paiements conjoints pour les services d</w:t>
      </w:r>
      <w:r w:rsidR="00BA38FE">
        <w:rPr>
          <w:b/>
          <w:i/>
        </w:rPr>
        <w:t>’</w:t>
      </w:r>
      <w:r w:rsidRPr="00036E51">
        <w:rPr>
          <w:b/>
          <w:i/>
        </w:rPr>
        <w:t>exécution et de recherche, comme le permet l</w:t>
      </w:r>
      <w:r w:rsidR="00BA38FE">
        <w:rPr>
          <w:b/>
          <w:i/>
        </w:rPr>
        <w:t>’</w:t>
      </w:r>
      <w:r w:rsidRPr="00036E51">
        <w:rPr>
          <w:b/>
          <w:i/>
        </w:rPr>
        <w:t>article 24, paragraphe 9 bis.»;</w:t>
      </w:r>
    </w:p>
    <w:p w:rsidR="001C7823" w:rsidRPr="00036E51" w:rsidRDefault="001C7823" w:rsidP="001C7823">
      <w:pPr>
        <w:pStyle w:val="QuotedNumPar"/>
        <w:ind w:left="0" w:firstLine="0"/>
      </w:pPr>
    </w:p>
    <w:p w:rsidR="001C7823" w:rsidRPr="00036E51" w:rsidRDefault="001C7823" w:rsidP="001C7823">
      <w:pPr>
        <w:pStyle w:val="Point0"/>
      </w:pPr>
      <w:r w:rsidRPr="00036E51">
        <w:t>3)</w:t>
      </w:r>
      <w:r w:rsidRPr="00036E51">
        <w:tab/>
        <w:t>L</w:t>
      </w:r>
      <w:r w:rsidR="00BA38FE">
        <w:t>’</w:t>
      </w:r>
      <w:r w:rsidRPr="00036E51">
        <w:t>article 33 est modifié comme suit:</w:t>
      </w:r>
    </w:p>
    <w:p w:rsidR="001C7823" w:rsidRPr="00036E51" w:rsidRDefault="001C7823" w:rsidP="001C7823">
      <w:pPr>
        <w:pStyle w:val="Point1"/>
      </w:pPr>
      <w:r w:rsidRPr="00036E51">
        <w:t>a)</w:t>
      </w:r>
      <w:r w:rsidRPr="00036E51">
        <w:tab/>
        <w:t>les paragraphes 1 et 2 sont remplacés par le texte suivant:</w:t>
      </w:r>
    </w:p>
    <w:p w:rsidR="001C7823" w:rsidRPr="00036E51" w:rsidRDefault="001C7823" w:rsidP="001C7823">
      <w:pPr>
        <w:pStyle w:val="QuotedNumPar"/>
        <w:tabs>
          <w:tab w:val="left" w:pos="1985"/>
        </w:tabs>
        <w:ind w:firstLine="0"/>
      </w:pPr>
      <w:r w:rsidRPr="00036E51">
        <w:t>«1.</w:t>
      </w:r>
      <w:r w:rsidRPr="00036E51">
        <w:tab/>
        <w:t>Les États membres prévoient que l</w:t>
      </w:r>
      <w:r w:rsidR="00BA38FE">
        <w:t>’</w:t>
      </w:r>
      <w:r w:rsidRPr="00036E51">
        <w:t>opérateur d</w:t>
      </w:r>
      <w:r w:rsidR="00BA38FE">
        <w:t>’</w:t>
      </w:r>
      <w:r w:rsidRPr="00036E51">
        <w:t>un MTF puisse adresser à l</w:t>
      </w:r>
      <w:r w:rsidR="00BA38FE">
        <w:t>’</w:t>
      </w:r>
      <w:r w:rsidRPr="00036E51">
        <w:t>autorité compétente de son État membre d</w:t>
      </w:r>
      <w:r w:rsidR="00BA38FE">
        <w:t>’</w:t>
      </w:r>
      <w:r w:rsidRPr="00036E51">
        <w:t>origine une demande d</w:t>
      </w:r>
      <w:r w:rsidR="00BA38FE">
        <w:t>’</w:t>
      </w:r>
      <w:r w:rsidRPr="00036E51">
        <w:t>enregistrement du MTF ou d</w:t>
      </w:r>
      <w:r w:rsidR="00BA38FE">
        <w:t>’</w:t>
      </w:r>
      <w:r w:rsidRPr="00036E51">
        <w:t>un segment du MTF en tant que marché de croissance des PME.</w:t>
      </w:r>
    </w:p>
    <w:p w:rsidR="001C7823" w:rsidRPr="00036E51" w:rsidRDefault="001C7823" w:rsidP="001C7823">
      <w:pPr>
        <w:pStyle w:val="QuotedNumPar"/>
        <w:tabs>
          <w:tab w:val="left" w:pos="1985"/>
        </w:tabs>
        <w:ind w:firstLine="0"/>
      </w:pPr>
      <w:r w:rsidRPr="00036E51">
        <w:t>2.</w:t>
      </w:r>
      <w:r w:rsidRPr="00036E51">
        <w:tab/>
        <w:t>Les États membres prévoient que l</w:t>
      </w:r>
      <w:r w:rsidR="00BA38FE">
        <w:t>’</w:t>
      </w:r>
      <w:r w:rsidRPr="00036E51">
        <w:t>autorité compétente de l</w:t>
      </w:r>
      <w:r w:rsidR="00BA38FE">
        <w:t>’</w:t>
      </w:r>
      <w:r w:rsidRPr="00036E51">
        <w:t>État membre d</w:t>
      </w:r>
      <w:r w:rsidR="00BA38FE">
        <w:t>’</w:t>
      </w:r>
      <w:r w:rsidRPr="00036E51">
        <w:t>origine puisse enregistrer le MTF ou le segment du MTF en tant que marché de croissance des PME si elle reçoit une demande telle que visée au paragraphe 1 et a la certitude que les exigences énoncées au paragraphe 3 sont respectées en ce qui concerne le MTF, ou que les exigences énoncées au paragraphe 3 bis sont respectées en ce qui concerne le segment du MTF.»;</w:t>
      </w:r>
    </w:p>
    <w:p w:rsidR="001C7823" w:rsidRPr="00036E51" w:rsidRDefault="001C7823" w:rsidP="001C7823">
      <w:pPr>
        <w:pStyle w:val="Point1"/>
      </w:pPr>
      <w:r w:rsidRPr="00036E51">
        <w:t>b)</w:t>
      </w:r>
      <w:r w:rsidRPr="00036E51">
        <w:tab/>
        <w:t xml:space="preserve">le paragraphe ▌suivant est </w:t>
      </w:r>
      <w:r w:rsidRPr="00036E51">
        <w:rPr>
          <w:b/>
          <w:bCs/>
          <w:i/>
          <w:iCs/>
        </w:rPr>
        <w:t>inséré</w:t>
      </w:r>
      <w:r w:rsidRPr="00036E51">
        <w:t>:</w:t>
      </w:r>
    </w:p>
    <w:p w:rsidR="001C7823" w:rsidRPr="00036E51" w:rsidRDefault="001C7823" w:rsidP="001C7823">
      <w:pPr>
        <w:pStyle w:val="QuotedNumPar"/>
        <w:ind w:firstLine="0"/>
      </w:pPr>
      <w:r w:rsidRPr="00036E51">
        <w:t>«3 bis. Les États membres veillent à ce que le segment concerné du MTF soit soumis à des règles, systèmes et procédures efficaces garantissant que les conditions visées au paragraphe 3 et l</w:t>
      </w:r>
      <w:r w:rsidR="00BA38FE">
        <w:t>’</w:t>
      </w:r>
      <w:r w:rsidRPr="00036E51">
        <w:t>ensemble des conditions suivantes ont été respectées:</w:t>
      </w:r>
    </w:p>
    <w:p w:rsidR="001C7823" w:rsidRPr="00036E51" w:rsidRDefault="001C7823" w:rsidP="001C7823">
      <w:pPr>
        <w:pStyle w:val="QuotedNumPar"/>
        <w:ind w:left="2157" w:hanging="740"/>
      </w:pPr>
      <w:r w:rsidRPr="00036E51">
        <w:t>a)</w:t>
      </w:r>
      <w:r w:rsidRPr="00036E51">
        <w:tab/>
        <w:t>le segment du MTF enregistré en tant que “marché de croissance des PME” est clairement séparé des autres segments de marché exploités par l</w:t>
      </w:r>
      <w:r w:rsidR="00BA38FE">
        <w:t>’</w:t>
      </w:r>
      <w:r w:rsidRPr="00036E51">
        <w:t>opérateur du MTF et signalé comme tel, notamment, par un nom différent, des règles différentes, une stratégie de commercialisation différente et une publicité différente, ainsi que par l</w:t>
      </w:r>
      <w:r w:rsidR="00BA38FE">
        <w:t>’</w:t>
      </w:r>
      <w:r w:rsidRPr="00036E51">
        <w:t>attribution à ce segment d</w:t>
      </w:r>
      <w:r w:rsidR="00BA38FE">
        <w:t>’</w:t>
      </w:r>
      <w:r w:rsidRPr="00036E51">
        <w:t>un code d</w:t>
      </w:r>
      <w:r w:rsidR="00BA38FE">
        <w:t>’</w:t>
      </w:r>
      <w:r w:rsidRPr="00036E51">
        <w:t>identification de marché spécifique;</w:t>
      </w:r>
    </w:p>
    <w:p w:rsidR="001C7823" w:rsidRPr="00036E51" w:rsidRDefault="001C7823" w:rsidP="001C7823">
      <w:pPr>
        <w:pStyle w:val="QuotedNumPar"/>
        <w:ind w:left="2157" w:hanging="740"/>
      </w:pPr>
      <w:r w:rsidRPr="00036E51">
        <w:t>b)</w:t>
      </w:r>
      <w:r w:rsidRPr="00036E51">
        <w:tab/>
        <w:t>les transactions effectuées sur ce segment spécifique du marché de croissance des PME sont clairement distinguées des autres activités de marché exercées au sein des autres segments du MTF;</w:t>
      </w:r>
    </w:p>
    <w:p w:rsidR="001C7823" w:rsidRPr="00036E51" w:rsidRDefault="001C7823" w:rsidP="001C7823">
      <w:pPr>
        <w:pStyle w:val="QuotedNumPar"/>
        <w:ind w:left="2157" w:hanging="740"/>
      </w:pPr>
      <w:r w:rsidRPr="00036E51">
        <w:t>c)</w:t>
      </w:r>
      <w:r w:rsidRPr="00036E51">
        <w:tab/>
        <w:t>à la demande de l</w:t>
      </w:r>
      <w:r w:rsidR="00BA38FE">
        <w:t>’</w:t>
      </w:r>
      <w:r w:rsidRPr="00036E51">
        <w:t>autorité compétente de l</w:t>
      </w:r>
      <w:r w:rsidR="00BA38FE">
        <w:t>’</w:t>
      </w:r>
      <w:r w:rsidRPr="00036E51">
        <w:t>État membre d</w:t>
      </w:r>
      <w:r w:rsidR="00BA38FE">
        <w:t>’</w:t>
      </w:r>
      <w:r w:rsidRPr="00036E51">
        <w:t>origine, le MTF fournit une liste exhaustive des instruments cotés sur le segment concerné du marché de croissance des PME, ainsi que toute information sur le fonctionnement de ce segment que l</w:t>
      </w:r>
      <w:r w:rsidR="00BA38FE">
        <w:t>’</w:t>
      </w:r>
      <w:r w:rsidRPr="00036E51">
        <w:t>autorité compétente peut demander.»;</w:t>
      </w:r>
    </w:p>
    <w:p w:rsidR="001C7823" w:rsidRPr="00036E51" w:rsidRDefault="001C7823" w:rsidP="001C7823">
      <w:pPr>
        <w:pStyle w:val="Point1"/>
      </w:pPr>
      <w:r w:rsidRPr="00036E51">
        <w:t>c)</w:t>
      </w:r>
      <w:r w:rsidRPr="00036E51">
        <w:tab/>
        <w:t>les paragraphes 4 à </w:t>
      </w:r>
      <w:r w:rsidRPr="00036E51">
        <w:rPr>
          <w:b/>
          <w:bCs/>
          <w:i/>
          <w:iCs/>
        </w:rPr>
        <w:t>8</w:t>
      </w:r>
      <w:r w:rsidRPr="00036E51">
        <w:t xml:space="preserve"> sont remplacés par le texte suivant:</w:t>
      </w:r>
    </w:p>
    <w:p w:rsidR="001C7823" w:rsidRPr="00036E51" w:rsidRDefault="001C7823" w:rsidP="001C7823">
      <w:pPr>
        <w:pStyle w:val="QuotedNumPar"/>
        <w:ind w:firstLine="0"/>
        <w:rPr>
          <w:b/>
          <w:i/>
        </w:rPr>
      </w:pPr>
      <w:r w:rsidRPr="00036E51">
        <w:t>«4.</w:t>
      </w:r>
      <w:r w:rsidRPr="00036E51">
        <w:tab/>
        <w:t>Les critères définis aux paragraphes 3 et 3 bis sont sans préjudice du respect, par l</w:t>
      </w:r>
      <w:r w:rsidR="00BA38FE">
        <w:t>’</w:t>
      </w:r>
      <w:r w:rsidRPr="00036E51">
        <w:t>entreprise d</w:t>
      </w:r>
      <w:r w:rsidR="00BA38FE">
        <w:t>’</w:t>
      </w:r>
      <w:r w:rsidRPr="00036E51">
        <w:t>investissement ou l</w:t>
      </w:r>
      <w:r w:rsidR="00BA38FE">
        <w:t>’</w:t>
      </w:r>
      <w:r w:rsidRPr="00036E51">
        <w:t>opérateur de marché exploitant le MTF ou le segment du MTF, des autres obligations prévues par la présente directive en matière d</w:t>
      </w:r>
      <w:r w:rsidR="00BA38FE">
        <w:t>’</w:t>
      </w:r>
      <w:r w:rsidRPr="00036E51">
        <w:t xml:space="preserve">exploitation de MTF. </w:t>
      </w:r>
      <w:r w:rsidRPr="00036E51">
        <w:rPr>
          <w:b/>
          <w:i/>
        </w:rPr>
        <w:t>Ces critères n</w:t>
      </w:r>
      <w:r w:rsidR="00BA38FE">
        <w:rPr>
          <w:b/>
          <w:i/>
        </w:rPr>
        <w:t>’</w:t>
      </w:r>
      <w:r w:rsidRPr="00036E51">
        <w:rPr>
          <w:b/>
          <w:i/>
        </w:rPr>
        <w:t>empêchent pas l</w:t>
      </w:r>
      <w:r w:rsidR="00BA38FE">
        <w:rPr>
          <w:b/>
          <w:i/>
        </w:rPr>
        <w:t>’</w:t>
      </w:r>
      <w:r w:rsidRPr="00036E51">
        <w:rPr>
          <w:b/>
          <w:i/>
        </w:rPr>
        <w:t>entreprise d</w:t>
      </w:r>
      <w:r w:rsidR="00BA38FE">
        <w:rPr>
          <w:b/>
          <w:i/>
        </w:rPr>
        <w:t>’</w:t>
      </w:r>
      <w:r w:rsidRPr="00036E51">
        <w:rPr>
          <w:b/>
          <w:i/>
        </w:rPr>
        <w:t>investissement ou l</w:t>
      </w:r>
      <w:r w:rsidR="00BA38FE">
        <w:rPr>
          <w:b/>
          <w:i/>
        </w:rPr>
        <w:t>’</w:t>
      </w:r>
      <w:r w:rsidRPr="00036E51">
        <w:rPr>
          <w:b/>
          <w:i/>
        </w:rPr>
        <w:t>opérateur de marché qui exploite le MTF d</w:t>
      </w:r>
      <w:r w:rsidR="00BA38FE">
        <w:rPr>
          <w:b/>
          <w:i/>
        </w:rPr>
        <w:t>’</w:t>
      </w:r>
      <w:r w:rsidRPr="00036E51">
        <w:rPr>
          <w:b/>
          <w:i/>
        </w:rPr>
        <w:t>imposer des obligations supplémentaires par rapport à celles énoncées aux paragraphes 3 et 3 bis.</w:t>
      </w:r>
    </w:p>
    <w:p w:rsidR="001C7823" w:rsidRPr="00036E51" w:rsidRDefault="001C7823" w:rsidP="001C7823">
      <w:pPr>
        <w:pStyle w:val="QuotedNumPar"/>
        <w:tabs>
          <w:tab w:val="left" w:pos="1985"/>
        </w:tabs>
        <w:ind w:firstLine="0"/>
      </w:pPr>
      <w:r w:rsidRPr="00036E51">
        <w:t>5.</w:t>
      </w:r>
      <w:r w:rsidRPr="00036E51">
        <w:tab/>
        <w:t>Les États membres prévoient que l</w:t>
      </w:r>
      <w:r w:rsidR="00BA38FE">
        <w:t>’</w:t>
      </w:r>
      <w:r w:rsidRPr="00036E51">
        <w:t>autorité compétente de l</w:t>
      </w:r>
      <w:r w:rsidR="00BA38FE">
        <w:t>’</w:t>
      </w:r>
      <w:r w:rsidRPr="00036E51">
        <w:t>État membre d</w:t>
      </w:r>
      <w:r w:rsidR="00BA38FE">
        <w:t>’</w:t>
      </w:r>
      <w:r w:rsidRPr="00036E51">
        <w:t>origine peut mettre fin à l</w:t>
      </w:r>
      <w:r w:rsidR="00BA38FE">
        <w:t>’</w:t>
      </w:r>
      <w:r w:rsidRPr="00036E51">
        <w:t>enregistrement d</w:t>
      </w:r>
      <w:r w:rsidR="00BA38FE">
        <w:t>’</w:t>
      </w:r>
      <w:r w:rsidRPr="00036E51">
        <w:t>un MTF ou d</w:t>
      </w:r>
      <w:r w:rsidR="00BA38FE">
        <w:t>’</w:t>
      </w:r>
      <w:r w:rsidRPr="00036E51">
        <w:t>un segment de MTF en tant que marché de croissance des PME dans l</w:t>
      </w:r>
      <w:r w:rsidR="00BA38FE">
        <w:t>’</w:t>
      </w:r>
      <w:r w:rsidRPr="00036E51">
        <w:t>un des cas suivants:</w:t>
      </w:r>
    </w:p>
    <w:p w:rsidR="001C7823" w:rsidRPr="00036E51" w:rsidRDefault="001C7823" w:rsidP="001C7823">
      <w:pPr>
        <w:pStyle w:val="QuotedNumPar"/>
        <w:ind w:left="2157" w:hanging="740"/>
      </w:pPr>
      <w:r w:rsidRPr="00036E51">
        <w:t>a)</w:t>
      </w:r>
      <w:r w:rsidRPr="00036E51">
        <w:tab/>
        <w:t>l</w:t>
      </w:r>
      <w:r w:rsidR="00BA38FE">
        <w:t>’</w:t>
      </w:r>
      <w:r w:rsidRPr="00036E51">
        <w:t>entreprise d</w:t>
      </w:r>
      <w:r w:rsidR="00BA38FE">
        <w:t>’</w:t>
      </w:r>
      <w:r w:rsidRPr="00036E51">
        <w:t>investissement ou l</w:t>
      </w:r>
      <w:r w:rsidR="00BA38FE">
        <w:t>’</w:t>
      </w:r>
      <w:r w:rsidRPr="00036E51">
        <w:t>opérateur de marché exploitant le MTF ou le segment de MTF demande qu</w:t>
      </w:r>
      <w:r w:rsidR="00BA38FE">
        <w:t>’</w:t>
      </w:r>
      <w:r w:rsidRPr="00036E51">
        <w:t>il soit mis fin à son enregistrement;</w:t>
      </w:r>
    </w:p>
    <w:p w:rsidR="001C7823" w:rsidRPr="00036E51" w:rsidRDefault="001C7823" w:rsidP="001C7823">
      <w:pPr>
        <w:pStyle w:val="QuotedNumPar"/>
        <w:ind w:left="2157" w:hanging="740"/>
      </w:pPr>
      <w:r w:rsidRPr="00036E51">
        <w:t>b)</w:t>
      </w:r>
      <w:r w:rsidRPr="00036E51">
        <w:tab/>
        <w:t>les exigences énoncées aux paragraphes 3 et 3 bis ne sont plus respectées pour le MTF ou le segment de MTF.</w:t>
      </w:r>
    </w:p>
    <w:p w:rsidR="001C7823" w:rsidRPr="00036E51" w:rsidRDefault="001C7823" w:rsidP="001C7823">
      <w:pPr>
        <w:pStyle w:val="QuotedNumPar"/>
        <w:tabs>
          <w:tab w:val="left" w:pos="1985"/>
        </w:tabs>
        <w:ind w:firstLine="0"/>
      </w:pPr>
      <w:r w:rsidRPr="00036E51">
        <w:t>6.</w:t>
      </w:r>
      <w:r w:rsidRPr="00036E51">
        <w:tab/>
        <w:t>Les États membres exigent que toute autorité compétente de l</w:t>
      </w:r>
      <w:r w:rsidR="00BA38FE">
        <w:t>’</w:t>
      </w:r>
      <w:r w:rsidRPr="00036E51">
        <w:t>État membre d</w:t>
      </w:r>
      <w:r w:rsidR="00BA38FE">
        <w:t>’</w:t>
      </w:r>
      <w:r w:rsidRPr="00036E51">
        <w:t>origine qui procède ou met fin à l</w:t>
      </w:r>
      <w:r w:rsidR="00BA38FE">
        <w:t>’</w:t>
      </w:r>
      <w:r w:rsidRPr="00036E51">
        <w:t>enregistrement d</w:t>
      </w:r>
      <w:r w:rsidR="00BA38FE">
        <w:t>’</w:t>
      </w:r>
      <w:r w:rsidRPr="00036E51">
        <w:t>un MTF ou d</w:t>
      </w:r>
      <w:r w:rsidR="00BA38FE">
        <w:t>’</w:t>
      </w:r>
      <w:r w:rsidRPr="00036E51">
        <w:t>un segment de MTF en tant que marché de croissance des PME en vertu du présent article en informe l</w:t>
      </w:r>
      <w:r w:rsidR="00BA38FE">
        <w:t>’</w:t>
      </w:r>
      <w:r w:rsidRPr="00036E51">
        <w:t>AEMF dans les plus brefs délais. L</w:t>
      </w:r>
      <w:r w:rsidR="00BA38FE">
        <w:t>’</w:t>
      </w:r>
      <w:r w:rsidRPr="00036E51">
        <w:t>AEMF publie et tient à jour sur son site internet une liste des marchés de croissance des PME.»;</w:t>
      </w:r>
    </w:p>
    <w:p w:rsidR="001C7823" w:rsidRPr="00036E51" w:rsidRDefault="001C7823" w:rsidP="001C7823">
      <w:pPr>
        <w:pStyle w:val="Point1"/>
      </w:pPr>
      <w:r w:rsidRPr="00036E51">
        <w:t>▌</w:t>
      </w:r>
    </w:p>
    <w:p w:rsidR="001C7823" w:rsidRPr="00036E51" w:rsidRDefault="001C7823" w:rsidP="001C7823">
      <w:pPr>
        <w:pStyle w:val="Point1"/>
        <w:rPr>
          <w:b/>
          <w:i/>
        </w:rPr>
      </w:pPr>
      <w:r w:rsidRPr="00036E51">
        <w:tab/>
      </w:r>
      <w:r w:rsidRPr="00036E51">
        <w:rPr>
          <w:b/>
          <w:i/>
        </w:rPr>
        <w:t>7. Les États membres exigent que l</w:t>
      </w:r>
      <w:r w:rsidR="00BA38FE">
        <w:rPr>
          <w:b/>
          <w:i/>
        </w:rPr>
        <w:t>’</w:t>
      </w:r>
      <w:r w:rsidRPr="00036E51">
        <w:rPr>
          <w:b/>
          <w:i/>
        </w:rPr>
        <w:t>instrument financier d</w:t>
      </w:r>
      <w:r w:rsidR="00BA38FE">
        <w:rPr>
          <w:b/>
          <w:i/>
        </w:rPr>
        <w:t>’</w:t>
      </w:r>
      <w:r w:rsidRPr="00036E51">
        <w:rPr>
          <w:b/>
          <w:i/>
        </w:rPr>
        <w:t>un émetteur qui est admis à la négociation sur un marché de croissance des PME ne puisse être négocié sur une autre plate-forme de négociation que si l</w:t>
      </w:r>
      <w:r w:rsidR="00BA38FE">
        <w:rPr>
          <w:b/>
          <w:i/>
        </w:rPr>
        <w:t>’</w:t>
      </w:r>
      <w:r w:rsidRPr="00036E51">
        <w:rPr>
          <w:b/>
          <w:i/>
        </w:rPr>
        <w:t>émetteur en a été dûment informé et ne s</w:t>
      </w:r>
      <w:r w:rsidR="00BA38FE">
        <w:rPr>
          <w:b/>
          <w:i/>
        </w:rPr>
        <w:t>’</w:t>
      </w:r>
      <w:r w:rsidRPr="00036E51">
        <w:rPr>
          <w:b/>
          <w:i/>
        </w:rPr>
        <w:t xml:space="preserve">y est pas opposé. </w:t>
      </w:r>
    </w:p>
    <w:p w:rsidR="001C7823" w:rsidRPr="00036E51" w:rsidRDefault="001C7823" w:rsidP="001C7823">
      <w:pPr>
        <w:pStyle w:val="Point1"/>
        <w:ind w:firstLine="0"/>
      </w:pPr>
      <w:r w:rsidRPr="00036E51">
        <w:rPr>
          <w:b/>
          <w:i/>
        </w:rPr>
        <w:t>L</w:t>
      </w:r>
      <w:r w:rsidR="00BA38FE">
        <w:rPr>
          <w:b/>
          <w:i/>
        </w:rPr>
        <w:t>’</w:t>
      </w:r>
      <w:r w:rsidRPr="00036E51">
        <w:rPr>
          <w:b/>
          <w:i/>
        </w:rPr>
        <w:t>AEMF élabore des orientations sur les méthodes de communication utilisées et les délais correspondants.</w:t>
      </w:r>
    </w:p>
    <w:p w:rsidR="001C7823" w:rsidRPr="00036E51" w:rsidRDefault="001C7823" w:rsidP="001C7823">
      <w:pPr>
        <w:pStyle w:val="QuotedNumPar"/>
        <w:ind w:firstLine="0"/>
      </w:pPr>
      <w:r w:rsidRPr="00036E51">
        <w:t>8.</w:t>
      </w:r>
      <w:r w:rsidRPr="00036E51">
        <w:tab/>
        <w:t>La Commission est habilitée à adopter des actes délégués conformément à l</w:t>
      </w:r>
      <w:r w:rsidR="00BA38FE">
        <w:t>’</w:t>
      </w:r>
      <w:r w:rsidRPr="00036E51">
        <w:t>article 89 afin de compléter la présente directive en précisant davantage les exigences énoncées aux paragraphes 3 et 3 bis du présent article. Ces exigences tiennent compte du fait qu</w:t>
      </w:r>
      <w:r w:rsidR="00BA38FE">
        <w:t>’</w:t>
      </w:r>
      <w:r w:rsidRPr="00036E51">
        <w:t>il est nécessaire de maintenir un niveau élevé de protection des investisseurs afin de favoriser leur confiance dans ces marchés tout en réduisant le plus possible les charges administratives auxquelles sont soumis les émetteurs sur ces marchés. Elles tiennent aussi compte du fait qu</w:t>
      </w:r>
      <w:r w:rsidR="00BA38FE">
        <w:t>’</w:t>
      </w:r>
      <w:r w:rsidRPr="00036E51">
        <w:t>il ne doit pas être mis fin à des enregistrements, et que des enregistrements ne doivent pas être refusés, uniquement en raison d</w:t>
      </w:r>
      <w:r w:rsidR="00BA38FE">
        <w:t>’</w:t>
      </w:r>
      <w:r w:rsidRPr="00036E51">
        <w:t>un non-respect temporaire de l</w:t>
      </w:r>
      <w:r w:rsidR="00BA38FE">
        <w:t>’</w:t>
      </w:r>
      <w:r w:rsidRPr="00036E51">
        <w:t>exigence définie au paragraphe 3, point a), du présent article.».</w:t>
      </w:r>
    </w:p>
    <w:p w:rsidR="001C7823" w:rsidRPr="00036E51" w:rsidRDefault="001C7823" w:rsidP="001C7823">
      <w:pPr>
        <w:pStyle w:val="Point0"/>
      </w:pPr>
      <w:r w:rsidRPr="00036E51">
        <w:t>4)</w:t>
      </w:r>
      <w:r w:rsidRPr="00036E51">
        <w:tab/>
        <w:t>L</w:t>
      </w:r>
      <w:r w:rsidR="00BA38FE">
        <w:t>’</w:t>
      </w:r>
      <w:r w:rsidRPr="00036E51">
        <w:t>article ▌suivant est inséré:</w:t>
      </w:r>
    </w:p>
    <w:p w:rsidR="001C7823" w:rsidRPr="00036E51" w:rsidRDefault="001C7823" w:rsidP="001C7823">
      <w:pPr>
        <w:pStyle w:val="QuotedNumPar"/>
        <w:jc w:val="center"/>
        <w:rPr>
          <w:b/>
          <w:bCs/>
        </w:rPr>
      </w:pPr>
      <w:r w:rsidRPr="00036E51">
        <w:t>«</w:t>
      </w:r>
      <w:r w:rsidRPr="00036E51">
        <w:rPr>
          <w:i/>
        </w:rPr>
        <w:t>Article 51 bis</w:t>
      </w:r>
      <w:r w:rsidRPr="00036E51">
        <w:br/>
      </w:r>
      <w:r w:rsidRPr="00036E51">
        <w:rPr>
          <w:b/>
        </w:rPr>
        <w:t>Conditions particulières relatives à l</w:t>
      </w:r>
      <w:r w:rsidR="00BA38FE">
        <w:rPr>
          <w:b/>
        </w:rPr>
        <w:t>’</w:t>
      </w:r>
      <w:r w:rsidRPr="00036E51">
        <w:rPr>
          <w:b/>
        </w:rPr>
        <w:t>admission d</w:t>
      </w:r>
      <w:r w:rsidR="00BA38FE">
        <w:rPr>
          <w:b/>
        </w:rPr>
        <w:t>’</w:t>
      </w:r>
      <w:r w:rsidRPr="00036E51">
        <w:rPr>
          <w:b/>
        </w:rPr>
        <w:t>actions à la négociation</w:t>
      </w:r>
    </w:p>
    <w:p w:rsidR="001C7823" w:rsidRPr="00036E51" w:rsidRDefault="001C7823" w:rsidP="001C7823">
      <w:pPr>
        <w:pStyle w:val="QuotedNumPar"/>
        <w:tabs>
          <w:tab w:val="left" w:pos="1418"/>
        </w:tabs>
        <w:ind w:left="850" w:firstLine="0"/>
      </w:pPr>
      <w:r w:rsidRPr="00036E51">
        <w:t>1.</w:t>
      </w:r>
      <w:r w:rsidRPr="00036E51">
        <w:tab/>
        <w:t>Les États membres exigent que la capitalisation boursière prévisible des actions pour lesquelles l</w:t>
      </w:r>
      <w:r w:rsidR="00BA38FE">
        <w:t>’</w:t>
      </w:r>
      <w:r w:rsidRPr="00036E51">
        <w:t>admission à la négociation est demandée ou, si cette capitalisation ne peut être évaluée, que le capital et les réserves de la société, y compris le résultat, du dernier exercice, s</w:t>
      </w:r>
      <w:r w:rsidR="00BA38FE">
        <w:t>’</w:t>
      </w:r>
      <w:r w:rsidRPr="00036E51">
        <w:t>élèvent au minimum à 1 000 000 EUR ou à un montant équivalent dans une monnaie nationale autre que l</w:t>
      </w:r>
      <w:r w:rsidR="00BA38FE">
        <w:t>’</w:t>
      </w:r>
      <w:r w:rsidRPr="00036E51">
        <w:t>euro.</w:t>
      </w:r>
    </w:p>
    <w:p w:rsidR="001C7823" w:rsidRPr="00036E51" w:rsidRDefault="001C7823" w:rsidP="001C7823">
      <w:pPr>
        <w:pStyle w:val="QuotedNumPar"/>
        <w:tabs>
          <w:tab w:val="left" w:pos="1418"/>
        </w:tabs>
        <w:ind w:left="850" w:firstLine="0"/>
      </w:pPr>
      <w:r w:rsidRPr="00036E51">
        <w:t>2.</w:t>
      </w:r>
      <w:r w:rsidRPr="00036E51">
        <w:tab/>
        <w:t>Toutefois, le paragraphe 1 ne s</w:t>
      </w:r>
      <w:r w:rsidR="00BA38FE">
        <w:t>’</w:t>
      </w:r>
      <w:r w:rsidRPr="00036E51">
        <w:t>applique pas à l</w:t>
      </w:r>
      <w:r w:rsidR="00BA38FE">
        <w:t>’</w:t>
      </w:r>
      <w:r w:rsidRPr="00036E51">
        <w:t>admission à la négociation d</w:t>
      </w:r>
      <w:r w:rsidR="00BA38FE">
        <w:t>’</w:t>
      </w:r>
      <w:r w:rsidRPr="00036E51">
        <w:t>actions fongibles avec des actions déjà admises à la négociation.</w:t>
      </w:r>
    </w:p>
    <w:p w:rsidR="001C7823" w:rsidRPr="00036E51" w:rsidRDefault="001C7823" w:rsidP="001C7823">
      <w:pPr>
        <w:pStyle w:val="QuotedNumPar"/>
        <w:tabs>
          <w:tab w:val="left" w:pos="1418"/>
        </w:tabs>
        <w:ind w:left="850" w:firstLine="0"/>
      </w:pPr>
      <w:r w:rsidRPr="00036E51">
        <w:t>3.</w:t>
      </w:r>
      <w:r w:rsidRPr="00036E51">
        <w:tab/>
        <w:t>Si, à la suite de modifications de la contre-valeur de l</w:t>
      </w:r>
      <w:r w:rsidR="00BA38FE">
        <w:t>’</w:t>
      </w:r>
      <w:r w:rsidRPr="00036E51">
        <w:t>euro en monnaie nationale, le montant de la capitalisation boursière exprimé en monnaie nationale est inférieur ou supérieur d</w:t>
      </w:r>
      <w:r w:rsidR="00BA38FE">
        <w:t>’</w:t>
      </w:r>
      <w:r w:rsidRPr="00036E51">
        <w:t>au moins 10 % environ à 1 000 000 EUR pendant une période d</w:t>
      </w:r>
      <w:r w:rsidR="00BA38FE">
        <w:t>’</w:t>
      </w:r>
      <w:r w:rsidRPr="00036E51">
        <w:t>un an, l</w:t>
      </w:r>
      <w:r w:rsidR="00BA38FE">
        <w:t>’</w:t>
      </w:r>
      <w:r w:rsidRPr="00036E51">
        <w:t>État membre adapte, dans un délai de douze mois à compter de l</w:t>
      </w:r>
      <w:r w:rsidR="00BA38FE">
        <w:t>’</w:t>
      </w:r>
      <w:r w:rsidRPr="00036E51">
        <w:t>expiration de cette période, ses dispositions législatives, réglementaires ou administratives pour les mettre en conformité avec le paragraphe 1.</w:t>
      </w:r>
    </w:p>
    <w:p w:rsidR="001C7823" w:rsidRPr="00036E51" w:rsidRDefault="001C7823" w:rsidP="001C7823">
      <w:pPr>
        <w:pStyle w:val="QuotedNumPar"/>
        <w:tabs>
          <w:tab w:val="left" w:pos="1418"/>
        </w:tabs>
        <w:ind w:left="850" w:firstLine="0"/>
      </w:pPr>
      <w:r w:rsidRPr="00036E51">
        <w:t>4.</w:t>
      </w:r>
      <w:r w:rsidRPr="00036E51">
        <w:tab/>
        <w:t xml:space="preserve">Les États membres </w:t>
      </w:r>
      <w:r w:rsidRPr="00036E51">
        <w:rPr>
          <w:b/>
          <w:bCs/>
          <w:i/>
          <w:iCs/>
        </w:rPr>
        <w:t>veillent</w:t>
      </w:r>
      <w:r w:rsidRPr="00036E51">
        <w:t xml:space="preserve"> à ce que les marchés réglementés </w:t>
      </w:r>
      <w:r w:rsidRPr="00036E51">
        <w:rPr>
          <w:b/>
          <w:bCs/>
          <w:i/>
          <w:iCs/>
        </w:rPr>
        <w:t>exigent qu</w:t>
      </w:r>
      <w:r w:rsidR="00BA38FE">
        <w:rPr>
          <w:b/>
          <w:bCs/>
          <w:i/>
          <w:iCs/>
        </w:rPr>
        <w:t>’</w:t>
      </w:r>
      <w:r w:rsidRPr="00036E51">
        <w:rPr>
          <w:b/>
          <w:bCs/>
          <w:i/>
          <w:iCs/>
        </w:rPr>
        <w:t>au moment de l</w:t>
      </w:r>
      <w:r w:rsidR="00BA38FE">
        <w:rPr>
          <w:b/>
          <w:bCs/>
          <w:i/>
          <w:iCs/>
        </w:rPr>
        <w:t>’</w:t>
      </w:r>
      <w:r w:rsidRPr="00036E51">
        <w:rPr>
          <w:b/>
          <w:bCs/>
          <w:i/>
          <w:iCs/>
        </w:rPr>
        <w:t>admission,</w:t>
      </w:r>
      <w:r w:rsidRPr="00036E51">
        <w:t xml:space="preserve"> au moins 10 % du capital souscrit représenté par la catégorie d</w:t>
      </w:r>
      <w:r w:rsidR="00BA38FE">
        <w:t>’</w:t>
      </w:r>
      <w:r w:rsidRPr="00036E51">
        <w:t>actions concernée par la demande d</w:t>
      </w:r>
      <w:r w:rsidR="00BA38FE">
        <w:t>’</w:t>
      </w:r>
      <w:r w:rsidRPr="00036E51">
        <w:t>admission à la négociation soit détenu par le public.</w:t>
      </w:r>
    </w:p>
    <w:p w:rsidR="001C7823" w:rsidRPr="00036E51" w:rsidRDefault="001C7823" w:rsidP="001C7823">
      <w:pPr>
        <w:pStyle w:val="QuotedNumPar"/>
        <w:tabs>
          <w:tab w:val="left" w:pos="1418"/>
        </w:tabs>
        <w:ind w:left="850" w:firstLine="0"/>
      </w:pPr>
      <w:r w:rsidRPr="00036E51">
        <w:t>5.</w:t>
      </w:r>
      <w:r w:rsidRPr="00036E51">
        <w:tab/>
        <w:t xml:space="preserve"> Lorsque le pourcentage d</w:t>
      </w:r>
      <w:r w:rsidR="00BA38FE">
        <w:t>’</w:t>
      </w:r>
      <w:r w:rsidRPr="00036E51">
        <w:t>actions détenues par le public est inférieur à 10 % du capital souscrit, les États membres veillent à ce que les marchés réglementés exigent qu</w:t>
      </w:r>
      <w:r w:rsidR="00BA38FE">
        <w:t>’</w:t>
      </w:r>
      <w:r w:rsidRPr="00036E51">
        <w:t>un nombre suffisant d</w:t>
      </w:r>
      <w:r w:rsidR="00BA38FE">
        <w:t>’</w:t>
      </w:r>
      <w:r w:rsidRPr="00036E51">
        <w:t>actions soit distribué au public pour satisfaire à l</w:t>
      </w:r>
      <w:r w:rsidR="00BA38FE">
        <w:t>’</w:t>
      </w:r>
      <w:r w:rsidRPr="00036E51">
        <w:t>exigence énoncée au paragraphe 4.</w:t>
      </w:r>
    </w:p>
    <w:p w:rsidR="001C7823" w:rsidRPr="00036E51" w:rsidRDefault="001C7823" w:rsidP="001C7823">
      <w:pPr>
        <w:pStyle w:val="QuotedNumPar"/>
        <w:tabs>
          <w:tab w:val="left" w:pos="1418"/>
        </w:tabs>
        <w:ind w:left="850" w:firstLine="0"/>
      </w:pPr>
      <w:r w:rsidRPr="00036E51">
        <w:t>6.</w:t>
      </w:r>
      <w:r w:rsidRPr="00036E51">
        <w:tab/>
        <w:t>Lorsque l</w:t>
      </w:r>
      <w:r w:rsidR="00BA38FE">
        <w:t>’</w:t>
      </w:r>
      <w:r w:rsidRPr="00036E51">
        <w:t>admission à la négociation est demandée pour des actions fongibles avec des actions déjà admises à la négociation, les marchés réglementés évaluent, pour satisfaire à l</w:t>
      </w:r>
      <w:r w:rsidR="00BA38FE">
        <w:t>’</w:t>
      </w:r>
      <w:r w:rsidRPr="00036E51">
        <w:t>exigence énoncée au paragraphe 4, si un nombre suffisant d</w:t>
      </w:r>
      <w:r w:rsidR="00BA38FE">
        <w:t>’</w:t>
      </w:r>
      <w:r w:rsidRPr="00036E51">
        <w:t>actions a été distribué au public par rapport à l</w:t>
      </w:r>
      <w:r w:rsidR="00BA38FE">
        <w:t>’</w:t>
      </w:r>
      <w:r w:rsidRPr="00036E51">
        <w:t>ensemble des actions émises, et pas seulement par rapport aux actions fongibles avec des actions déjà admises à la négociation.</w:t>
      </w:r>
    </w:p>
    <w:p w:rsidR="001C7823" w:rsidRPr="00036E51" w:rsidRDefault="001C7823" w:rsidP="001C7823">
      <w:pPr>
        <w:pStyle w:val="QuotedNumPar"/>
        <w:tabs>
          <w:tab w:val="left" w:pos="1418"/>
        </w:tabs>
        <w:ind w:left="850" w:firstLine="0"/>
      </w:pPr>
      <w:r w:rsidRPr="00036E51">
        <w:t>7.</w:t>
      </w:r>
      <w:r w:rsidRPr="00036E51">
        <w:tab/>
        <w:t>La Commission est habilitée à adopter conformément à l</w:t>
      </w:r>
      <w:r w:rsidR="00BA38FE">
        <w:t>’</w:t>
      </w:r>
      <w:r w:rsidRPr="00036E51">
        <w:t>article 89 des actes délégués modifiant la présente directive pour adapter les seuils visés aux paragraphes 1 et 3 ou aux paragraphes 4 et 5, ou dans ces deux groupes de dispositions, lorsque les seuils applicables entravent la liquidité sur les marchés boursiers compte tenu des évolutions financières.».</w:t>
      </w:r>
    </w:p>
    <w:p w:rsidR="001C7823" w:rsidRPr="00036E51" w:rsidRDefault="001C7823" w:rsidP="001C7823">
      <w:pPr>
        <w:rPr>
          <w:b/>
          <w:i/>
        </w:rPr>
      </w:pPr>
      <w:r w:rsidRPr="00036E51">
        <w:rPr>
          <w:b/>
          <w:i/>
        </w:rPr>
        <w:t>4 bis)</w:t>
      </w:r>
      <w:r w:rsidRPr="00036E51">
        <w:rPr>
          <w:b/>
          <w:i/>
        </w:rPr>
        <w:tab/>
        <w:t>À l</w:t>
      </w:r>
      <w:r w:rsidR="00BA38FE">
        <w:rPr>
          <w:b/>
          <w:i/>
        </w:rPr>
        <w:t>’</w:t>
      </w:r>
      <w:r w:rsidRPr="00036E51">
        <w:rPr>
          <w:b/>
          <w:i/>
        </w:rPr>
        <w:t>article 69, paragraphe 2, premier alinéa, le point suivant est ajouté:</w:t>
      </w:r>
    </w:p>
    <w:p w:rsidR="001C7823" w:rsidRPr="00036E51" w:rsidRDefault="00BA38FE" w:rsidP="001C7823">
      <w:pPr>
        <w:pStyle w:val="QuotedNumPar"/>
        <w:tabs>
          <w:tab w:val="left" w:pos="1418"/>
        </w:tabs>
        <w:spacing w:before="0"/>
        <w:ind w:left="851"/>
        <w:rPr>
          <w:b/>
          <w:i/>
        </w:rPr>
      </w:pPr>
      <w:r>
        <w:rPr>
          <w:b/>
          <w:i/>
        </w:rPr>
        <w:t>«</w:t>
      </w:r>
      <w:r w:rsidR="001C7823" w:rsidRPr="00036E51">
        <w:rPr>
          <w:b/>
          <w:i/>
        </w:rPr>
        <w:t>v) surveiller si les entreprises d</w:t>
      </w:r>
      <w:r>
        <w:rPr>
          <w:b/>
          <w:i/>
        </w:rPr>
        <w:t>’</w:t>
      </w:r>
      <w:r w:rsidR="001C7823" w:rsidRPr="00036E51">
        <w:rPr>
          <w:b/>
          <w:i/>
        </w:rPr>
        <w:t>investissement qui produisent ou diffusent une recherche financée par l</w:t>
      </w:r>
      <w:r>
        <w:rPr>
          <w:b/>
          <w:i/>
        </w:rPr>
        <w:t>’</w:t>
      </w:r>
      <w:r w:rsidR="001C7823" w:rsidRPr="00036E51">
        <w:rPr>
          <w:b/>
          <w:i/>
        </w:rPr>
        <w:t>émetteur le font dans le respect du code de conduite de l</w:t>
      </w:r>
      <w:r>
        <w:rPr>
          <w:b/>
          <w:i/>
        </w:rPr>
        <w:t>’</w:t>
      </w:r>
      <w:r w:rsidR="001C7823" w:rsidRPr="00036E51">
        <w:rPr>
          <w:b/>
          <w:i/>
        </w:rPr>
        <w:t>Union élaboré par l</w:t>
      </w:r>
      <w:r>
        <w:rPr>
          <w:b/>
          <w:i/>
        </w:rPr>
        <w:t>’</w:t>
      </w:r>
      <w:r w:rsidR="001C7823" w:rsidRPr="00036E51">
        <w:rPr>
          <w:b/>
          <w:i/>
        </w:rPr>
        <w:t>AEMF conformément à l</w:t>
      </w:r>
      <w:r>
        <w:rPr>
          <w:b/>
          <w:i/>
        </w:rPr>
        <w:t>’</w:t>
      </w:r>
      <w:r w:rsidR="001C7823" w:rsidRPr="00036E51">
        <w:rPr>
          <w:b/>
          <w:i/>
        </w:rPr>
        <w:t>article 24.».</w:t>
      </w:r>
    </w:p>
    <w:p w:rsidR="001C7823" w:rsidRPr="00036E51" w:rsidRDefault="001C7823" w:rsidP="001C7823">
      <w:pPr>
        <w:pStyle w:val="Point0"/>
      </w:pPr>
      <w:r w:rsidRPr="00036E51">
        <w:t>5)</w:t>
      </w:r>
      <w:r w:rsidRPr="00036E51">
        <w:tab/>
        <w:t>L</w:t>
      </w:r>
      <w:r w:rsidR="00BA38FE">
        <w:t>’</w:t>
      </w:r>
      <w:r w:rsidRPr="00036E51">
        <w:t>article 89 est modifié comme suit:</w:t>
      </w:r>
    </w:p>
    <w:p w:rsidR="001C7823" w:rsidRPr="00036E51" w:rsidRDefault="001C7823" w:rsidP="001C7823">
      <w:pPr>
        <w:pStyle w:val="Point1"/>
      </w:pPr>
      <w:r w:rsidRPr="00036E51">
        <w:t>a)</w:t>
      </w:r>
      <w:r w:rsidRPr="00036E51">
        <w:tab/>
        <w:t>les paragraphes 2 et 3 sont remplacés par le texte suivant:</w:t>
      </w:r>
    </w:p>
    <w:p w:rsidR="001C7823" w:rsidRPr="00036E51" w:rsidRDefault="001C7823" w:rsidP="001C7823">
      <w:pPr>
        <w:pStyle w:val="QuotedNumPar"/>
        <w:tabs>
          <w:tab w:val="left" w:pos="1985"/>
        </w:tabs>
        <w:ind w:left="1418" w:firstLine="0"/>
      </w:pPr>
      <w:r w:rsidRPr="00036E51">
        <w:t>«2.</w:t>
      </w:r>
      <w:r w:rsidRPr="00036E51">
        <w:tab/>
        <w:t>La délégation de pouvoir visée à l</w:t>
      </w:r>
      <w:r w:rsidR="00BA38FE">
        <w:t>’</w:t>
      </w:r>
      <w:r w:rsidRPr="00036E51">
        <w:t>article 2, paragraphe 3, à l</w:t>
      </w:r>
      <w:r w:rsidR="00BA38FE">
        <w:t>’</w:t>
      </w:r>
      <w:r w:rsidRPr="00036E51">
        <w:t>article 2, paragraphe 4, à l</w:t>
      </w:r>
      <w:r w:rsidR="00BA38FE">
        <w:t>’</w:t>
      </w:r>
      <w:r w:rsidRPr="00036E51">
        <w:t>article 4, paragraphe 1, point 2), deuxième alinéa, à l</w:t>
      </w:r>
      <w:r w:rsidR="00BA38FE">
        <w:t>’</w:t>
      </w:r>
      <w:r w:rsidRPr="00036E51">
        <w:t>article 4, paragraphe 2, à l</w:t>
      </w:r>
      <w:r w:rsidR="00BA38FE">
        <w:t>’</w:t>
      </w:r>
      <w:r w:rsidRPr="00036E51">
        <w:t>article 13, paragraphe 1, à l</w:t>
      </w:r>
      <w:r w:rsidR="00BA38FE">
        <w:t>’</w:t>
      </w:r>
      <w:r w:rsidRPr="00036E51">
        <w:t>article 16, paragraphe 12, à l</w:t>
      </w:r>
      <w:r w:rsidR="00BA38FE">
        <w:t>’</w:t>
      </w:r>
      <w:r w:rsidRPr="00036E51">
        <w:t>article 23, paragraphe 4, à l</w:t>
      </w:r>
      <w:r w:rsidR="00BA38FE">
        <w:t>’</w:t>
      </w:r>
      <w:r w:rsidRPr="00036E51">
        <w:t>article 24, paragraphe 13, à l</w:t>
      </w:r>
      <w:r w:rsidR="00BA38FE">
        <w:t>’</w:t>
      </w:r>
      <w:r w:rsidRPr="00036E51">
        <w:t>article 25, paragraphe 8, à l</w:t>
      </w:r>
      <w:r w:rsidR="00BA38FE">
        <w:t>’</w:t>
      </w:r>
      <w:r w:rsidRPr="00036E51">
        <w:t>article 27, paragraphe 9, à l</w:t>
      </w:r>
      <w:r w:rsidR="00BA38FE">
        <w:t>’</w:t>
      </w:r>
      <w:r w:rsidRPr="00036E51">
        <w:t>article 28, paragraphe 3, à l</w:t>
      </w:r>
      <w:r w:rsidR="00BA38FE">
        <w:t>’</w:t>
      </w:r>
      <w:r w:rsidRPr="00036E51">
        <w:t>article 30, paragraphe 5, à l</w:t>
      </w:r>
      <w:r w:rsidR="00BA38FE">
        <w:t>’</w:t>
      </w:r>
      <w:r w:rsidRPr="00036E51">
        <w:t>article 31, paragraphe 4, à l</w:t>
      </w:r>
      <w:r w:rsidR="00BA38FE">
        <w:t>’</w:t>
      </w:r>
      <w:r w:rsidRPr="00036E51">
        <w:t>article 32, paragraphe 4, à l</w:t>
      </w:r>
      <w:r w:rsidR="00BA38FE">
        <w:t>’</w:t>
      </w:r>
      <w:r w:rsidRPr="00036E51">
        <w:t>article 33, paragraphe 8, à l</w:t>
      </w:r>
      <w:r w:rsidR="00BA38FE">
        <w:t>’</w:t>
      </w:r>
      <w:r w:rsidRPr="00036E51">
        <w:t>article 51 bis, paragraphe 7, à l</w:t>
      </w:r>
      <w:r w:rsidR="00BA38FE">
        <w:t>’</w:t>
      </w:r>
      <w:r w:rsidRPr="00036E51">
        <w:t>article 52, paragraphe 4, à l</w:t>
      </w:r>
      <w:r w:rsidR="00BA38FE">
        <w:t>’</w:t>
      </w:r>
      <w:r w:rsidRPr="00036E51">
        <w:t>article 54, paragraphe 4, à l</w:t>
      </w:r>
      <w:r w:rsidR="00BA38FE">
        <w:t>’</w:t>
      </w:r>
      <w:r w:rsidRPr="00036E51">
        <w:t>article 58, paragraphe 6, à l</w:t>
      </w:r>
      <w:r w:rsidR="00BA38FE">
        <w:t>’</w:t>
      </w:r>
      <w:r w:rsidRPr="00036E51">
        <w:t>article 64, paragraphe 7, à l</w:t>
      </w:r>
      <w:r w:rsidR="00BA38FE">
        <w:t>’</w:t>
      </w:r>
      <w:r w:rsidRPr="00036E51">
        <w:t>article 65, paragraphe 7, et à l</w:t>
      </w:r>
      <w:r w:rsidR="00BA38FE">
        <w:t>’</w:t>
      </w:r>
      <w:r w:rsidRPr="00036E51">
        <w:t>article 79, paragraphe 8, est conféré à la Commission pour une durée indéterminée.</w:t>
      </w:r>
    </w:p>
    <w:p w:rsidR="001C7823" w:rsidRPr="00036E51" w:rsidRDefault="001C7823" w:rsidP="001C7823">
      <w:pPr>
        <w:pStyle w:val="QuotedNumPar"/>
        <w:tabs>
          <w:tab w:val="left" w:pos="1985"/>
        </w:tabs>
        <w:ind w:left="1418" w:firstLine="0"/>
      </w:pPr>
      <w:r w:rsidRPr="00036E51">
        <w:t>3.</w:t>
      </w:r>
      <w:r w:rsidRPr="00036E51">
        <w:tab/>
        <w:t>La délégation de pouvoir visée à l</w:t>
      </w:r>
      <w:r w:rsidR="00BA38FE">
        <w:t>’</w:t>
      </w:r>
      <w:r w:rsidRPr="00036E51">
        <w:t>article 2, paragraphe 3, à l</w:t>
      </w:r>
      <w:r w:rsidR="00BA38FE">
        <w:t>’</w:t>
      </w:r>
      <w:r w:rsidRPr="00036E51">
        <w:t>article 2, paragraphe 4, à l</w:t>
      </w:r>
      <w:r w:rsidR="00BA38FE">
        <w:t>’</w:t>
      </w:r>
      <w:r w:rsidRPr="00036E51">
        <w:t>article 4, paragraphe 1, point 2), deuxième alinéa, à l</w:t>
      </w:r>
      <w:r w:rsidR="00BA38FE">
        <w:t>’</w:t>
      </w:r>
      <w:r w:rsidRPr="00036E51">
        <w:t>article 4, paragraphe 2, à l</w:t>
      </w:r>
      <w:r w:rsidR="00BA38FE">
        <w:t>’</w:t>
      </w:r>
      <w:r w:rsidRPr="00036E51">
        <w:t>article 13, paragraphe 1, à l</w:t>
      </w:r>
      <w:r w:rsidR="00BA38FE">
        <w:t>’</w:t>
      </w:r>
      <w:r w:rsidRPr="00036E51">
        <w:t>article 16, paragraphe 12, à l</w:t>
      </w:r>
      <w:r w:rsidR="00BA38FE">
        <w:t>’</w:t>
      </w:r>
      <w:r w:rsidRPr="00036E51">
        <w:t>article 23, paragraphe 4, à l</w:t>
      </w:r>
      <w:r w:rsidR="00BA38FE">
        <w:t>’</w:t>
      </w:r>
      <w:r w:rsidRPr="00036E51">
        <w:t>article 24, paragraphe 13, à l</w:t>
      </w:r>
      <w:r w:rsidR="00BA38FE">
        <w:t>’</w:t>
      </w:r>
      <w:r w:rsidRPr="00036E51">
        <w:t>article 25, paragraphe 8, à l</w:t>
      </w:r>
      <w:r w:rsidR="00BA38FE">
        <w:t>’</w:t>
      </w:r>
      <w:r w:rsidRPr="00036E51">
        <w:t>article 27, paragraphe 9, à l</w:t>
      </w:r>
      <w:r w:rsidR="00BA38FE">
        <w:t>’</w:t>
      </w:r>
      <w:r w:rsidRPr="00036E51">
        <w:t>article 28, paragraphe 3, à l</w:t>
      </w:r>
      <w:r w:rsidR="00BA38FE">
        <w:t>’</w:t>
      </w:r>
      <w:r w:rsidRPr="00036E51">
        <w:t>article 30, paragraphe 5, à l</w:t>
      </w:r>
      <w:r w:rsidR="00BA38FE">
        <w:t>’</w:t>
      </w:r>
      <w:r w:rsidRPr="00036E51">
        <w:t>article 31, paragraphe 4, à l</w:t>
      </w:r>
      <w:r w:rsidR="00BA38FE">
        <w:t>’</w:t>
      </w:r>
      <w:r w:rsidRPr="00036E51">
        <w:t>article 32, paragraphe 4, à l</w:t>
      </w:r>
      <w:r w:rsidR="00BA38FE">
        <w:t>’</w:t>
      </w:r>
      <w:r w:rsidRPr="00036E51">
        <w:t>article 33, paragraphe 8, à l</w:t>
      </w:r>
      <w:r w:rsidR="00BA38FE">
        <w:t>’</w:t>
      </w:r>
      <w:r w:rsidRPr="00036E51">
        <w:t>article 51 bis, paragraphe 7, à l</w:t>
      </w:r>
      <w:r w:rsidR="00BA38FE">
        <w:t>’</w:t>
      </w:r>
      <w:r w:rsidRPr="00036E51">
        <w:t>article 52, paragraphe 4, à l</w:t>
      </w:r>
      <w:r w:rsidR="00BA38FE">
        <w:t>’</w:t>
      </w:r>
      <w:r w:rsidRPr="00036E51">
        <w:t>article 54, paragraphe 4, à l</w:t>
      </w:r>
      <w:r w:rsidR="00BA38FE">
        <w:t>’</w:t>
      </w:r>
      <w:r w:rsidRPr="00036E51">
        <w:t>article 58, paragraphe 6, à l</w:t>
      </w:r>
      <w:r w:rsidR="00BA38FE">
        <w:t>’</w:t>
      </w:r>
      <w:r w:rsidRPr="00036E51">
        <w:t>article 64, paragraphe 7, à l</w:t>
      </w:r>
      <w:r w:rsidR="00BA38FE">
        <w:t>’</w:t>
      </w:r>
      <w:r w:rsidRPr="00036E51">
        <w:t>article 65, paragraphe 7, et à l</w:t>
      </w:r>
      <w:r w:rsidR="00BA38FE">
        <w:t>’</w:t>
      </w:r>
      <w:r w:rsidRPr="00036E51">
        <w:t>article 79, paragraphe 8, peut être révoquée à tout moment par le Parlement européen ou le Conseil. La décision de révocation met fin à la délégation de pouvoir qui y est précisée. La révocation prend effet le jour suivant celui de la publication de ladite décision au Journal officiel de l</w:t>
      </w:r>
      <w:r w:rsidR="00BA38FE">
        <w:t>’</w:t>
      </w:r>
      <w:r w:rsidRPr="00036E51">
        <w:t>Union européenne ou à une date ultérieure qui est précisée dans ladite décision. Elle ne porte pas atteinte à la validité des actes délégués déjà en vigueur.»;</w:t>
      </w:r>
    </w:p>
    <w:p w:rsidR="001C7823" w:rsidRPr="00036E51" w:rsidRDefault="001C7823" w:rsidP="001C7823">
      <w:pPr>
        <w:pStyle w:val="Point1"/>
      </w:pPr>
      <w:r w:rsidRPr="00036E51">
        <w:t>b)</w:t>
      </w:r>
      <w:r w:rsidRPr="00036E51">
        <w:tab/>
        <w:t>le paragraphe 5 est remplacé par le texte suivant:</w:t>
      </w:r>
    </w:p>
    <w:p w:rsidR="001C7823" w:rsidRPr="00036E51" w:rsidRDefault="001C7823" w:rsidP="001C7823">
      <w:pPr>
        <w:pStyle w:val="QuotedNumPar"/>
        <w:tabs>
          <w:tab w:val="left" w:pos="1985"/>
        </w:tabs>
        <w:ind w:firstLine="1"/>
      </w:pPr>
      <w:r w:rsidRPr="00036E51">
        <w:t>«5.</w:t>
      </w:r>
      <w:r w:rsidRPr="00036E51">
        <w:tab/>
        <w:t>Un acte délégué adopté en vertu de l</w:t>
      </w:r>
      <w:r w:rsidR="00BA38FE">
        <w:t>’</w:t>
      </w:r>
      <w:r w:rsidRPr="00036E51">
        <w:t>article 2, paragraphe 3, de l</w:t>
      </w:r>
      <w:r w:rsidR="00BA38FE">
        <w:t>’</w:t>
      </w:r>
      <w:r w:rsidRPr="00036E51">
        <w:t>article 2, paragraphe 4, de l</w:t>
      </w:r>
      <w:r w:rsidR="00BA38FE">
        <w:t>’</w:t>
      </w:r>
      <w:r w:rsidRPr="00036E51">
        <w:t>article 4, paragraphe 1, point 2), deuxième alinéa, de l</w:t>
      </w:r>
      <w:r w:rsidR="00BA38FE">
        <w:t>’</w:t>
      </w:r>
      <w:r w:rsidRPr="00036E51">
        <w:t>article 4, paragraphe 2, de l</w:t>
      </w:r>
      <w:r w:rsidR="00BA38FE">
        <w:t>’</w:t>
      </w:r>
      <w:r w:rsidRPr="00036E51">
        <w:t>article 13, paragraphe 1, de l</w:t>
      </w:r>
      <w:r w:rsidR="00BA38FE">
        <w:t>’</w:t>
      </w:r>
      <w:r w:rsidRPr="00036E51">
        <w:t>article 16, paragraphe 12, de l</w:t>
      </w:r>
      <w:r w:rsidR="00BA38FE">
        <w:t>’</w:t>
      </w:r>
      <w:r w:rsidRPr="00036E51">
        <w:t>article 23, paragraphe 4, de l</w:t>
      </w:r>
      <w:r w:rsidR="00BA38FE">
        <w:t>’</w:t>
      </w:r>
      <w:r w:rsidRPr="00036E51">
        <w:t>article 24, paragraphe 13, de l</w:t>
      </w:r>
      <w:r w:rsidR="00BA38FE">
        <w:t>’</w:t>
      </w:r>
      <w:r w:rsidRPr="00036E51">
        <w:t>article 25, paragraphe 8, de l</w:t>
      </w:r>
      <w:r w:rsidR="00BA38FE">
        <w:t>’</w:t>
      </w:r>
      <w:r w:rsidRPr="00036E51">
        <w:t>article 27, paragraphe 9, de l</w:t>
      </w:r>
      <w:r w:rsidR="00BA38FE">
        <w:t>’</w:t>
      </w:r>
      <w:r w:rsidRPr="00036E51">
        <w:t>article 28, paragraphe 3, de l</w:t>
      </w:r>
      <w:r w:rsidR="00BA38FE">
        <w:t>’</w:t>
      </w:r>
      <w:r w:rsidRPr="00036E51">
        <w:t>article 30, paragraphe 5, de l</w:t>
      </w:r>
      <w:r w:rsidR="00BA38FE">
        <w:t>’</w:t>
      </w:r>
      <w:r w:rsidRPr="00036E51">
        <w:t>article 31, paragraphe 4, de l</w:t>
      </w:r>
      <w:r w:rsidR="00BA38FE">
        <w:t>’</w:t>
      </w:r>
      <w:r w:rsidRPr="00036E51">
        <w:t>article 32, paragraphe 4, de l</w:t>
      </w:r>
      <w:r w:rsidR="00BA38FE">
        <w:t>’</w:t>
      </w:r>
      <w:r w:rsidRPr="00036E51">
        <w:t>article 33, paragraphe 8, à l</w:t>
      </w:r>
      <w:r w:rsidR="00BA38FE">
        <w:t>’</w:t>
      </w:r>
      <w:r w:rsidRPr="00036E51">
        <w:t>article 51 bis, paragraphe 7, de l</w:t>
      </w:r>
      <w:r w:rsidR="00BA38FE">
        <w:t>’</w:t>
      </w:r>
      <w:r w:rsidRPr="00036E51">
        <w:t>article 52, paragraphe 4, de l</w:t>
      </w:r>
      <w:r w:rsidR="00BA38FE">
        <w:t>’</w:t>
      </w:r>
      <w:r w:rsidRPr="00036E51">
        <w:t>article 54, paragraphe 4, de l</w:t>
      </w:r>
      <w:r w:rsidR="00BA38FE">
        <w:t>’</w:t>
      </w:r>
      <w:r w:rsidRPr="00036E51">
        <w:t>article 58, paragraphe 6, de l</w:t>
      </w:r>
      <w:r w:rsidR="00BA38FE">
        <w:t>’</w:t>
      </w:r>
      <w:r w:rsidRPr="00036E51">
        <w:t>article 64, paragraphe 7, de l</w:t>
      </w:r>
      <w:r w:rsidR="00BA38FE">
        <w:t>’</w:t>
      </w:r>
      <w:r w:rsidRPr="00036E51">
        <w:t>article 65, paragraphe 7, ou de l</w:t>
      </w:r>
      <w:r w:rsidR="00BA38FE">
        <w:t>’</w:t>
      </w:r>
      <w:r w:rsidRPr="00036E51">
        <w:t>article 79, paragraphe 8, n</w:t>
      </w:r>
      <w:r w:rsidR="00BA38FE">
        <w:t>’</w:t>
      </w:r>
      <w:r w:rsidRPr="00036E51">
        <w:t>entre en vigueur que si le Parlement européen ou le Conseil n</w:t>
      </w:r>
      <w:r w:rsidR="00BA38FE">
        <w:t>’</w:t>
      </w:r>
      <w:r w:rsidRPr="00036E51">
        <w:t>a pas exprimé d</w:t>
      </w:r>
      <w:r w:rsidR="00BA38FE">
        <w:t>’</w:t>
      </w:r>
      <w:r w:rsidRPr="00036E51">
        <w:t>objections dans un délai de trois mois à compter de la notification de cet acte au Parlement européen et au Conseil ou si, avant l</w:t>
      </w:r>
      <w:r w:rsidR="00BA38FE">
        <w:t>’</w:t>
      </w:r>
      <w:r w:rsidRPr="00036E51">
        <w:t>expiration de ce délai, le Parlement européen et le Conseil ont tous deux informé la Commission de leur intention de ne pas exprimer d</w:t>
      </w:r>
      <w:r w:rsidR="00BA38FE">
        <w:t>’</w:t>
      </w:r>
      <w:r w:rsidRPr="00036E51">
        <w:t>objections. Ce délai est prolongé de trois mois à l</w:t>
      </w:r>
      <w:r w:rsidR="00BA38FE">
        <w:t>’</w:t>
      </w:r>
      <w:r w:rsidRPr="00036E51">
        <w:t>initiative du Parlement européen ou du Conseil.».</w:t>
      </w:r>
    </w:p>
    <w:p w:rsidR="001C7823" w:rsidRPr="00036E51" w:rsidRDefault="001C7823" w:rsidP="001C7823">
      <w:pPr>
        <w:pStyle w:val="Titrearticle"/>
        <w:keepLines/>
        <w:rPr>
          <w:b/>
          <w:bCs/>
          <w:i w:val="0"/>
          <w:iCs/>
        </w:rPr>
      </w:pPr>
      <w:r w:rsidRPr="00036E51">
        <w:t>Article 2</w:t>
      </w:r>
      <w:r w:rsidRPr="00036E51">
        <w:br/>
      </w:r>
      <w:r w:rsidRPr="00036E51">
        <w:rPr>
          <w:b/>
          <w:i w:val="0"/>
        </w:rPr>
        <w:t>Abrogation de la directive 2001/34/CE</w:t>
      </w:r>
    </w:p>
    <w:p w:rsidR="001C7823" w:rsidRPr="00036E51" w:rsidRDefault="001C7823" w:rsidP="001C7823">
      <w:r w:rsidRPr="00036E51">
        <w:t>La directive 2001/34/CE est abrogée à compter du... [OP: prière d</w:t>
      </w:r>
      <w:r w:rsidR="00BA38FE">
        <w:t>’</w:t>
      </w:r>
      <w:r w:rsidRPr="00036E51">
        <w:t>insérer la date correspondant à 24 mois après l</w:t>
      </w:r>
      <w:r w:rsidR="00BA38FE">
        <w:t>’</w:t>
      </w:r>
      <w:r w:rsidRPr="00036E51">
        <w:t>entrée en vigueur de la présente directive].</w:t>
      </w:r>
    </w:p>
    <w:p w:rsidR="001C7823" w:rsidRPr="00036E51" w:rsidRDefault="001C7823" w:rsidP="001C7823">
      <w:pPr>
        <w:pStyle w:val="Titrearticle"/>
        <w:keepLines/>
      </w:pPr>
      <w:r w:rsidRPr="00036E51">
        <w:t>Article 3</w:t>
      </w:r>
      <w:r w:rsidRPr="00036E51">
        <w:br/>
      </w:r>
      <w:r w:rsidRPr="00036E51">
        <w:rPr>
          <w:b/>
          <w:i w:val="0"/>
        </w:rPr>
        <w:t>Transposition</w:t>
      </w:r>
    </w:p>
    <w:p w:rsidR="001C7823" w:rsidRPr="00036E51" w:rsidRDefault="001C7823" w:rsidP="001C7823">
      <w:pPr>
        <w:pStyle w:val="ManualNumPar1"/>
        <w:tabs>
          <w:tab w:val="left" w:pos="567"/>
        </w:tabs>
        <w:ind w:left="0" w:firstLine="0"/>
      </w:pPr>
      <w:r w:rsidRPr="00036E51">
        <w:t>1.</w:t>
      </w:r>
      <w:r w:rsidRPr="00036E51">
        <w:tab/>
        <w:t>Les États membres adoptent et publient les dispositions législatives, réglementaires et administratives nécessaires pour se conformer à la présente directive au plus tard le... [OP: veuillez insérer la date correspondant à 12 mois</w:t>
      </w:r>
      <w:r w:rsidRPr="00036E51">
        <w:rPr>
          <w:b/>
          <w:i/>
        </w:rPr>
        <w:t xml:space="preserve"> à compter de </w:t>
      </w:r>
      <w:r w:rsidRPr="00036E51">
        <w:t>la date d</w:t>
      </w:r>
      <w:r w:rsidR="00BA38FE">
        <w:t>’</w:t>
      </w:r>
      <w:r w:rsidRPr="00036E51">
        <w:t>entrée en vigueur de la présente directive]. Ils communiquent immédiatement à la Commission le texte de ces dispositions.</w:t>
      </w:r>
    </w:p>
    <w:p w:rsidR="001C7823" w:rsidRPr="00036E51" w:rsidRDefault="001C7823" w:rsidP="001C7823">
      <w:pPr>
        <w:pStyle w:val="Text1"/>
        <w:tabs>
          <w:tab w:val="left" w:pos="567"/>
        </w:tabs>
        <w:ind w:left="0"/>
      </w:pPr>
      <w:r w:rsidRPr="00036E51">
        <w:t>Ils appliquent ces dispositions à partir du... [OP: prière d</w:t>
      </w:r>
      <w:r w:rsidR="00BA38FE">
        <w:t>’</w:t>
      </w:r>
      <w:r w:rsidRPr="00036E51">
        <w:t xml:space="preserve">insérer la date correspondant à 18 mois </w:t>
      </w:r>
      <w:r w:rsidRPr="00036E51">
        <w:rPr>
          <w:b/>
          <w:i/>
        </w:rPr>
        <w:t xml:space="preserve">à compter de </w:t>
      </w:r>
      <w:r w:rsidRPr="00036E51">
        <w:t>la date d</w:t>
      </w:r>
      <w:r w:rsidR="00BA38FE">
        <w:t>’</w:t>
      </w:r>
      <w:r w:rsidRPr="00036E51">
        <w:t>entrée en vigueur de la présente directive].</w:t>
      </w:r>
    </w:p>
    <w:p w:rsidR="001C7823" w:rsidRPr="00036E51" w:rsidRDefault="001C7823" w:rsidP="001C7823">
      <w:pPr>
        <w:pStyle w:val="Text1"/>
        <w:tabs>
          <w:tab w:val="left" w:pos="567"/>
        </w:tabs>
        <w:ind w:left="0"/>
      </w:pPr>
      <w:r w:rsidRPr="00036E51">
        <w:t>Lorsque les États membres adoptent ces dispositions, celles-ci contiennent une référence à la présente directive ou sont accompagnées d</w:t>
      </w:r>
      <w:r w:rsidR="00BA38FE">
        <w:t>’</w:t>
      </w:r>
      <w:r w:rsidRPr="00036E51">
        <w:t>une telle référence lors de leur publication officielle. Les modalités de cette référence sont arrêtées par les États membres.</w:t>
      </w:r>
    </w:p>
    <w:p w:rsidR="001C7823" w:rsidRPr="00036E51" w:rsidRDefault="001C7823" w:rsidP="001C7823">
      <w:pPr>
        <w:pStyle w:val="ManualNumPar1"/>
        <w:tabs>
          <w:tab w:val="left" w:pos="567"/>
        </w:tabs>
        <w:ind w:left="0" w:firstLine="0"/>
      </w:pPr>
      <w:r w:rsidRPr="00036E51">
        <w:t>2.</w:t>
      </w:r>
      <w:r w:rsidRPr="00036E51">
        <w:tab/>
        <w:t>Les États membres communiquent à la Commission le texte des dispositions essentielles de droit interne qu</w:t>
      </w:r>
      <w:r w:rsidR="00BA38FE">
        <w:t>’</w:t>
      </w:r>
      <w:r w:rsidRPr="00036E51">
        <w:t>ils adoptent dans le domaine couvert par la présente directive.</w:t>
      </w:r>
    </w:p>
    <w:p w:rsidR="001C7823" w:rsidRPr="00036E51" w:rsidRDefault="001C7823" w:rsidP="001C7823">
      <w:pPr>
        <w:pStyle w:val="Titrearticle"/>
      </w:pPr>
      <w:r w:rsidRPr="00036E51">
        <w:t>Article 4</w:t>
      </w:r>
      <w:r w:rsidRPr="00036E51">
        <w:br/>
      </w:r>
      <w:r w:rsidRPr="00036E51">
        <w:rPr>
          <w:b/>
          <w:i w:val="0"/>
        </w:rPr>
        <w:t>Entrée en vigueur</w:t>
      </w:r>
    </w:p>
    <w:p w:rsidR="001C7823" w:rsidRPr="00036E51" w:rsidRDefault="001C7823" w:rsidP="001C7823">
      <w:r w:rsidRPr="00036E51">
        <w:t>La présente directive entre en vigueur le vingtième jour suivant celui de sa publication au Journal officiel de l</w:t>
      </w:r>
      <w:r w:rsidR="00BA38FE">
        <w:t>’</w:t>
      </w:r>
      <w:r w:rsidRPr="00036E51">
        <w:t>Union européenne.</w:t>
      </w:r>
    </w:p>
    <w:p w:rsidR="001C7823" w:rsidRPr="00036E51" w:rsidRDefault="001C7823" w:rsidP="001C7823">
      <w:pPr>
        <w:pStyle w:val="Titrearticle"/>
      </w:pPr>
      <w:r w:rsidRPr="00036E51">
        <w:t>Article 5</w:t>
      </w:r>
      <w:r w:rsidRPr="00036E51">
        <w:br/>
      </w:r>
      <w:r w:rsidRPr="00036E51">
        <w:rPr>
          <w:b/>
          <w:i w:val="0"/>
        </w:rPr>
        <w:t>Destinataires</w:t>
      </w:r>
    </w:p>
    <w:p w:rsidR="001C7823" w:rsidRPr="00036E51" w:rsidRDefault="001C7823" w:rsidP="001C7823">
      <w:pPr>
        <w:keepNext/>
        <w:keepLines/>
      </w:pPr>
      <w:r w:rsidRPr="00036E51">
        <w:t>Les États membres sont destinataires de la présente directive.</w:t>
      </w:r>
    </w:p>
    <w:p w:rsidR="001C7823" w:rsidRPr="00036E51" w:rsidRDefault="001C7823" w:rsidP="001C7823">
      <w:pPr>
        <w:pStyle w:val="Fait"/>
      </w:pPr>
      <w:r w:rsidRPr="00036E51">
        <w:t>Fait à Bruxelles, le</w:t>
      </w:r>
    </w:p>
    <w:p w:rsidR="001C7823" w:rsidRPr="00036E51" w:rsidRDefault="001C7823" w:rsidP="001C7823">
      <w:pPr>
        <w:pStyle w:val="Institutionquisigne"/>
      </w:pPr>
      <w:r w:rsidRPr="00036E51">
        <w:t>Par le Parlement européen</w:t>
      </w:r>
      <w:r w:rsidRPr="00036E51">
        <w:tab/>
        <w:t>Par le Conseil</w:t>
      </w:r>
    </w:p>
    <w:p w:rsidR="001C7823" w:rsidRPr="00036E51" w:rsidRDefault="001C7823" w:rsidP="001C7823">
      <w:pPr>
        <w:pStyle w:val="Personnequisigne"/>
      </w:pPr>
      <w:r w:rsidRPr="00036E51">
        <w:t>La présidente</w:t>
      </w:r>
      <w:r w:rsidRPr="00036E51">
        <w:tab/>
        <w:t>Le président</w:t>
      </w:r>
    </w:p>
    <w:p w:rsidR="001C7823" w:rsidRPr="00036E51" w:rsidRDefault="001C7823" w:rsidP="001C7823">
      <w:r w:rsidRPr="00036E51">
        <w:br w:type="page"/>
      </w:r>
    </w:p>
    <w:p w:rsidR="001C7823" w:rsidRPr="00036E51" w:rsidRDefault="001C7823" w:rsidP="001C7823">
      <w:pPr>
        <w:pStyle w:val="PageHeading"/>
      </w:pPr>
      <w:bookmarkStart w:id="7" w:name="_Toc149294903"/>
      <w:bookmarkStart w:id="8" w:name="ProcPageRR"/>
      <w:bookmarkStart w:id="9" w:name="_Toc150936844"/>
      <w:r w:rsidRPr="00036E51">
        <w:t>PROCÉDURE DE LA COMMISSION COMPÉTENTE AU FOND</w:t>
      </w:r>
      <w:bookmarkEnd w:id="7"/>
      <w:bookmarkEnd w:id="9"/>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1C7823" w:rsidRPr="00036E51" w:rsidTr="00182645">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1C7823" w:rsidRPr="00036E51" w:rsidRDefault="001C7823" w:rsidP="00182645">
            <w:pPr>
              <w:autoSpaceDE w:val="0"/>
              <w:autoSpaceDN w:val="0"/>
              <w:adjustRightInd w:val="0"/>
              <w:rPr>
                <w:b/>
                <w:bCs/>
                <w:color w:val="000000"/>
                <w:sz w:val="20"/>
              </w:rPr>
            </w:pPr>
            <w:r w:rsidRPr="00036E51">
              <w:rPr>
                <w:b/>
                <w:color w:val="000000"/>
                <w:sz w:val="20"/>
              </w:rPr>
              <w:t>Titre</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1C7823" w:rsidRPr="00036E51" w:rsidRDefault="001C7823" w:rsidP="00182645">
            <w:pPr>
              <w:autoSpaceDE w:val="0"/>
              <w:autoSpaceDN w:val="0"/>
              <w:adjustRightInd w:val="0"/>
              <w:rPr>
                <w:color w:val="000000"/>
                <w:sz w:val="20"/>
              </w:rPr>
            </w:pPr>
            <w:r w:rsidRPr="00036E51">
              <w:rPr>
                <w:color w:val="000000"/>
                <w:sz w:val="20"/>
              </w:rPr>
              <w:t>Modification de la directive 2014/65/UE afin de rendre les marchés des capitaux plus attrayants pour les entreprises de l</w:t>
            </w:r>
            <w:r w:rsidR="00BA38FE">
              <w:rPr>
                <w:color w:val="000000"/>
                <w:sz w:val="20"/>
              </w:rPr>
              <w:t>’</w:t>
            </w:r>
            <w:r w:rsidRPr="00036E51">
              <w:rPr>
                <w:color w:val="000000"/>
                <w:sz w:val="20"/>
              </w:rPr>
              <w:t>UE et de faciliter l</w:t>
            </w:r>
            <w:r w:rsidR="00BA38FE">
              <w:rPr>
                <w:color w:val="000000"/>
                <w:sz w:val="20"/>
              </w:rPr>
              <w:t>’</w:t>
            </w:r>
            <w:r w:rsidRPr="00036E51">
              <w:rPr>
                <w:color w:val="000000"/>
                <w:sz w:val="20"/>
              </w:rPr>
              <w:t>accès des petites et moyennes entreprises aux capitaux et abrogation de la directive 2001/34/CE</w:t>
            </w:r>
          </w:p>
        </w:tc>
      </w:tr>
      <w:tr w:rsidR="001C7823" w:rsidRPr="00036E51" w:rsidTr="00182645">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1C7823" w:rsidRPr="00036E51" w:rsidRDefault="001C7823" w:rsidP="00182645">
            <w:pPr>
              <w:autoSpaceDE w:val="0"/>
              <w:autoSpaceDN w:val="0"/>
              <w:adjustRightInd w:val="0"/>
              <w:rPr>
                <w:b/>
                <w:bCs/>
                <w:color w:val="000000"/>
                <w:sz w:val="20"/>
              </w:rPr>
            </w:pPr>
            <w:r w:rsidRPr="00036E51">
              <w:rPr>
                <w:b/>
                <w:color w:val="000000"/>
                <w:sz w:val="20"/>
              </w:rPr>
              <w:t>Références</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1C7823" w:rsidRPr="00036E51" w:rsidRDefault="001C7823" w:rsidP="00182645">
            <w:pPr>
              <w:autoSpaceDE w:val="0"/>
              <w:autoSpaceDN w:val="0"/>
              <w:adjustRightInd w:val="0"/>
              <w:rPr>
                <w:color w:val="000000"/>
                <w:sz w:val="20"/>
              </w:rPr>
            </w:pPr>
            <w:r w:rsidRPr="00036E51">
              <w:rPr>
                <w:color w:val="000000"/>
                <w:sz w:val="20"/>
              </w:rPr>
              <w:t>COM(2022)0760 – C9-0415/2022 – 2022/0405(COD)</w:t>
            </w:r>
          </w:p>
        </w:tc>
      </w:tr>
      <w:tr w:rsidR="001C7823" w:rsidRPr="00036E51" w:rsidTr="00182645">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1C7823" w:rsidRPr="00036E51" w:rsidRDefault="001C7823" w:rsidP="00182645">
            <w:pPr>
              <w:autoSpaceDE w:val="0"/>
              <w:autoSpaceDN w:val="0"/>
              <w:adjustRightInd w:val="0"/>
              <w:rPr>
                <w:b/>
                <w:bCs/>
                <w:color w:val="000000"/>
                <w:sz w:val="20"/>
              </w:rPr>
            </w:pPr>
            <w:r w:rsidRPr="00036E51">
              <w:rPr>
                <w:b/>
                <w:color w:val="000000"/>
                <w:sz w:val="20"/>
              </w:rPr>
              <w:t>Date de la présentation au PE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1C7823" w:rsidRPr="00036E51" w:rsidRDefault="001C7823" w:rsidP="00182645">
            <w:pPr>
              <w:autoSpaceDE w:val="0"/>
              <w:autoSpaceDN w:val="0"/>
              <w:adjustRightInd w:val="0"/>
              <w:rPr>
                <w:color w:val="000000"/>
                <w:sz w:val="20"/>
              </w:rPr>
            </w:pPr>
            <w:r w:rsidRPr="00036E51">
              <w:rPr>
                <w:color w:val="000000"/>
                <w:sz w:val="20"/>
              </w:rPr>
              <w:t>8.12.2022</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1C7823" w:rsidRPr="00036E51" w:rsidRDefault="001C7823" w:rsidP="00182645">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1C7823" w:rsidRPr="00036E51" w:rsidRDefault="001C7823" w:rsidP="00182645">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1C7823" w:rsidRPr="00036E51" w:rsidRDefault="001C7823" w:rsidP="00182645">
            <w:pPr>
              <w:autoSpaceDE w:val="0"/>
              <w:autoSpaceDN w:val="0"/>
              <w:adjustRightInd w:val="0"/>
              <w:rPr>
                <w:rFonts w:ascii="sans-serif" w:hAnsi="sans-serif" w:cs="sans-serif"/>
                <w:color w:val="000000"/>
                <w:szCs w:val="24"/>
              </w:rPr>
            </w:pPr>
          </w:p>
        </w:tc>
      </w:tr>
      <w:tr w:rsidR="001C7823" w:rsidRPr="00036E51" w:rsidTr="00182645">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1C7823" w:rsidRPr="00036E51" w:rsidRDefault="001C7823" w:rsidP="00182645">
            <w:pPr>
              <w:autoSpaceDE w:val="0"/>
              <w:autoSpaceDN w:val="0"/>
              <w:adjustRightInd w:val="0"/>
              <w:rPr>
                <w:b/>
                <w:bCs/>
                <w:color w:val="000000"/>
                <w:sz w:val="20"/>
              </w:rPr>
            </w:pPr>
            <w:r w:rsidRPr="00036E51">
              <w:rPr>
                <w:b/>
                <w:color w:val="000000"/>
                <w:sz w:val="20"/>
              </w:rPr>
              <w:t>Commission compétente au fond</w:t>
            </w:r>
          </w:p>
          <w:p w:rsidR="001C7823" w:rsidRPr="00036E51" w:rsidRDefault="00BA38FE" w:rsidP="00182645">
            <w:pPr>
              <w:autoSpaceDE w:val="0"/>
              <w:autoSpaceDN w:val="0"/>
              <w:adjustRightInd w:val="0"/>
              <w:rPr>
                <w:color w:val="000000"/>
                <w:sz w:val="20"/>
              </w:rPr>
            </w:pPr>
            <w:r>
              <w:rPr>
                <w:color w:val="000000"/>
                <w:sz w:val="20"/>
              </w:rPr>
              <w:t xml:space="preserve">   </w:t>
            </w:r>
            <w:r w:rsidR="001C7823" w:rsidRPr="00036E51">
              <w:rPr>
                <w:color w:val="000000"/>
                <w:sz w:val="20"/>
              </w:rPr>
              <w:t> Date de l</w:t>
            </w:r>
            <w:r>
              <w:rPr>
                <w:color w:val="000000"/>
                <w:sz w:val="20"/>
              </w:rPr>
              <w:t>’</w:t>
            </w:r>
            <w:r w:rsidR="001C7823" w:rsidRPr="00036E51">
              <w:rPr>
                <w:color w:val="000000"/>
                <w:sz w:val="20"/>
              </w:rPr>
              <w:t>annonce en séance</w:t>
            </w:r>
          </w:p>
        </w:tc>
        <w:tc>
          <w:tcPr>
            <w:tcW w:w="1530" w:type="dxa"/>
            <w:tcBorders>
              <w:top w:val="nil"/>
              <w:left w:val="nil"/>
              <w:bottom w:val="single" w:sz="8" w:space="0" w:color="000000"/>
              <w:right w:val="nil"/>
            </w:tcBorders>
            <w:tcMar>
              <w:top w:w="79" w:type="dxa"/>
              <w:left w:w="79" w:type="dxa"/>
              <w:bottom w:w="79" w:type="dxa"/>
              <w:right w:w="79" w:type="dxa"/>
            </w:tcMar>
          </w:tcPr>
          <w:p w:rsidR="001C7823" w:rsidRPr="00036E51" w:rsidRDefault="001C7823" w:rsidP="00182645">
            <w:pPr>
              <w:autoSpaceDE w:val="0"/>
              <w:autoSpaceDN w:val="0"/>
              <w:adjustRightInd w:val="0"/>
              <w:rPr>
                <w:color w:val="000000"/>
                <w:sz w:val="20"/>
              </w:rPr>
            </w:pPr>
            <w:r w:rsidRPr="00036E51">
              <w:rPr>
                <w:color w:val="000000"/>
                <w:sz w:val="20"/>
              </w:rPr>
              <w:t>ECON</w:t>
            </w:r>
          </w:p>
          <w:p w:rsidR="001C7823" w:rsidRPr="00036E51" w:rsidRDefault="001C7823" w:rsidP="00182645">
            <w:pPr>
              <w:autoSpaceDE w:val="0"/>
              <w:autoSpaceDN w:val="0"/>
              <w:adjustRightInd w:val="0"/>
              <w:rPr>
                <w:color w:val="000000"/>
                <w:sz w:val="20"/>
              </w:rPr>
            </w:pPr>
            <w:r w:rsidRPr="00036E51">
              <w:rPr>
                <w:color w:val="000000"/>
                <w:sz w:val="20"/>
              </w:rPr>
              <w:t>1.2.2023</w:t>
            </w:r>
          </w:p>
        </w:tc>
        <w:tc>
          <w:tcPr>
            <w:tcW w:w="1474" w:type="dxa"/>
            <w:tcBorders>
              <w:top w:val="nil"/>
              <w:left w:val="nil"/>
              <w:bottom w:val="single" w:sz="8" w:space="0" w:color="000000"/>
              <w:right w:val="nil"/>
            </w:tcBorders>
            <w:tcMar>
              <w:top w:w="79" w:type="dxa"/>
              <w:left w:w="79" w:type="dxa"/>
              <w:bottom w:w="79" w:type="dxa"/>
              <w:right w:w="79" w:type="dxa"/>
            </w:tcMar>
          </w:tcPr>
          <w:p w:rsidR="001C7823" w:rsidRPr="00036E51" w:rsidRDefault="001C7823" w:rsidP="00182645">
            <w:pPr>
              <w:autoSpaceDE w:val="0"/>
              <w:autoSpaceDN w:val="0"/>
              <w:adjustRightInd w:val="0"/>
              <w:rPr>
                <w:rFonts w:ascii="sans-serif" w:hAnsi="sans-serif" w:cs="sans-serif"/>
                <w:color w:val="000000"/>
                <w:szCs w:val="24"/>
              </w:rPr>
            </w:pPr>
          </w:p>
        </w:tc>
        <w:tc>
          <w:tcPr>
            <w:tcW w:w="1474" w:type="dxa"/>
            <w:tcBorders>
              <w:top w:val="nil"/>
              <w:left w:val="nil"/>
              <w:bottom w:val="single" w:sz="8" w:space="0" w:color="000000"/>
              <w:right w:val="nil"/>
            </w:tcBorders>
            <w:tcMar>
              <w:top w:w="79" w:type="dxa"/>
              <w:left w:w="79" w:type="dxa"/>
              <w:bottom w:w="79" w:type="dxa"/>
              <w:right w:w="79" w:type="dxa"/>
            </w:tcMar>
          </w:tcPr>
          <w:p w:rsidR="001C7823" w:rsidRPr="00036E51" w:rsidRDefault="001C7823" w:rsidP="00182645">
            <w:pPr>
              <w:autoSpaceDE w:val="0"/>
              <w:autoSpaceDN w:val="0"/>
              <w:adjustRightInd w:val="0"/>
              <w:rPr>
                <w:rFonts w:ascii="sans-serif" w:hAnsi="sans-serif" w:cs="sans-serif"/>
                <w:color w:val="000000"/>
                <w:szCs w:val="24"/>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1C7823" w:rsidRPr="00036E51" w:rsidRDefault="001C7823" w:rsidP="00182645">
            <w:pPr>
              <w:autoSpaceDE w:val="0"/>
              <w:autoSpaceDN w:val="0"/>
              <w:adjustRightInd w:val="0"/>
              <w:rPr>
                <w:rFonts w:ascii="sans-serif" w:hAnsi="sans-serif" w:cs="sans-serif"/>
                <w:color w:val="000000"/>
                <w:szCs w:val="24"/>
              </w:rPr>
            </w:pPr>
          </w:p>
        </w:tc>
      </w:tr>
      <w:tr w:rsidR="001C7823" w:rsidRPr="00036E51" w:rsidTr="00182645">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1C7823" w:rsidRPr="00036E51" w:rsidRDefault="001C7823" w:rsidP="00182645">
            <w:pPr>
              <w:autoSpaceDE w:val="0"/>
              <w:autoSpaceDN w:val="0"/>
              <w:adjustRightInd w:val="0"/>
              <w:rPr>
                <w:b/>
                <w:bCs/>
                <w:color w:val="000000"/>
                <w:sz w:val="20"/>
              </w:rPr>
            </w:pPr>
            <w:r w:rsidRPr="00036E51">
              <w:rPr>
                <w:b/>
                <w:color w:val="000000"/>
                <w:sz w:val="20"/>
              </w:rPr>
              <w:t>Commissions saisies pour avis</w:t>
            </w:r>
          </w:p>
          <w:p w:rsidR="001C7823" w:rsidRPr="00036E51" w:rsidRDefault="00BA38FE" w:rsidP="00182645">
            <w:pPr>
              <w:autoSpaceDE w:val="0"/>
              <w:autoSpaceDN w:val="0"/>
              <w:adjustRightInd w:val="0"/>
              <w:rPr>
                <w:color w:val="000000"/>
                <w:sz w:val="20"/>
              </w:rPr>
            </w:pPr>
            <w:r>
              <w:rPr>
                <w:color w:val="000000"/>
                <w:sz w:val="20"/>
              </w:rPr>
              <w:t xml:space="preserve">   </w:t>
            </w:r>
            <w:r w:rsidR="001C7823" w:rsidRPr="00036E51">
              <w:rPr>
                <w:color w:val="000000"/>
                <w:sz w:val="20"/>
              </w:rPr>
              <w:t> Date de l</w:t>
            </w:r>
            <w:r>
              <w:rPr>
                <w:color w:val="000000"/>
                <w:sz w:val="20"/>
              </w:rPr>
              <w:t>’</w:t>
            </w:r>
            <w:r w:rsidR="001C7823" w:rsidRPr="00036E51">
              <w:rPr>
                <w:color w:val="000000"/>
                <w:sz w:val="20"/>
              </w:rPr>
              <w:t>annonce en séance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1C7823" w:rsidRPr="00036E51" w:rsidRDefault="001C7823" w:rsidP="00182645">
            <w:pPr>
              <w:autoSpaceDE w:val="0"/>
              <w:autoSpaceDN w:val="0"/>
              <w:adjustRightInd w:val="0"/>
              <w:rPr>
                <w:color w:val="000000"/>
                <w:sz w:val="20"/>
              </w:rPr>
            </w:pPr>
            <w:r w:rsidRPr="00036E51">
              <w:rPr>
                <w:color w:val="000000"/>
                <w:sz w:val="20"/>
              </w:rPr>
              <w:t>ITRE</w:t>
            </w:r>
          </w:p>
          <w:p w:rsidR="001C7823" w:rsidRPr="00036E51" w:rsidRDefault="001C7823" w:rsidP="00182645">
            <w:pPr>
              <w:autoSpaceDE w:val="0"/>
              <w:autoSpaceDN w:val="0"/>
              <w:adjustRightInd w:val="0"/>
              <w:rPr>
                <w:color w:val="000000"/>
                <w:sz w:val="20"/>
              </w:rPr>
            </w:pPr>
            <w:r w:rsidRPr="00036E51">
              <w:rPr>
                <w:color w:val="000000"/>
                <w:sz w:val="20"/>
              </w:rPr>
              <w:t>1.2.2023</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1C7823" w:rsidRPr="00036E51" w:rsidRDefault="001C7823" w:rsidP="00182645">
            <w:pPr>
              <w:autoSpaceDE w:val="0"/>
              <w:autoSpaceDN w:val="0"/>
              <w:adjustRightInd w:val="0"/>
              <w:rPr>
                <w:color w:val="000000"/>
                <w:sz w:val="20"/>
              </w:rPr>
            </w:pPr>
            <w:r w:rsidRPr="00036E51">
              <w:rPr>
                <w:color w:val="000000"/>
                <w:sz w:val="20"/>
              </w:rPr>
              <w:t>JURI</w:t>
            </w:r>
          </w:p>
          <w:p w:rsidR="001C7823" w:rsidRPr="00036E51" w:rsidRDefault="001C7823" w:rsidP="00182645">
            <w:pPr>
              <w:autoSpaceDE w:val="0"/>
              <w:autoSpaceDN w:val="0"/>
              <w:adjustRightInd w:val="0"/>
              <w:rPr>
                <w:color w:val="000000"/>
                <w:sz w:val="20"/>
              </w:rPr>
            </w:pPr>
            <w:r w:rsidRPr="00036E51">
              <w:rPr>
                <w:color w:val="000000"/>
                <w:sz w:val="20"/>
              </w:rPr>
              <w:t>1.2.2023</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1C7823" w:rsidRPr="00036E51" w:rsidRDefault="001C7823" w:rsidP="00182645">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1C7823" w:rsidRPr="00036E51" w:rsidRDefault="001C7823" w:rsidP="00182645">
            <w:pPr>
              <w:autoSpaceDE w:val="0"/>
              <w:autoSpaceDN w:val="0"/>
              <w:adjustRightInd w:val="0"/>
              <w:rPr>
                <w:rFonts w:ascii="sans-serif" w:hAnsi="sans-serif" w:cs="sans-serif"/>
                <w:color w:val="000000"/>
                <w:szCs w:val="24"/>
              </w:rPr>
            </w:pPr>
          </w:p>
        </w:tc>
      </w:tr>
      <w:tr w:rsidR="001C7823" w:rsidRPr="00036E51" w:rsidTr="00182645">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1C7823" w:rsidRPr="00036E51" w:rsidRDefault="001C7823" w:rsidP="00182645">
            <w:pPr>
              <w:autoSpaceDE w:val="0"/>
              <w:autoSpaceDN w:val="0"/>
              <w:adjustRightInd w:val="0"/>
              <w:rPr>
                <w:b/>
                <w:bCs/>
                <w:color w:val="000000"/>
                <w:sz w:val="20"/>
              </w:rPr>
            </w:pPr>
            <w:r w:rsidRPr="00036E51">
              <w:rPr>
                <w:b/>
                <w:color w:val="000000"/>
                <w:sz w:val="20"/>
              </w:rPr>
              <w:t>Avis non émis</w:t>
            </w:r>
          </w:p>
          <w:p w:rsidR="001C7823" w:rsidRPr="00036E51" w:rsidRDefault="00BA38FE" w:rsidP="00182645">
            <w:pPr>
              <w:autoSpaceDE w:val="0"/>
              <w:autoSpaceDN w:val="0"/>
              <w:adjustRightInd w:val="0"/>
              <w:rPr>
                <w:color w:val="000000"/>
                <w:sz w:val="20"/>
              </w:rPr>
            </w:pPr>
            <w:r>
              <w:rPr>
                <w:color w:val="000000"/>
                <w:sz w:val="20"/>
              </w:rPr>
              <w:t xml:space="preserve">   </w:t>
            </w:r>
            <w:r w:rsidR="001C7823" w:rsidRPr="00036E51">
              <w:rPr>
                <w:color w:val="000000"/>
                <w:sz w:val="20"/>
              </w:rPr>
              <w:t> Date de la décision</w:t>
            </w:r>
          </w:p>
        </w:tc>
        <w:tc>
          <w:tcPr>
            <w:tcW w:w="1530" w:type="dxa"/>
            <w:tcBorders>
              <w:top w:val="nil"/>
              <w:left w:val="nil"/>
              <w:bottom w:val="single" w:sz="8" w:space="0" w:color="000000"/>
              <w:right w:val="nil"/>
            </w:tcBorders>
            <w:tcMar>
              <w:top w:w="79" w:type="dxa"/>
              <w:left w:w="79" w:type="dxa"/>
              <w:bottom w:w="79" w:type="dxa"/>
              <w:right w:w="79" w:type="dxa"/>
            </w:tcMar>
          </w:tcPr>
          <w:p w:rsidR="001C7823" w:rsidRPr="00036E51" w:rsidRDefault="001C7823" w:rsidP="00182645">
            <w:pPr>
              <w:autoSpaceDE w:val="0"/>
              <w:autoSpaceDN w:val="0"/>
              <w:adjustRightInd w:val="0"/>
              <w:rPr>
                <w:color w:val="000000"/>
                <w:sz w:val="20"/>
              </w:rPr>
            </w:pPr>
            <w:r w:rsidRPr="00036E51">
              <w:rPr>
                <w:color w:val="000000"/>
                <w:sz w:val="20"/>
              </w:rPr>
              <w:t>JURI</w:t>
            </w:r>
          </w:p>
          <w:p w:rsidR="001C7823" w:rsidRPr="00036E51" w:rsidRDefault="001C7823" w:rsidP="00182645">
            <w:pPr>
              <w:autoSpaceDE w:val="0"/>
              <w:autoSpaceDN w:val="0"/>
              <w:adjustRightInd w:val="0"/>
              <w:rPr>
                <w:color w:val="000000"/>
                <w:sz w:val="20"/>
              </w:rPr>
            </w:pPr>
            <w:r w:rsidRPr="00036E51">
              <w:rPr>
                <w:color w:val="000000"/>
                <w:sz w:val="20"/>
              </w:rPr>
              <w:t>31.1.2023</w:t>
            </w:r>
          </w:p>
        </w:tc>
        <w:tc>
          <w:tcPr>
            <w:tcW w:w="1474" w:type="dxa"/>
            <w:tcBorders>
              <w:top w:val="nil"/>
              <w:left w:val="nil"/>
              <w:bottom w:val="single" w:sz="8" w:space="0" w:color="000000"/>
              <w:right w:val="nil"/>
            </w:tcBorders>
            <w:tcMar>
              <w:top w:w="79" w:type="dxa"/>
              <w:left w:w="79" w:type="dxa"/>
              <w:bottom w:w="79" w:type="dxa"/>
              <w:right w:w="79" w:type="dxa"/>
            </w:tcMar>
          </w:tcPr>
          <w:p w:rsidR="001C7823" w:rsidRPr="00036E51" w:rsidRDefault="001C7823" w:rsidP="00182645">
            <w:pPr>
              <w:autoSpaceDE w:val="0"/>
              <w:autoSpaceDN w:val="0"/>
              <w:adjustRightInd w:val="0"/>
              <w:rPr>
                <w:rFonts w:ascii="sans-serif" w:hAnsi="sans-serif" w:cs="sans-serif"/>
                <w:color w:val="000000"/>
                <w:szCs w:val="24"/>
              </w:rPr>
            </w:pPr>
          </w:p>
        </w:tc>
        <w:tc>
          <w:tcPr>
            <w:tcW w:w="1474" w:type="dxa"/>
            <w:tcBorders>
              <w:top w:val="nil"/>
              <w:left w:val="nil"/>
              <w:bottom w:val="single" w:sz="8" w:space="0" w:color="000000"/>
              <w:right w:val="nil"/>
            </w:tcBorders>
            <w:tcMar>
              <w:top w:w="79" w:type="dxa"/>
              <w:left w:w="79" w:type="dxa"/>
              <w:bottom w:w="79" w:type="dxa"/>
              <w:right w:w="79" w:type="dxa"/>
            </w:tcMar>
          </w:tcPr>
          <w:p w:rsidR="001C7823" w:rsidRPr="00036E51" w:rsidRDefault="001C7823" w:rsidP="00182645">
            <w:pPr>
              <w:autoSpaceDE w:val="0"/>
              <w:autoSpaceDN w:val="0"/>
              <w:adjustRightInd w:val="0"/>
              <w:rPr>
                <w:rFonts w:ascii="sans-serif" w:hAnsi="sans-serif" w:cs="sans-serif"/>
                <w:color w:val="000000"/>
                <w:szCs w:val="24"/>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1C7823" w:rsidRPr="00036E51" w:rsidRDefault="001C7823" w:rsidP="00182645">
            <w:pPr>
              <w:autoSpaceDE w:val="0"/>
              <w:autoSpaceDN w:val="0"/>
              <w:adjustRightInd w:val="0"/>
              <w:rPr>
                <w:rFonts w:ascii="sans-serif" w:hAnsi="sans-serif" w:cs="sans-serif"/>
                <w:color w:val="000000"/>
                <w:szCs w:val="24"/>
              </w:rPr>
            </w:pPr>
          </w:p>
        </w:tc>
      </w:tr>
      <w:tr w:rsidR="001C7823" w:rsidRPr="00036E51" w:rsidTr="00182645">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1C7823" w:rsidRPr="00036E51" w:rsidRDefault="001C7823" w:rsidP="00182645">
            <w:pPr>
              <w:autoSpaceDE w:val="0"/>
              <w:autoSpaceDN w:val="0"/>
              <w:adjustRightInd w:val="0"/>
              <w:rPr>
                <w:b/>
                <w:bCs/>
                <w:color w:val="000000"/>
                <w:sz w:val="20"/>
              </w:rPr>
            </w:pPr>
            <w:r w:rsidRPr="00036E51">
              <w:rPr>
                <w:b/>
                <w:color w:val="000000"/>
                <w:sz w:val="20"/>
              </w:rPr>
              <w:t>Commissions associées</w:t>
            </w:r>
          </w:p>
          <w:p w:rsidR="001C7823" w:rsidRPr="00036E51" w:rsidRDefault="00BA38FE" w:rsidP="00182645">
            <w:pPr>
              <w:autoSpaceDE w:val="0"/>
              <w:autoSpaceDN w:val="0"/>
              <w:adjustRightInd w:val="0"/>
              <w:rPr>
                <w:color w:val="000000"/>
                <w:sz w:val="20"/>
              </w:rPr>
            </w:pPr>
            <w:r>
              <w:rPr>
                <w:color w:val="000000"/>
                <w:sz w:val="20"/>
              </w:rPr>
              <w:t xml:space="preserve">   </w:t>
            </w:r>
            <w:r w:rsidR="001C7823" w:rsidRPr="00036E51">
              <w:rPr>
                <w:color w:val="000000"/>
                <w:sz w:val="20"/>
              </w:rPr>
              <w:t> Date de l</w:t>
            </w:r>
            <w:r>
              <w:rPr>
                <w:color w:val="000000"/>
                <w:sz w:val="20"/>
              </w:rPr>
              <w:t>’</w:t>
            </w:r>
            <w:r w:rsidR="001C7823" w:rsidRPr="00036E51">
              <w:rPr>
                <w:color w:val="000000"/>
                <w:sz w:val="20"/>
              </w:rPr>
              <w:t>annonce en séance</w:t>
            </w:r>
          </w:p>
        </w:tc>
        <w:tc>
          <w:tcPr>
            <w:tcW w:w="1530" w:type="dxa"/>
            <w:tcBorders>
              <w:top w:val="nil"/>
              <w:left w:val="nil"/>
              <w:bottom w:val="single" w:sz="8" w:space="0" w:color="000000"/>
              <w:right w:val="nil"/>
            </w:tcBorders>
            <w:tcMar>
              <w:top w:w="79" w:type="dxa"/>
              <w:left w:w="79" w:type="dxa"/>
              <w:bottom w:w="79" w:type="dxa"/>
              <w:right w:w="79" w:type="dxa"/>
            </w:tcMar>
          </w:tcPr>
          <w:p w:rsidR="001C7823" w:rsidRPr="00036E51" w:rsidRDefault="001C7823" w:rsidP="00182645">
            <w:pPr>
              <w:autoSpaceDE w:val="0"/>
              <w:autoSpaceDN w:val="0"/>
              <w:adjustRightInd w:val="0"/>
              <w:rPr>
                <w:color w:val="000000"/>
                <w:sz w:val="20"/>
              </w:rPr>
            </w:pPr>
            <w:r w:rsidRPr="00036E51">
              <w:rPr>
                <w:color w:val="000000"/>
                <w:sz w:val="20"/>
              </w:rPr>
              <w:t>ITRE</w:t>
            </w:r>
          </w:p>
          <w:p w:rsidR="001C7823" w:rsidRPr="00036E51" w:rsidRDefault="001C7823" w:rsidP="00182645">
            <w:pPr>
              <w:autoSpaceDE w:val="0"/>
              <w:autoSpaceDN w:val="0"/>
              <w:adjustRightInd w:val="0"/>
              <w:rPr>
                <w:color w:val="000000"/>
                <w:sz w:val="20"/>
              </w:rPr>
            </w:pPr>
            <w:r w:rsidRPr="00036E51">
              <w:rPr>
                <w:color w:val="000000"/>
                <w:sz w:val="20"/>
              </w:rPr>
              <w:t>15.6.2023</w:t>
            </w:r>
          </w:p>
        </w:tc>
        <w:tc>
          <w:tcPr>
            <w:tcW w:w="1474" w:type="dxa"/>
            <w:tcBorders>
              <w:top w:val="nil"/>
              <w:left w:val="nil"/>
              <w:bottom w:val="single" w:sz="8" w:space="0" w:color="000000"/>
              <w:right w:val="nil"/>
            </w:tcBorders>
            <w:tcMar>
              <w:top w:w="79" w:type="dxa"/>
              <w:left w:w="79" w:type="dxa"/>
              <w:bottom w:w="79" w:type="dxa"/>
              <w:right w:w="79" w:type="dxa"/>
            </w:tcMar>
          </w:tcPr>
          <w:p w:rsidR="001C7823" w:rsidRPr="00036E51" w:rsidRDefault="001C7823" w:rsidP="00182645">
            <w:pPr>
              <w:autoSpaceDE w:val="0"/>
              <w:autoSpaceDN w:val="0"/>
              <w:adjustRightInd w:val="0"/>
              <w:rPr>
                <w:rFonts w:ascii="sans-serif" w:hAnsi="sans-serif" w:cs="sans-serif"/>
                <w:color w:val="000000"/>
                <w:szCs w:val="24"/>
              </w:rPr>
            </w:pPr>
          </w:p>
        </w:tc>
        <w:tc>
          <w:tcPr>
            <w:tcW w:w="1474" w:type="dxa"/>
            <w:tcBorders>
              <w:top w:val="nil"/>
              <w:left w:val="nil"/>
              <w:bottom w:val="single" w:sz="8" w:space="0" w:color="000000"/>
              <w:right w:val="nil"/>
            </w:tcBorders>
            <w:tcMar>
              <w:top w:w="79" w:type="dxa"/>
              <w:left w:w="79" w:type="dxa"/>
              <w:bottom w:w="79" w:type="dxa"/>
              <w:right w:w="79" w:type="dxa"/>
            </w:tcMar>
          </w:tcPr>
          <w:p w:rsidR="001C7823" w:rsidRPr="00036E51" w:rsidRDefault="001C7823" w:rsidP="00182645">
            <w:pPr>
              <w:autoSpaceDE w:val="0"/>
              <w:autoSpaceDN w:val="0"/>
              <w:adjustRightInd w:val="0"/>
              <w:rPr>
                <w:rFonts w:ascii="sans-serif" w:hAnsi="sans-serif" w:cs="sans-serif"/>
                <w:color w:val="000000"/>
                <w:szCs w:val="24"/>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1C7823" w:rsidRPr="00036E51" w:rsidRDefault="001C7823" w:rsidP="00182645">
            <w:pPr>
              <w:autoSpaceDE w:val="0"/>
              <w:autoSpaceDN w:val="0"/>
              <w:adjustRightInd w:val="0"/>
              <w:rPr>
                <w:rFonts w:ascii="sans-serif" w:hAnsi="sans-serif" w:cs="sans-serif"/>
                <w:color w:val="000000"/>
                <w:szCs w:val="24"/>
              </w:rPr>
            </w:pPr>
          </w:p>
        </w:tc>
      </w:tr>
      <w:tr w:rsidR="001C7823" w:rsidRPr="00036E51" w:rsidTr="00182645">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1C7823" w:rsidRPr="00036E51" w:rsidRDefault="001C7823" w:rsidP="00182645">
            <w:pPr>
              <w:autoSpaceDE w:val="0"/>
              <w:autoSpaceDN w:val="0"/>
              <w:adjustRightInd w:val="0"/>
              <w:rPr>
                <w:b/>
                <w:bCs/>
                <w:color w:val="000000"/>
                <w:sz w:val="20"/>
              </w:rPr>
            </w:pPr>
            <w:r w:rsidRPr="00036E51">
              <w:rPr>
                <w:b/>
                <w:color w:val="000000"/>
                <w:sz w:val="20"/>
              </w:rPr>
              <w:t>Rapporteurs</w:t>
            </w:r>
          </w:p>
          <w:p w:rsidR="001C7823" w:rsidRPr="00036E51" w:rsidRDefault="00BA38FE" w:rsidP="00182645">
            <w:pPr>
              <w:autoSpaceDE w:val="0"/>
              <w:autoSpaceDN w:val="0"/>
              <w:adjustRightInd w:val="0"/>
              <w:rPr>
                <w:color w:val="000000"/>
                <w:sz w:val="20"/>
              </w:rPr>
            </w:pPr>
            <w:r>
              <w:rPr>
                <w:color w:val="000000"/>
                <w:sz w:val="20"/>
              </w:rPr>
              <w:t xml:space="preserve">   </w:t>
            </w:r>
            <w:r w:rsidR="001C7823" w:rsidRPr="00036E51">
              <w:rPr>
                <w:color w:val="000000"/>
                <w:sz w:val="20"/>
              </w:rPr>
              <w:t> Date de la nomination</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1C7823" w:rsidRPr="00036E51" w:rsidRDefault="001C7823" w:rsidP="00182645">
            <w:pPr>
              <w:autoSpaceDE w:val="0"/>
              <w:autoSpaceDN w:val="0"/>
              <w:adjustRightInd w:val="0"/>
              <w:rPr>
                <w:color w:val="000000"/>
                <w:sz w:val="20"/>
              </w:rPr>
            </w:pPr>
            <w:r w:rsidRPr="00036E51">
              <w:rPr>
                <w:color w:val="000000"/>
                <w:sz w:val="20"/>
              </w:rPr>
              <w:t>Alfred Sant</w:t>
            </w:r>
          </w:p>
          <w:p w:rsidR="001C7823" w:rsidRPr="00036E51" w:rsidRDefault="001C7823" w:rsidP="00182645">
            <w:pPr>
              <w:autoSpaceDE w:val="0"/>
              <w:autoSpaceDN w:val="0"/>
              <w:adjustRightInd w:val="0"/>
              <w:rPr>
                <w:color w:val="000000"/>
                <w:sz w:val="20"/>
              </w:rPr>
            </w:pPr>
            <w:r w:rsidRPr="00036E51">
              <w:rPr>
                <w:color w:val="000000"/>
                <w:sz w:val="20"/>
              </w:rPr>
              <w:t>25.1.2023</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1C7823" w:rsidRPr="00036E51" w:rsidRDefault="001C7823" w:rsidP="00182645">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1C7823" w:rsidRPr="00036E51" w:rsidRDefault="001C7823" w:rsidP="00182645">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1C7823" w:rsidRPr="00036E51" w:rsidRDefault="001C7823" w:rsidP="00182645">
            <w:pPr>
              <w:autoSpaceDE w:val="0"/>
              <w:autoSpaceDN w:val="0"/>
              <w:adjustRightInd w:val="0"/>
              <w:rPr>
                <w:rFonts w:ascii="sans-serif" w:hAnsi="sans-serif" w:cs="sans-serif"/>
                <w:color w:val="000000"/>
                <w:szCs w:val="24"/>
              </w:rPr>
            </w:pPr>
          </w:p>
        </w:tc>
      </w:tr>
      <w:tr w:rsidR="001C7823" w:rsidRPr="00036E51" w:rsidTr="00182645">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1C7823" w:rsidRPr="00036E51" w:rsidRDefault="001C7823" w:rsidP="00182645">
            <w:pPr>
              <w:autoSpaceDE w:val="0"/>
              <w:autoSpaceDN w:val="0"/>
              <w:adjustRightInd w:val="0"/>
              <w:rPr>
                <w:b/>
                <w:bCs/>
                <w:color w:val="000000"/>
                <w:sz w:val="20"/>
              </w:rPr>
            </w:pPr>
            <w:r w:rsidRPr="00036E51">
              <w:rPr>
                <w:b/>
                <w:color w:val="000000"/>
                <w:sz w:val="20"/>
              </w:rPr>
              <w:t>Examen en commission</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1C7823" w:rsidRPr="00036E51" w:rsidRDefault="001C7823" w:rsidP="00182645">
            <w:pPr>
              <w:autoSpaceDE w:val="0"/>
              <w:autoSpaceDN w:val="0"/>
              <w:adjustRightInd w:val="0"/>
              <w:rPr>
                <w:color w:val="000000"/>
                <w:sz w:val="20"/>
              </w:rPr>
            </w:pPr>
            <w:r w:rsidRPr="00036E51">
              <w:rPr>
                <w:color w:val="000000"/>
                <w:sz w:val="20"/>
              </w:rPr>
              <w:t>30.8.2023</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1C7823" w:rsidRPr="00036E51" w:rsidRDefault="001C7823" w:rsidP="00182645">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1C7823" w:rsidRPr="00036E51" w:rsidRDefault="001C7823" w:rsidP="00182645">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1C7823" w:rsidRPr="00036E51" w:rsidRDefault="001C7823" w:rsidP="00182645">
            <w:pPr>
              <w:autoSpaceDE w:val="0"/>
              <w:autoSpaceDN w:val="0"/>
              <w:adjustRightInd w:val="0"/>
              <w:rPr>
                <w:rFonts w:ascii="sans-serif" w:hAnsi="sans-serif" w:cs="sans-serif"/>
                <w:color w:val="000000"/>
                <w:szCs w:val="24"/>
              </w:rPr>
            </w:pPr>
          </w:p>
        </w:tc>
      </w:tr>
      <w:tr w:rsidR="001C7823" w:rsidRPr="00036E51" w:rsidTr="00182645">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1C7823" w:rsidRPr="00036E51" w:rsidRDefault="001C7823" w:rsidP="00182645">
            <w:pPr>
              <w:autoSpaceDE w:val="0"/>
              <w:autoSpaceDN w:val="0"/>
              <w:adjustRightInd w:val="0"/>
              <w:rPr>
                <w:b/>
                <w:bCs/>
                <w:color w:val="000000"/>
                <w:sz w:val="20"/>
              </w:rPr>
            </w:pPr>
            <w:r w:rsidRPr="00036E51">
              <w:rPr>
                <w:b/>
                <w:color w:val="000000"/>
                <w:sz w:val="20"/>
              </w:rPr>
              <w:t>Date de l</w:t>
            </w:r>
            <w:r w:rsidR="00BA38FE">
              <w:rPr>
                <w:b/>
                <w:color w:val="000000"/>
                <w:sz w:val="20"/>
              </w:rPr>
              <w:t>’</w:t>
            </w:r>
            <w:r w:rsidRPr="00036E51">
              <w:rPr>
                <w:b/>
                <w:color w:val="000000"/>
                <w:sz w:val="20"/>
              </w:rPr>
              <w:t>adoption</w:t>
            </w:r>
          </w:p>
        </w:tc>
        <w:tc>
          <w:tcPr>
            <w:tcW w:w="1530" w:type="dxa"/>
            <w:tcBorders>
              <w:top w:val="nil"/>
              <w:left w:val="nil"/>
              <w:bottom w:val="single" w:sz="8" w:space="0" w:color="000000"/>
              <w:right w:val="nil"/>
            </w:tcBorders>
            <w:tcMar>
              <w:top w:w="79" w:type="dxa"/>
              <w:left w:w="79" w:type="dxa"/>
              <w:bottom w:w="79" w:type="dxa"/>
              <w:right w:w="79" w:type="dxa"/>
            </w:tcMar>
          </w:tcPr>
          <w:p w:rsidR="001C7823" w:rsidRPr="00036E51" w:rsidRDefault="001C7823" w:rsidP="00182645">
            <w:pPr>
              <w:autoSpaceDE w:val="0"/>
              <w:autoSpaceDN w:val="0"/>
              <w:adjustRightInd w:val="0"/>
              <w:rPr>
                <w:color w:val="000000"/>
                <w:sz w:val="20"/>
              </w:rPr>
            </w:pPr>
            <w:r w:rsidRPr="00036E51">
              <w:rPr>
                <w:color w:val="000000"/>
                <w:sz w:val="20"/>
              </w:rPr>
              <w:t>24.10.2023</w:t>
            </w:r>
          </w:p>
        </w:tc>
        <w:tc>
          <w:tcPr>
            <w:tcW w:w="1474" w:type="dxa"/>
            <w:tcBorders>
              <w:top w:val="nil"/>
              <w:left w:val="nil"/>
              <w:bottom w:val="single" w:sz="8" w:space="0" w:color="000000"/>
              <w:right w:val="nil"/>
            </w:tcBorders>
            <w:tcMar>
              <w:top w:w="79" w:type="dxa"/>
              <w:left w:w="79" w:type="dxa"/>
              <w:bottom w:w="79" w:type="dxa"/>
              <w:right w:w="79" w:type="dxa"/>
            </w:tcMar>
          </w:tcPr>
          <w:p w:rsidR="001C7823" w:rsidRPr="00036E51" w:rsidRDefault="001C7823" w:rsidP="00182645">
            <w:pPr>
              <w:autoSpaceDE w:val="0"/>
              <w:autoSpaceDN w:val="0"/>
              <w:adjustRightInd w:val="0"/>
              <w:rPr>
                <w:rFonts w:ascii="sans-serif" w:hAnsi="sans-serif" w:cs="sans-serif"/>
                <w:color w:val="000000"/>
                <w:szCs w:val="24"/>
              </w:rPr>
            </w:pPr>
          </w:p>
        </w:tc>
        <w:tc>
          <w:tcPr>
            <w:tcW w:w="1474" w:type="dxa"/>
            <w:tcBorders>
              <w:top w:val="nil"/>
              <w:left w:val="nil"/>
              <w:bottom w:val="single" w:sz="8" w:space="0" w:color="000000"/>
              <w:right w:val="nil"/>
            </w:tcBorders>
            <w:tcMar>
              <w:top w:w="79" w:type="dxa"/>
              <w:left w:w="79" w:type="dxa"/>
              <w:bottom w:w="79" w:type="dxa"/>
              <w:right w:w="79" w:type="dxa"/>
            </w:tcMar>
          </w:tcPr>
          <w:p w:rsidR="001C7823" w:rsidRPr="00036E51" w:rsidRDefault="001C7823" w:rsidP="00182645">
            <w:pPr>
              <w:autoSpaceDE w:val="0"/>
              <w:autoSpaceDN w:val="0"/>
              <w:adjustRightInd w:val="0"/>
              <w:rPr>
                <w:rFonts w:ascii="sans-serif" w:hAnsi="sans-serif" w:cs="sans-serif"/>
                <w:color w:val="000000"/>
                <w:szCs w:val="24"/>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1C7823" w:rsidRPr="00036E51" w:rsidRDefault="001C7823" w:rsidP="00182645">
            <w:pPr>
              <w:autoSpaceDE w:val="0"/>
              <w:autoSpaceDN w:val="0"/>
              <w:adjustRightInd w:val="0"/>
              <w:rPr>
                <w:rFonts w:ascii="sans-serif" w:hAnsi="sans-serif" w:cs="sans-serif"/>
                <w:color w:val="000000"/>
                <w:szCs w:val="24"/>
              </w:rPr>
            </w:pPr>
          </w:p>
        </w:tc>
      </w:tr>
      <w:tr w:rsidR="001C7823" w:rsidRPr="00036E51" w:rsidTr="00182645">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1C7823" w:rsidRPr="00036E51" w:rsidRDefault="001C7823" w:rsidP="00182645">
            <w:pPr>
              <w:autoSpaceDE w:val="0"/>
              <w:autoSpaceDN w:val="0"/>
              <w:adjustRightInd w:val="0"/>
              <w:rPr>
                <w:b/>
                <w:bCs/>
                <w:color w:val="000000"/>
                <w:sz w:val="20"/>
              </w:rPr>
            </w:pPr>
            <w:r w:rsidRPr="00036E51">
              <w:rPr>
                <w:b/>
                <w:color w:val="000000"/>
                <w:sz w:val="20"/>
              </w:rPr>
              <w:t>Résultat du vote final</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1C7823" w:rsidRPr="00036E51" w:rsidRDefault="001C7823" w:rsidP="00182645">
            <w:pPr>
              <w:autoSpaceDE w:val="0"/>
              <w:autoSpaceDN w:val="0"/>
              <w:adjustRightInd w:val="0"/>
              <w:rPr>
                <w:color w:val="000000"/>
                <w:sz w:val="20"/>
              </w:rPr>
            </w:pPr>
            <w:r w:rsidRPr="00036E51">
              <w:rPr>
                <w:color w:val="000000"/>
                <w:sz w:val="20"/>
              </w:rPr>
              <w:t>+:</w:t>
            </w:r>
          </w:p>
          <w:p w:rsidR="001C7823" w:rsidRPr="00036E51" w:rsidRDefault="001C7823" w:rsidP="00182645">
            <w:pPr>
              <w:autoSpaceDE w:val="0"/>
              <w:autoSpaceDN w:val="0"/>
              <w:adjustRightInd w:val="0"/>
              <w:rPr>
                <w:color w:val="000000"/>
                <w:sz w:val="20"/>
              </w:rPr>
            </w:pPr>
            <w:r w:rsidRPr="00036E51">
              <w:rPr>
                <w:color w:val="000000"/>
                <w:sz w:val="20"/>
              </w:rPr>
              <w:t>–:</w:t>
            </w:r>
          </w:p>
          <w:p w:rsidR="001C7823" w:rsidRPr="00036E51" w:rsidRDefault="001C7823" w:rsidP="00182645">
            <w:pPr>
              <w:autoSpaceDE w:val="0"/>
              <w:autoSpaceDN w:val="0"/>
              <w:adjustRightInd w:val="0"/>
              <w:rPr>
                <w:color w:val="000000"/>
                <w:sz w:val="20"/>
              </w:rPr>
            </w:pPr>
            <w:r w:rsidRPr="00036E51">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1C7823" w:rsidRPr="00036E51" w:rsidRDefault="001C7823" w:rsidP="00182645">
            <w:pPr>
              <w:autoSpaceDE w:val="0"/>
              <w:autoSpaceDN w:val="0"/>
              <w:adjustRightInd w:val="0"/>
              <w:rPr>
                <w:color w:val="000000"/>
                <w:sz w:val="20"/>
              </w:rPr>
            </w:pPr>
            <w:r w:rsidRPr="00036E51">
              <w:rPr>
                <w:color w:val="000000"/>
                <w:sz w:val="20"/>
              </w:rPr>
              <w:t>53</w:t>
            </w:r>
          </w:p>
          <w:p w:rsidR="001C7823" w:rsidRPr="00036E51" w:rsidRDefault="001C7823" w:rsidP="00182645">
            <w:pPr>
              <w:autoSpaceDE w:val="0"/>
              <w:autoSpaceDN w:val="0"/>
              <w:adjustRightInd w:val="0"/>
              <w:rPr>
                <w:color w:val="000000"/>
                <w:sz w:val="20"/>
              </w:rPr>
            </w:pPr>
            <w:r w:rsidRPr="00036E51">
              <w:rPr>
                <w:color w:val="000000"/>
                <w:sz w:val="20"/>
              </w:rPr>
              <w:t>0</w:t>
            </w:r>
          </w:p>
          <w:p w:rsidR="001C7823" w:rsidRPr="00036E51" w:rsidRDefault="001C7823" w:rsidP="00182645">
            <w:pPr>
              <w:autoSpaceDE w:val="0"/>
              <w:autoSpaceDN w:val="0"/>
              <w:adjustRightInd w:val="0"/>
              <w:rPr>
                <w:color w:val="000000"/>
                <w:sz w:val="20"/>
              </w:rPr>
            </w:pPr>
            <w:r w:rsidRPr="00036E51">
              <w:rPr>
                <w:color w:val="000000"/>
                <w:sz w:val="20"/>
              </w:rPr>
              <w:t>0</w:t>
            </w:r>
          </w:p>
        </w:tc>
      </w:tr>
      <w:tr w:rsidR="001C7823" w:rsidRPr="00036E51" w:rsidTr="00182645">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1C7823" w:rsidRPr="00036E51" w:rsidRDefault="001C7823" w:rsidP="00182645">
            <w:pPr>
              <w:autoSpaceDE w:val="0"/>
              <w:autoSpaceDN w:val="0"/>
              <w:adjustRightInd w:val="0"/>
              <w:rPr>
                <w:b/>
                <w:bCs/>
                <w:color w:val="000000"/>
                <w:sz w:val="20"/>
              </w:rPr>
            </w:pPr>
            <w:r w:rsidRPr="00036E51">
              <w:rPr>
                <w:b/>
                <w:color w:val="000000"/>
                <w:sz w:val="20"/>
              </w:rPr>
              <w:t>Membres présents au moment du vote final</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1C7823" w:rsidRPr="00036E51" w:rsidRDefault="001C7823" w:rsidP="00182645">
            <w:pPr>
              <w:autoSpaceDE w:val="0"/>
              <w:autoSpaceDN w:val="0"/>
              <w:adjustRightInd w:val="0"/>
              <w:rPr>
                <w:color w:val="000000"/>
                <w:sz w:val="20"/>
              </w:rPr>
            </w:pPr>
            <w:r w:rsidRPr="00036E51">
              <w:rPr>
                <w:color w:val="000000"/>
                <w:sz w:val="20"/>
              </w:rPr>
              <w:t>Rasmus Andresen, Anna-Michelle Asimakopoulou, Marek Belka, Isabel Benjumea Benjumea, Stefan Berger, Gilles Boyer, Markus Ferber, Jonás Fernández, Giuseppe Ferrandino, Frances Fitzgerald, José Manuel García-Margallo y Marfil, Claude Gruffat, José Gusmão, Eero Heinäluoma, Danuta Maria Hübner, Stasys Jakeliūnas, Othmar Karas, Billy Kelleher, Ondřej Kovařík, Georgios Kyrtsos, Aurore Lalucq, Philippe Lamberts, Aušra Maldeikienė, Pedro Marques, Siegfried Mureşan, Caroline Nagtegaal, Denis Nesci, Luděk Niedermayer, Dimitrios Papadimoulis, Piernicola Pedicini, Lídia Pereira, Kira Marie Peter-Hansen, Eva Maria Poptcheva, Evelyn Regner, Antonio Maria Rinaldi, Dorien Rookmaker, Alfred Sant, Joachim Schuster, Ralf Seekatz, Paul Tang, Irene Tinagli, Inese Vaidere, Johan Van Overtveldt, Stéphanie Yon-Courtin</w:t>
            </w:r>
          </w:p>
        </w:tc>
      </w:tr>
      <w:tr w:rsidR="001C7823" w:rsidRPr="00036E51" w:rsidTr="00182645">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1C7823" w:rsidRPr="00036E51" w:rsidRDefault="001C7823" w:rsidP="00182645">
            <w:pPr>
              <w:autoSpaceDE w:val="0"/>
              <w:autoSpaceDN w:val="0"/>
              <w:adjustRightInd w:val="0"/>
              <w:rPr>
                <w:b/>
                <w:bCs/>
                <w:color w:val="000000"/>
                <w:sz w:val="20"/>
              </w:rPr>
            </w:pPr>
            <w:r w:rsidRPr="00036E51">
              <w:rPr>
                <w:b/>
                <w:color w:val="000000"/>
                <w:sz w:val="20"/>
              </w:rPr>
              <w:t>Suppléants présents au moment du vote final</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1C7823" w:rsidRPr="00036E51" w:rsidRDefault="001C7823" w:rsidP="00182645">
            <w:pPr>
              <w:autoSpaceDE w:val="0"/>
              <w:autoSpaceDN w:val="0"/>
              <w:adjustRightInd w:val="0"/>
              <w:rPr>
                <w:color w:val="000000"/>
                <w:sz w:val="20"/>
              </w:rPr>
            </w:pPr>
            <w:r w:rsidRPr="00036E51">
              <w:rPr>
                <w:color w:val="000000"/>
                <w:sz w:val="20"/>
              </w:rPr>
              <w:t>Damien Carême, Eider Gardiazabal Rubial, Martin Hlaváček, Chris MacManus, Margarida Marques, Laurence Sailliet</w:t>
            </w:r>
          </w:p>
        </w:tc>
      </w:tr>
      <w:tr w:rsidR="001C7823" w:rsidRPr="00036E51" w:rsidTr="00182645">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1C7823" w:rsidRPr="00036E51" w:rsidRDefault="001C7823" w:rsidP="00182645">
            <w:pPr>
              <w:autoSpaceDE w:val="0"/>
              <w:autoSpaceDN w:val="0"/>
              <w:adjustRightInd w:val="0"/>
              <w:rPr>
                <w:b/>
                <w:bCs/>
                <w:color w:val="000000"/>
                <w:sz w:val="20"/>
              </w:rPr>
            </w:pPr>
            <w:r w:rsidRPr="00036E51">
              <w:rPr>
                <w:b/>
                <w:color w:val="000000"/>
                <w:sz w:val="20"/>
              </w:rPr>
              <w:t>Suppléants (art. 209, par. 7) présents au moment du vote final</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1C7823" w:rsidRPr="00036E51" w:rsidRDefault="001C7823" w:rsidP="00182645">
            <w:pPr>
              <w:autoSpaceDE w:val="0"/>
              <w:autoSpaceDN w:val="0"/>
              <w:adjustRightInd w:val="0"/>
              <w:rPr>
                <w:color w:val="000000"/>
                <w:sz w:val="20"/>
              </w:rPr>
            </w:pPr>
            <w:r w:rsidRPr="00036E51">
              <w:rPr>
                <w:color w:val="000000"/>
                <w:sz w:val="20"/>
              </w:rPr>
              <w:t>Theresa Bielowski, Anna Bonfrisco, Elena Lizzi</w:t>
            </w:r>
          </w:p>
        </w:tc>
      </w:tr>
      <w:tr w:rsidR="001C7823" w:rsidRPr="00036E51" w:rsidTr="00182645">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1C7823" w:rsidRPr="00036E51" w:rsidRDefault="001C7823" w:rsidP="00182645">
            <w:pPr>
              <w:autoSpaceDE w:val="0"/>
              <w:autoSpaceDN w:val="0"/>
              <w:adjustRightInd w:val="0"/>
              <w:rPr>
                <w:b/>
                <w:bCs/>
                <w:color w:val="000000"/>
                <w:sz w:val="20"/>
              </w:rPr>
            </w:pPr>
            <w:r w:rsidRPr="00036E51">
              <w:rPr>
                <w:b/>
                <w:color w:val="000000"/>
                <w:sz w:val="20"/>
              </w:rPr>
              <w:t>Date du dépôt</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1C7823" w:rsidRPr="00036E51" w:rsidRDefault="001C7823" w:rsidP="00182645">
            <w:pPr>
              <w:autoSpaceDE w:val="0"/>
              <w:autoSpaceDN w:val="0"/>
              <w:adjustRightInd w:val="0"/>
              <w:rPr>
                <w:color w:val="000000"/>
                <w:sz w:val="20"/>
              </w:rPr>
            </w:pPr>
            <w:r w:rsidRPr="00036E51">
              <w:rPr>
                <w:color w:val="000000"/>
                <w:sz w:val="20"/>
              </w:rPr>
              <w:t>26.10.2023</w:t>
            </w:r>
          </w:p>
        </w:tc>
      </w:tr>
    </w:tbl>
    <w:p w:rsidR="001C7823" w:rsidRPr="00036E51" w:rsidRDefault="001C7823" w:rsidP="001C7823"/>
    <w:bookmarkEnd w:id="8"/>
    <w:p w:rsidR="001C7823" w:rsidRPr="00036E51" w:rsidRDefault="001C7823" w:rsidP="001C7823">
      <w:pPr>
        <w:widowControl/>
      </w:pPr>
      <w:r w:rsidRPr="00036E51">
        <w:br w:type="page"/>
      </w:r>
    </w:p>
    <w:p w:rsidR="001C7823" w:rsidRPr="00036E51" w:rsidRDefault="001C7823" w:rsidP="001C7823">
      <w:pPr>
        <w:pStyle w:val="PageHeading"/>
      </w:pPr>
      <w:bookmarkStart w:id="10" w:name="_Toc149146497"/>
      <w:bookmarkStart w:id="11" w:name="_Toc149212700"/>
      <w:bookmarkStart w:id="12" w:name="_Toc149294904"/>
      <w:bookmarkStart w:id="13" w:name="RollCallPageRR"/>
      <w:bookmarkStart w:id="14" w:name="_Toc150936845"/>
      <w:r w:rsidRPr="00036E51">
        <w:t>VOTE FINAL PAR APPEL NOMINAL</w:t>
      </w:r>
      <w:r w:rsidRPr="00036E51">
        <w:br/>
        <w:t>EN COMMISSION COMPÉTENTE AU FOND</w:t>
      </w:r>
      <w:bookmarkEnd w:id="10"/>
      <w:bookmarkEnd w:id="11"/>
      <w:bookmarkEnd w:id="12"/>
      <w:bookmarkEnd w:id="14"/>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4A0" w:firstRow="1" w:lastRow="0" w:firstColumn="1" w:lastColumn="0" w:noHBand="0" w:noVBand="1"/>
      </w:tblPr>
      <w:tblGrid>
        <w:gridCol w:w="1701"/>
        <w:gridCol w:w="7371"/>
      </w:tblGrid>
      <w:tr w:rsidR="001C7823" w:rsidRPr="00036E51" w:rsidTr="00182645">
        <w:trPr>
          <w:cantSplit/>
        </w:trPr>
        <w:tc>
          <w:tcPr>
            <w:tcW w:w="1701" w:type="dxa"/>
            <w:tcBorders>
              <w:top w:val="double" w:sz="2" w:space="0" w:color="000000"/>
              <w:left w:val="double" w:sz="2" w:space="0" w:color="000000"/>
              <w:bottom w:val="single" w:sz="2" w:space="0" w:color="000000"/>
              <w:right w:val="single" w:sz="2" w:space="0" w:color="000000"/>
            </w:tcBorders>
            <w:shd w:val="pct10" w:color="000000" w:fill="FFFFFF"/>
            <w:vAlign w:val="center"/>
            <w:hideMark/>
          </w:tcPr>
          <w:p w:rsidR="001C7823" w:rsidRPr="00036E51" w:rsidRDefault="001C7823" w:rsidP="00182645">
            <w:pPr>
              <w:pStyle w:val="RollCallVotes"/>
            </w:pPr>
            <w:r w:rsidRPr="00036E51">
              <w:t>53</w:t>
            </w:r>
          </w:p>
        </w:tc>
        <w:tc>
          <w:tcPr>
            <w:tcW w:w="7371" w:type="dxa"/>
            <w:tcBorders>
              <w:top w:val="double" w:sz="2" w:space="0" w:color="000000"/>
              <w:left w:val="single" w:sz="2" w:space="0" w:color="000000"/>
              <w:bottom w:val="single" w:sz="2" w:space="0" w:color="000000"/>
              <w:right w:val="double" w:sz="2" w:space="0" w:color="000000"/>
            </w:tcBorders>
            <w:shd w:val="pct10" w:color="000000" w:fill="FFFFFF"/>
            <w:hideMark/>
          </w:tcPr>
          <w:p w:rsidR="001C7823" w:rsidRPr="00036E51" w:rsidRDefault="001C7823" w:rsidP="00182645">
            <w:pPr>
              <w:pStyle w:val="RollCallSymbols14pt"/>
            </w:pPr>
            <w:r w:rsidRPr="00036E51">
              <w:t>+</w:t>
            </w:r>
          </w:p>
        </w:tc>
      </w:tr>
      <w:tr w:rsidR="001C7823" w:rsidRPr="00036E51" w:rsidTr="00182645">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1C7823" w:rsidRPr="00036E51" w:rsidRDefault="001C7823" w:rsidP="00182645">
            <w:pPr>
              <w:pStyle w:val="RollCallTable"/>
            </w:pPr>
            <w:r w:rsidRPr="00036E51">
              <w:t>ECR</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1C7823" w:rsidRPr="00036E51" w:rsidRDefault="001C7823" w:rsidP="00182645">
            <w:pPr>
              <w:pStyle w:val="RollCallTable"/>
            </w:pPr>
            <w:r w:rsidRPr="00036E51">
              <w:t>Denis Nesci, Dorien Rookmaker, Johan Van Overtveldt</w:t>
            </w:r>
          </w:p>
        </w:tc>
      </w:tr>
      <w:tr w:rsidR="001C7823" w:rsidRPr="00036E51" w:rsidTr="00182645">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1C7823" w:rsidRPr="00036E51" w:rsidRDefault="001C7823" w:rsidP="00182645">
            <w:pPr>
              <w:pStyle w:val="RollCallTable"/>
            </w:pPr>
            <w:r w:rsidRPr="00036E51">
              <w:t>ID</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1C7823" w:rsidRPr="00036E51" w:rsidRDefault="001C7823" w:rsidP="00182645">
            <w:pPr>
              <w:pStyle w:val="RollCallTable"/>
            </w:pPr>
            <w:r w:rsidRPr="00036E51">
              <w:t>Anna Bonfrisco, Elena Lizzi, Antonio Maria Rinaldi</w:t>
            </w:r>
          </w:p>
        </w:tc>
      </w:tr>
      <w:tr w:rsidR="001C7823" w:rsidRPr="00036E51" w:rsidTr="00182645">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1C7823" w:rsidRPr="00036E51" w:rsidRDefault="001C7823" w:rsidP="00182645">
            <w:pPr>
              <w:pStyle w:val="RollCallTable"/>
            </w:pPr>
            <w:r w:rsidRPr="00036E51">
              <w:t>PPE</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1C7823" w:rsidRPr="00036E51" w:rsidRDefault="001C7823" w:rsidP="00182645">
            <w:pPr>
              <w:pStyle w:val="RollCallTable"/>
            </w:pPr>
            <w:r w:rsidRPr="00036E51">
              <w:t>Anna-Michelle Asimakopoulou, Isabel Benjumea Benjumea, Stefan Berger, Markus Ferber, Frances Fitzgerald, José Manuel García-Margallo y Marfil, Danuta Maria Hübner, Othmar Karas, Aušra Maldeikienė, Siegfried Mureşan, Luděk Niedermayer, Lídia Pereira, Laurence Sailliet, Ralf Seekatz, Inese Vaidere</w:t>
            </w:r>
          </w:p>
        </w:tc>
      </w:tr>
      <w:tr w:rsidR="001C7823" w:rsidRPr="00036E51" w:rsidTr="00182645">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1C7823" w:rsidRPr="00036E51" w:rsidRDefault="001C7823" w:rsidP="00182645">
            <w:pPr>
              <w:pStyle w:val="RollCallTable"/>
            </w:pPr>
            <w:r w:rsidRPr="00036E51">
              <w:t>Renew</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1C7823" w:rsidRPr="00036E51" w:rsidRDefault="001C7823" w:rsidP="00182645">
            <w:pPr>
              <w:pStyle w:val="RollCallTable"/>
            </w:pPr>
            <w:r w:rsidRPr="00036E51">
              <w:t>Gilles Boyer, Giuseppe Ferrandino, Martin Hlaváček, Billy Kelleher, Ondřej Kovařík, Georgios Kyrtsos, Caroline Nagtegaal, Eva Maria Poptcheva, Stéphanie Yon-Courtin</w:t>
            </w:r>
          </w:p>
        </w:tc>
      </w:tr>
      <w:tr w:rsidR="001C7823" w:rsidRPr="00036E51" w:rsidTr="00182645">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1C7823" w:rsidRPr="00036E51" w:rsidRDefault="001C7823" w:rsidP="00182645">
            <w:pPr>
              <w:pStyle w:val="RollCallTable"/>
            </w:pPr>
            <w:r w:rsidRPr="00036E51">
              <w:t>S&amp;D</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1C7823" w:rsidRPr="00036E51" w:rsidRDefault="001C7823" w:rsidP="00182645">
            <w:pPr>
              <w:pStyle w:val="RollCallTable"/>
            </w:pPr>
            <w:r w:rsidRPr="00036E51">
              <w:t>Marek Belka, Theresa Bielowski, Jonás Fernández, Eider Gardiazabal Rubial, Eero Heinäluoma, Aurore Lalucq, Margarida Marques, Pedro Marques, Evelyn Regner, Alfred Sant, Joachim Schuster, Paul Tang, Irene Tinagli</w:t>
            </w:r>
          </w:p>
        </w:tc>
      </w:tr>
      <w:tr w:rsidR="001C7823" w:rsidRPr="00036E51" w:rsidTr="00182645">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1C7823" w:rsidRPr="00036E51" w:rsidRDefault="001C7823" w:rsidP="00182645">
            <w:pPr>
              <w:pStyle w:val="RollCallTable"/>
            </w:pPr>
            <w:r w:rsidRPr="00036E51">
              <w:t>The Left</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1C7823" w:rsidRPr="00036E51" w:rsidRDefault="001C7823" w:rsidP="00182645">
            <w:pPr>
              <w:pStyle w:val="RollCallTable"/>
            </w:pPr>
            <w:r w:rsidRPr="00036E51">
              <w:t>José Gusmão, Chris MacManus, Dimitrios Papadimoulis</w:t>
            </w:r>
          </w:p>
        </w:tc>
      </w:tr>
      <w:tr w:rsidR="001C7823" w:rsidRPr="00036E51" w:rsidTr="00182645">
        <w:trPr>
          <w:cantSplit/>
        </w:trPr>
        <w:tc>
          <w:tcPr>
            <w:tcW w:w="1701" w:type="dxa"/>
            <w:tcBorders>
              <w:top w:val="single" w:sz="2" w:space="0" w:color="000000"/>
              <w:left w:val="double" w:sz="2" w:space="0" w:color="000000"/>
              <w:bottom w:val="double" w:sz="2" w:space="0" w:color="000000"/>
              <w:right w:val="single" w:sz="2" w:space="0" w:color="000000"/>
            </w:tcBorders>
            <w:shd w:val="clear" w:color="auto" w:fill="FFFFFF"/>
            <w:hideMark/>
          </w:tcPr>
          <w:p w:rsidR="001C7823" w:rsidRPr="00036E51" w:rsidRDefault="001C7823" w:rsidP="00182645">
            <w:pPr>
              <w:pStyle w:val="RollCallTable"/>
            </w:pPr>
            <w:r w:rsidRPr="00036E51">
              <w:t>Verts/ALE</w:t>
            </w:r>
          </w:p>
        </w:tc>
        <w:tc>
          <w:tcPr>
            <w:tcW w:w="7371" w:type="dxa"/>
            <w:tcBorders>
              <w:top w:val="single" w:sz="2" w:space="0" w:color="000000"/>
              <w:left w:val="single" w:sz="2" w:space="0" w:color="000000"/>
              <w:bottom w:val="double" w:sz="2" w:space="0" w:color="000000"/>
              <w:right w:val="double" w:sz="2" w:space="0" w:color="000000"/>
            </w:tcBorders>
            <w:shd w:val="clear" w:color="auto" w:fill="FFFFFF"/>
            <w:hideMark/>
          </w:tcPr>
          <w:p w:rsidR="001C7823" w:rsidRPr="00036E51" w:rsidRDefault="001C7823" w:rsidP="00182645">
            <w:pPr>
              <w:pStyle w:val="RollCallTable"/>
            </w:pPr>
            <w:r w:rsidRPr="00036E51">
              <w:t>Rasmus Andresen, Damien Carême, Claude Gruffat, Stasys Jakeliūnas, Philippe Lamberts, Piernicola Pedicini, Kira Marie Peter-Hansen</w:t>
            </w:r>
          </w:p>
        </w:tc>
      </w:tr>
    </w:tbl>
    <w:p w:rsidR="001C7823" w:rsidRPr="00036E51" w:rsidRDefault="001C7823" w:rsidP="001C7823"/>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4A0" w:firstRow="1" w:lastRow="0" w:firstColumn="1" w:lastColumn="0" w:noHBand="0" w:noVBand="1"/>
      </w:tblPr>
      <w:tblGrid>
        <w:gridCol w:w="1701"/>
        <w:gridCol w:w="7371"/>
      </w:tblGrid>
      <w:tr w:rsidR="001C7823" w:rsidRPr="00036E51" w:rsidTr="00182645">
        <w:trPr>
          <w:cantSplit/>
        </w:trPr>
        <w:tc>
          <w:tcPr>
            <w:tcW w:w="1701" w:type="dxa"/>
            <w:tcBorders>
              <w:top w:val="double" w:sz="2" w:space="0" w:color="000000"/>
              <w:left w:val="double" w:sz="2" w:space="0" w:color="000000"/>
              <w:bottom w:val="single" w:sz="2" w:space="0" w:color="000000"/>
              <w:right w:val="single" w:sz="2" w:space="0" w:color="000000"/>
            </w:tcBorders>
            <w:shd w:val="pct10" w:color="000000" w:fill="FFFFFF"/>
            <w:vAlign w:val="center"/>
            <w:hideMark/>
          </w:tcPr>
          <w:p w:rsidR="001C7823" w:rsidRPr="00036E51" w:rsidRDefault="001C7823" w:rsidP="00182645">
            <w:pPr>
              <w:pStyle w:val="RollCallVotes"/>
            </w:pPr>
            <w:r w:rsidRPr="00036E51">
              <w:t>0</w:t>
            </w:r>
          </w:p>
        </w:tc>
        <w:tc>
          <w:tcPr>
            <w:tcW w:w="7371" w:type="dxa"/>
            <w:tcBorders>
              <w:top w:val="double" w:sz="2" w:space="0" w:color="000000"/>
              <w:left w:val="single" w:sz="2" w:space="0" w:color="000000"/>
              <w:bottom w:val="single" w:sz="2" w:space="0" w:color="000000"/>
              <w:right w:val="double" w:sz="2" w:space="0" w:color="000000"/>
            </w:tcBorders>
            <w:shd w:val="pct10" w:color="000000" w:fill="FFFFFF"/>
            <w:hideMark/>
          </w:tcPr>
          <w:p w:rsidR="001C7823" w:rsidRPr="00036E51" w:rsidRDefault="001C7823" w:rsidP="00182645">
            <w:pPr>
              <w:pStyle w:val="RollCallSymbols14pt"/>
            </w:pPr>
            <w:r w:rsidRPr="00036E51">
              <w:t>-</w:t>
            </w:r>
          </w:p>
        </w:tc>
      </w:tr>
      <w:tr w:rsidR="001C7823" w:rsidRPr="00036E51" w:rsidTr="00182645">
        <w:trPr>
          <w:cantSplit/>
        </w:trPr>
        <w:tc>
          <w:tcPr>
            <w:tcW w:w="1701" w:type="dxa"/>
            <w:tcBorders>
              <w:top w:val="single" w:sz="2" w:space="0" w:color="000000"/>
              <w:left w:val="double" w:sz="2" w:space="0" w:color="000000"/>
              <w:bottom w:val="double" w:sz="2" w:space="0" w:color="000000"/>
              <w:right w:val="single" w:sz="2" w:space="0" w:color="000000"/>
            </w:tcBorders>
            <w:shd w:val="clear" w:color="auto" w:fill="FFFFFF"/>
          </w:tcPr>
          <w:p w:rsidR="001C7823" w:rsidRPr="00036E51" w:rsidRDefault="001C7823" w:rsidP="00182645">
            <w:pPr>
              <w:pStyle w:val="RollCallTable"/>
            </w:pPr>
          </w:p>
        </w:tc>
        <w:tc>
          <w:tcPr>
            <w:tcW w:w="7371" w:type="dxa"/>
            <w:tcBorders>
              <w:top w:val="single" w:sz="2" w:space="0" w:color="000000"/>
              <w:left w:val="single" w:sz="2" w:space="0" w:color="000000"/>
              <w:bottom w:val="double" w:sz="2" w:space="0" w:color="000000"/>
              <w:right w:val="double" w:sz="2" w:space="0" w:color="000000"/>
            </w:tcBorders>
            <w:shd w:val="clear" w:color="auto" w:fill="FFFFFF"/>
          </w:tcPr>
          <w:p w:rsidR="001C7823" w:rsidRPr="00036E51" w:rsidRDefault="001C7823" w:rsidP="00182645">
            <w:pPr>
              <w:pStyle w:val="RollCallTable"/>
            </w:pPr>
          </w:p>
        </w:tc>
      </w:tr>
    </w:tbl>
    <w:p w:rsidR="001C7823" w:rsidRPr="00036E51" w:rsidRDefault="001C7823" w:rsidP="001C7823"/>
    <w:tbl>
      <w:tblPr>
        <w:tblW w:w="0"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4A0" w:firstRow="1" w:lastRow="0" w:firstColumn="1" w:lastColumn="0" w:noHBand="0" w:noVBand="1"/>
      </w:tblPr>
      <w:tblGrid>
        <w:gridCol w:w="1701"/>
        <w:gridCol w:w="7371"/>
      </w:tblGrid>
      <w:tr w:rsidR="001C7823" w:rsidRPr="00036E51" w:rsidTr="00182645">
        <w:trPr>
          <w:cantSplit/>
        </w:trPr>
        <w:tc>
          <w:tcPr>
            <w:tcW w:w="1701" w:type="dxa"/>
            <w:tcBorders>
              <w:top w:val="double" w:sz="2" w:space="0" w:color="000000"/>
              <w:left w:val="double" w:sz="2" w:space="0" w:color="000000"/>
              <w:bottom w:val="single" w:sz="2" w:space="0" w:color="000000"/>
              <w:right w:val="single" w:sz="2" w:space="0" w:color="000000"/>
            </w:tcBorders>
            <w:shd w:val="pct10" w:color="000000" w:fill="FFFFFF"/>
            <w:vAlign w:val="center"/>
            <w:hideMark/>
          </w:tcPr>
          <w:p w:rsidR="001C7823" w:rsidRPr="00036E51" w:rsidRDefault="001C7823" w:rsidP="00182645">
            <w:pPr>
              <w:pStyle w:val="RollCallVotes"/>
            </w:pPr>
            <w:r w:rsidRPr="00036E51">
              <w:t>0</w:t>
            </w:r>
          </w:p>
        </w:tc>
        <w:tc>
          <w:tcPr>
            <w:tcW w:w="7371" w:type="dxa"/>
            <w:tcBorders>
              <w:top w:val="double" w:sz="2" w:space="0" w:color="000000"/>
              <w:left w:val="single" w:sz="2" w:space="0" w:color="000000"/>
              <w:bottom w:val="single" w:sz="2" w:space="0" w:color="000000"/>
              <w:right w:val="double" w:sz="2" w:space="0" w:color="000000"/>
            </w:tcBorders>
            <w:shd w:val="pct10" w:color="000000" w:fill="FFFFFF"/>
            <w:hideMark/>
          </w:tcPr>
          <w:p w:rsidR="001C7823" w:rsidRPr="00036E51" w:rsidRDefault="001C7823" w:rsidP="00182645">
            <w:pPr>
              <w:pStyle w:val="RollCallSymbols14pt"/>
            </w:pPr>
            <w:r w:rsidRPr="00036E51">
              <w:t>0</w:t>
            </w:r>
          </w:p>
        </w:tc>
      </w:tr>
      <w:tr w:rsidR="001C7823" w:rsidRPr="00036E51" w:rsidTr="00182645">
        <w:trPr>
          <w:cantSplit/>
        </w:trPr>
        <w:tc>
          <w:tcPr>
            <w:tcW w:w="1701" w:type="dxa"/>
            <w:tcBorders>
              <w:top w:val="single" w:sz="2" w:space="0" w:color="000000"/>
              <w:left w:val="double" w:sz="2" w:space="0" w:color="000000"/>
              <w:bottom w:val="double" w:sz="2" w:space="0" w:color="000000"/>
              <w:right w:val="single" w:sz="2" w:space="0" w:color="000000"/>
            </w:tcBorders>
            <w:shd w:val="clear" w:color="auto" w:fill="FFFFFF"/>
          </w:tcPr>
          <w:p w:rsidR="001C7823" w:rsidRPr="00036E51" w:rsidRDefault="001C7823" w:rsidP="00182645">
            <w:pPr>
              <w:pStyle w:val="RollCallTable"/>
            </w:pPr>
          </w:p>
        </w:tc>
        <w:tc>
          <w:tcPr>
            <w:tcW w:w="7371" w:type="dxa"/>
            <w:tcBorders>
              <w:top w:val="single" w:sz="2" w:space="0" w:color="000000"/>
              <w:left w:val="single" w:sz="2" w:space="0" w:color="000000"/>
              <w:bottom w:val="double" w:sz="2" w:space="0" w:color="000000"/>
              <w:right w:val="double" w:sz="2" w:space="0" w:color="000000"/>
            </w:tcBorders>
            <w:shd w:val="clear" w:color="auto" w:fill="FFFFFF"/>
          </w:tcPr>
          <w:p w:rsidR="001C7823" w:rsidRPr="00036E51" w:rsidRDefault="001C7823" w:rsidP="00182645">
            <w:pPr>
              <w:pStyle w:val="RollCallTable"/>
            </w:pPr>
          </w:p>
        </w:tc>
      </w:tr>
    </w:tbl>
    <w:p w:rsidR="001C7823" w:rsidRPr="00036E51" w:rsidRDefault="001C7823" w:rsidP="001C7823">
      <w:pPr>
        <w:pStyle w:val="Normal12a"/>
      </w:pPr>
    </w:p>
    <w:p w:rsidR="001C7823" w:rsidRPr="00036E51" w:rsidRDefault="001C7823" w:rsidP="001C7823">
      <w:r w:rsidRPr="00036E51">
        <w:t>Légende des signes utilisés:</w:t>
      </w:r>
    </w:p>
    <w:p w:rsidR="001C7823" w:rsidRPr="00036E51" w:rsidRDefault="001C7823" w:rsidP="001C7823">
      <w:pPr>
        <w:pStyle w:val="RollCallTabs"/>
      </w:pPr>
      <w:r w:rsidRPr="00036E51">
        <w:t>+</w:t>
      </w:r>
      <w:r w:rsidRPr="00036E51">
        <w:tab/>
        <w:t>:</w:t>
      </w:r>
      <w:r w:rsidRPr="00036E51">
        <w:tab/>
        <w:t>pour</w:t>
      </w:r>
    </w:p>
    <w:p w:rsidR="001C7823" w:rsidRPr="00036E51" w:rsidRDefault="001C7823" w:rsidP="001C7823">
      <w:pPr>
        <w:pStyle w:val="RollCallTabs"/>
      </w:pPr>
      <w:r w:rsidRPr="00036E51">
        <w:t>-</w:t>
      </w:r>
      <w:r w:rsidRPr="00036E51">
        <w:tab/>
        <w:t>:</w:t>
      </w:r>
      <w:r w:rsidRPr="00036E51">
        <w:tab/>
        <w:t>contre</w:t>
      </w:r>
    </w:p>
    <w:p w:rsidR="001C7823" w:rsidRPr="00036E51" w:rsidRDefault="001C7823" w:rsidP="001C7823">
      <w:pPr>
        <w:pStyle w:val="RollCallTabs"/>
      </w:pPr>
      <w:r w:rsidRPr="00036E51">
        <w:t>0</w:t>
      </w:r>
      <w:r w:rsidRPr="00036E51">
        <w:tab/>
        <w:t>:</w:t>
      </w:r>
      <w:r w:rsidRPr="00036E51">
        <w:tab/>
        <w:t>abstention</w:t>
      </w:r>
    </w:p>
    <w:p w:rsidR="001C7823" w:rsidRPr="00036E51" w:rsidRDefault="001C7823" w:rsidP="001C7823"/>
    <w:bookmarkEnd w:id="13"/>
    <w:p w:rsidR="001C7823" w:rsidRPr="00036E51" w:rsidRDefault="001C7823" w:rsidP="001C7823"/>
    <w:p w:rsidR="001C7823" w:rsidRPr="00036E51" w:rsidRDefault="001C7823" w:rsidP="001C7823"/>
    <w:p w:rsidR="001C7823" w:rsidRPr="00036E51" w:rsidRDefault="001C7823" w:rsidP="001C7823">
      <w:pPr>
        <w:pStyle w:val="Titrearticle"/>
      </w:pPr>
    </w:p>
    <w:sectPr w:rsidR="001C7823" w:rsidRPr="00036E51" w:rsidSect="001C782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B2C40" w:rsidRPr="00036E51" w:rsidRDefault="00EB2C40">
      <w:r w:rsidRPr="00036E51">
        <w:separator/>
      </w:r>
    </w:p>
  </w:endnote>
  <w:endnote w:type="continuationSeparator" w:id="0">
    <w:p w:rsidR="00EB2C40" w:rsidRPr="00036E51" w:rsidRDefault="00EB2C40">
      <w:r w:rsidRPr="00036E5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 w:name="Times New Roman Bold">
    <w:panose1 w:val="02020803070505020304"/>
    <w:charset w:val="00"/>
    <w:family w:val="roman"/>
    <w:notTrueType/>
    <w:pitch w:val="variable"/>
    <w:sig w:usb0="00000003" w:usb1="00000000" w:usb2="00000000" w:usb3="00000000" w:csb0="00000001" w:csb1="00000000"/>
  </w:font>
  <w:font w:name="sans-serif">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7823" w:rsidRPr="00036E51" w:rsidRDefault="001C7823" w:rsidP="001C7823">
    <w:pPr>
      <w:pStyle w:val="EPFooter"/>
    </w:pPr>
    <w:r w:rsidRPr="00036E51">
      <w:t>PE</w:t>
    </w:r>
    <w:r w:rsidRPr="00036E51">
      <w:rPr>
        <w:rStyle w:val="HideTWBExt"/>
      </w:rPr>
      <w:t>&lt;NoPE&gt;</w:t>
    </w:r>
    <w:r w:rsidRPr="00036E51">
      <w:t>749.149</w:t>
    </w:r>
    <w:r w:rsidRPr="00036E51">
      <w:rPr>
        <w:rStyle w:val="HideTWBExt"/>
      </w:rPr>
      <w:t>&lt;/NoPE&gt;&lt;Version&gt;</w:t>
    </w:r>
    <w:r w:rsidRPr="00036E51">
      <w:t>v02-00</w:t>
    </w:r>
    <w:r w:rsidRPr="00036E51">
      <w:rPr>
        <w:rStyle w:val="HideTWBExt"/>
      </w:rPr>
      <w:t>&lt;/Version&gt;</w:t>
    </w:r>
    <w:r w:rsidRPr="00036E51">
      <w:tab/>
    </w:r>
    <w:r w:rsidRPr="00036E51">
      <w:fldChar w:fldCharType="begin"/>
    </w:r>
    <w:r w:rsidRPr="00036E51">
      <w:instrText xml:space="preserve"> PAGE  \* MERGEFORMAT </w:instrText>
    </w:r>
    <w:r w:rsidRPr="00036E51">
      <w:fldChar w:fldCharType="separate"/>
    </w:r>
    <w:r w:rsidR="00BA38FE">
      <w:rPr>
        <w:noProof/>
      </w:rPr>
      <w:t>2</w:t>
    </w:r>
    <w:r w:rsidRPr="00036E51">
      <w:fldChar w:fldCharType="end"/>
    </w:r>
    <w:r w:rsidRPr="00036E51">
      <w:t>/</w:t>
    </w:r>
    <w:fldSimple w:instr=" NUMPAGES  \* MERGEFORMAT ">
      <w:r w:rsidR="00BA38FE">
        <w:rPr>
          <w:noProof/>
        </w:rPr>
        <w:t>21</w:t>
      </w:r>
    </w:fldSimple>
    <w:r w:rsidRPr="00036E51">
      <w:tab/>
    </w:r>
    <w:r w:rsidRPr="00036E51">
      <w:rPr>
        <w:rStyle w:val="HideTWBExt"/>
      </w:rPr>
      <w:t>&lt;PathFdR&gt;</w:t>
    </w:r>
    <w:r w:rsidRPr="00036E51">
      <w:t>RR\1289077FR.docx</w:t>
    </w:r>
    <w:r w:rsidRPr="00036E51">
      <w:rPr>
        <w:rStyle w:val="HideTWBExt"/>
      </w:rPr>
      <w:t>&lt;/PathFdR&gt;</w:t>
    </w:r>
  </w:p>
  <w:p w:rsidR="005733DF" w:rsidRPr="00036E51" w:rsidRDefault="001C7823" w:rsidP="001C7823">
    <w:pPr>
      <w:pStyle w:val="EPFooter2"/>
    </w:pPr>
    <w:r w:rsidRPr="00036E51">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7823" w:rsidRPr="00036E51" w:rsidRDefault="001C7823" w:rsidP="001C7823">
    <w:pPr>
      <w:pStyle w:val="EPFooter"/>
    </w:pPr>
    <w:r w:rsidRPr="00036E51">
      <w:rPr>
        <w:rStyle w:val="HideTWBExt"/>
      </w:rPr>
      <w:t>&lt;PathFdR&gt;</w:t>
    </w:r>
    <w:r w:rsidRPr="00036E51">
      <w:t>RR\1289077FR.docx</w:t>
    </w:r>
    <w:r w:rsidRPr="00036E51">
      <w:rPr>
        <w:rStyle w:val="HideTWBExt"/>
      </w:rPr>
      <w:t>&lt;/PathFdR&gt;</w:t>
    </w:r>
    <w:r w:rsidRPr="00036E51">
      <w:tab/>
    </w:r>
    <w:r w:rsidRPr="00036E51">
      <w:fldChar w:fldCharType="begin"/>
    </w:r>
    <w:r w:rsidRPr="00036E51">
      <w:instrText xml:space="preserve"> PAGE  \* MERGEFORMAT </w:instrText>
    </w:r>
    <w:r w:rsidRPr="00036E51">
      <w:fldChar w:fldCharType="separate"/>
    </w:r>
    <w:r w:rsidR="00BA38FE">
      <w:rPr>
        <w:noProof/>
      </w:rPr>
      <w:t>3</w:t>
    </w:r>
    <w:r w:rsidRPr="00036E51">
      <w:fldChar w:fldCharType="end"/>
    </w:r>
    <w:r w:rsidRPr="00036E51">
      <w:t>/</w:t>
    </w:r>
    <w:fldSimple w:instr=" NUMPAGES  \* MERGEFORMAT ">
      <w:r w:rsidR="00BA38FE">
        <w:rPr>
          <w:noProof/>
        </w:rPr>
        <w:t>21</w:t>
      </w:r>
    </w:fldSimple>
    <w:r w:rsidRPr="00036E51">
      <w:tab/>
      <w:t>PE</w:t>
    </w:r>
    <w:r w:rsidRPr="00036E51">
      <w:rPr>
        <w:rStyle w:val="HideTWBExt"/>
      </w:rPr>
      <w:t>&lt;NoPE&gt;</w:t>
    </w:r>
    <w:r w:rsidRPr="00036E51">
      <w:t>749.149</w:t>
    </w:r>
    <w:r w:rsidRPr="00036E51">
      <w:rPr>
        <w:rStyle w:val="HideTWBExt"/>
      </w:rPr>
      <w:t>&lt;/NoPE&gt;&lt;Version&gt;</w:t>
    </w:r>
    <w:r w:rsidRPr="00036E51">
      <w:t>v02-00</w:t>
    </w:r>
    <w:r w:rsidRPr="00036E51">
      <w:rPr>
        <w:rStyle w:val="HideTWBExt"/>
      </w:rPr>
      <w:t>&lt;/Version&gt;</w:t>
    </w:r>
  </w:p>
  <w:p w:rsidR="005733DF" w:rsidRPr="00036E51" w:rsidRDefault="001C7823" w:rsidP="001C7823">
    <w:pPr>
      <w:pStyle w:val="EPFooter2"/>
    </w:pPr>
    <w:r w:rsidRPr="00036E51">
      <w:tab/>
    </w:r>
    <w:r w:rsidRPr="00036E51">
      <w:tab/>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7823" w:rsidRPr="00036E51" w:rsidRDefault="001C7823" w:rsidP="001C7823">
    <w:pPr>
      <w:pStyle w:val="EPFooter"/>
    </w:pPr>
    <w:r w:rsidRPr="00036E51">
      <w:rPr>
        <w:rStyle w:val="HideTWBExt"/>
      </w:rPr>
      <w:t>&lt;PathFdR&gt;</w:t>
    </w:r>
    <w:r w:rsidRPr="00036E51">
      <w:t>RR\1289077FR.docx</w:t>
    </w:r>
    <w:r w:rsidRPr="00036E51">
      <w:rPr>
        <w:rStyle w:val="HideTWBExt"/>
      </w:rPr>
      <w:t>&lt;/PathFdR&gt;</w:t>
    </w:r>
    <w:r w:rsidRPr="00036E51">
      <w:tab/>
    </w:r>
    <w:r w:rsidRPr="00036E51">
      <w:tab/>
      <w:t>PE</w:t>
    </w:r>
    <w:r w:rsidRPr="00036E51">
      <w:rPr>
        <w:rStyle w:val="HideTWBExt"/>
      </w:rPr>
      <w:t>&lt;NoPE&gt;</w:t>
    </w:r>
    <w:r w:rsidRPr="00036E51">
      <w:t>749.149</w:t>
    </w:r>
    <w:r w:rsidRPr="00036E51">
      <w:rPr>
        <w:rStyle w:val="HideTWBExt"/>
      </w:rPr>
      <w:t>&lt;/NoPE&gt;&lt;Version&gt;</w:t>
    </w:r>
    <w:r w:rsidRPr="00036E51">
      <w:t>v02-00</w:t>
    </w:r>
    <w:r w:rsidRPr="00036E51">
      <w:rPr>
        <w:rStyle w:val="HideTWBExt"/>
      </w:rPr>
      <w:t>&lt;/Version&gt;</w:t>
    </w:r>
  </w:p>
  <w:p w:rsidR="005733DF" w:rsidRPr="00036E51" w:rsidRDefault="001C7823" w:rsidP="001C7823">
    <w:pPr>
      <w:pStyle w:val="EPFooter2"/>
    </w:pPr>
    <w:r w:rsidRPr="00036E51">
      <w:t>FR</w:t>
    </w:r>
    <w:r w:rsidRPr="00036E51">
      <w:tab/>
    </w:r>
    <w:r w:rsidRPr="00036E51">
      <w:rPr>
        <w:b w:val="0"/>
        <w:i/>
        <w:color w:val="C0C0C0"/>
        <w:sz w:val="22"/>
      </w:rPr>
      <w:t>Unie dans la diversité</w:t>
    </w:r>
    <w:r w:rsidRPr="00036E51">
      <w:tab/>
      <w:t>FR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B2C40" w:rsidRPr="00036E51" w:rsidRDefault="00EB2C40">
      <w:r w:rsidRPr="00036E51">
        <w:separator/>
      </w:r>
    </w:p>
  </w:footnote>
  <w:footnote w:type="continuationSeparator" w:id="0">
    <w:p w:rsidR="00EB2C40" w:rsidRPr="00036E51" w:rsidRDefault="00EB2C40">
      <w:r w:rsidRPr="00036E51">
        <w:continuationSeparator/>
      </w:r>
    </w:p>
  </w:footnote>
  <w:footnote w:id="1">
    <w:p w:rsidR="00E3684F" w:rsidRPr="00036E51" w:rsidRDefault="00E3684F" w:rsidP="00E3684F">
      <w:pPr>
        <w:pStyle w:val="FootnoteText"/>
      </w:pPr>
      <w:r w:rsidRPr="00036E51">
        <w:rPr>
          <w:rStyle w:val="FootnoteReference"/>
        </w:rPr>
        <w:footnoteRef/>
      </w:r>
      <w:r w:rsidRPr="00036E51">
        <w:t xml:space="preserve"> </w:t>
      </w:r>
      <w:r w:rsidRPr="00036E51">
        <w:tab/>
        <w:t>JO C 184 du 25.5.2023, p. 103</w:t>
      </w:r>
    </w:p>
  </w:footnote>
  <w:footnote w:id="2">
    <w:p w:rsidR="00132227" w:rsidRPr="00036E51" w:rsidRDefault="00132227" w:rsidP="00132227">
      <w:pPr>
        <w:pStyle w:val="FootnoteText"/>
      </w:pPr>
      <w:r w:rsidRPr="00036E51">
        <w:rPr>
          <w:rStyle w:val="FootnoteReference"/>
        </w:rPr>
        <w:t>*</w:t>
      </w:r>
      <w:r w:rsidRPr="00036E51">
        <w:t xml:space="preserve"> Amendements: le texte nouveau ou modifié est signalé par des italiques gras; les suppressions sont signalées par le symbole ▌.</w:t>
      </w:r>
    </w:p>
  </w:footnote>
  <w:footnote w:id="3">
    <w:p w:rsidR="00E3684F" w:rsidRPr="00036E51" w:rsidRDefault="00E3684F" w:rsidP="00E3684F">
      <w:pPr>
        <w:pStyle w:val="FootnoteText"/>
        <w:ind w:left="567" w:hanging="567"/>
      </w:pPr>
      <w:r w:rsidRPr="00036E51">
        <w:rPr>
          <w:rStyle w:val="FootnoteReference"/>
        </w:rPr>
        <w:footnoteRef/>
      </w:r>
      <w:r w:rsidRPr="00036E51">
        <w:tab/>
        <w:t>JO C</w:t>
      </w:r>
      <w:r w:rsidR="00BA38FE">
        <w:t>,,</w:t>
      </w:r>
      <w:r w:rsidRPr="00036E51">
        <w:t xml:space="preserve"> p.</w:t>
      </w:r>
      <w:r w:rsidR="00BA38FE">
        <w:t>.</w:t>
      </w:r>
    </w:p>
  </w:footnote>
  <w:footnote w:id="4">
    <w:p w:rsidR="00E3684F" w:rsidRPr="00036E51" w:rsidRDefault="00E3684F" w:rsidP="00E3684F">
      <w:pPr>
        <w:pStyle w:val="FootnoteText"/>
        <w:ind w:left="567" w:hanging="567"/>
      </w:pPr>
      <w:r w:rsidRPr="00036E51">
        <w:rPr>
          <w:rStyle w:val="FootnoteReference"/>
        </w:rPr>
        <w:footnoteRef/>
      </w:r>
      <w:r w:rsidRPr="00036E51">
        <w:tab/>
        <w:t>Directive 2014/65/UE du Parlement européen et du Conseil du 15 mai 2014 concernant les marchés d</w:t>
      </w:r>
      <w:r w:rsidR="00BA38FE">
        <w:t>’</w:t>
      </w:r>
      <w:r w:rsidRPr="00036E51">
        <w:t>instruments financiers et modifiant la directive 2002/92/CE et la directive 2011/61/UE (JO L 173 du 12.6.2014, p. 349).</w:t>
      </w:r>
    </w:p>
  </w:footnote>
  <w:footnote w:id="5">
    <w:p w:rsidR="00E3684F" w:rsidRPr="00036E51" w:rsidRDefault="00E3684F" w:rsidP="00E3684F">
      <w:pPr>
        <w:pStyle w:val="FootnoteText"/>
        <w:ind w:left="567" w:hanging="567"/>
      </w:pPr>
      <w:r w:rsidRPr="00036E51">
        <w:rPr>
          <w:rStyle w:val="FootnoteReference"/>
        </w:rPr>
        <w:footnoteRef/>
      </w:r>
      <w:r w:rsidRPr="00036E51">
        <w:tab/>
        <w:t>Règlement (UE) 2019/2115 du Parlement européen et du Conseil du 27 novembre 2019 modifiant la directive 2014/65/UE et les règlements (UE) nº 596/2014 et (UE) 2017/1129 en ce qui concerne la promotion du recours aux marchés de croissance des PME (JO L 320 du 11.12.2019, p. 1).</w:t>
      </w:r>
    </w:p>
  </w:footnote>
  <w:footnote w:id="6">
    <w:p w:rsidR="00E3684F" w:rsidRPr="00036E51" w:rsidRDefault="00E3684F" w:rsidP="00E3684F">
      <w:pPr>
        <w:pStyle w:val="FootnoteText"/>
        <w:ind w:left="567" w:hanging="567"/>
      </w:pPr>
      <w:r w:rsidRPr="00036E51">
        <w:rPr>
          <w:rStyle w:val="FootnoteReference"/>
        </w:rPr>
        <w:footnoteRef/>
      </w:r>
      <w:r w:rsidRPr="00036E51">
        <w:tab/>
        <w:t>Directive déléguée (UE) 2017/593 de la Commission du 7 avril 2016 complétant la directive 2014/65/UE du Parlement européen et du Conseil en ce qui concerne la sauvegarde des instruments financiers et des fonds des clients, les obligations applicables en matière de gouvernance des produits et les règles régissant l</w:t>
      </w:r>
      <w:r w:rsidR="00BA38FE">
        <w:t>’</w:t>
      </w:r>
      <w:r w:rsidRPr="00036E51">
        <w:t>octroi ou la perception de droits, de commissions ou de tout autre avantage pécuniaire ou non pécuniaire (JO L 87 du 31.3.2017, p. 500).</w:t>
      </w:r>
    </w:p>
  </w:footnote>
  <w:footnote w:id="7">
    <w:p w:rsidR="00E3684F" w:rsidRPr="00036E51" w:rsidRDefault="00E3684F" w:rsidP="00E3684F">
      <w:pPr>
        <w:pStyle w:val="FootnoteText"/>
        <w:ind w:left="567" w:hanging="567"/>
      </w:pPr>
      <w:r w:rsidRPr="00036E51">
        <w:rPr>
          <w:rStyle w:val="FootnoteReference"/>
        </w:rPr>
        <w:footnoteRef/>
      </w:r>
      <w:r w:rsidRPr="00036E51">
        <w:tab/>
        <w:t>Directive (UE) 2021/338 du Parlement européen et du Conseil du 16 février 2021 modifiant la directive 2014/65/UE en ce qui concerne les obligations d</w:t>
      </w:r>
      <w:r w:rsidR="00BA38FE">
        <w:t>’</w:t>
      </w:r>
      <w:r w:rsidRPr="00036E51">
        <w:t>information, la gouvernance des produits et les limites de position, et les directives 2013/36/UE et (UE) 2019/878 en ce qui concerne leur application aux entreprises d</w:t>
      </w:r>
      <w:r w:rsidR="00BA38FE">
        <w:t>’</w:t>
      </w:r>
      <w:r w:rsidRPr="00036E51">
        <w:t>investissement, afin de soutenir la reprise à la suite de la crise liée à la COVID-19 (JO L 68 du 26.2.2021, p. 14).</w:t>
      </w:r>
    </w:p>
  </w:footnote>
  <w:footnote w:id="8">
    <w:p w:rsidR="00E3684F" w:rsidRPr="00036E51" w:rsidRDefault="00E3684F" w:rsidP="00E3684F">
      <w:pPr>
        <w:pStyle w:val="FootnoteText"/>
        <w:ind w:left="567" w:hanging="567"/>
      </w:pPr>
      <w:r w:rsidRPr="00036E51">
        <w:rPr>
          <w:rStyle w:val="FootnoteReference"/>
        </w:rPr>
        <w:footnoteRef/>
      </w:r>
      <w:r w:rsidRPr="00036E51">
        <w:tab/>
      </w:r>
      <w:r w:rsidRPr="00036E51">
        <w:rPr>
          <w:rFonts w:ascii="Times New Roman Bold" w:hAnsi="Times New Roman Bold"/>
          <w:b/>
          <w:i/>
        </w:rPr>
        <w:t>Règlement (UE) …/… du Parlement européen et du Conseil du … établissant un point d</w:t>
      </w:r>
      <w:r w:rsidR="00BA38FE">
        <w:rPr>
          <w:rFonts w:ascii="Times New Roman Bold" w:hAnsi="Times New Roman Bold"/>
          <w:b/>
          <w:i/>
        </w:rPr>
        <w:t>’</w:t>
      </w:r>
      <w:r w:rsidRPr="00036E51">
        <w:rPr>
          <w:rFonts w:ascii="Times New Roman Bold" w:hAnsi="Times New Roman Bold"/>
          <w:b/>
          <w:i/>
        </w:rPr>
        <w:t>accès unique européen fournissant un accès centralisé aux informations publiées utiles pour les services financiers, les marchés des capitaux et la durabilité (JO L du …, p. …, ELI: …)</w:t>
      </w:r>
    </w:p>
  </w:footnote>
  <w:footnote w:id="9">
    <w:p w:rsidR="00E3684F" w:rsidRPr="00036E51" w:rsidRDefault="00E3684F" w:rsidP="00E3684F">
      <w:pPr>
        <w:pStyle w:val="FootnoteText"/>
        <w:ind w:left="567" w:hanging="567"/>
      </w:pPr>
      <w:r w:rsidRPr="00036E51">
        <w:rPr>
          <w:rStyle w:val="FootnoteReference"/>
        </w:rPr>
        <w:footnoteRef/>
      </w:r>
      <w:r w:rsidRPr="00036E51">
        <w:tab/>
        <w:t>Directive 2001/34/CE du Parlement européen et du Conseil du 28 mai 2001 concernant l</w:t>
      </w:r>
      <w:r w:rsidR="00BA38FE">
        <w:t>’</w:t>
      </w:r>
      <w:r w:rsidRPr="00036E51">
        <w:t>admission de valeurs mobilières à la cote officielle et l</w:t>
      </w:r>
      <w:r w:rsidR="00BA38FE">
        <w:t>’</w:t>
      </w:r>
      <w:r w:rsidRPr="00036E51">
        <w:t>information à publier sur ces valeurs (JO L 184 du 6.7.2001, p. 1).</w:t>
      </w:r>
    </w:p>
  </w:footnote>
  <w:footnote w:id="10">
    <w:p w:rsidR="00E3684F" w:rsidRPr="00036E51" w:rsidRDefault="00E3684F" w:rsidP="00E3684F">
      <w:pPr>
        <w:pStyle w:val="FootnoteText"/>
        <w:ind w:left="567" w:hanging="567"/>
      </w:pPr>
      <w:r w:rsidRPr="00036E51">
        <w:rPr>
          <w:rStyle w:val="FootnoteReference"/>
        </w:rPr>
        <w:footnoteRef/>
      </w:r>
      <w:r w:rsidRPr="00036E51">
        <w:tab/>
        <w:t>Directive 2003/71/CE du Parlement européen et du Conseil du 4 novembre 2003 concernant le prospectus à publier en cas d</w:t>
      </w:r>
      <w:r w:rsidR="00BA38FE">
        <w:t>’</w:t>
      </w:r>
      <w:r w:rsidRPr="00036E51">
        <w:t>offre au public de valeurs mobilières ou en vue de l</w:t>
      </w:r>
      <w:r w:rsidR="00BA38FE">
        <w:t>’</w:t>
      </w:r>
      <w:r w:rsidRPr="00036E51">
        <w:t>admission de valeurs mobilières à la négociation, et modifiant la directive 2001/34/CE (JO L 345 du 31.12.2003, p. 64).</w:t>
      </w:r>
    </w:p>
  </w:footnote>
  <w:footnote w:id="11">
    <w:p w:rsidR="00E3684F" w:rsidRPr="00036E51" w:rsidRDefault="00E3684F" w:rsidP="00E3684F">
      <w:pPr>
        <w:pStyle w:val="FootnoteText"/>
        <w:ind w:left="567" w:hanging="567"/>
      </w:pPr>
      <w:r w:rsidRPr="00036E51">
        <w:rPr>
          <w:rStyle w:val="FootnoteReference"/>
        </w:rPr>
        <w:footnoteRef/>
      </w:r>
      <w:r w:rsidRPr="00036E51">
        <w:tab/>
        <w:t>Directive 2004/109/CE du Parlement européen et du Conseil du 15 décembre 2004 sur l</w:t>
      </w:r>
      <w:r w:rsidR="00BA38FE">
        <w:t>’</w:t>
      </w:r>
      <w:r w:rsidRPr="00036E51">
        <w:t>harmonisation des obligations de transparence concernant l</w:t>
      </w:r>
      <w:r w:rsidR="00BA38FE">
        <w:t>’</w:t>
      </w:r>
      <w:r w:rsidRPr="00036E51">
        <w:t>information sur les émetteurs dont les valeurs mobilières sont admises à la négociation sur un marché réglementé et modifiant la directive 2001/34/CE (JO L 390 du 31.12.2004, p. 38).</w:t>
      </w:r>
    </w:p>
  </w:footnote>
  <w:footnote w:id="12">
    <w:p w:rsidR="00E3684F" w:rsidRPr="00036E51" w:rsidRDefault="00E3684F" w:rsidP="00E3684F">
      <w:pPr>
        <w:pStyle w:val="FootnoteText"/>
        <w:ind w:left="567" w:hanging="567"/>
      </w:pPr>
      <w:r w:rsidRPr="00036E51">
        <w:rPr>
          <w:rStyle w:val="FootnoteReference"/>
        </w:rPr>
        <w:footnoteRef/>
      </w:r>
      <w:r w:rsidRPr="00036E51">
        <w:tab/>
        <w:t>Règlement (UE) 2017/1129 du Parlement européen et du Conseil du 14 juin 2017 concernant le prospectus à publier en cas d</w:t>
      </w:r>
      <w:r w:rsidR="00BA38FE">
        <w:t>’</w:t>
      </w:r>
      <w:r w:rsidRPr="00036E51">
        <w:t>offre au public de valeurs mobilières ou en vue de l</w:t>
      </w:r>
      <w:r w:rsidR="00BA38FE">
        <w:t>’</w:t>
      </w:r>
      <w:r w:rsidRPr="00036E51">
        <w:t>admission de valeurs mobilières à la négociation sur un marché réglementé, et abrogeant la directive 2003/71/CE (JO L 168 du 30.6.2017, p. 12).</w:t>
      </w:r>
    </w:p>
  </w:footnote>
  <w:footnote w:id="13">
    <w:p w:rsidR="00E3684F" w:rsidRPr="00036E51" w:rsidRDefault="00E3684F" w:rsidP="00E3684F">
      <w:pPr>
        <w:pStyle w:val="FootnoteText"/>
        <w:ind w:left="567" w:hanging="567"/>
      </w:pPr>
      <w:r w:rsidRPr="00036E51">
        <w:rPr>
          <w:rStyle w:val="FootnoteReference"/>
        </w:rPr>
        <w:footnoteRef/>
      </w:r>
      <w:r w:rsidRPr="00036E51">
        <w:tab/>
        <w:t>Directive 2014/57/UE du Parlement européen et du Conseil du 16 avril 2014 relative aux sanctions pénales applicables aux abus de marché (directive relative aux abus de marché) (JO L 173 du 12.6.2014, p. 179).</w:t>
      </w:r>
    </w:p>
  </w:footnote>
  <w:footnote w:id="14">
    <w:p w:rsidR="00E3684F" w:rsidRPr="00036E51" w:rsidRDefault="00E3684F" w:rsidP="00E3684F">
      <w:pPr>
        <w:pStyle w:val="FootnoteText"/>
        <w:ind w:left="567" w:hanging="567"/>
      </w:pPr>
      <w:r w:rsidRPr="00036E51">
        <w:rPr>
          <w:rStyle w:val="FootnoteReference"/>
        </w:rPr>
        <w:footnoteRef/>
      </w:r>
      <w:r w:rsidRPr="00036E51">
        <w:tab/>
        <w:t>JO L 123 du 12.5.2016, p.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38FE" w:rsidRDefault="00BA38F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38FE" w:rsidRDefault="00BA38F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38FE" w:rsidRDefault="00BA38F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UTHORMFMNU" w:val=" 1"/>
    <w:docVar w:name="COMKEY" w:val="ECON"/>
    <w:docVar w:name="LastEditedSection" w:val=" 1"/>
    <w:docVar w:name="strSubDir" w:val="1289"/>
    <w:docVar w:name="TXTAUTHOR" w:val="Alfred Sant"/>
    <w:docVar w:name="TXTLANGUE" w:val="FR"/>
    <w:docVar w:name="TXTLANGUEMIN" w:val="fr"/>
    <w:docVar w:name="TXTNRC" w:val="0415/2022"/>
    <w:docVar w:name="TXTNRCOD" w:val="2022/0405"/>
    <w:docVar w:name="TXTNRCOM" w:val="(2022)0760"/>
    <w:docVar w:name="TXTNRPE" w:val="749.149"/>
    <w:docVar w:name="TXTPEorAP" w:val="PE"/>
    <w:docVar w:name="TXTROUTE" w:val="RR\1289077FR.docx"/>
    <w:docVar w:name="TXTVERSION" w:val="02-00"/>
  </w:docVars>
  <w:rsids>
    <w:rsidRoot w:val="00EB2C40"/>
    <w:rsid w:val="00023E5A"/>
    <w:rsid w:val="00036E51"/>
    <w:rsid w:val="000631D4"/>
    <w:rsid w:val="000A0513"/>
    <w:rsid w:val="000B1460"/>
    <w:rsid w:val="000D08D7"/>
    <w:rsid w:val="00116C66"/>
    <w:rsid w:val="00132227"/>
    <w:rsid w:val="00153148"/>
    <w:rsid w:val="00171841"/>
    <w:rsid w:val="001907B9"/>
    <w:rsid w:val="001A06D8"/>
    <w:rsid w:val="001C7270"/>
    <w:rsid w:val="001C7823"/>
    <w:rsid w:val="001F7D47"/>
    <w:rsid w:val="00215E16"/>
    <w:rsid w:val="002224E6"/>
    <w:rsid w:val="00284AA9"/>
    <w:rsid w:val="00287F75"/>
    <w:rsid w:val="00292097"/>
    <w:rsid w:val="00297ED9"/>
    <w:rsid w:val="002B272A"/>
    <w:rsid w:val="002B3AE7"/>
    <w:rsid w:val="002C16AB"/>
    <w:rsid w:val="00322342"/>
    <w:rsid w:val="0032442B"/>
    <w:rsid w:val="00332734"/>
    <w:rsid w:val="003845A6"/>
    <w:rsid w:val="003B0D2F"/>
    <w:rsid w:val="003D1BF5"/>
    <w:rsid w:val="00402B8D"/>
    <w:rsid w:val="004152BD"/>
    <w:rsid w:val="00484FEF"/>
    <w:rsid w:val="004C34F4"/>
    <w:rsid w:val="004F1D9B"/>
    <w:rsid w:val="0050599C"/>
    <w:rsid w:val="005278AC"/>
    <w:rsid w:val="00543B7B"/>
    <w:rsid w:val="005508B4"/>
    <w:rsid w:val="005733DF"/>
    <w:rsid w:val="006058F8"/>
    <w:rsid w:val="006138E1"/>
    <w:rsid w:val="006177EB"/>
    <w:rsid w:val="00643FD8"/>
    <w:rsid w:val="006506C7"/>
    <w:rsid w:val="00697F85"/>
    <w:rsid w:val="006A385A"/>
    <w:rsid w:val="006B3712"/>
    <w:rsid w:val="006E6E2B"/>
    <w:rsid w:val="00704B3C"/>
    <w:rsid w:val="007232F7"/>
    <w:rsid w:val="00740D24"/>
    <w:rsid w:val="0074235C"/>
    <w:rsid w:val="00775B91"/>
    <w:rsid w:val="00781E66"/>
    <w:rsid w:val="007A775E"/>
    <w:rsid w:val="007B1333"/>
    <w:rsid w:val="007D611D"/>
    <w:rsid w:val="008233C3"/>
    <w:rsid w:val="00842A4F"/>
    <w:rsid w:val="00876690"/>
    <w:rsid w:val="00893315"/>
    <w:rsid w:val="008A4D98"/>
    <w:rsid w:val="008C399E"/>
    <w:rsid w:val="008E22DF"/>
    <w:rsid w:val="009144E8"/>
    <w:rsid w:val="009D3F02"/>
    <w:rsid w:val="00A33B53"/>
    <w:rsid w:val="00A44CC5"/>
    <w:rsid w:val="00A55EFE"/>
    <w:rsid w:val="00A6214C"/>
    <w:rsid w:val="00A85BE8"/>
    <w:rsid w:val="00AB33F2"/>
    <w:rsid w:val="00AD26AD"/>
    <w:rsid w:val="00B03ED6"/>
    <w:rsid w:val="00B16961"/>
    <w:rsid w:val="00B36B3A"/>
    <w:rsid w:val="00B4162C"/>
    <w:rsid w:val="00B56BC9"/>
    <w:rsid w:val="00B77677"/>
    <w:rsid w:val="00BA38FE"/>
    <w:rsid w:val="00BA47CC"/>
    <w:rsid w:val="00BD28D4"/>
    <w:rsid w:val="00BE4EC7"/>
    <w:rsid w:val="00BF33BC"/>
    <w:rsid w:val="00BF78BF"/>
    <w:rsid w:val="00C0751A"/>
    <w:rsid w:val="00C11EAA"/>
    <w:rsid w:val="00C13A18"/>
    <w:rsid w:val="00C67923"/>
    <w:rsid w:val="00C70911"/>
    <w:rsid w:val="00CA0FE6"/>
    <w:rsid w:val="00CD41DC"/>
    <w:rsid w:val="00D31FCB"/>
    <w:rsid w:val="00D976F8"/>
    <w:rsid w:val="00DB7255"/>
    <w:rsid w:val="00DC2961"/>
    <w:rsid w:val="00DC3DED"/>
    <w:rsid w:val="00DC4E61"/>
    <w:rsid w:val="00DD5DB1"/>
    <w:rsid w:val="00E153E5"/>
    <w:rsid w:val="00E21071"/>
    <w:rsid w:val="00E23258"/>
    <w:rsid w:val="00E3684F"/>
    <w:rsid w:val="00E54998"/>
    <w:rsid w:val="00E5779F"/>
    <w:rsid w:val="00E7325F"/>
    <w:rsid w:val="00EA22BE"/>
    <w:rsid w:val="00EB2C40"/>
    <w:rsid w:val="00EC6889"/>
    <w:rsid w:val="00ED0821"/>
    <w:rsid w:val="00ED6403"/>
    <w:rsid w:val="00F02F34"/>
    <w:rsid w:val="00F11079"/>
    <w:rsid w:val="00F504BB"/>
    <w:rsid w:val="00F505FD"/>
    <w:rsid w:val="00F7748F"/>
    <w:rsid w:val="00F83934"/>
    <w:rsid w:val="00F92DB3"/>
    <w:rsid w:val="00F94481"/>
    <w:rsid w:val="00FB26D2"/>
    <w:rsid w:val="00FE2F8D"/>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B4D29A2"/>
  <w15:chartTrackingRefBased/>
  <w15:docId w15:val="{A81C9805-B403-4213-AD56-75F98BBBCF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footer" w:semiHidden="1"/>
    <w:lsdException w:name="caption" w:semiHidden="1" w:unhideWhenUsed="1" w:qFormat="1"/>
    <w:lsdException w:name="footnote reference" w:uiPriority="99"/>
    <w:lsdException w:name="annotation reference" w:uiPriority="99"/>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67923"/>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B03ED6"/>
    <w:pPr>
      <w:spacing w:before="480" w:after="240"/>
    </w:pPr>
  </w:style>
  <w:style w:type="paragraph" w:styleId="TOC1">
    <w:name w:val="toc 1"/>
    <w:basedOn w:val="Normal"/>
    <w:next w:val="Normal"/>
    <w:autoRedefine/>
    <w:uiPriority w:val="39"/>
    <w:rsid w:val="002C16AB"/>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pPr>
      <w:spacing w:after="240"/>
      <w:ind w:left="567" w:hanging="567"/>
    </w:pPr>
  </w:style>
  <w:style w:type="paragraph" w:customStyle="1" w:styleId="CoverNormal24a">
    <w:name w:val="CoverNormal24a"/>
    <w:basedOn w:val="Normal"/>
    <w:rsid w:val="00DC4E61"/>
    <w:pPr>
      <w:spacing w:after="480"/>
      <w:ind w:left="1417"/>
    </w:pPr>
  </w:style>
  <w:style w:type="paragraph" w:customStyle="1" w:styleId="CoverNormal">
    <w:name w:val="CoverNormal"/>
    <w:basedOn w:val="Normal"/>
    <w:pPr>
      <w:ind w:left="1418"/>
    </w:pPr>
  </w:style>
  <w:style w:type="paragraph" w:customStyle="1" w:styleId="NormalCenter12a">
    <w:name w:val="NormalCenter12a"/>
    <w:basedOn w:val="Normal"/>
    <w:rsid w:val="006B3712"/>
    <w:pPr>
      <w:spacing w:after="240"/>
      <w:jc w:val="center"/>
    </w:pPr>
  </w:style>
  <w:style w:type="paragraph" w:customStyle="1" w:styleId="CoverReference">
    <w:name w:val="CoverReference"/>
    <w:basedOn w:val="Normal"/>
    <w:rsid w:val="00BA47CC"/>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DC4E61"/>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740D24"/>
    <w:pPr>
      <w:tabs>
        <w:tab w:val="center" w:pos="4513"/>
        <w:tab w:val="right" w:pos="9026"/>
      </w:tabs>
    </w:pPr>
  </w:style>
  <w:style w:type="paragraph" w:customStyle="1" w:styleId="AmNumberTabs">
    <w:name w:val="AmNumberTabs"/>
    <w:basedOn w:val="Normal"/>
    <w:rsid w:val="00842A4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styleId="FootnoteText">
    <w:name w:val="footnote text"/>
    <w:basedOn w:val="Normal"/>
    <w:link w:val="FootnoteTextChar"/>
    <w:uiPriority w:val="99"/>
    <w:rsid w:val="00C0751A"/>
    <w:pPr>
      <w:widowControl/>
    </w:pPr>
    <w:rPr>
      <w:sz w:val="20"/>
    </w:rPr>
  </w:style>
  <w:style w:type="character" w:styleId="FootnoteReference">
    <w:name w:val="footnote reference"/>
    <w:uiPriority w:val="99"/>
    <w:rsid w:val="00842A4F"/>
    <w:rPr>
      <w:vertAlign w:val="superscript"/>
    </w:rPr>
  </w:style>
  <w:style w:type="paragraph" w:customStyle="1" w:styleId="AmHeadingConsam">
    <w:name w:val="AmHeadingConsam"/>
    <w:basedOn w:val="Normal"/>
    <w:next w:val="NormalCenter12a"/>
    <w:rsid w:val="00A85BE8"/>
    <w:pPr>
      <w:spacing w:before="720" w:after="240"/>
      <w:jc w:val="center"/>
    </w:pPr>
  </w:style>
  <w:style w:type="table" w:styleId="TableGrid">
    <w:name w:val="Table Grid"/>
    <w:basedOn w:val="TableNormal"/>
    <w:rsid w:val="003327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332734"/>
    <w:pPr>
      <w:jc w:val="center"/>
    </w:pPr>
    <w:rPr>
      <w:rFonts w:ascii="Arial" w:hAnsi="Arial" w:cs="Arial"/>
      <w:i/>
      <w:sz w:val="22"/>
      <w:szCs w:val="22"/>
    </w:rPr>
  </w:style>
  <w:style w:type="paragraph" w:customStyle="1" w:styleId="LineTop">
    <w:name w:val="LineTop"/>
    <w:basedOn w:val="Normal"/>
    <w:next w:val="Normal"/>
    <w:rsid w:val="003327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332734"/>
    <w:pPr>
      <w:pBdr>
        <w:bottom w:val="single" w:sz="4" w:space="1" w:color="auto"/>
      </w:pBdr>
      <w:spacing w:after="240"/>
      <w:jc w:val="center"/>
    </w:pPr>
    <w:rPr>
      <w:rFonts w:ascii="Arial" w:hAnsi="Arial" w:cs="Arial"/>
      <w:sz w:val="16"/>
      <w:szCs w:val="16"/>
    </w:rPr>
  </w:style>
  <w:style w:type="paragraph" w:customStyle="1" w:styleId="EPName">
    <w:name w:val="EPName"/>
    <w:basedOn w:val="Normal"/>
    <w:rsid w:val="006506C7"/>
    <w:pPr>
      <w:spacing w:before="80" w:after="80"/>
    </w:pPr>
    <w:rPr>
      <w:rFonts w:ascii="Arial Narrow" w:hAnsi="Arial Narrow" w:cs="Arial"/>
      <w:b/>
      <w:sz w:val="32"/>
      <w:szCs w:val="22"/>
    </w:rPr>
  </w:style>
  <w:style w:type="paragraph" w:customStyle="1" w:styleId="EPTerm">
    <w:name w:val="EPTerm"/>
    <w:basedOn w:val="Normal"/>
    <w:next w:val="Normal"/>
    <w:rsid w:val="006506C7"/>
    <w:pPr>
      <w:spacing w:after="80"/>
    </w:pPr>
    <w:rPr>
      <w:rFonts w:ascii="Arial" w:hAnsi="Arial" w:cs="Arial"/>
      <w:sz w:val="20"/>
      <w:szCs w:val="22"/>
    </w:rPr>
  </w:style>
  <w:style w:type="paragraph" w:customStyle="1" w:styleId="EPLogo">
    <w:name w:val="EPLogo"/>
    <w:basedOn w:val="Normal"/>
    <w:qFormat/>
    <w:rsid w:val="006506C7"/>
    <w:pPr>
      <w:jc w:val="right"/>
    </w:pPr>
  </w:style>
  <w:style w:type="paragraph" w:customStyle="1" w:styleId="EPFooter">
    <w:name w:val="EPFooter"/>
    <w:basedOn w:val="Normal"/>
    <w:rsid w:val="00DC4E61"/>
    <w:pPr>
      <w:tabs>
        <w:tab w:val="center" w:pos="4535"/>
        <w:tab w:val="right" w:pos="9071"/>
      </w:tabs>
      <w:spacing w:before="240" w:after="240"/>
    </w:pPr>
    <w:rPr>
      <w:color w:val="010000"/>
      <w:sz w:val="22"/>
    </w:rPr>
  </w:style>
  <w:style w:type="character" w:styleId="PageNumber">
    <w:name w:val="page number"/>
    <w:basedOn w:val="DefaultParagraphFont"/>
    <w:semiHidden/>
    <w:rsid w:val="005278AC"/>
  </w:style>
  <w:style w:type="character" w:customStyle="1" w:styleId="HeaderChar">
    <w:name w:val="Header Char"/>
    <w:basedOn w:val="DefaultParagraphFont"/>
    <w:link w:val="Header"/>
    <w:semiHidden/>
    <w:rsid w:val="00740D24"/>
    <w:rPr>
      <w:sz w:val="24"/>
    </w:rPr>
  </w:style>
  <w:style w:type="paragraph" w:customStyle="1" w:styleId="Lgendesigne">
    <w:name w:val="Légende signe"/>
    <w:basedOn w:val="Normal"/>
    <w:rsid w:val="00E3684F"/>
    <w:pPr>
      <w:tabs>
        <w:tab w:val="right" w:pos="454"/>
        <w:tab w:val="left" w:pos="737"/>
      </w:tabs>
      <w:ind w:left="737" w:hanging="737"/>
    </w:pPr>
    <w:rPr>
      <w:snapToGrid w:val="0"/>
      <w:sz w:val="18"/>
      <w:lang w:eastAsia="en-US"/>
    </w:rPr>
  </w:style>
  <w:style w:type="paragraph" w:customStyle="1" w:styleId="Lgendetitre">
    <w:name w:val="Légende titre"/>
    <w:basedOn w:val="Normal"/>
    <w:rsid w:val="00E3684F"/>
    <w:pPr>
      <w:spacing w:before="240" w:after="240"/>
    </w:pPr>
    <w:rPr>
      <w:b/>
      <w:i/>
      <w:snapToGrid w:val="0"/>
      <w:lang w:eastAsia="en-US"/>
    </w:rPr>
  </w:style>
  <w:style w:type="paragraph" w:customStyle="1" w:styleId="Lgendestandard">
    <w:name w:val="Légende standard"/>
    <w:basedOn w:val="Normal"/>
    <w:rsid w:val="00E3684F"/>
    <w:rPr>
      <w:sz w:val="18"/>
    </w:rPr>
  </w:style>
  <w:style w:type="character" w:customStyle="1" w:styleId="NormalBoldChar">
    <w:name w:val="NormalBold Char"/>
    <w:basedOn w:val="DefaultParagraphFont"/>
    <w:link w:val="NormalBold"/>
    <w:locked/>
    <w:rsid w:val="00E3684F"/>
    <w:rPr>
      <w:b/>
      <w:sz w:val="24"/>
      <w:lang w:val="fr-FR"/>
    </w:rPr>
  </w:style>
  <w:style w:type="character" w:customStyle="1" w:styleId="FootnoteTextChar">
    <w:name w:val="Footnote Text Char"/>
    <w:basedOn w:val="DefaultParagraphFont"/>
    <w:link w:val="FootnoteText"/>
    <w:uiPriority w:val="99"/>
    <w:rsid w:val="00E3684F"/>
    <w:rPr>
      <w:lang w:val="fr-FR"/>
    </w:rPr>
  </w:style>
  <w:style w:type="paragraph" w:customStyle="1" w:styleId="Text1">
    <w:name w:val="Text 1"/>
    <w:basedOn w:val="Normal"/>
    <w:rsid w:val="00E3684F"/>
    <w:pPr>
      <w:widowControl/>
      <w:spacing w:before="120" w:after="120"/>
      <w:ind w:left="850"/>
      <w:jc w:val="both"/>
    </w:pPr>
    <w:rPr>
      <w:rFonts w:eastAsiaTheme="minorHAnsi"/>
      <w:szCs w:val="22"/>
      <w:lang w:eastAsia="en-US"/>
    </w:rPr>
  </w:style>
  <w:style w:type="paragraph" w:customStyle="1" w:styleId="Point0">
    <w:name w:val="Point 0"/>
    <w:basedOn w:val="Normal"/>
    <w:rsid w:val="00E3684F"/>
    <w:pPr>
      <w:widowControl/>
      <w:spacing w:before="120" w:after="120"/>
      <w:ind w:left="850" w:hanging="850"/>
      <w:jc w:val="both"/>
    </w:pPr>
    <w:rPr>
      <w:rFonts w:eastAsiaTheme="minorHAnsi"/>
      <w:szCs w:val="22"/>
      <w:lang w:eastAsia="en-US"/>
    </w:rPr>
  </w:style>
  <w:style w:type="paragraph" w:customStyle="1" w:styleId="Point1">
    <w:name w:val="Point 1"/>
    <w:basedOn w:val="Normal"/>
    <w:rsid w:val="00E3684F"/>
    <w:pPr>
      <w:widowControl/>
      <w:spacing w:before="120" w:after="120"/>
      <w:ind w:left="1417" w:hanging="567"/>
      <w:jc w:val="both"/>
    </w:pPr>
    <w:rPr>
      <w:rFonts w:eastAsiaTheme="minorHAnsi"/>
      <w:szCs w:val="22"/>
      <w:lang w:eastAsia="en-US"/>
    </w:rPr>
  </w:style>
  <w:style w:type="paragraph" w:customStyle="1" w:styleId="ManualNumPar1">
    <w:name w:val="Manual NumPar 1"/>
    <w:basedOn w:val="Normal"/>
    <w:next w:val="Text1"/>
    <w:rsid w:val="00E3684F"/>
    <w:pPr>
      <w:widowControl/>
      <w:spacing w:before="120" w:after="120"/>
      <w:ind w:left="850" w:hanging="850"/>
      <w:jc w:val="both"/>
    </w:pPr>
    <w:rPr>
      <w:rFonts w:eastAsiaTheme="minorHAnsi"/>
      <w:szCs w:val="22"/>
      <w:lang w:eastAsia="en-US"/>
    </w:rPr>
  </w:style>
  <w:style w:type="paragraph" w:customStyle="1" w:styleId="QuotedNumPar">
    <w:name w:val="Quoted NumPar"/>
    <w:basedOn w:val="Normal"/>
    <w:rsid w:val="00E3684F"/>
    <w:pPr>
      <w:widowControl/>
      <w:spacing w:before="120" w:after="120"/>
      <w:ind w:left="1417" w:hanging="567"/>
      <w:jc w:val="both"/>
    </w:pPr>
    <w:rPr>
      <w:rFonts w:eastAsiaTheme="minorHAnsi"/>
      <w:szCs w:val="22"/>
      <w:lang w:eastAsia="en-US"/>
    </w:rPr>
  </w:style>
  <w:style w:type="paragraph" w:customStyle="1" w:styleId="Personnequisigne">
    <w:name w:val="Personne qui signe"/>
    <w:basedOn w:val="Normal"/>
    <w:next w:val="Institutionquisigne"/>
    <w:rsid w:val="00E3684F"/>
    <w:pPr>
      <w:widowControl/>
      <w:tabs>
        <w:tab w:val="left" w:pos="4252"/>
      </w:tabs>
    </w:pPr>
    <w:rPr>
      <w:rFonts w:eastAsiaTheme="minorHAnsi"/>
      <w:i/>
      <w:szCs w:val="22"/>
      <w:lang w:eastAsia="en-US"/>
    </w:rPr>
  </w:style>
  <w:style w:type="paragraph" w:customStyle="1" w:styleId="Institutionquisigne">
    <w:name w:val="Institution qui signe"/>
    <w:basedOn w:val="Normal"/>
    <w:next w:val="Personnequisigne"/>
    <w:rsid w:val="00E3684F"/>
    <w:pPr>
      <w:keepNext/>
      <w:widowControl/>
      <w:tabs>
        <w:tab w:val="left" w:pos="4252"/>
      </w:tabs>
      <w:spacing w:before="720"/>
      <w:jc w:val="both"/>
    </w:pPr>
    <w:rPr>
      <w:rFonts w:eastAsiaTheme="minorHAnsi"/>
      <w:i/>
      <w:szCs w:val="22"/>
      <w:lang w:eastAsia="en-US"/>
    </w:rPr>
  </w:style>
  <w:style w:type="paragraph" w:customStyle="1" w:styleId="Fait">
    <w:name w:val="Fait à"/>
    <w:basedOn w:val="Normal"/>
    <w:next w:val="Institutionquisigne"/>
    <w:rsid w:val="00E3684F"/>
    <w:pPr>
      <w:keepNext/>
      <w:widowControl/>
      <w:spacing w:before="120"/>
      <w:jc w:val="both"/>
    </w:pPr>
    <w:rPr>
      <w:rFonts w:eastAsiaTheme="minorHAnsi"/>
      <w:szCs w:val="22"/>
      <w:lang w:eastAsia="en-US"/>
    </w:rPr>
  </w:style>
  <w:style w:type="paragraph" w:customStyle="1" w:styleId="Titrearticle">
    <w:name w:val="Titre article"/>
    <w:basedOn w:val="Normal"/>
    <w:next w:val="Normal"/>
    <w:rsid w:val="00E3684F"/>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E3684F"/>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E3684F"/>
    <w:pPr>
      <w:keepNext/>
      <w:widowControl/>
      <w:spacing w:before="600" w:after="120"/>
      <w:jc w:val="both"/>
    </w:pPr>
    <w:rPr>
      <w:rFonts w:eastAsiaTheme="minorHAnsi"/>
      <w:szCs w:val="22"/>
      <w:lang w:eastAsia="en-US"/>
    </w:rPr>
  </w:style>
  <w:style w:type="paragraph" w:customStyle="1" w:styleId="ManualConsidrant">
    <w:name w:val="Manual Considérant"/>
    <w:basedOn w:val="Normal"/>
    <w:rsid w:val="00E3684F"/>
    <w:pPr>
      <w:widowControl/>
      <w:spacing w:before="120" w:after="120"/>
      <w:ind w:left="709" w:hanging="709"/>
      <w:jc w:val="both"/>
    </w:pPr>
    <w:rPr>
      <w:rFonts w:eastAsiaTheme="minorHAnsi"/>
      <w:szCs w:val="22"/>
      <w:lang w:eastAsia="en-US"/>
    </w:rPr>
  </w:style>
  <w:style w:type="paragraph" w:customStyle="1" w:styleId="Typedudocument">
    <w:name w:val="Type du document"/>
    <w:basedOn w:val="Normal"/>
    <w:next w:val="Titreobjet"/>
    <w:rsid w:val="00E3684F"/>
    <w:pPr>
      <w:widowControl/>
      <w:spacing w:before="360"/>
      <w:jc w:val="center"/>
    </w:pPr>
    <w:rPr>
      <w:rFonts w:eastAsiaTheme="minorHAnsi"/>
      <w:b/>
      <w:szCs w:val="22"/>
      <w:lang w:eastAsia="en-US"/>
    </w:rPr>
  </w:style>
  <w:style w:type="paragraph" w:customStyle="1" w:styleId="Statut">
    <w:name w:val="Statut"/>
    <w:basedOn w:val="Normal"/>
    <w:next w:val="Typedudocument"/>
    <w:rsid w:val="00E3684F"/>
    <w:pPr>
      <w:widowControl/>
      <w:spacing w:before="360"/>
      <w:jc w:val="center"/>
    </w:pPr>
    <w:rPr>
      <w:rFonts w:eastAsiaTheme="minorHAnsi"/>
      <w:szCs w:val="22"/>
      <w:lang w:eastAsia="en-US"/>
    </w:rPr>
  </w:style>
  <w:style w:type="paragraph" w:customStyle="1" w:styleId="Titreobjet">
    <w:name w:val="Titre objet"/>
    <w:basedOn w:val="Normal"/>
    <w:next w:val="IntrtEEE"/>
    <w:rsid w:val="00E3684F"/>
    <w:pPr>
      <w:widowControl/>
      <w:spacing w:before="360" w:after="360"/>
      <w:jc w:val="center"/>
    </w:pPr>
    <w:rPr>
      <w:rFonts w:eastAsiaTheme="minorHAnsi"/>
      <w:b/>
      <w:szCs w:val="22"/>
      <w:lang w:eastAsia="en-US"/>
    </w:rPr>
  </w:style>
  <w:style w:type="paragraph" w:customStyle="1" w:styleId="IntrtEEE">
    <w:name w:val="Intérêt EEE"/>
    <w:basedOn w:val="Normal"/>
    <w:next w:val="Normal"/>
    <w:rsid w:val="00E3684F"/>
    <w:pPr>
      <w:widowControl/>
      <w:spacing w:before="360" w:after="240"/>
      <w:jc w:val="center"/>
    </w:pPr>
    <w:rPr>
      <w:rFonts w:eastAsiaTheme="minorHAnsi"/>
      <w:szCs w:val="22"/>
      <w:lang w:eastAsia="en-US"/>
    </w:rPr>
  </w:style>
  <w:style w:type="paragraph" w:customStyle="1" w:styleId="point10">
    <w:name w:val="point1"/>
    <w:basedOn w:val="Normal"/>
    <w:rsid w:val="00E3684F"/>
    <w:pPr>
      <w:widowControl/>
      <w:spacing w:before="120" w:after="120"/>
      <w:ind w:left="1417" w:hanging="567"/>
      <w:jc w:val="both"/>
    </w:pPr>
    <w:rPr>
      <w:rFonts w:eastAsiaTheme="minorHAnsi"/>
      <w:szCs w:val="24"/>
    </w:rPr>
  </w:style>
  <w:style w:type="character" w:styleId="CommentReference">
    <w:name w:val="annotation reference"/>
    <w:basedOn w:val="DefaultParagraphFont"/>
    <w:uiPriority w:val="99"/>
    <w:unhideWhenUsed/>
    <w:rsid w:val="00E3684F"/>
    <w:rPr>
      <w:sz w:val="16"/>
      <w:szCs w:val="16"/>
    </w:rPr>
  </w:style>
  <w:style w:type="paragraph" w:customStyle="1" w:styleId="Normal12a">
    <w:name w:val="Normal12a"/>
    <w:basedOn w:val="Normal"/>
    <w:rsid w:val="00B16961"/>
    <w:pPr>
      <w:spacing w:after="240"/>
    </w:pPr>
  </w:style>
  <w:style w:type="paragraph" w:customStyle="1" w:styleId="RollCallVotes">
    <w:name w:val="RollCallVotes"/>
    <w:basedOn w:val="Normal"/>
    <w:rsid w:val="00B16961"/>
    <w:pPr>
      <w:snapToGrid w:val="0"/>
      <w:spacing w:before="120" w:after="120"/>
      <w:jc w:val="center"/>
    </w:pPr>
    <w:rPr>
      <w:b/>
      <w:bCs/>
      <w:sz w:val="16"/>
      <w:lang w:eastAsia="en-US"/>
    </w:rPr>
  </w:style>
  <w:style w:type="paragraph" w:customStyle="1" w:styleId="RollCallTabs">
    <w:name w:val="RollCallTabs"/>
    <w:basedOn w:val="Normal"/>
    <w:qFormat/>
    <w:rsid w:val="00B16961"/>
    <w:pPr>
      <w:tabs>
        <w:tab w:val="center" w:pos="284"/>
        <w:tab w:val="left" w:pos="426"/>
      </w:tabs>
      <w:snapToGrid w:val="0"/>
    </w:pPr>
    <w:rPr>
      <w:lang w:eastAsia="en-US"/>
    </w:rPr>
  </w:style>
  <w:style w:type="paragraph" w:customStyle="1" w:styleId="RollCallSymbols14pt">
    <w:name w:val="RollCallSymbols14pt"/>
    <w:basedOn w:val="Normal"/>
    <w:rsid w:val="00B16961"/>
    <w:pPr>
      <w:snapToGrid w:val="0"/>
      <w:spacing w:before="120" w:after="120"/>
      <w:jc w:val="center"/>
    </w:pPr>
    <w:rPr>
      <w:rFonts w:ascii="Arial" w:hAnsi="Arial"/>
      <w:b/>
      <w:bCs/>
      <w:sz w:val="28"/>
      <w:lang w:eastAsia="en-US"/>
    </w:rPr>
  </w:style>
  <w:style w:type="paragraph" w:customStyle="1" w:styleId="RollCallTable">
    <w:name w:val="RollCallTable"/>
    <w:basedOn w:val="Normal"/>
    <w:rsid w:val="00B16961"/>
    <w:pPr>
      <w:snapToGrid w:val="0"/>
      <w:spacing w:before="120" w:after="120"/>
    </w:pPr>
    <w:rPr>
      <w:sz w:val="16"/>
      <w:lang w:eastAsia="en-US"/>
    </w:rPr>
  </w:style>
  <w:style w:type="paragraph" w:styleId="Footer">
    <w:name w:val="footer"/>
    <w:basedOn w:val="Normal"/>
    <w:link w:val="FooterChar"/>
    <w:semiHidden/>
    <w:rsid w:val="00B16961"/>
    <w:pPr>
      <w:tabs>
        <w:tab w:val="center" w:pos="4513"/>
        <w:tab w:val="right" w:pos="9026"/>
      </w:tabs>
    </w:pPr>
  </w:style>
  <w:style w:type="character" w:customStyle="1" w:styleId="FooterChar">
    <w:name w:val="Footer Char"/>
    <w:basedOn w:val="DefaultParagraphFont"/>
    <w:link w:val="Footer"/>
    <w:semiHidden/>
    <w:rsid w:val="00B16961"/>
    <w:rPr>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48B69E-B3B0-4687-B7E2-2FC034380F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Pages>
  <Words>7116</Words>
  <Characters>40140</Characters>
  <Application>Microsoft Office Word</Application>
  <DocSecurity>0</DocSecurity>
  <Lines>819</Lines>
  <Paragraphs>289</Paragraphs>
  <ScaleCrop>false</ScaleCrop>
  <HeadingPairs>
    <vt:vector size="2" baseType="variant">
      <vt:variant>
        <vt:lpstr>Title</vt:lpstr>
      </vt:variant>
      <vt:variant>
        <vt:i4>1</vt:i4>
      </vt:variant>
    </vt:vector>
  </HeadingPairs>
  <TitlesOfParts>
    <vt:vector size="1" baseType="lpstr">
      <vt:lpstr>PR_COD_1consamCom</vt:lpstr>
    </vt:vector>
  </TitlesOfParts>
  <Company/>
  <LinksUpToDate>false</LinksUpToDate>
  <CharactersWithSpaces>46967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PR_COD_1consamCom</dc:title>
  <dc:subject/>
  <dc:creator>CWIRKO Andrzej</dc:creator>
  <cp:keywords/>
  <dc:description/>
  <cp:lastModifiedBy>CWIRKO Andrzej</cp:lastModifiedBy>
  <cp:revision>2</cp:revision>
  <cp:lastPrinted>2004-11-04T10:10:00Z</cp:lastPrinted>
  <dcterms:created xsi:type="dcterms:W3CDTF">2023-11-15T09:33:00Z</dcterms:created>
  <dcterms:modified xsi:type="dcterms:W3CDTF">2023-11-15T09:33:00Z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Created with">
    <vt:lpwstr>9.16.1 Build [20230915]</vt:lpwstr>
  </property>
  <property fmtid="{D5CDD505-2E9C-101B-9397-08002B2CF9AE}" pid="4" name="LastEdited with">
    <vt:lpwstr>9.16.1 Build [20230915]</vt:lpwstr>
  </property>
  <property fmtid="{D5CDD505-2E9C-101B-9397-08002B2CF9AE}" pid="5" name="&lt;FdR&gt;">
    <vt:lpwstr>1289077</vt:lpwstr>
  </property>
  <property fmtid="{D5CDD505-2E9C-101B-9397-08002B2CF9AE}" pid="6" name="&lt;Type&gt;">
    <vt:lpwstr>RR</vt:lpwstr>
  </property>
  <property fmtid="{D5CDD505-2E9C-101B-9397-08002B2CF9AE}" pid="7" name="&lt;ModelCod&gt;">
    <vt:lpwstr>\\eiciLUXpr1\pdocep$\DocEP\DOCS\General\PR\PR_Leg\COD\COD_1st\PR_COD_1consamCom.dotx(17/04/2020 19:27:10)</vt:lpwstr>
  </property>
  <property fmtid="{D5CDD505-2E9C-101B-9397-08002B2CF9AE}" pid="8" name="&lt;ModelTra&gt;">
    <vt:lpwstr>\\eiciLUXpr1\pdocep$\DocEP\TRANSFIL\FR\PR_COD_1consamCom.FR(23/05/2023 20:44:02)</vt:lpwstr>
  </property>
  <property fmtid="{D5CDD505-2E9C-101B-9397-08002B2CF9AE}" pid="9" name="&lt;Model&gt;">
    <vt:lpwstr>PR_COD_1consamCom</vt:lpwstr>
  </property>
  <property fmtid="{D5CDD505-2E9C-101B-9397-08002B2CF9AE}" pid="10" name="FooterPath">
    <vt:lpwstr>RR\1289077FR.docx</vt:lpwstr>
  </property>
  <property fmtid="{D5CDD505-2E9C-101B-9397-08002B2CF9AE}" pid="11" name="PE number">
    <vt:lpwstr>749.149</vt:lpwstr>
  </property>
  <property fmtid="{D5CDD505-2E9C-101B-9397-08002B2CF9AE}" pid="12" name="Bookout">
    <vt:lpwstr>OK - 2023/11/15 10:33</vt:lpwstr>
  </property>
  <property fmtid="{D5CDD505-2E9C-101B-9397-08002B2CF9AE}" pid="13" name="SDLStudio">
    <vt:lpwstr/>
  </property>
</Properties>
</file>