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43B41" w:rsidRPr="007E4DC0" w:rsidTr="006F4946">
        <w:trPr>
          <w:trHeight w:hRule="exact" w:val="1418"/>
        </w:trPr>
        <w:tc>
          <w:tcPr>
            <w:tcW w:w="6804" w:type="dxa"/>
            <w:shd w:val="clear" w:color="auto" w:fill="auto"/>
            <w:vAlign w:val="center"/>
          </w:tcPr>
          <w:p w:rsidR="004A6733" w:rsidRPr="007E4DC0" w:rsidRDefault="002410C3" w:rsidP="006F4946">
            <w:pPr>
              <w:pStyle w:val="EPName"/>
            </w:pPr>
            <w:bookmarkStart w:id="0" w:name="_GoBack"/>
            <w:bookmarkEnd w:id="0"/>
            <w:r w:rsidRPr="007E4DC0">
              <w:t>Európsky parlament</w:t>
            </w:r>
          </w:p>
          <w:p w:rsidR="004A6733" w:rsidRPr="007E4DC0" w:rsidRDefault="002410C3" w:rsidP="00E77D6C">
            <w:pPr>
              <w:pStyle w:val="EPTerm"/>
            </w:pPr>
            <w:r w:rsidRPr="007E4DC0">
              <w:t>2019-2024</w:t>
            </w:r>
          </w:p>
        </w:tc>
        <w:tc>
          <w:tcPr>
            <w:tcW w:w="2268" w:type="dxa"/>
            <w:shd w:val="clear" w:color="auto" w:fill="auto"/>
          </w:tcPr>
          <w:p w:rsidR="004A6733" w:rsidRPr="007E4DC0" w:rsidRDefault="002410C3" w:rsidP="006F4946">
            <w:pPr>
              <w:pStyle w:val="EPLogo"/>
            </w:pPr>
            <w:r w:rsidRPr="007E4DC0">
              <w:rPr>
                <w:noProof/>
                <w:lang w:eastAsia="sk-S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565466" w:rsidRPr="007E4DC0" w:rsidRDefault="00565466" w:rsidP="00565466">
      <w:pPr>
        <w:pStyle w:val="LineTop"/>
      </w:pPr>
    </w:p>
    <w:p w:rsidR="00565466" w:rsidRPr="007E4DC0" w:rsidRDefault="002410C3" w:rsidP="00565466">
      <w:pPr>
        <w:pStyle w:val="EPBody"/>
      </w:pPr>
      <w:r w:rsidRPr="007E4DC0">
        <w:t>Dokument na rokovanie</w:t>
      </w:r>
    </w:p>
    <w:p w:rsidR="00565466" w:rsidRPr="007E4DC0" w:rsidRDefault="00565466" w:rsidP="00565466">
      <w:pPr>
        <w:pStyle w:val="LineBottom"/>
      </w:pPr>
    </w:p>
    <w:p w:rsidR="00F40B36" w:rsidRPr="007E4DC0" w:rsidRDefault="002410C3" w:rsidP="00F40B36">
      <w:pPr>
        <w:pStyle w:val="CoverReference"/>
      </w:pPr>
      <w:r w:rsidRPr="007E4DC0">
        <w:rPr>
          <w:rStyle w:val="HideTWBExt"/>
        </w:rPr>
        <w:t>&lt;NoDocSe&gt;</w:t>
      </w:r>
      <w:r w:rsidRPr="007E4DC0">
        <w:t>A9-0333/2023</w:t>
      </w:r>
      <w:r w:rsidRPr="007E4DC0">
        <w:rPr>
          <w:rStyle w:val="HideTWBExt"/>
        </w:rPr>
        <w:t>&lt;/NoDocSe&gt;</w:t>
      </w:r>
    </w:p>
    <w:p w:rsidR="002E7F11" w:rsidRPr="007E4DC0" w:rsidRDefault="002410C3">
      <w:pPr>
        <w:pStyle w:val="CoverDate"/>
      </w:pPr>
      <w:r w:rsidRPr="007E4DC0">
        <w:rPr>
          <w:rStyle w:val="HideTWBExt"/>
        </w:rPr>
        <w:t>&lt;Date&gt;</w:t>
      </w:r>
      <w:r w:rsidRPr="007E4DC0">
        <w:rPr>
          <w:rStyle w:val="HideTWBInt"/>
          <w:color w:val="auto"/>
        </w:rPr>
        <w:t>{06/11/2023}</w:t>
      </w:r>
      <w:r w:rsidRPr="007E4DC0">
        <w:t>6.11.2023</w:t>
      </w:r>
      <w:r w:rsidRPr="007E4DC0">
        <w:rPr>
          <w:rStyle w:val="HideTWBExt"/>
        </w:rPr>
        <w:t>&lt;/Date&gt;</w:t>
      </w:r>
    </w:p>
    <w:p w:rsidR="002E7F11" w:rsidRPr="007E4DC0" w:rsidRDefault="002410C3">
      <w:pPr>
        <w:pStyle w:val="CoverDocType24a"/>
      </w:pPr>
      <w:r w:rsidRPr="007E4DC0">
        <w:rPr>
          <w:rStyle w:val="HideTWBExt"/>
          <w:b w:val="0"/>
        </w:rPr>
        <w:t>&lt;TitreType&gt;</w:t>
      </w:r>
      <w:r w:rsidRPr="007E4DC0">
        <w:t>SPRÁVA</w:t>
      </w:r>
      <w:r w:rsidRPr="007E4DC0">
        <w:rPr>
          <w:rStyle w:val="HideTWBExt"/>
          <w:b w:val="0"/>
        </w:rPr>
        <w:t>&lt;/TitreType&gt;</w:t>
      </w:r>
    </w:p>
    <w:p w:rsidR="002E7F11" w:rsidRPr="007E4DC0" w:rsidRDefault="002410C3">
      <w:pPr>
        <w:pStyle w:val="CoverNormal"/>
      </w:pPr>
      <w:r w:rsidRPr="007E4DC0">
        <w:rPr>
          <w:rStyle w:val="HideTWBExt"/>
        </w:rPr>
        <w:t>&lt;Titre&gt;</w:t>
      </w:r>
      <w:r w:rsidRPr="007E4DC0">
        <w:t>o výsledkoch rokovaní Výboru pre petície v roku 2022</w:t>
      </w:r>
      <w:r w:rsidRPr="007E4DC0">
        <w:rPr>
          <w:rStyle w:val="HideTWBExt"/>
        </w:rPr>
        <w:t>&lt;/Titre&gt;</w:t>
      </w:r>
    </w:p>
    <w:p w:rsidR="002E7F11" w:rsidRPr="007E4DC0" w:rsidRDefault="002410C3">
      <w:pPr>
        <w:pStyle w:val="CoverNormal24a"/>
      </w:pPr>
      <w:r w:rsidRPr="007E4DC0">
        <w:rPr>
          <w:rStyle w:val="HideTWBExt"/>
        </w:rPr>
        <w:t>&lt;DocRef&gt;</w:t>
      </w:r>
      <w:r w:rsidRPr="007E4DC0">
        <w:t>(2023/2047(INI))</w:t>
      </w:r>
      <w:r w:rsidRPr="007E4DC0">
        <w:rPr>
          <w:rStyle w:val="HideTWBExt"/>
        </w:rPr>
        <w:t>&lt;/DocRef&gt;</w:t>
      </w:r>
    </w:p>
    <w:p w:rsidR="002E7F11" w:rsidRPr="007E4DC0" w:rsidRDefault="002410C3">
      <w:pPr>
        <w:pStyle w:val="CoverNormal24a"/>
      </w:pPr>
      <w:r w:rsidRPr="007E4DC0">
        <w:rPr>
          <w:rStyle w:val="HideTWBExt"/>
        </w:rPr>
        <w:t>&lt;Commission&gt;</w:t>
      </w:r>
      <w:r w:rsidRPr="007E4DC0">
        <w:rPr>
          <w:rStyle w:val="HideTWBInt"/>
          <w:color w:val="auto"/>
        </w:rPr>
        <w:t>{PETI}</w:t>
      </w:r>
      <w:r w:rsidRPr="007E4DC0">
        <w:t>Výbor pre petície</w:t>
      </w:r>
      <w:r w:rsidRPr="007E4DC0">
        <w:rPr>
          <w:rStyle w:val="HideTWBExt"/>
        </w:rPr>
        <w:t>&lt;/Commission&gt;</w:t>
      </w:r>
    </w:p>
    <w:p w:rsidR="002E7F11" w:rsidRPr="007E4DC0" w:rsidRDefault="002410C3">
      <w:pPr>
        <w:pStyle w:val="CoverNormal24a"/>
      </w:pPr>
      <w:r w:rsidRPr="007E4DC0">
        <w:t xml:space="preserve">Spravodajca: </w:t>
      </w:r>
      <w:r w:rsidRPr="007E4DC0">
        <w:rPr>
          <w:rStyle w:val="HideTWBExt"/>
        </w:rPr>
        <w:t>&lt;Depute&gt;</w:t>
      </w:r>
      <w:r w:rsidRPr="007E4DC0">
        <w:t>Alex Agius Saliba</w:t>
      </w:r>
      <w:r w:rsidRPr="007E4DC0">
        <w:rPr>
          <w:rStyle w:val="HideTWBExt"/>
        </w:rPr>
        <w:t>&lt;/Depute&gt;</w:t>
      </w:r>
    </w:p>
    <w:p w:rsidR="002E7F11" w:rsidRPr="007E4DC0" w:rsidRDefault="002410C3" w:rsidP="00A63348">
      <w:pPr>
        <w:widowControl/>
        <w:tabs>
          <w:tab w:val="center" w:pos="4677"/>
        </w:tabs>
      </w:pPr>
      <w:r w:rsidRPr="007E4DC0">
        <w:br w:type="page"/>
      </w:r>
      <w:r w:rsidRPr="007E4DC0">
        <w:lastRenderedPageBreak/>
        <w:t>PR_INI_AnnPETI</w:t>
      </w:r>
    </w:p>
    <w:p w:rsidR="002E7F11" w:rsidRPr="007E4DC0" w:rsidRDefault="002410C3">
      <w:pPr>
        <w:pStyle w:val="TOCHeading"/>
      </w:pPr>
      <w:r w:rsidRPr="007E4DC0">
        <w:t>OBSAH</w:t>
      </w:r>
    </w:p>
    <w:p w:rsidR="002E7F11" w:rsidRPr="007E4DC0" w:rsidRDefault="002410C3">
      <w:pPr>
        <w:pStyle w:val="TOCPage"/>
      </w:pPr>
      <w:r w:rsidRPr="007E4DC0">
        <w:t>strana</w:t>
      </w:r>
    </w:p>
    <w:p w:rsidR="002410C3" w:rsidRDefault="002410C3">
      <w:pPr>
        <w:pStyle w:val="TOC1"/>
        <w:tabs>
          <w:tab w:val="right" w:leader="dot" w:pos="9060"/>
        </w:tabs>
        <w:rPr>
          <w:rFonts w:asciiTheme="minorHAnsi" w:eastAsiaTheme="minorEastAsia" w:hAnsiTheme="minorHAnsi" w:cstheme="minorBidi"/>
          <w:noProof/>
          <w:sz w:val="22"/>
          <w:szCs w:val="22"/>
          <w:lang w:eastAsia="sk-SK"/>
        </w:rPr>
      </w:pPr>
      <w:r w:rsidRPr="007E4DC0">
        <w:rPr>
          <w:b/>
        </w:rPr>
        <w:fldChar w:fldCharType="begin"/>
      </w:r>
      <w:r w:rsidRPr="007E4DC0">
        <w:rPr>
          <w:b/>
        </w:rPr>
        <w:instrText xml:space="preserve"> TOC \t "PageHeading</w:instrText>
      </w:r>
      <w:r w:rsidR="00FA0748" w:rsidRPr="007E4DC0">
        <w:rPr>
          <w:b/>
        </w:rPr>
        <w:instrText>;</w:instrText>
      </w:r>
      <w:r w:rsidRPr="007E4DC0">
        <w:rPr>
          <w:b/>
        </w:rPr>
        <w:instrText xml:space="preserve">1" </w:instrText>
      </w:r>
      <w:r w:rsidRPr="007E4DC0">
        <w:rPr>
          <w:b/>
        </w:rPr>
        <w:fldChar w:fldCharType="separate"/>
      </w:r>
      <w:r>
        <w:rPr>
          <w:noProof/>
        </w:rPr>
        <w:t>NÁVRH UZNESENIA EURÓPSKEHO PARLAMENTU</w:t>
      </w:r>
      <w:r>
        <w:rPr>
          <w:noProof/>
        </w:rPr>
        <w:tab/>
      </w:r>
      <w:r>
        <w:rPr>
          <w:noProof/>
        </w:rPr>
        <w:fldChar w:fldCharType="begin"/>
      </w:r>
      <w:r>
        <w:rPr>
          <w:noProof/>
        </w:rPr>
        <w:instrText xml:space="preserve"> PAGEREF _Toc151389215 \h </w:instrText>
      </w:r>
      <w:r>
        <w:rPr>
          <w:noProof/>
        </w:rPr>
      </w:r>
      <w:r>
        <w:rPr>
          <w:noProof/>
        </w:rPr>
        <w:fldChar w:fldCharType="separate"/>
      </w:r>
      <w:r>
        <w:rPr>
          <w:noProof/>
        </w:rPr>
        <w:t>3</w:t>
      </w:r>
      <w:r>
        <w:rPr>
          <w:noProof/>
        </w:rPr>
        <w:fldChar w:fldCharType="end"/>
      </w:r>
    </w:p>
    <w:p w:rsidR="002410C3" w:rsidRDefault="002410C3">
      <w:pPr>
        <w:pStyle w:val="TOC1"/>
        <w:tabs>
          <w:tab w:val="right" w:leader="dot" w:pos="9060"/>
        </w:tabs>
        <w:rPr>
          <w:rFonts w:asciiTheme="minorHAnsi" w:eastAsiaTheme="minorEastAsia" w:hAnsiTheme="minorHAnsi" w:cstheme="minorBidi"/>
          <w:noProof/>
          <w:sz w:val="22"/>
          <w:szCs w:val="22"/>
          <w:lang w:eastAsia="sk-SK"/>
        </w:rPr>
      </w:pPr>
      <w:r>
        <w:rPr>
          <w:noProof/>
        </w:rPr>
        <w:t>DÔVODOVÁ SPRÁVA</w:t>
      </w:r>
      <w:r>
        <w:rPr>
          <w:noProof/>
        </w:rPr>
        <w:tab/>
      </w:r>
      <w:r>
        <w:rPr>
          <w:noProof/>
        </w:rPr>
        <w:fldChar w:fldCharType="begin"/>
      </w:r>
      <w:r>
        <w:rPr>
          <w:noProof/>
        </w:rPr>
        <w:instrText xml:space="preserve"> PAGEREF _Toc151389216 \h </w:instrText>
      </w:r>
      <w:r>
        <w:rPr>
          <w:noProof/>
        </w:rPr>
      </w:r>
      <w:r>
        <w:rPr>
          <w:noProof/>
        </w:rPr>
        <w:fldChar w:fldCharType="separate"/>
      </w:r>
      <w:r>
        <w:rPr>
          <w:noProof/>
        </w:rPr>
        <w:t>15</w:t>
      </w:r>
      <w:r>
        <w:rPr>
          <w:noProof/>
        </w:rPr>
        <w:fldChar w:fldCharType="end"/>
      </w:r>
    </w:p>
    <w:p w:rsidR="002410C3" w:rsidRDefault="002410C3">
      <w:pPr>
        <w:pStyle w:val="TOC1"/>
        <w:tabs>
          <w:tab w:val="right" w:leader="dot" w:pos="9060"/>
        </w:tabs>
        <w:rPr>
          <w:rFonts w:asciiTheme="minorHAnsi" w:eastAsiaTheme="minorEastAsia" w:hAnsiTheme="minorHAnsi" w:cstheme="minorBidi"/>
          <w:noProof/>
          <w:sz w:val="22"/>
          <w:szCs w:val="22"/>
          <w:lang w:eastAsia="sk-SK"/>
        </w:rPr>
      </w:pPr>
      <w:r>
        <w:rPr>
          <w:noProof/>
        </w:rPr>
        <w:t>INFORMÁCIE O PRIJATÍ V GESTORSKOM VÝBORE</w:t>
      </w:r>
      <w:r>
        <w:rPr>
          <w:noProof/>
        </w:rPr>
        <w:tab/>
      </w:r>
      <w:r>
        <w:rPr>
          <w:noProof/>
        </w:rPr>
        <w:fldChar w:fldCharType="begin"/>
      </w:r>
      <w:r>
        <w:rPr>
          <w:noProof/>
        </w:rPr>
        <w:instrText xml:space="preserve"> PAGEREF _Toc151389217 \h </w:instrText>
      </w:r>
      <w:r>
        <w:rPr>
          <w:noProof/>
        </w:rPr>
      </w:r>
      <w:r>
        <w:rPr>
          <w:noProof/>
        </w:rPr>
        <w:fldChar w:fldCharType="separate"/>
      </w:r>
      <w:r>
        <w:rPr>
          <w:noProof/>
        </w:rPr>
        <w:t>32</w:t>
      </w:r>
      <w:r>
        <w:rPr>
          <w:noProof/>
        </w:rPr>
        <w:fldChar w:fldCharType="end"/>
      </w:r>
    </w:p>
    <w:p w:rsidR="002410C3" w:rsidRDefault="002410C3">
      <w:pPr>
        <w:pStyle w:val="TOC1"/>
        <w:tabs>
          <w:tab w:val="right" w:leader="dot" w:pos="9060"/>
        </w:tabs>
        <w:rPr>
          <w:rFonts w:asciiTheme="minorHAnsi" w:eastAsiaTheme="minorEastAsia" w:hAnsiTheme="minorHAnsi" w:cstheme="minorBidi"/>
          <w:noProof/>
          <w:sz w:val="22"/>
          <w:szCs w:val="22"/>
          <w:lang w:eastAsia="sk-SK"/>
        </w:rPr>
      </w:pPr>
      <w:r>
        <w:rPr>
          <w:noProof/>
        </w:rPr>
        <w:t>ZÁVEREČNÉ HLASOVANIE PODĽA MIEN V GESTORSKOM VÝBORE</w:t>
      </w:r>
      <w:r>
        <w:rPr>
          <w:noProof/>
        </w:rPr>
        <w:tab/>
      </w:r>
      <w:r>
        <w:rPr>
          <w:noProof/>
        </w:rPr>
        <w:fldChar w:fldCharType="begin"/>
      </w:r>
      <w:r>
        <w:rPr>
          <w:noProof/>
        </w:rPr>
        <w:instrText xml:space="preserve"> PAGEREF _Toc151389218 \h </w:instrText>
      </w:r>
      <w:r>
        <w:rPr>
          <w:noProof/>
        </w:rPr>
      </w:r>
      <w:r>
        <w:rPr>
          <w:noProof/>
        </w:rPr>
        <w:fldChar w:fldCharType="separate"/>
      </w:r>
      <w:r>
        <w:rPr>
          <w:noProof/>
        </w:rPr>
        <w:t>33</w:t>
      </w:r>
      <w:r>
        <w:rPr>
          <w:noProof/>
        </w:rPr>
        <w:fldChar w:fldCharType="end"/>
      </w:r>
    </w:p>
    <w:p w:rsidR="00162763" w:rsidRPr="007E4DC0" w:rsidRDefault="002410C3" w:rsidP="00EC5BA7">
      <w:r w:rsidRPr="007E4DC0">
        <w:rPr>
          <w:b/>
        </w:rPr>
        <w:fldChar w:fldCharType="end"/>
      </w:r>
    </w:p>
    <w:p w:rsidR="002E7F11" w:rsidRPr="007E4DC0" w:rsidRDefault="002410C3">
      <w:pPr>
        <w:pStyle w:val="PageHeading"/>
      </w:pPr>
      <w:r w:rsidRPr="007E4DC0">
        <w:br w:type="page"/>
      </w:r>
      <w:bookmarkStart w:id="1" w:name="_Toc151389215"/>
      <w:r w:rsidRPr="007E4DC0">
        <w:lastRenderedPageBreak/>
        <w:t>NÁVRH UZNESENIA EURÓPSKEHO PARLAMENTU</w:t>
      </w:r>
      <w:bookmarkEnd w:id="1"/>
    </w:p>
    <w:p w:rsidR="002E7F11" w:rsidRPr="007E4DC0" w:rsidRDefault="002410C3">
      <w:pPr>
        <w:pStyle w:val="NormalBold"/>
      </w:pPr>
      <w:r w:rsidRPr="007E4DC0">
        <w:t>o výsledkoch rokovaní Výboru pre petície v roku 2022</w:t>
      </w:r>
    </w:p>
    <w:p w:rsidR="002E7F11" w:rsidRPr="007E4DC0" w:rsidRDefault="002410C3" w:rsidP="00374DEE">
      <w:pPr>
        <w:pStyle w:val="NormalBold"/>
      </w:pPr>
      <w:r w:rsidRPr="007E4DC0">
        <w:t>(2023/2047(INI))</w:t>
      </w:r>
    </w:p>
    <w:p w:rsidR="002E7F11" w:rsidRPr="007E4DC0" w:rsidRDefault="002410C3" w:rsidP="00374DEE">
      <w:pPr>
        <w:pStyle w:val="EPComma"/>
      </w:pPr>
      <w:r w:rsidRPr="007E4DC0">
        <w:rPr>
          <w:i/>
          <w:iCs/>
        </w:rPr>
        <w:t>Európsky parlament</w:t>
      </w:r>
      <w:r w:rsidRPr="007E4DC0">
        <w:t>,</w:t>
      </w:r>
    </w:p>
    <w:p w:rsidR="002E7F11" w:rsidRPr="007E4DC0" w:rsidRDefault="002410C3">
      <w:pPr>
        <w:pStyle w:val="NormalHanging12a"/>
      </w:pPr>
      <w:r w:rsidRPr="007E4DC0">
        <w:t>–</w:t>
      </w:r>
      <w:r w:rsidRPr="007E4DC0">
        <w:tab/>
        <w:t>so zreteľom na svoje</w:t>
      </w:r>
      <w:r w:rsidRPr="007E4DC0">
        <w:t xml:space="preserve"> predchádzajúce uznesenia o výsledkoch rokovaní Výboru pre petície,</w:t>
      </w:r>
    </w:p>
    <w:p w:rsidR="00E77D6C" w:rsidRPr="007E4DC0" w:rsidRDefault="002410C3" w:rsidP="00E77D6C">
      <w:pPr>
        <w:pStyle w:val="NormalHanging12a"/>
      </w:pPr>
      <w:r w:rsidRPr="007E4DC0">
        <w:t>–</w:t>
      </w:r>
      <w:r w:rsidRPr="007E4DC0">
        <w:tab/>
        <w:t>so zreteľom na články 10 a 11 Zmluvy o Európskej únii (ďalej len „Zmluva o EÚ“),</w:t>
      </w:r>
    </w:p>
    <w:p w:rsidR="00BA5E6B" w:rsidRPr="007E4DC0" w:rsidRDefault="002410C3" w:rsidP="00BA5E6B">
      <w:pPr>
        <w:pStyle w:val="NormalHanging12a"/>
      </w:pPr>
      <w:r w:rsidRPr="007E4DC0">
        <w:t>–</w:t>
      </w:r>
      <w:r w:rsidRPr="007E4DC0">
        <w:tab/>
        <w:t>so zreteľom na články 20, 24 a 227 Zmluvy o fungovaní Európskej únie (ďalej len „ZFEÚ“), v ktorých sa p</w:t>
      </w:r>
      <w:r w:rsidRPr="007E4DC0">
        <w:t>oukazuje na význam, ktorý sa v zmluve prikladá právu občanov EÚ a osôb s pobytom v EÚ upriamiť pozornosť Európskeho parlamentu na ich obavy,</w:t>
      </w:r>
    </w:p>
    <w:p w:rsidR="00E77D6C" w:rsidRPr="007E4DC0" w:rsidRDefault="002410C3" w:rsidP="00E77D6C">
      <w:pPr>
        <w:pStyle w:val="NormalHanging12a"/>
      </w:pPr>
      <w:r w:rsidRPr="007E4DC0">
        <w:t>–</w:t>
      </w:r>
      <w:r w:rsidRPr="007E4DC0">
        <w:tab/>
        <w:t>so zreteľom na článok 228 ZFEÚ o úlohe a funkciách európskeho ombudsmana,</w:t>
      </w:r>
    </w:p>
    <w:p w:rsidR="002E7F11" w:rsidRPr="007E4DC0" w:rsidRDefault="002410C3">
      <w:pPr>
        <w:pStyle w:val="NormalHanging12a"/>
      </w:pPr>
      <w:r w:rsidRPr="007E4DC0">
        <w:t>–</w:t>
      </w:r>
      <w:r w:rsidRPr="007E4DC0">
        <w:tab/>
        <w:t>so zreteľom na článok 44 Charty zákla</w:t>
      </w:r>
      <w:r w:rsidRPr="007E4DC0">
        <w:t>dných práv Európskej únie o práve obrátiť sa s petíciou na Európsky parlament,</w:t>
      </w:r>
    </w:p>
    <w:p w:rsidR="00E77D6C" w:rsidRPr="007E4DC0" w:rsidRDefault="002410C3" w:rsidP="00E77D6C">
      <w:pPr>
        <w:pStyle w:val="NormalHanging12a"/>
      </w:pPr>
      <w:r w:rsidRPr="007E4DC0">
        <w:t>–</w:t>
      </w:r>
      <w:r w:rsidRPr="007E4DC0">
        <w:tab/>
        <w:t>so zreteľom na ustanovenia ZFEÚ, ktoré sa týkajú postupu v prípade nesplnenia povinnosti, najmä na články 258 a 260,</w:t>
      </w:r>
    </w:p>
    <w:p w:rsidR="00E77D6C" w:rsidRPr="007E4DC0" w:rsidRDefault="002410C3" w:rsidP="00E77D6C">
      <w:pPr>
        <w:pStyle w:val="NormalHanging12a"/>
      </w:pPr>
      <w:r w:rsidRPr="007E4DC0">
        <w:t>–</w:t>
      </w:r>
      <w:r w:rsidRPr="007E4DC0">
        <w:tab/>
        <w:t>so zreteľom na článok 54 a článok 227 ods. 7 rokovacieho</w:t>
      </w:r>
      <w:r w:rsidRPr="007E4DC0">
        <w:t xml:space="preserve"> poriadku,</w:t>
      </w:r>
    </w:p>
    <w:p w:rsidR="002E7F11" w:rsidRPr="007E4DC0" w:rsidRDefault="002410C3">
      <w:pPr>
        <w:pStyle w:val="NormalHanging12a"/>
      </w:pPr>
      <w:r w:rsidRPr="007E4DC0">
        <w:t>–</w:t>
      </w:r>
      <w:r w:rsidRPr="007E4DC0">
        <w:tab/>
        <w:t>so zreteľom na správu Výboru pre petície (A9-0333/2023),</w:t>
      </w:r>
    </w:p>
    <w:p w:rsidR="00E77D6C" w:rsidRPr="007E4DC0" w:rsidRDefault="002410C3" w:rsidP="00E77D6C">
      <w:pPr>
        <w:pStyle w:val="NormalHanging12a"/>
      </w:pPr>
      <w:r w:rsidRPr="007E4DC0">
        <w:t>A.</w:t>
      </w:r>
      <w:r w:rsidRPr="007E4DC0">
        <w:tab/>
        <w:t xml:space="preserve">keďže cieľom výročnej správy o výsledkoch rokovaní Výboru pre petície je predložiť analýzu petícií prijatých v roku 2021 a vzťahov s ostatnými inštitúciami a poskytnúť pravdivý obraz </w:t>
      </w:r>
      <w:r w:rsidRPr="007E4DC0">
        <w:t>o cieľoch dosiahnutých v priebehu roka 2022;</w:t>
      </w:r>
    </w:p>
    <w:p w:rsidR="00E77D6C" w:rsidRPr="007E4DC0" w:rsidRDefault="002410C3" w:rsidP="00C849EB">
      <w:pPr>
        <w:pStyle w:val="NormalHanging12a"/>
      </w:pPr>
      <w:r w:rsidRPr="007E4DC0">
        <w:t>B.</w:t>
      </w:r>
      <w:r w:rsidRPr="007E4DC0">
        <w:tab/>
        <w:t>keďže v roku 2022 dostal Parlament 1 217 petícií, čo predstavuje pokles o 12,6 % v porovnaní s 1 392 petíciami predloženými v roku 2020 a pokles o 22,6 % v porovnaní s 1 573 petíciami predloženými v roku 2020</w:t>
      </w:r>
      <w:r w:rsidRPr="007E4DC0">
        <w:t>;</w:t>
      </w:r>
    </w:p>
    <w:p w:rsidR="00E77D6C" w:rsidRPr="007E4DC0" w:rsidRDefault="002410C3" w:rsidP="00E77D6C">
      <w:pPr>
        <w:pStyle w:val="NormalHanging12a"/>
      </w:pPr>
      <w:r w:rsidRPr="007E4DC0">
        <w:t>C.</w:t>
      </w:r>
      <w:r w:rsidRPr="007E4DC0">
        <w:tab/>
        <w:t>keďže v roku 2022 podporilo jednu alebo viacero petícií na webovom portáli Parlamentu pre petície 22 441 používateľov, čo predstavuje výrazný pokles v porovnaní so 209 272 používateľmi zaznamenanými v roku 2021 (čo samo osebe predstavovalo vysoký nára</w:t>
      </w:r>
      <w:r w:rsidRPr="007E4DC0">
        <w:t>st v porovnaní so 48 882 podporovateľmi zaznamenanými v roku 2020); keďže počet kliknutí na podporu petícií sa v roku 2022 takisto znížil na celkovo 27 927 kliknutí (v porovnaní s 217 876 v roku 2021 a 55 129 v roku 2020);</w:t>
      </w:r>
    </w:p>
    <w:p w:rsidR="00E77D6C" w:rsidRPr="007E4DC0" w:rsidRDefault="002410C3" w:rsidP="00E77D6C">
      <w:pPr>
        <w:pStyle w:val="NormalHanging12a"/>
      </w:pPr>
      <w:r w:rsidRPr="007E4DC0">
        <w:t>D.</w:t>
      </w:r>
      <w:r w:rsidRPr="007E4DC0">
        <w:tab/>
        <w:t xml:space="preserve">keďže celkový počet petícií </w:t>
      </w:r>
      <w:r w:rsidRPr="007E4DC0">
        <w:t>však zostáva v pomere k celkovému počtu obyvateľov EÚ nízky, čo ukazuje, že je stále potrebné zintenzívniť úsilie o zvýšenie informovanosti občanov o ich petičnom práve a o tom, že môže predstavovať užitočný spôsob, ako inštitúcie a členské štáty upozorniť</w:t>
      </w:r>
      <w:r w:rsidRPr="007E4DC0">
        <w:t xml:space="preserve"> na témy, ktoré sa občanov priamo týkajú a ktoré ich znepokojujú; keďže pri uplatňovaní petičného práva občania očakávajú, že hľadaním riešenia ich problémov inštitúcie EÚ poskytnú pridanú hodnotu; keďže je veľmi dôležité odpovedať predkladateľom petícií v</w:t>
      </w:r>
      <w:r w:rsidRPr="007E4DC0">
        <w:t xml:space="preserve">čas a poskytovať odôvodnené odpovede s </w:t>
      </w:r>
      <w:r w:rsidRPr="007E4DC0">
        <w:lastRenderedPageBreak/>
        <w:t>cieľom vybudovať dôveru občanov v Úniu;</w:t>
      </w:r>
    </w:p>
    <w:p w:rsidR="00E77D6C" w:rsidRPr="007E4DC0" w:rsidRDefault="002410C3" w:rsidP="00E77D6C">
      <w:pPr>
        <w:pStyle w:val="NormalHanging12a"/>
      </w:pPr>
      <w:r w:rsidRPr="007E4DC0">
        <w:t>E.</w:t>
      </w:r>
      <w:r w:rsidRPr="007E4DC0">
        <w:tab/>
        <w:t>keďže kritériá prípustnosti petícií sú stanovené v článku 227 ZFEÚ a v článku 226 rokovacieho poriadku Európskeho parlamentu, v ktorých sa vyžaduje, aby petície predložil obč</w:t>
      </w:r>
      <w:r w:rsidRPr="007E4DC0">
        <w:t>an EÚ alebo fyzická alebo právnická osoba, ktorá má bydlisko alebo sídlo v členskom štáte a priamo sa jej dotýkajú záležitosti, ktoré patria do pôsobnosti EÚ;</w:t>
      </w:r>
    </w:p>
    <w:p w:rsidR="00E77D6C" w:rsidRPr="007E4DC0" w:rsidRDefault="002410C3" w:rsidP="00E77D6C">
      <w:pPr>
        <w:pStyle w:val="NormalHanging12a"/>
      </w:pPr>
      <w:r w:rsidRPr="007E4DC0">
        <w:t>F.</w:t>
      </w:r>
      <w:r w:rsidRPr="007E4DC0">
        <w:tab/>
        <w:t xml:space="preserve">keďže spomedzi 1 217 petícií predložených v roku 2022 bolo 357 vyhlásených za neprípustné a 5 </w:t>
      </w:r>
      <w:r w:rsidRPr="007E4DC0">
        <w:t>bolo stiahnutých; keďže vysoký percentuálny podiel (29,46 %) neprípustných petícií v roku 2022 potvrdzuje, že občanom stále nie je dostatočne jasný rozsah oblastí zodpovednosti Únie; keďže v záujme zníženia počtu neprípustných petícií je stále potrebné vyv</w:t>
      </w:r>
      <w:r w:rsidRPr="007E4DC0">
        <w:t>íjať úsilie na ďalšie objasnenie rozsahu pôsobnosti EÚ; keďže treba podporovať a zlepšovať komunikáciu s občanmi v záujme nápravy tejto situácie;</w:t>
      </w:r>
    </w:p>
    <w:p w:rsidR="00E77D6C" w:rsidRPr="007E4DC0" w:rsidRDefault="002410C3" w:rsidP="00E77D6C">
      <w:pPr>
        <w:pStyle w:val="NormalHanging12a"/>
      </w:pPr>
      <w:r w:rsidRPr="007E4DC0">
        <w:t>G.</w:t>
      </w:r>
      <w:r w:rsidRPr="007E4DC0">
        <w:tab/>
        <w:t>keďže každá petícia sa starostlivo, efektívne a transparentne posudzuje a skúma;</w:t>
      </w:r>
    </w:p>
    <w:p w:rsidR="00BA5E6B" w:rsidRPr="007E4DC0" w:rsidRDefault="002410C3" w:rsidP="00BA5E6B">
      <w:pPr>
        <w:pStyle w:val="NormalHanging12a"/>
      </w:pPr>
      <w:r w:rsidRPr="007E4DC0">
        <w:t>H.</w:t>
      </w:r>
      <w:r w:rsidRPr="007E4DC0">
        <w:tab/>
        <w:t>keďže predkladateľmi pe</w:t>
      </w:r>
      <w:r w:rsidRPr="007E4DC0">
        <w:t>tície bývajú občania, ktorí sa zapájajú do ochrany základných práv a do zlepšovania a budúcej prosperity našich spoločností; keďže skúsenosti týchto občanov, pokiaľ ide o spracovanie ich petícií, majú silný vplyv na ich vnímanie európskych inštitúcií, info</w:t>
      </w:r>
      <w:r w:rsidRPr="007E4DC0">
        <w:t>rmovanosť o opatreniach prijatých na úrovni EÚ a dodržiavanie petičného práva zakotveného v práve EÚ;</w:t>
      </w:r>
    </w:p>
    <w:p w:rsidR="00E77D6C" w:rsidRPr="007E4DC0" w:rsidRDefault="002410C3" w:rsidP="00E77D6C">
      <w:pPr>
        <w:pStyle w:val="NormalHanging12a"/>
      </w:pPr>
      <w:r w:rsidRPr="007E4DC0">
        <w:t>I.</w:t>
      </w:r>
      <w:r w:rsidRPr="007E4DC0">
        <w:tab/>
        <w:t>keďže petičné právo obrátiť sa na Európsky parlament je jedným zo základných práv občanov EÚ; keďže petičné právo poskytuje občanom EÚ a osobám s pobyt</w:t>
      </w:r>
      <w:r w:rsidRPr="007E4DC0">
        <w:t>om v EÚ otvorený, demokratický a transparentný mechanizmus, vďaka ktorému sa môžu priamo obrátiť na svojich volených zástupcov, a preto je nevyhnutné na umožnenie aktívnej a účinnej účasti občanov na fungovaní Únie; keďže spracovanie petícií má silný vplyv</w:t>
      </w:r>
      <w:r w:rsidRPr="007E4DC0">
        <w:t xml:space="preserve"> na vnímanie inštitúcií EÚ predkladateľmi petícií a na dôveru, ktorú vkladajú v Úniu a jej politiky; keďže je preto nevyhnutné zachovávať pri uplatňovaní tohto práva a pri spracúvaní petícií vysoké štandardy; keďže občania EÚ sa môžu prostredníctvom petíci</w:t>
      </w:r>
      <w:r w:rsidRPr="007E4DC0">
        <w:t>í sťažovať na nevykonávanie právnych predpisov EÚ a môžu pomôcť pri odhaľovaní porušovania právnych predpisov EÚ;</w:t>
      </w:r>
    </w:p>
    <w:p w:rsidR="00BA5E6B" w:rsidRPr="007E4DC0" w:rsidRDefault="002410C3" w:rsidP="00BA5E6B">
      <w:pPr>
        <w:pStyle w:val="NormalHanging12a"/>
      </w:pPr>
      <w:r w:rsidRPr="007E4DC0">
        <w:t>J.</w:t>
      </w:r>
      <w:r w:rsidRPr="007E4DC0">
        <w:tab/>
        <w:t xml:space="preserve">keďže petičné právo ponúka Parlamentu príležitosť zaoberať sa sťažnosťami a obavami týkajúcimi sa otázok, ktoré patria do pôsobnosti EÚ, a </w:t>
      </w:r>
      <w:r w:rsidRPr="007E4DC0">
        <w:t>reagovať na ne; keďže petičné právo umožňuje Parlamentu a ostatným inštitúciám EÚ, najmä Komisii ako strážkyni zmlúv, posilniť ich schopnosť reagovať na údajné nedodržiavanie právnych predpisov EÚ v členských štátoch; keďže petície preto predstavujú užitoč</w:t>
      </w:r>
      <w:r w:rsidRPr="007E4DC0">
        <w:t xml:space="preserve">ný zdroj informácií, pokiaľ ide o prípady nesprávneho uplatňovania alebo porušovania práva EÚ, ako aj o nedostatky a medzery v existujúcich právnych predpisoch EÚ, a tak Parlamentu a ďalším inštitúciám EÚ umožňujú posúdiť transpozíciu a uplatňovanie práva </w:t>
      </w:r>
      <w:r w:rsidRPr="007E4DC0">
        <w:t>Únie a jeho vplyv na práva občanov EÚ a osôb s pobytom v EÚ;</w:t>
      </w:r>
    </w:p>
    <w:p w:rsidR="00E77D6C" w:rsidRPr="007E4DC0" w:rsidRDefault="002410C3" w:rsidP="00E77D6C">
      <w:pPr>
        <w:pStyle w:val="NormalHanging12a"/>
      </w:pPr>
      <w:r w:rsidRPr="007E4DC0">
        <w:t>K.</w:t>
      </w:r>
      <w:r w:rsidRPr="007E4DC0">
        <w:tab/>
        <w:t>keďže v Európskom parlamente bola zriadená medziútvarová pracovná skupina pre posunkový jazyk s cieľom vykonať opatrenia zamerané na splnenie požiadavky uvedenej v petícii č. 1056/2016 a umožn</w:t>
      </w:r>
      <w:r w:rsidRPr="007E4DC0">
        <w:t>iť tak predkladanie petícií v národných posunkových jazykoch používaných v Európskej únii;</w:t>
      </w:r>
    </w:p>
    <w:p w:rsidR="00E77D6C" w:rsidRPr="007E4DC0" w:rsidRDefault="002410C3" w:rsidP="00E77D6C">
      <w:pPr>
        <w:pStyle w:val="NormalHanging12a"/>
      </w:pPr>
      <w:r w:rsidRPr="007E4DC0">
        <w:t>L.</w:t>
      </w:r>
      <w:r w:rsidRPr="007E4DC0">
        <w:tab/>
        <w:t xml:space="preserve">keďže Európsky parlament je jedinou inštitúciou EÚ priamo volenou občanmi EÚ; keďže Európsky parlament je dlhodobo v popredí rozvoja procesu predkladania petícií </w:t>
      </w:r>
      <w:r w:rsidRPr="007E4DC0">
        <w:t xml:space="preserve">na medzinárodnej úrovni a stále má najotvorenejší a najtransparentnejší postup </w:t>
      </w:r>
      <w:r w:rsidRPr="007E4DC0">
        <w:lastRenderedPageBreak/>
        <w:t>predkladania petícií v Európe, ktorý umožňuje plnú účasť predkladateľov petícií na jeho činnostiach;</w:t>
      </w:r>
    </w:p>
    <w:p w:rsidR="00E77D6C" w:rsidRPr="007E4DC0" w:rsidRDefault="002410C3" w:rsidP="00E77D6C">
      <w:pPr>
        <w:pStyle w:val="NormalHanging12a"/>
      </w:pPr>
      <w:r w:rsidRPr="007E4DC0">
        <w:t>M.</w:t>
      </w:r>
      <w:r w:rsidRPr="007E4DC0">
        <w:tab/>
        <w:t>keďže Výbor pre petície starostlivo skúma a rieši každú petíciu predložen</w:t>
      </w:r>
      <w:r w:rsidRPr="007E4DC0">
        <w:t>ú Európskemu parlamentu; keďže každý predkladateľ petície dostáva odpoveď s informáciami o rozhodnutí výboru o prípustnosti a následných opatreniach, a to v primeranej lehote a vo vlastnom jazyku alebo v jazyku, v ktorom je petícia napísaná; keďže každý pr</w:t>
      </w:r>
      <w:r w:rsidRPr="007E4DC0">
        <w:t>edkladateľ petície má právo požiadať o opätovné otvorenie svojej petície na základe akéhokoľvek nového relevantného vývoja; keďže Komisia zopakovala, že odmieta prijať opatrenia v otázkach uvedených v jednotlivých petíciách, ak neodrážajú štrukturálne prob</w:t>
      </w:r>
      <w:r w:rsidRPr="007E4DC0">
        <w:t>lémy, a v týchto prípadoch sa treba obrátiť na vnútroštátne súdy, aby uplatňovali právo Únie;</w:t>
      </w:r>
    </w:p>
    <w:p w:rsidR="00BA5E6B" w:rsidRPr="007E4DC0" w:rsidRDefault="002410C3" w:rsidP="00BA5E6B">
      <w:pPr>
        <w:pStyle w:val="NormalHanging12a"/>
      </w:pPr>
      <w:r w:rsidRPr="007E4DC0">
        <w:t>N.</w:t>
      </w:r>
      <w:r w:rsidRPr="007E4DC0">
        <w:tab/>
        <w:t>keďže podľa článku 17 Zmluvy o EÚ musí Komisia zabezpečiť správne uplatňovanie zmlúv a opatrení prijatých na ich základe; keďže strategický prístup Komisie k r</w:t>
      </w:r>
      <w:r w:rsidRPr="007E4DC0">
        <w:t>iešeniu otázok uvedených v petíciách musí byť plne v súlade so zmluvami, aby sa zaručili účinné následné opatrenia;</w:t>
      </w:r>
    </w:p>
    <w:p w:rsidR="00BA5E6B" w:rsidRPr="007E4DC0" w:rsidRDefault="002410C3" w:rsidP="00BA5E6B">
      <w:pPr>
        <w:pStyle w:val="NormalHanging12a"/>
      </w:pPr>
      <w:r w:rsidRPr="007E4DC0">
        <w:t>O.</w:t>
      </w:r>
      <w:r w:rsidRPr="007E4DC0">
        <w:tab/>
        <w:t>keďže Výbor pre petície je jediný orgán, ktorý je v priamom kontakte s občanmi EÚ, a preto ich môže informovať o opatreniach prijatých na</w:t>
      </w:r>
      <w:r w:rsidRPr="007E4DC0">
        <w:t xml:space="preserve"> európskej, vnútroštátnej alebo miestnej úrovni;</w:t>
      </w:r>
    </w:p>
    <w:p w:rsidR="00BA5E6B" w:rsidRPr="007E4DC0" w:rsidRDefault="002410C3" w:rsidP="00BA5E6B">
      <w:pPr>
        <w:pStyle w:val="NormalHanging12a"/>
      </w:pPr>
      <w:r w:rsidRPr="007E4DC0">
        <w:t>P.</w:t>
      </w:r>
      <w:r w:rsidRPr="007E4DC0">
        <w:tab/>
        <w:t>keďže činnosť Výboru pre petície vychádza z podnetov predkladateľov petícií; keďže informácie predložené predkladateľmi petícií v petíciách a na schôdzach výboru spolu s posúdením Komisie a odpoveďami čle</w:t>
      </w:r>
      <w:r w:rsidRPr="007E4DC0">
        <w:t xml:space="preserve">nských štátov a iných orgánov sú pre činnosť výboru kľúčové; keďže prípustné petície takisto poskytujú cenné príspevky k práci ostatných parlamentných výborov, pretože ich Výbor pre petície zasiela iným výborom na prijatie stanoviska alebo pre informáciu; </w:t>
      </w:r>
      <w:r w:rsidRPr="007E4DC0">
        <w:t>keďže petície teda môžu zohrávať úlohu v rámci zákonodarného procesu tým, že ďalším parlamentným výborom poskytujú cenné podnety pre ich legislatívnu činnosť v oblastiach ich pôsobnosti;</w:t>
      </w:r>
    </w:p>
    <w:p w:rsidR="00E77D6C" w:rsidRPr="007E4DC0" w:rsidRDefault="002410C3" w:rsidP="00E77D6C">
      <w:pPr>
        <w:pStyle w:val="NormalHanging12a"/>
      </w:pPr>
      <w:r w:rsidRPr="007E4DC0">
        <w:t>Q.</w:t>
      </w:r>
      <w:r w:rsidRPr="007E4DC0">
        <w:tab/>
        <w:t>keďže Výbor pre petície pripisuje na svojich schôdzach prvoradý vý</w:t>
      </w:r>
      <w:r w:rsidRPr="007E4DC0">
        <w:t>znam preskúmaniu petícií a verejnej diskusii o nich; keďže predkladatelia petícií majú právo prezentovať svoje petície a často sa zúčastňujú na diskusii, čím aktívne prispievajú k práci výboru; keďže v roku 2022 usporiadal Výbor pre petície 12 schôdzí výbo</w:t>
      </w:r>
      <w:r w:rsidRPr="007E4DC0">
        <w:t>ru (okrem ustanovujúcej schôdze), na ktorých sa diskutovalo o 143 petíciách so 133 predkladateľmi petícií, pričom väčšina z nich sa aktívne zapojila a ujala sa slova;</w:t>
      </w:r>
    </w:p>
    <w:p w:rsidR="00BA5E6B" w:rsidRPr="007E4DC0" w:rsidRDefault="002410C3" w:rsidP="00BA5E6B">
      <w:pPr>
        <w:pStyle w:val="NormalHanging12a"/>
      </w:pPr>
      <w:r w:rsidRPr="007E4DC0">
        <w:t>R.</w:t>
      </w:r>
      <w:r w:rsidRPr="007E4DC0">
        <w:tab/>
        <w:t>keďže počet petícií doručených v roku 2022, v ktorých sa žiada o úplný súlad s právnym</w:t>
      </w:r>
      <w:r w:rsidRPr="007E4DC0">
        <w:t>i predpismi EÚ v oblasti životného prostredia a o súvisiace účinné a rýchle opatrenia v súlade so zásadou predbežnej opatrnosti s cieľom chrániť ekosystémy a biotopy s významom pre Úniu, dosiahol celkovo 258 (21,2 %), a tak predstavuje hlavnú tému, ktorá u</w:t>
      </w:r>
      <w:r w:rsidRPr="007E4DC0">
        <w:t xml:space="preserve"> predkladateľov petícií vzbudzuje obavy; keďže ďalšie hlavné problémy, na ktoré upozorňovali petície, sa týkali základných práv (17,4 %), spravodlivosti (15,6 %) a vonkajších vzťahov (10,4 %);</w:t>
      </w:r>
    </w:p>
    <w:p w:rsidR="00E77D6C" w:rsidRPr="007E4DC0" w:rsidRDefault="002410C3" w:rsidP="00E77D6C">
      <w:pPr>
        <w:pStyle w:val="NormalHanging12a"/>
      </w:pPr>
      <w:r w:rsidRPr="007E4DC0">
        <w:t>S.</w:t>
      </w:r>
      <w:r w:rsidRPr="007E4DC0">
        <w:tab/>
        <w:t>keďže Výbor pre petície pri prijímaní svojho programu schôdz</w:t>
      </w:r>
      <w:r w:rsidRPr="007E4DC0">
        <w:t>e venuje pozornosť všetkým prípustným petíciám bez ohľadu na tému petície alebo jej pôvod, a to najmä témam, ktoré majú veľký význam pre diskusiu na úrovni EÚ; keďže vo všetkých členských štátoch je potrebné zvýšiť informovanosť o petičnom práve obrátiť sa</w:t>
      </w:r>
      <w:r w:rsidRPr="007E4DC0">
        <w:t xml:space="preserve"> na Európsky parlament, najmä v tematických oblastiach, ktoré sú predmetom menšieho </w:t>
      </w:r>
      <w:r w:rsidRPr="007E4DC0">
        <w:lastRenderedPageBreak/>
        <w:t>počtu petícií, s cieľom zaručiť lepšie geografické pokrytie prijatých petícií;</w:t>
      </w:r>
    </w:p>
    <w:p w:rsidR="00E77D6C" w:rsidRPr="007E4DC0" w:rsidRDefault="002410C3" w:rsidP="00E77D6C">
      <w:pPr>
        <w:pStyle w:val="NormalHanging12a"/>
      </w:pPr>
      <w:r w:rsidRPr="007E4DC0">
        <w:t>T.</w:t>
      </w:r>
      <w:r w:rsidRPr="007E4DC0">
        <w:tab/>
        <w:t>keďže 79 % petícií prijatých v roku 2022 bolo predložených prostredníctvom webového portál</w:t>
      </w:r>
      <w:r w:rsidRPr="007E4DC0">
        <w:t>u Európskeho parlamentu pre petície, čo predstavuje mierny nárast v porovnaní s rokom 2021 (78,6 %), čím sa opäť potvrdzuje, že pre občanov ide o zďaleka najpoužívanejší spôsob predkladania petícií Európskemu parlamentu;</w:t>
      </w:r>
    </w:p>
    <w:p w:rsidR="00E77D6C" w:rsidRPr="007E4DC0" w:rsidRDefault="002410C3" w:rsidP="00E77D6C">
      <w:pPr>
        <w:pStyle w:val="NormalHanging12a"/>
      </w:pPr>
      <w:r w:rsidRPr="007E4DC0">
        <w:t>U.</w:t>
      </w:r>
      <w:r w:rsidRPr="007E4DC0">
        <w:tab/>
        <w:t>keďže v roku 2022 sa webový port</w:t>
      </w:r>
      <w:r w:rsidRPr="007E4DC0">
        <w:t>ál pre petície ešte vylepšil, aby bol pre predkladateľov petícií používateľsky ústretovejší, bezpečnejší a prístupnejší; keďže všetky petície boli pripravené a zverejnené včas, do niekoľkých dní od ich prijatia, a na všetky interné a externé žiadosti o pod</w:t>
      </w:r>
      <w:r w:rsidRPr="007E4DC0">
        <w:t>poru týkajúce sa používania a obsahu webového portálu pre petície sa odpovedalo úspešne, včas a vo všetkých jazykoch; keďže bola ďalej spustená verzia 2.0 webového portálu pre petície a bol preň vytvorený chatbot;</w:t>
      </w:r>
    </w:p>
    <w:p w:rsidR="00E77D6C" w:rsidRPr="007E4DC0" w:rsidRDefault="002410C3" w:rsidP="00E77D6C">
      <w:pPr>
        <w:pStyle w:val="NormalHanging12a"/>
      </w:pPr>
      <w:r w:rsidRPr="007E4DC0">
        <w:t>V.</w:t>
      </w:r>
      <w:r w:rsidRPr="007E4DC0">
        <w:tab/>
        <w:t>keďže v roku 2022 Výbor pre petície usk</w:t>
      </w:r>
      <w:r w:rsidRPr="007E4DC0">
        <w:t>utočnil sedem návštev na účely zistenia potrebných skutočností; keďže v porovnaní s jedinou návštevou na účely zistenia potrebných skutočností zorganizovanou v roku 2021 to predstavuje veľký nárast; keďže to možno vysvetliť potrebou minimalizovať v roku 20</w:t>
      </w:r>
      <w:r w:rsidRPr="007E4DC0">
        <w:t>21 zdravotné riziká pre poslancov a zamestnancov Parlamentu v súvislosti so šírením ochorenia COVID-19, a teda následným odkladom dvoch návštev na účely zistenia potrebných skutočností v roku 2022;</w:t>
      </w:r>
    </w:p>
    <w:p w:rsidR="00E77D6C" w:rsidRPr="007E4DC0" w:rsidRDefault="002410C3" w:rsidP="00E77D6C">
      <w:pPr>
        <w:pStyle w:val="NormalHanging12a"/>
      </w:pPr>
      <w:r w:rsidRPr="007E4DC0">
        <w:t>W.</w:t>
      </w:r>
      <w:r w:rsidRPr="007E4DC0">
        <w:tab/>
        <w:t xml:space="preserve">keďže podľa rokovacieho poriadku Európskeho parlamentu </w:t>
      </w:r>
      <w:r w:rsidRPr="007E4DC0">
        <w:t xml:space="preserve">zodpovedá Výbor pre petície za vzťahy s európskym ombudsmanom, ktorý vyšetruje sťažnosti týkajúce sa nesprávneho úradného postupu inštitúcií a orgánov EÚ; keďže súčasná európska ombudsmanka Emily O’Reilly predložila svoju výročnú správu za rok 2021 Výboru </w:t>
      </w:r>
      <w:r w:rsidRPr="007E4DC0">
        <w:t>pre petície na jeho schôdzi 8. septembra 2022;</w:t>
      </w:r>
    </w:p>
    <w:p w:rsidR="00E77D6C" w:rsidRPr="007E4DC0" w:rsidRDefault="002410C3" w:rsidP="00E77D6C">
      <w:pPr>
        <w:pStyle w:val="NormalHanging12a"/>
      </w:pPr>
      <w:r w:rsidRPr="007E4DC0">
        <w:t>X.</w:t>
      </w:r>
      <w:r w:rsidRPr="007E4DC0">
        <w:tab/>
        <w:t>keďže Výbor pre petície je členom Európskej siete ombudsmanov, do ktorej patrí aj európsky ombudsman, vnútroštátni a regionálni ombudsmani a podobné orgány v členských štátoch, kandidátskych krajinách a ďal</w:t>
      </w:r>
      <w:r w:rsidRPr="007E4DC0">
        <w:t>ších krajinách Európskeho hospodárskeho priestoru a ktorej cieľom je podporovať výmenu informácií o práve a politikách EÚ a výmenu najlepších postupov;</w:t>
      </w:r>
    </w:p>
    <w:p w:rsidR="002E7F11" w:rsidRPr="007E4DC0" w:rsidRDefault="002410C3" w:rsidP="00E77D6C">
      <w:pPr>
        <w:pStyle w:val="NormalHanging12a"/>
      </w:pPr>
      <w:r w:rsidRPr="007E4DC0">
        <w:t>Y.</w:t>
      </w:r>
      <w:r w:rsidRPr="007E4DC0">
        <w:tab/>
        <w:t>keďže ďalšie zlepšovanie účasti občanov je kľúčovým prvkom priblíženia EÚ jej občanom; keďže 26. a 27</w:t>
      </w:r>
      <w:r w:rsidRPr="007E4DC0">
        <w:t>. januára 2022 Výbor pre petície prijal správu o iniciatíve s názvom V ústrety občanom: petičné právo, právo predložiť vec európskemu ombudsmanovi a európska iniciatíva občanov</w:t>
      </w:r>
      <w:r w:rsidRPr="007E4DC0">
        <w:rPr>
          <w:rStyle w:val="FootnoteReference"/>
        </w:rPr>
        <w:footnoteReference w:id="1"/>
      </w:r>
      <w:r w:rsidRPr="007E4DC0">
        <w:t xml:space="preserve"> so záverom, že Konferencia o budúcnosti Európy by mala viesť k zlepšeniu nástr</w:t>
      </w:r>
      <w:r w:rsidRPr="007E4DC0">
        <w:t>ojov participatívnej demokracie; keďže Európsky parlament prijal 9. marca 2022 na základe správy Výboru pre petície uznesenie; keďže Výbor pre petície sa domnieva, že európska iniciatíva občanov je dôležitým nástrojom participatívnej demokracie, ktorý obča</w:t>
      </w:r>
      <w:r w:rsidRPr="007E4DC0">
        <w:t>nom umožňuje aktívne sa zapájať do tvorby politík a právnych predpisov Únie;</w:t>
      </w:r>
    </w:p>
    <w:p w:rsidR="00E77D6C" w:rsidRPr="007E4DC0" w:rsidRDefault="002410C3" w:rsidP="00E77D6C">
      <w:pPr>
        <w:pStyle w:val="NormalHanging12a"/>
      </w:pPr>
      <w:r w:rsidRPr="007E4DC0">
        <w:t>1.</w:t>
      </w:r>
      <w:r w:rsidRPr="007E4DC0">
        <w:tab/>
        <w:t>zdôrazňuje zásadnú úlohu Výboru pre petície pri ochrane a podpore práv občanov a obyvateľov EÚ zabezpečením včasného, účinného, primeraného a nediskriminačného preskúmania obáv</w:t>
      </w:r>
      <w:r w:rsidRPr="007E4DC0">
        <w:t xml:space="preserve"> a sťažností predkladateľov petícií a ich informovania o prijatých opatreniach a dosiahnutom pokroku v súvislosti s ich petíciami, ako aj ich riešenia prostredníctvom otvoreného, demokratického a transparentného procesu predkladania </w:t>
      </w:r>
      <w:r w:rsidRPr="007E4DC0">
        <w:lastRenderedPageBreak/>
        <w:t>petícií;</w:t>
      </w:r>
    </w:p>
    <w:p w:rsidR="00E77D6C" w:rsidRPr="007E4DC0" w:rsidRDefault="002410C3" w:rsidP="00E77D6C">
      <w:pPr>
        <w:pStyle w:val="NormalHanging12a"/>
      </w:pPr>
      <w:r w:rsidRPr="007E4DC0">
        <w:t>2.</w:t>
      </w:r>
      <w:r w:rsidRPr="007E4DC0">
        <w:tab/>
        <w:t>opätovne zd</w:t>
      </w:r>
      <w:r w:rsidRPr="007E4DC0">
        <w:t>ôrazňuje význam neprestajnej verejnej diskusie o oblastiach činnosti Únie s cieľom zabezpečiť, aby boli občania správne informovaní o rozsahu právomocí Únie a rôznych úrovniach rozhodovania; pripomína svoju žiadosť, aby sa prostredníctvom aktívneho zapojen</w:t>
      </w:r>
      <w:r w:rsidRPr="007E4DC0">
        <w:t>ia komunikačných služieb uskutočnili rozsiahlejšie kampane na zvýšenie informovanosti vo všetkých úradných jazykoch EÚ, ktoré by pomohli zvýšiť informovanosť občanov o ich práve predložiť petíciu Európskemu parlamentu, ako aj o rozsahu pôsobnosti Únie a pr</w:t>
      </w:r>
      <w:r w:rsidRPr="007E4DC0">
        <w:t>ávomociach Výboru pre petície s cieľom znížiť počet neprípustných petícií a lepšie reagovať na obavy občanov;</w:t>
      </w:r>
    </w:p>
    <w:p w:rsidR="00E77D6C" w:rsidRPr="007E4DC0" w:rsidRDefault="002410C3" w:rsidP="00E77D6C">
      <w:pPr>
        <w:pStyle w:val="NormalHanging12a"/>
      </w:pPr>
      <w:r w:rsidRPr="007E4DC0">
        <w:t>3.</w:t>
      </w:r>
      <w:r w:rsidRPr="007E4DC0">
        <w:tab/>
        <w:t>opakuje, že je dôležité, aby Komisia zrevidovala svoj strategický prístup k vybavovaniu petícií s cieľom zabezpečiť primerané následné opatreni</w:t>
      </w:r>
      <w:r w:rsidRPr="007E4DC0">
        <w:t>a v súvislosti so všetkými petíciami, v ktorých sa upozorňuje na porušovanie práva EÚ, vrátane prípadov porušenia práva uvedených v individuálnych petíciách; vyzýva Komisiu, aby poskytla právne objasnenie kľúčových pojmov, ktoré sú stanovené v jej strategi</w:t>
      </w:r>
      <w:r w:rsidRPr="007E4DC0">
        <w:t>ckom prístupe, ako napríklad „otázka širších zásad“ a „systémové zlyhanie pri presadzovaní práva EÚ“, ktoré sa pravidelne používajú v nadväznosti na petície; nabáda Komisiu, aby vykonala dôkladné vyšetrovanie a včasnejší a viedla aktívnejší dialóg s vnútro</w:t>
      </w:r>
      <w:r w:rsidRPr="007E4DC0">
        <w:t>štátnymi orgánmi s cieľom rýchlo ukončiť údajné porušovanie práva EÚ, ktoré kritizovali predkladatelia petícií, s osobitným zameraním na petície, v ktorých sa odsudzuje porušovanie práv veľkého počtu občanov a obyvateľov EÚ alebo ďalšie porušovanie práva E</w:t>
      </w:r>
      <w:r w:rsidRPr="007E4DC0">
        <w:t>Ú spojené so systémovými nedostatkami;</w:t>
      </w:r>
    </w:p>
    <w:p w:rsidR="00BA5E6B" w:rsidRPr="007E4DC0" w:rsidRDefault="002410C3" w:rsidP="00BA5E6B">
      <w:pPr>
        <w:pStyle w:val="NormalHanging12a"/>
      </w:pPr>
      <w:r w:rsidRPr="007E4DC0">
        <w:t>4.</w:t>
      </w:r>
      <w:r w:rsidRPr="007E4DC0">
        <w:tab/>
        <w:t>upozorňuje na to, že petície sú pre Parlament a ďalšie inštitúcie EÚ jedinečnou možnosťou na priame nadviazanie kontaktu s občanmi EÚ a na udržiavanie pravidelného dialógu, najmä v prípadoch, ak sa ich týka nespráv</w:t>
      </w:r>
      <w:r w:rsidRPr="007E4DC0">
        <w:t>ne uplatňovanie alebo porušenie práva EÚ; zdôrazňuje, že je potrebné posilniť spoluprácu medzi inštitúciami EÚ a vnútroštátnymi, regionálnymi a miestnymi orgánmi pri vyšetrovaniach týkajúcich sa vykonávania a dodržiavania práva EÚ; je presvedčený, že takát</w:t>
      </w:r>
      <w:r w:rsidRPr="007E4DC0">
        <w:t>o spolupráca má zásadný význam pre riešenie a vyriešenie obáv občanov súvisiacich s uplatňovaním práva EÚ a prispieva k posilneniu demokratickej legitimity a zodpovednosti Únie, ako aj k účasti občanov a obyvateľov na demokratických procesoch; požaduje pre</w:t>
      </w:r>
      <w:r w:rsidRPr="007E4DC0">
        <w:t>to účasť zástupcov členských štátov na schôdzach výboru a včasné a dôkladné reakcie na žiadosti o objasnenie alebo informácie, ktoré zasiela Výbor pre petície vnútroštátnym orgánom;</w:t>
      </w:r>
    </w:p>
    <w:p w:rsidR="00E77D6C" w:rsidRPr="007E4DC0" w:rsidRDefault="002410C3" w:rsidP="00E77D6C">
      <w:pPr>
        <w:pStyle w:val="NormalHanging12a"/>
      </w:pPr>
      <w:r w:rsidRPr="007E4DC0">
        <w:t>5.</w:t>
      </w:r>
      <w:r w:rsidRPr="007E4DC0">
        <w:tab/>
        <w:t xml:space="preserve">pripomína európsky rozmer Výboru pre petície, na ktorý sa môžu obrátiť </w:t>
      </w:r>
      <w:r w:rsidRPr="007E4DC0">
        <w:t>občania a osoby s pobytom zo všetkých 27 členských štátov v súvislosti s otázkami, ktoré patria do rozsahu pôsobnosti zmlúv EÚ a právnych predpisov EÚ; domnieva sa, že výbor má osobitnú zodpovednosť za presadzovanie tohto európskeho rozmeru a za názorné do</w:t>
      </w:r>
      <w:r w:rsidRPr="007E4DC0">
        <w:t>kazovanie pridanej hodnoty európskej jednoty a integrácie; zastáva názor, že spracúvanie petícií počas schôdzí výborov, ako aj organizovanie ciest na účely zistenia potrebných skutočností na základe týchto petícií, by malo byť geograficky vyvážené; v tejto</w:t>
      </w:r>
      <w:r w:rsidRPr="007E4DC0">
        <w:t xml:space="preserve"> súvislosti sa domnieva, že Európsky parlament by mal zvýšiť úsilie o podporu úlohy a práce svojho Výboru pre petície a zvýšiť informovanosť všetkých občanov EÚ a osobám s pobytom v EÚ o práve predložiť petíciu Európskemu parlamentu; domnieva sa, že politi</w:t>
      </w:r>
      <w:r w:rsidRPr="007E4DC0">
        <w:t xml:space="preserve">cké skupiny zastúpené vo Výbore pre petície by mali vždy, keď je to možné, zvážiť konsenzus a rovnováhu, pokiaľ ide o výber a spracovanie petícií; </w:t>
      </w:r>
    </w:p>
    <w:p w:rsidR="00E77D6C" w:rsidRPr="007E4DC0" w:rsidRDefault="002410C3" w:rsidP="00E77D6C">
      <w:pPr>
        <w:pStyle w:val="NormalHanging12a"/>
      </w:pPr>
      <w:r w:rsidRPr="007E4DC0">
        <w:lastRenderedPageBreak/>
        <w:t>6.</w:t>
      </w:r>
      <w:r w:rsidRPr="007E4DC0">
        <w:tab/>
        <w:t>pripomína, že petície významne prispievajú k úlohe Komisie ako strážkyne zmlúv tým, že ponúkajú občanom ď</w:t>
      </w:r>
      <w:r w:rsidRPr="007E4DC0">
        <w:t>alší nástroj, ktorým môžu upozorniť na údajné porušenie práva EÚ; zdôrazňuje, že spolupráca medzi Výborom pre petície a Komisiou prostredníctvom včasných a podrobných odpovedí Komisie, ktoré sú založené na dôkladnom preskúmaní otázok vznesených v petíciách</w:t>
      </w:r>
      <w:r w:rsidRPr="007E4DC0">
        <w:t xml:space="preserve">, je nevyhnutná na zabezpečenie úspešného vybavovania petícií: </w:t>
      </w:r>
    </w:p>
    <w:p w:rsidR="00E77D6C" w:rsidRPr="007E4DC0" w:rsidRDefault="002410C3" w:rsidP="00E77D6C">
      <w:pPr>
        <w:pStyle w:val="NormalHanging12a"/>
      </w:pPr>
      <w:r w:rsidRPr="007E4DC0">
        <w:t>7.</w:t>
      </w:r>
      <w:r w:rsidRPr="007E4DC0">
        <w:tab/>
        <w:t xml:space="preserve">konštatuje, že odpovede poskytnuté Komisiou nie sú vždy formulované spôsobom, ktorý je pre predkladateľov petícií zrozumiteľný; preto vyzýva Komisiu, aby zvýšila informovanosť svojich </w:t>
      </w:r>
      <w:r w:rsidRPr="007E4DC0">
        <w:t>zamestnancov o potrebe používať prirodzený, jednoduchý, empatický a vhodný jazyk s cieľom poskytnúť predkladateľom petícií jasne zrozumiteľné odpovede; nabáda Komisiu, aby delegovala úlohu prezentovať pozície Komisie na schôdzach Výboru pre petície na vyšš</w:t>
      </w:r>
      <w:r w:rsidRPr="007E4DC0">
        <w:t>ích a vysokopostavených zamestnancov; vyzýva Európsku komisiu, aby sa viac zapájala do práce Výboru pre petície, a najmä aby včas reagovala na problémy, na ktoré upozornili predkladatelia petícií;</w:t>
      </w:r>
    </w:p>
    <w:p w:rsidR="00E77D6C" w:rsidRPr="007E4DC0" w:rsidRDefault="002410C3" w:rsidP="00E77D6C">
      <w:pPr>
        <w:pStyle w:val="NormalHanging12a"/>
      </w:pPr>
      <w:r w:rsidRPr="007E4DC0">
        <w:t>8.</w:t>
      </w:r>
      <w:r w:rsidRPr="007E4DC0">
        <w:tab/>
        <w:t>berie na vedomie nedostatok systematických následných op</w:t>
      </w:r>
      <w:r w:rsidRPr="007E4DC0">
        <w:t xml:space="preserve">atrení v komunikácii Komisie s Výborom pre petície, pokiaľ ide o postupy v prípade nesplnenia povinnosti, ktoré súvisia s otázkami nastolenými v petíciách a ktoré sú často zdĺhavé a neprehľadné; konštatuje, že veľký počet prebiehajúcich postupov v prípade </w:t>
      </w:r>
      <w:r w:rsidRPr="007E4DC0">
        <w:t>nesplnenia povinnosti vrátane tých, ktoré sa týkajú otázok nastolených v mnohých petíciách, sa v štádiu pred podaním žaloby mnoho rokov odkladajú, pričom dotknuté členské štáty nepostúpia prípad Súdnemu dvoru EÚ; ako najlepší postup a kritérium na zlepšeni</w:t>
      </w:r>
      <w:r w:rsidRPr="007E4DC0">
        <w:t>e celkovej stratégie presadzovania práva EÚ víta prístup Komisie, ktorý stanovuje 12-mesačný cieľ na postúpenie prípadov porušenia právnych predpisov Súdnemu dvoru EÚ, čo je už bežnou praxou pri pretrvávajúcom zlyhaní zo strany členského štátu transponovať</w:t>
      </w:r>
      <w:r w:rsidRPr="007E4DC0">
        <w:t xml:space="preserve"> legislatívnu smernicu; domnieva sa, že užšou spoluprácou medzi Komisiou a Parlamentom by sa lepšie riešili prípady porušovania práva EÚ členskými štátmi v prípadoch predchádzajúcich postupu v prípade nesplnenia povinnosti; domnieva sa, že je nevyhnutné, a</w:t>
      </w:r>
      <w:r w:rsidRPr="007E4DC0">
        <w:t>by si vnútroštátne orgány boli vedomé dôsledkov, keď nedôjde k náprave porušenia práva Únie, ako to dokazujú petície, vrátane prípadov neúplného alebo čiastočného vykonania rozsudkov Súdneho dvora EÚ; zastáva názor, že účinnou nápravou v prípade obetí poru</w:t>
      </w:r>
      <w:r w:rsidRPr="007E4DC0">
        <w:t>šení právnych predpisov EÚ sa zvyšuje dôvera občanov v Úniu a jej politiky; opakuje svoju výzvu Komisii, aby pravidelne informovala Výbor pre petície o vývoji v konaniach o nesplnení povinnosti a zabezpečila, aby Výbor pre petície získal prístup k príslušn</w:t>
      </w:r>
      <w:r w:rsidRPr="007E4DC0">
        <w:t>ým dokumentom Komisie o postupoch v prípade nesplnenia povinnosti a o legislatívnych iniciatívach, ktoré sa začali na základe prijatých petícií, a o postupoch v rámci projektu EU Pilot; zastáva názor, že najvyššia úroveň transparentnosti a pravidelná spätn</w:t>
      </w:r>
      <w:r w:rsidRPr="007E4DC0">
        <w:t>á väzba týkajúca sa riešenia prebiehajúcich postupov Komisie v prípade nesplnenia povinnosti by boli prínosom pre následné opatrenia výboru v súvislosti s otvorenými petíciami;</w:t>
      </w:r>
    </w:p>
    <w:p w:rsidR="00E77D6C" w:rsidRPr="007E4DC0" w:rsidRDefault="002410C3" w:rsidP="00E77D6C">
      <w:pPr>
        <w:pStyle w:val="NormalHanging12a"/>
      </w:pPr>
      <w:r w:rsidRPr="007E4DC0">
        <w:t>9.</w:t>
      </w:r>
      <w:r w:rsidRPr="007E4DC0">
        <w:tab/>
        <w:t>vyzýva Komisiu, aby posúdila, či vnútroštátne orgány prijímajú potrebné opat</w:t>
      </w:r>
      <w:r w:rsidRPr="007E4DC0">
        <w:t>renia s cieľom reagovať na obavy občanov vyjadrené v ich petíciách v prípade, že dôjde k zlyhaniu pri dodržiavaní právnych predpisov EÚ, a v prípade potreby začala postupy v prípade nesplnenia povinnosti; je presvedčený, že včasný postup Komisie v prípadoc</w:t>
      </w:r>
      <w:r w:rsidRPr="007E4DC0">
        <w:t>h porušenia práva EÚ je zásadný z hľadiska predchádzania tomu, aby takéto porušenia práva nadobudli systémový charakter;</w:t>
      </w:r>
    </w:p>
    <w:p w:rsidR="00E77D6C" w:rsidRPr="007E4DC0" w:rsidRDefault="002410C3" w:rsidP="00E77D6C">
      <w:pPr>
        <w:pStyle w:val="NormalHanging12a"/>
      </w:pPr>
      <w:r w:rsidRPr="007E4DC0">
        <w:lastRenderedPageBreak/>
        <w:t>10.</w:t>
      </w:r>
      <w:r w:rsidRPr="007E4DC0">
        <w:tab/>
        <w:t>pripomína, že databáza elektronických petícií je základným vnútorným nástrojom, ktorý umožňuje členom Výboru pre petície prístup ku</w:t>
      </w:r>
      <w:r w:rsidRPr="007E4DC0">
        <w:t xml:space="preserve"> všetkým potrebným informáciám s cieľom sledovať súčasný stav každej petície a prijímať informované rozhodnutia o spracovaní petícií; konštatuje, že databáza elektronických petícií zohráva dôležitú úlohu aj v komunikácii s predkladateľmi petícií, a vyzýva </w:t>
      </w:r>
      <w:r w:rsidRPr="007E4DC0">
        <w:t>Parlament, aby pridelil zdroje na ďalší rozvoj aspektov nástroja týkajúcich sa toku dokumentov s cieľom uľahčiť a zrýchliť komunikáciu s predkladateľmi petícií;</w:t>
      </w:r>
    </w:p>
    <w:p w:rsidR="00E77D6C" w:rsidRPr="007E4DC0" w:rsidRDefault="002410C3" w:rsidP="00E77D6C">
      <w:pPr>
        <w:pStyle w:val="NormalHanging12a"/>
      </w:pPr>
      <w:r w:rsidRPr="007E4DC0">
        <w:t>11.</w:t>
      </w:r>
      <w:r w:rsidRPr="007E4DC0">
        <w:tab/>
        <w:t>víta záväzok Komisie vytvoriť s Parlamentom medziinštitucionálny IT nástroj a naliehavo žia</w:t>
      </w:r>
      <w:r w:rsidRPr="007E4DC0">
        <w:t xml:space="preserve">da jeho rýchlu implementáciu ako prostriedku na vzájomnú výmenu informácií a dokumentov o všetkých následných opatreniach prijatých v súvislosti s petíciami, ako sú postupy v prípade nesplnenia povinnosti, legislatívne návrhy alebo odpovede vnútroštátnych </w:t>
      </w:r>
      <w:r w:rsidRPr="007E4DC0">
        <w:t>orgánov, čím sa zvýši transparentnosť a efektívnosť spracovania petícií, čo by v širšom kontexte prispelo k zvýšeniu dôvery občanov v inštitúcie EÚ a v európsky projekt; nabáda Komisiu, aby využila aj iné nástroje s cieľom poskytnúť Výboru pre petície komp</w:t>
      </w:r>
      <w:r w:rsidRPr="007E4DC0">
        <w:t>lexné informácie vrátane jej výročnej správy o monitorovaní uplatňovania práva EÚ, ktorá by mala poskytnúť dôkladnú analýzu prepojenia medzi petíciami, postupmi v prípade nesplnenia povinnosti a legislatívnymi a nelegislatívnymi opatreniami prijatými na zá</w:t>
      </w:r>
      <w:r w:rsidRPr="007E4DC0">
        <w:t>klade prijatých petícií, čím by sa riešila nedostatočná transpozícia a nesprávne uplatňovanie práva EÚ členskými štátmi; zdôrazňuje, že je potrebné posilniť význam práce Výboru pre petície posilnením využívania petícií a celkových následných opatrení v súv</w:t>
      </w:r>
      <w:r w:rsidRPr="007E4DC0">
        <w:t>islosti s petíciami prijatými s cieľom lepšie riešiť potenciálne nedostatky pri uplatňovaní a vykonávaní práva EÚ, a to aj prostredníctvom petičnej siete Európskeho parlamentu;</w:t>
      </w:r>
    </w:p>
    <w:p w:rsidR="00E77D6C" w:rsidRPr="007E4DC0" w:rsidRDefault="002410C3" w:rsidP="00E77D6C">
      <w:pPr>
        <w:pStyle w:val="NormalHanging12a"/>
      </w:pPr>
      <w:r w:rsidRPr="007E4DC0">
        <w:t>12.</w:t>
      </w:r>
      <w:r w:rsidRPr="007E4DC0">
        <w:tab/>
        <w:t>pripomína, že na komplexné spracovanie petícií je nevyhnutná spolupráca s o</w:t>
      </w:r>
      <w:r w:rsidRPr="007E4DC0">
        <w:t>statnými výbormi v Európskom parlamente; konštatuje, že v roku 2022 sa 56 petícií odoslalo ďalším výborom na prijatie stanoviska a 734 petícií sa odoslalo pre informáciu; vyjadruje poľutovanie nad tým, že z 56 vyžiadaných stanovísk bolo prijatých len 25 st</w:t>
      </w:r>
      <w:r w:rsidRPr="007E4DC0">
        <w:t>anovísk; pripomína, že predkladatelia petícií sú informovaní o rozhodnutiach požiadať ostatné výbory o stanovisko na účely spracovania petícií; zdôrazňuje, že parlamentné výbory by mali zintenzívniť svoje úsilie a aktívne prispievať k preskúmaniu petícií –</w:t>
      </w:r>
      <w:r w:rsidRPr="007E4DC0">
        <w:t xml:space="preserve"> poskytovaním svojich odborných znalostí – a umožniť tak Európskemu parlamentu pohotovejšie a komplexnejšie reagovať na obavy občanov;</w:t>
      </w:r>
    </w:p>
    <w:p w:rsidR="00E77D6C" w:rsidRPr="007E4DC0" w:rsidRDefault="002410C3" w:rsidP="00E77D6C">
      <w:pPr>
        <w:pStyle w:val="NormalHanging12a"/>
      </w:pPr>
      <w:r w:rsidRPr="007E4DC0">
        <w:t>13.</w:t>
      </w:r>
      <w:r w:rsidRPr="007E4DC0">
        <w:tab/>
        <w:t>domnieva sa, že petičná sieť je užitočným nástrojom na uľahčenie monitorovania petícií v rámci parlamentnej a legisla</w:t>
      </w:r>
      <w:r w:rsidRPr="007E4DC0">
        <w:t>tívnej činnosti; verí, že pravidelné schôdze petičnej siete sú kľúčové na zabezpečenie väčšieho zviditeľnenia činností Výboru pre petície a lepšieho pochopenia jeho práce a poslania a na posilnenie spolupráce s ostatnými parlamentnými výbormi; domnieva sa,</w:t>
      </w:r>
      <w:r w:rsidRPr="007E4DC0">
        <w:t xml:space="preserve"> že by sa mohla zlepšiť výmena informácií o konkrétnych petíciách týkajúcich sa prebiehajúcej legislatívnej práce;</w:t>
      </w:r>
    </w:p>
    <w:p w:rsidR="00E77D6C" w:rsidRPr="007E4DC0" w:rsidRDefault="002410C3" w:rsidP="00E77D6C">
      <w:pPr>
        <w:pStyle w:val="NormalHanging12a"/>
      </w:pPr>
      <w:r w:rsidRPr="007E4DC0">
        <w:t>14.</w:t>
      </w:r>
      <w:r w:rsidRPr="007E4DC0">
        <w:tab/>
        <w:t>zdôrazňuje, že Výbor pre petície vyjadril svoj postoj k dôležitým otázkam nastoleným v petíciách tým, že prijal svoju správu o výsledkoch</w:t>
      </w:r>
      <w:r w:rsidRPr="007E4DC0">
        <w:t xml:space="preserve"> rokovaní Výboru pre petície v roku 2021</w:t>
      </w:r>
      <w:r w:rsidRPr="007E4DC0">
        <w:rPr>
          <w:rStyle w:val="FootnoteReference"/>
        </w:rPr>
        <w:footnoteReference w:id="2"/>
      </w:r>
      <w:r w:rsidRPr="007E4DC0">
        <w:t>, svoju správu s názvom V ústrety občanom: petičné právo, právo predložiť vec európskemu ombudsmanovi a európska iniciatíva občanov, svoju správu s názvom Správa o občianstve za rok 2020: posilnenie postavenia občan</w:t>
      </w:r>
      <w:r w:rsidRPr="007E4DC0">
        <w:t>ov a ochrana ich práv</w:t>
      </w:r>
      <w:r w:rsidRPr="007E4DC0">
        <w:rPr>
          <w:rStyle w:val="FootnoteReference"/>
        </w:rPr>
        <w:footnoteReference w:id="3"/>
      </w:r>
      <w:r w:rsidRPr="007E4DC0">
        <w:t xml:space="preserve">, stanovisko s názvom Lepšia právna regulácia: spojme sily v záujme lepšej tvorby </w:t>
      </w:r>
      <w:r w:rsidRPr="007E4DC0">
        <w:lastRenderedPageBreak/>
        <w:t>právnych predpisov</w:t>
      </w:r>
      <w:r w:rsidRPr="007E4DC0">
        <w:rPr>
          <w:rStyle w:val="FootnoteReference"/>
        </w:rPr>
        <w:footnoteReference w:id="4"/>
      </w:r>
      <w:r w:rsidRPr="007E4DC0">
        <w:t xml:space="preserve"> a svoje stanovisko z 15. marca 2022 k Správe Komisie o právnom štáte za rok 2021</w:t>
      </w:r>
      <w:r w:rsidRPr="007E4DC0">
        <w:rPr>
          <w:rStyle w:val="FootnoteReference"/>
        </w:rPr>
        <w:footnoteReference w:id="5"/>
      </w:r>
      <w:r w:rsidRPr="007E4DC0">
        <w:t>;</w:t>
      </w:r>
    </w:p>
    <w:p w:rsidR="00BA5E6B" w:rsidRPr="007E4DC0" w:rsidRDefault="002410C3" w:rsidP="00BA5E6B">
      <w:pPr>
        <w:pStyle w:val="NormalHanging12a"/>
      </w:pPr>
      <w:r w:rsidRPr="007E4DC0">
        <w:t>15.</w:t>
      </w:r>
      <w:r w:rsidRPr="007E4DC0">
        <w:tab/>
        <w:t>zdôrazňuje obrovský nárast počtu petícií pred</w:t>
      </w:r>
      <w:r w:rsidRPr="007E4DC0">
        <w:t>ložených v súvislosti s otázkami vonkajších vzťahov v porovnaní s predchádzajúcimi rokmi; konštatuje, že to možno vysvetliť geopolitickým kontextom v roku 2022, a najmä ruskou agresiou voči Ukrajine; konštatuje, že Výbor pre petície zohľadnil okrem iného o</w:t>
      </w:r>
      <w:r w:rsidRPr="007E4DC0">
        <w:t>bavy občanov týkajúce sa bezpečnosti, humanitárnej pomoci, sankcií, bezpečnosti dodávok potravín, vojenskej a finančnej podpory Ukrajine, riešenia konfliktov, vízovej politiky, dodávok energie a integrácie Ukrajiny do EÚ, pričom do programu zaradil niekoľk</w:t>
      </w:r>
      <w:r w:rsidRPr="007E4DC0">
        <w:t xml:space="preserve">o petícií, ktoré sa zaoberajú najmä otázkami týkajúcimi sa situácie utečencov, práv detí a dodávok potravín; zdôrazňuje, že najmä Výbor pre zahraničné veci a Výbor pre občianske slobody, spravodlivosť a vnútorné veci by mali tieto petície vziať na vedomie </w:t>
      </w:r>
      <w:r w:rsidRPr="007E4DC0">
        <w:t>pri rokovaniach týkajúcich sa Ukrajiny;</w:t>
      </w:r>
    </w:p>
    <w:p w:rsidR="00E77D6C" w:rsidRPr="007E4DC0" w:rsidRDefault="002410C3" w:rsidP="00E77D6C">
      <w:pPr>
        <w:pStyle w:val="NormalHanging12a"/>
      </w:pPr>
      <w:r w:rsidRPr="007E4DC0">
        <w:t>16.</w:t>
      </w:r>
      <w:r w:rsidRPr="007E4DC0">
        <w:tab/>
        <w:t>berie na vedomie, že zdravie, ktoré bolo jednou z hlavných tém predkladateľov petícií v roku 2021, najmä z dôvodu zdravotných obáv súvisiacich s pandémiou ochorenia COVID-19, sa v roku 2022 zdalo menej dôležité v</w:t>
      </w:r>
      <w:r w:rsidRPr="007E4DC0">
        <w:t>zhľadom na skutočnosť, že počet petícií týkajúcich sa ochorenia COVID-19, ktoré Výbor pre petície preskúmal a zodpovedal v roku 2022, sa v porovnaní s rokom 2021 znížil;</w:t>
      </w:r>
    </w:p>
    <w:p w:rsidR="00E77D6C" w:rsidRPr="007E4DC0" w:rsidRDefault="002410C3" w:rsidP="00E77D6C">
      <w:pPr>
        <w:pStyle w:val="NormalHanging12a"/>
      </w:pPr>
      <w:r w:rsidRPr="007E4DC0">
        <w:t>17.</w:t>
      </w:r>
      <w:r w:rsidRPr="007E4DC0">
        <w:tab/>
        <w:t xml:space="preserve">upozorňuje na značný počet petícií, o ktorých sa diskutuje v súvislosti s rôznymi </w:t>
      </w:r>
      <w:r w:rsidRPr="007E4DC0">
        <w:t xml:space="preserve">aspektmi ochrany práv dúhových rodín v EÚ, najmä na rôzne postoje k právam na voľný pohyb a vzájomné uznávanie LGBTI+ rodín v EÚ; pripomína verejné vypočutie o diskriminácii na základe sexuálnej orientácie, ktoré Výbor pre petície zorganizoval 1. decembra </w:t>
      </w:r>
      <w:r w:rsidRPr="007E4DC0">
        <w:t>2022 a na ktorom sa posudzovali právne ťažkosti, s ktorými sa dúhové rodiny stretávajú vo svojom každodennom živote v členských štátoch, a diskutovalo sa o situácii týkajúcej sa vzájomného uznávania rodičovstva a manželstiev, ako aj o otázkach starostlivos</w:t>
      </w:r>
      <w:r w:rsidRPr="007E4DC0">
        <w:t>ti o dieťa;</w:t>
      </w:r>
    </w:p>
    <w:p w:rsidR="00E77D6C" w:rsidRPr="007E4DC0" w:rsidRDefault="002410C3" w:rsidP="00E77D6C">
      <w:pPr>
        <w:pStyle w:val="NormalHanging12a"/>
      </w:pPr>
      <w:r w:rsidRPr="007E4DC0">
        <w:t>18.</w:t>
      </w:r>
      <w:r w:rsidRPr="007E4DC0">
        <w:tab/>
        <w:t>poukazuje na to, že petície týkajúce sa práv národnostných menšín sú stále na programe Výboru pre petície, najmä v oblastiach diskriminačných postupov týkajúcich sa ich práva na vzdelanie v ich materinskom jazyku a používania jazykov; pouka</w:t>
      </w:r>
      <w:r w:rsidRPr="007E4DC0">
        <w:t>zuje na verejné vypočutie o kultúrnej a jazykovej rozmanitosti v EÚ, ktoré 20. apríla 2022 zorganizoval Výbor pre petície a ktoré sa zaoberalo rôznymi otázkami ovplyvňujúcimi používanie jazyka menšín a možnosťami ochrany a podpory kultúrnej a jazykovej roz</w:t>
      </w:r>
      <w:r w:rsidRPr="007E4DC0">
        <w:t>manitosti v EÚ; považuje za potrebné, aby EÚ podporovala výučbu a používanie regionálnych a menšinových jazykov;</w:t>
      </w:r>
    </w:p>
    <w:p w:rsidR="00E77D6C" w:rsidRPr="007E4DC0" w:rsidRDefault="002410C3" w:rsidP="00E77D6C">
      <w:pPr>
        <w:pStyle w:val="NormalHanging12a"/>
        <w:rPr>
          <w:rFonts w:eastAsia="Calibri"/>
        </w:rPr>
      </w:pPr>
      <w:r w:rsidRPr="007E4DC0">
        <w:t>19.</w:t>
      </w:r>
      <w:r w:rsidRPr="007E4DC0">
        <w:tab/>
        <w:t>konštatuje, že v roku 2022 naďalej vyvolávali vážne obavy predkladateľov petícií otázky týkajúce sa životného prostredia, pričom týmto otáz</w:t>
      </w:r>
      <w:r w:rsidRPr="007E4DC0">
        <w:t xml:space="preserve">kam sa venovalo viac ako 20 % petícií; konštatuje, že niektoré z týchto petícií poukazujú na nesprávne vykonávanie právnych predpisov EÚ členskými štátmi, pričom niektoré členské štáty už čelia konaniam o porušení právnych predpisov EÚ v oblasti životného </w:t>
      </w:r>
      <w:r w:rsidRPr="007E4DC0">
        <w:t xml:space="preserve">prostredia; konštatuje, že mnohé petície obsahujú sťažnosti okrem iného na kvalitu ovzdušia, </w:t>
      </w:r>
      <w:r w:rsidRPr="007E4DC0">
        <w:lastRenderedPageBreak/>
        <w:t>znečistenie hlukom, odpadové hospodárstvo a zhoršovanie stavu jedinečných ekosystémov a druhov vrátane posledných pralesov a pralesov v Európe a neoceniteľných mok</w:t>
      </w:r>
      <w:r w:rsidRPr="007E4DC0">
        <w:t>radí a rašelinísk; poukazuje na porušenia právnych predpisov EÚ vrátane rámcovej smernice o vode</w:t>
      </w:r>
      <w:r w:rsidRPr="007E4DC0">
        <w:rPr>
          <w:rStyle w:val="FootnoteReference"/>
          <w:rFonts w:eastAsia="Calibri"/>
        </w:rPr>
        <w:footnoteReference w:id="6"/>
      </w:r>
      <w:r w:rsidRPr="007E4DC0">
        <w:t>, smernice o vtákoch</w:t>
      </w:r>
      <w:r w:rsidRPr="007E4DC0">
        <w:rPr>
          <w:rStyle w:val="FootnoteReference"/>
          <w:rFonts w:eastAsia="Calibri"/>
        </w:rPr>
        <w:footnoteReference w:id="7"/>
      </w:r>
      <w:r w:rsidRPr="007E4DC0">
        <w:t xml:space="preserve"> a smernice o biotopoch</w:t>
      </w:r>
      <w:r w:rsidRPr="007E4DC0">
        <w:rPr>
          <w:rStyle w:val="FootnoteReference"/>
          <w:rFonts w:eastAsia="Calibri"/>
        </w:rPr>
        <w:footnoteReference w:id="8"/>
      </w:r>
      <w:r w:rsidRPr="007E4DC0">
        <w:t>; v tejto súvislosti vyzýva Komisiu, aby v prípadoch, keď sa zistilo nevykonanie právnych predpisov EÚ v oblasti ž</w:t>
      </w:r>
      <w:r w:rsidRPr="007E4DC0">
        <w:t>ivotného prostredia, bezodkladne začala postup v prípade nesplnenia povinnosti, ktorý by sa mal dokončiť v primeranom časovom rámci, aby sa zabránilo ďalšiemu zhoršovaniu životného prostredia; poukazuje na prácu, v ktorej Výbor pre petície pokračoval v rok</w:t>
      </w:r>
      <w:r w:rsidRPr="007E4DC0">
        <w:t>u 2022 v súvislosti s vplyvom ťažobných činností na životné prostredie a zaradil niekoľko petícií prijatých na túto tému do programu rokovania; upozorňuje na niektoré energetické projekty, najmä projekty súvisiace s veternými elektrárňami, a na verejné vyp</w:t>
      </w:r>
      <w:r w:rsidRPr="007E4DC0">
        <w:t>očutie z 15. júna 2022 o sociálnych a environmentálnych vplyvoch energie z obnoviteľných zdrojov; zdôrazňuje vysoký počet petícií o riadení a ochrane populácií medveďa hnedého a vlka v EÚ, ktoré si vyžadujú plnú spoluprácu všetkých príslušných orgánov na m</w:t>
      </w:r>
      <w:r w:rsidRPr="007E4DC0">
        <w:t>iestnej, regionálnej a vnútroštátnej úrovni a na úrovni EÚ s cieľom nájsť účinné riešenia na ochranu a riadenie veľkých mäsožravcov;</w:t>
      </w:r>
    </w:p>
    <w:p w:rsidR="002E439D" w:rsidRPr="007E4DC0" w:rsidRDefault="002410C3" w:rsidP="002E439D">
      <w:pPr>
        <w:pStyle w:val="NormalHanging12a"/>
      </w:pPr>
      <w:r w:rsidRPr="007E4DC0">
        <w:t>20.</w:t>
      </w:r>
      <w:r w:rsidRPr="007E4DC0">
        <w:tab/>
        <w:t>upozorňuje na verejné vypočutie Výboru pre petície z 25. marca 2022 o európskom prokurátorovi zodpovednom za životné pr</w:t>
      </w:r>
      <w:r w:rsidRPr="007E4DC0">
        <w:t>ostredie, na ktorom sa posúdili nedostatky a výzvy pri presadzovaní trestného práva EÚ v oblasti životného prostredia na základe prijatých petícií, ako aj nové nástroje na boj proti trestným činom proti životnému prostrediu vrátane možného vytvorenia Európ</w:t>
      </w:r>
      <w:r w:rsidRPr="007E4DC0">
        <w:t>skej prokuratúry pre životné prostredie a pripravila sa pôda pre prijatie stanoviska výboru; v tejto súvislosti poukazuje na stanovisko Výboru pre petície k návrhu smernice Európskeho parlamentu a Rady o ochrane životného prostredia prostredníctvom trestné</w:t>
      </w:r>
      <w:r w:rsidRPr="007E4DC0">
        <w:t>ho práva, ktorou sa nahrádza smernica 2008/99/ES;</w:t>
      </w:r>
    </w:p>
    <w:p w:rsidR="002E439D" w:rsidRPr="007E4DC0" w:rsidRDefault="002410C3" w:rsidP="002E439D">
      <w:pPr>
        <w:pStyle w:val="NormalHanging12a"/>
      </w:pPr>
      <w:r w:rsidRPr="007E4DC0">
        <w:t>21.</w:t>
      </w:r>
      <w:r w:rsidRPr="007E4DC0">
        <w:tab/>
        <w:t>zdôrazňuje, že je dôležité splniť očakávania občanov EÚ, pokiaľ ide o ochranu životného prostredia, a najmä prijať opatrenia v oblasti nezákonnej ťažby dreva; v tejto súvislosti zdôrazňuje následné opat</w:t>
      </w:r>
      <w:r w:rsidRPr="007E4DC0">
        <w:t>renia Parlamentu v súvislosti s petíciami č. 0289/2015, 0625/2018, 1248/2019, 0408/2020, 0722/2020 a 1056/2021, ktoré vyjadrujú obavy z nárastu nezákonnej ťažby dreva a konkrétnych prípadov praktík, ktoré sú v rozpore s právnymi predpismi EÚ v oblasti živo</w:t>
      </w:r>
      <w:r w:rsidRPr="007E4DC0">
        <w:t>tného prostredia v mnohých členských štátoch; v tejto súvislosti poukazuje na uznesenie Európskeho parlamentu z 23. júna 2022 o nezákonnej ťažbe dreva v EÚ</w:t>
      </w:r>
      <w:r w:rsidRPr="007E4DC0">
        <w:rPr>
          <w:vertAlign w:val="superscript"/>
        </w:rPr>
        <w:footnoteReference w:id="9"/>
      </w:r>
      <w:r w:rsidRPr="007E4DC0">
        <w:t>, ktoré bolo prijaté na základe návrhu uznesenia Výboru pre petície popri otázke na ústne zodpovedan</w:t>
      </w:r>
      <w:r w:rsidRPr="007E4DC0">
        <w:t>ie, a na návštevu na účely zistenia potrebných skutočností týkajúcu sa údajného porušenia právnych predpisov EÚ v oblasti životného prostredia;</w:t>
      </w:r>
    </w:p>
    <w:p w:rsidR="002D5404" w:rsidRPr="007E4DC0" w:rsidRDefault="002410C3" w:rsidP="002D5404">
      <w:pPr>
        <w:pStyle w:val="NormalHanging12a"/>
      </w:pPr>
      <w:r w:rsidRPr="007E4DC0">
        <w:t>22.</w:t>
      </w:r>
      <w:r w:rsidRPr="007E4DC0">
        <w:tab/>
        <w:t xml:space="preserve">okrem toho zdôrazňuje, že je dôležité zamyslieť sa nad požiadavkami občanov EÚ, pokiaľ ide o značný počet </w:t>
      </w:r>
      <w:r w:rsidRPr="007E4DC0">
        <w:t xml:space="preserve">petícií doručených v roku 2022, v ktorých sa požaduje zlepšenie noriem v oblasti dobrých životných podmienok zvierat vrátane prepravy </w:t>
      </w:r>
      <w:r w:rsidRPr="007E4DC0">
        <w:lastRenderedPageBreak/>
        <w:t>živých zvierat, obmedzení rýchlo rastúcich brojlerov a negatívneho vplyvu klietok a iných dobrých životných podmienok hosp</w:t>
      </w:r>
      <w:r w:rsidRPr="007E4DC0">
        <w:t>odárskych zvierat; v tejto súvislosti pripomína Komisii, aby bezodkladne splnila svoj záväzok v súlade so svojím oznámením v reakcii na európsku iniciatívu občanov s názvom Skoncujme s klietkovým chovom</w:t>
      </w:r>
      <w:r w:rsidRPr="007E4DC0">
        <w:rPr>
          <w:rStyle w:val="FootnoteReference"/>
        </w:rPr>
        <w:footnoteReference w:id="10"/>
      </w:r>
      <w:r w:rsidRPr="007E4DC0">
        <w:t xml:space="preserve"> a aby predložila legislatívny návrh o dobrých životn</w:t>
      </w:r>
      <w:r w:rsidRPr="007E4DC0">
        <w:t>ých podmienkach zvierat;</w:t>
      </w:r>
    </w:p>
    <w:p w:rsidR="00E77D6C" w:rsidRPr="007E4DC0" w:rsidRDefault="002410C3" w:rsidP="00E77D6C">
      <w:pPr>
        <w:pStyle w:val="NormalHanging12a"/>
        <w:rPr>
          <w:rFonts w:eastAsia="Calibri"/>
        </w:rPr>
      </w:pPr>
      <w:r w:rsidRPr="007E4DC0">
        <w:t>23.</w:t>
      </w:r>
      <w:r w:rsidRPr="007E4DC0">
        <w:tab/>
        <w:t>opätovne naliehavo vyzýva Komisiu, aby spolu s členskými štátmi zabezpečila správne vykonávanie právnych predpisov EÚ v oblasti životného prostredia;</w:t>
      </w:r>
    </w:p>
    <w:p w:rsidR="00BD1168" w:rsidRPr="007E4DC0" w:rsidRDefault="002410C3" w:rsidP="00BD1168">
      <w:pPr>
        <w:pStyle w:val="NormalHanging12a"/>
      </w:pPr>
      <w:r w:rsidRPr="007E4DC0">
        <w:t>24.</w:t>
      </w:r>
      <w:r w:rsidRPr="007E4DC0">
        <w:tab/>
        <w:t>zdôrazňuje dôležitý príspevok Výboru pre petície k ochrane práv osôb so z</w:t>
      </w:r>
      <w:r w:rsidRPr="007E4DC0">
        <w:t>dravotným postihnutím, o ktorom svedčí riešenie niekoľkých petícií na túto citlivú tému; v tejto súvislosti poukazuje na stanovisko Výboru pre petície s názvom Za rovnaké práva pre osoby so zdravotným postihnutím, prijaté 13. júla 2022</w:t>
      </w:r>
      <w:r w:rsidRPr="007E4DC0">
        <w:rPr>
          <w:vertAlign w:val="superscript"/>
        </w:rPr>
        <w:footnoteReference w:id="11"/>
      </w:r>
      <w:r w:rsidRPr="007E4DC0">
        <w:t xml:space="preserve">; pripomína výročný </w:t>
      </w:r>
      <w:r w:rsidRPr="007E4DC0">
        <w:t>seminár z 30. novembra 2022 o právach osôb so zdravotným postihnutím, ktorý Výbor pre petície usporiadal s cieľom bližšie prediskutovať posudzovanie zdravotného postihnutia, vzájomné uznávanie a preukaz EÚ pre osoby so zdravotným postihnutím a na ktorom po</w:t>
      </w:r>
      <w:r w:rsidRPr="007E4DC0">
        <w:t>ukázal na prekážky uvádzané v petíciách osôb so zdravotným postihnutím pri pohybe v rámci EÚ; pripomína, že Komisia by sa mala zaoberať prípadmi, keď vnútroštátne orgány odmietajú uznať práva osôb so zdravotným postihnutím na dávky sociálneho zabezpečenia,</w:t>
      </w:r>
      <w:r w:rsidRPr="007E4DC0">
        <w:t xml:space="preserve"> čím ich oberajú o prostriedky potrebné na pokrytie základných potrieb;</w:t>
      </w:r>
    </w:p>
    <w:p w:rsidR="00E77D6C" w:rsidRPr="007E4DC0" w:rsidRDefault="002410C3" w:rsidP="00E77D6C">
      <w:pPr>
        <w:pStyle w:val="NormalHanging12a"/>
        <w:rPr>
          <w:rFonts w:eastAsia="Calibri"/>
        </w:rPr>
      </w:pPr>
      <w:r w:rsidRPr="007E4DC0">
        <w:t>25.</w:t>
      </w:r>
      <w:r w:rsidRPr="007E4DC0">
        <w:tab/>
        <w:t>naliehavo žiada príslušné parlamentné útvary, aby pokračovali vo svojom úsilí a v čo najkratšom možnom čase dokončili projekt medziútvarovej pracovnej skupiny pre posunkový jazyk s</w:t>
      </w:r>
      <w:r w:rsidRPr="007E4DC0">
        <w:t xml:space="preserve"> cieľom vyhovieť požiadavkám uvedeným v petícii č. 1056/2016, aby sa predkladanie petícií umožnilo v medzinárodných a národných posunkových jazykoch používaných v EÚ, a viac tak sprístupniť základné petičné právo používateľom posunkového jazyka;</w:t>
      </w:r>
    </w:p>
    <w:p w:rsidR="00E77D6C" w:rsidRPr="007E4DC0" w:rsidRDefault="002410C3" w:rsidP="00E77D6C">
      <w:pPr>
        <w:pStyle w:val="NormalHanging12a"/>
        <w:rPr>
          <w:rFonts w:eastAsia="Calibri"/>
        </w:rPr>
      </w:pPr>
      <w:r w:rsidRPr="007E4DC0">
        <w:t>26.</w:t>
      </w:r>
      <w:r w:rsidRPr="007E4DC0">
        <w:tab/>
        <w:t>zdôraz</w:t>
      </w:r>
      <w:r w:rsidRPr="007E4DC0">
        <w:t>ňuje, že je potrebné včas zabezpečiť tlmočenie do medzinárodného posunkového jazyka a ľahko čitateľné jazykové preklady na schôdzach výborov, plenárnych schôdzach a na ďalších významných schôdzach Európskeho parlamentu, aby boli prístupné pre osoby so zdra</w:t>
      </w:r>
      <w:r w:rsidRPr="007E4DC0">
        <w:t>votným postihnutím;</w:t>
      </w:r>
    </w:p>
    <w:p w:rsidR="00E77D6C" w:rsidRPr="007E4DC0" w:rsidRDefault="002410C3" w:rsidP="00E77D6C">
      <w:pPr>
        <w:pStyle w:val="NormalHanging12a"/>
      </w:pPr>
      <w:r w:rsidRPr="007E4DC0">
        <w:t>27.</w:t>
      </w:r>
      <w:r w:rsidRPr="007E4DC0">
        <w:tab/>
        <w:t>zdôrazňuje, že Výbor pre petície zohráva v EÚ osobitnú ochrannú úlohu, pokiaľ ide o vykonávanie Dohovoru OSN o právach osôb so zdravotným postihnutím; poukazuje na dôležitú prácu, ktorá vo výbore prebieha v súvislosti s petíciami tý</w:t>
      </w:r>
      <w:r w:rsidRPr="007E4DC0">
        <w:t>kajúcimi sa otázok zdravotného postihnutia; zdôrazňuje nárast počtu petícií o zdravotnom postihnutí v roku 2022 v porovnaní s predchádzajúcimi rokmi, najmä s rokom 2021, oproti ktorému sa ich počet viac ako zdvojnásobil; konštatuje, že diskriminácia a prís</w:t>
      </w:r>
      <w:r w:rsidRPr="007E4DC0">
        <w:t>tup k vzdelávaniu a zamestnaniu naďalej patria medzi hlavné výzvy, ktorým osoby so zdravotným postihnutím čelia; poukazuje na to, že Výbor pre petície venoval osobitnú pozornosť otázkam chránených dielní, sociálneho začlenenia osôb so zdravotným postihnutí</w:t>
      </w:r>
      <w:r w:rsidRPr="007E4DC0">
        <w:t xml:space="preserve">m a zlepšenia podmienok hlasovania, najmä v prípade osôb so zdravotným postihnutím; </w:t>
      </w:r>
    </w:p>
    <w:p w:rsidR="00E77D6C" w:rsidRPr="007E4DC0" w:rsidRDefault="002410C3" w:rsidP="00E77D6C">
      <w:pPr>
        <w:pStyle w:val="NormalHanging12a"/>
      </w:pPr>
      <w:r w:rsidRPr="007E4DC0">
        <w:t>28.</w:t>
      </w:r>
      <w:r w:rsidRPr="007E4DC0">
        <w:tab/>
        <w:t xml:space="preserve">pripomína skutočnosť, že vzťahy s európskym ombudsmanom sú jednou z úloh, ktoré boli Výboru pre petície zverené rokovacím poriadkom Európskeho parlamentu; víta </w:t>
      </w:r>
      <w:r w:rsidRPr="007E4DC0">
        <w:lastRenderedPageBreak/>
        <w:t>konštru</w:t>
      </w:r>
      <w:r w:rsidRPr="007E4DC0">
        <w:t xml:space="preserve">ktívnu spoluprácu Parlamentu s európskou ombudsmankou, s ktorou Výbor pre petície sleduje spoločné ciele zabezpečenia transparentnosti, profesionality a integrity inštitúcií EÚ voči občanom EÚ, pokiaľ ide o prijímanie a vykonávanie právnych predpisov EÚ v </w:t>
      </w:r>
      <w:r w:rsidRPr="007E4DC0">
        <w:t>oblastiach, ktoré majú zásadný význam pre život ľudí, ako sú základné práva, ochrana životného prostredia, ochrana spotrebiteľa alebo práva pracovníkov;</w:t>
      </w:r>
    </w:p>
    <w:p w:rsidR="00E77D6C" w:rsidRPr="007E4DC0" w:rsidRDefault="002410C3" w:rsidP="00E77D6C">
      <w:pPr>
        <w:pStyle w:val="NormalHanging12a"/>
      </w:pPr>
      <w:r w:rsidRPr="007E4DC0">
        <w:t>29.</w:t>
      </w:r>
      <w:r w:rsidRPr="007E4DC0">
        <w:tab/>
        <w:t>uznáva pravidelný prínos európskej ombudsmanky k činnosti Výboru pre petície počas celého roka; vyj</w:t>
      </w:r>
      <w:r w:rsidRPr="007E4DC0">
        <w:t>adruje pevné presvedčenie, že inštitúcie, orgány a agentúry Únie musia zabezpečiť primerané, konzistentné a účinné opatrenia v nadväznosti na všetky odporúčania ombudsmanky;</w:t>
      </w:r>
    </w:p>
    <w:p w:rsidR="00E77D6C" w:rsidRPr="007E4DC0" w:rsidRDefault="002410C3" w:rsidP="00E77D6C">
      <w:pPr>
        <w:pStyle w:val="NormalHanging12a"/>
        <w:rPr>
          <w:szCs w:val="24"/>
        </w:rPr>
      </w:pPr>
      <w:r w:rsidRPr="007E4DC0">
        <w:t>30.</w:t>
      </w:r>
      <w:r w:rsidRPr="007E4DC0">
        <w:tab/>
        <w:t>zdôrazňuje, že európska iniciatíva občanov je dôležitým nástrojom aktívneho ob</w:t>
      </w:r>
      <w:r w:rsidRPr="007E4DC0">
        <w:t>čianstva a účasti verejnosti; zdôrazňuje, že je potrebné zlepšiť záväzky Komisie uvedené v jej odpovediach na platné európske iniciatívy občanov, aby sa neoslabila dôvera občanov v inštitút európskej iniciatívy občanov ako najvýznamnejší nástroj participat</w:t>
      </w:r>
      <w:r w:rsidRPr="007E4DC0">
        <w:t>ívnej demokracie; víta diskusiu na viacerých stretnutiach o petíciách niektorých neúspešných európskych občianskych iniciatív, ktoré dali občanom možnosť prezentovať ich myšlienky a viesť konštruktívnu diskusiu, ako aj uľahčiť účasť občanov EÚ na demokrati</w:t>
      </w:r>
      <w:r w:rsidRPr="007E4DC0">
        <w:t xml:space="preserve">ckom procese Únie; berie na vedomie značný počet nových európskych iniciatív občanov, ktoré Komisia zaregistrovala v roku 2022 a z ktorých vyplýva, že občania využívajú možnosť uplatniť participatívne nástroje na to, aby mohli zasahovať do procesov tvorby </w:t>
      </w:r>
      <w:r w:rsidRPr="007E4DC0">
        <w:t>politík a právnych predpisov; vyzýva Komisiu, aby náležite zohľadnila parlamentné uznesenia prijaté o európskych iniciatívach občanov a lepšie spolupracovala s občanmi zabezpečením adekvátnych následných opatrení v nadväznosti na úspešné európske iniciatív</w:t>
      </w:r>
      <w:r w:rsidRPr="007E4DC0">
        <w:t>y občanov;</w:t>
      </w:r>
    </w:p>
    <w:p w:rsidR="00BD1168" w:rsidRPr="007E4DC0" w:rsidRDefault="002410C3" w:rsidP="00BD1168">
      <w:pPr>
        <w:pStyle w:val="NormalHanging12a"/>
        <w:rPr>
          <w:szCs w:val="24"/>
        </w:rPr>
      </w:pPr>
      <w:r w:rsidRPr="007E4DC0">
        <w:t>31.</w:t>
      </w:r>
      <w:r w:rsidRPr="007E4DC0">
        <w:tab/>
        <w:t>pripomína, že predkladatelia petícií sa môžu zúčastňovať sa nielen na rokovaniach o petíciách, ktoré predložili, ale aj na cestách na účely zistenia potrebných skutočností nadväzujúcich na tieto petície; v tejto súvislosti sa domnieva, že ak</w:t>
      </w:r>
      <w:r w:rsidRPr="007E4DC0">
        <w:t xml:space="preserve"> by sa predkladateľom petícií poskytla príležitosť na náhradu cestovných výdavkov, keď sa zúčastnia na návšteve Výboru pre petície na účely zistenia potrebných skutočností, ktorá sa týka ich petície, by sa uľahčila ich účasť; pripomína, že návštevy na účel</w:t>
      </w:r>
      <w:r w:rsidRPr="007E4DC0">
        <w:t xml:space="preserve">y zistenia potrebných skutočností predstavujú dôležitú súčasť ročných činností Výboru pre petície a že v roku 2022, keďže Výbor pre petície dostal mnoho emocionálnych petícií o právach a dobrých životných podmienkach detí, uskutočnil dve návštevy na účely </w:t>
      </w:r>
      <w:r w:rsidRPr="007E4DC0">
        <w:t xml:space="preserve">zistenia potrebných skutočností na túto tému, a to napriek tomu, že väčšina aspektov týkajúcich sa práv detí patrí do vnútroštátnych právomocí; </w:t>
      </w:r>
    </w:p>
    <w:p w:rsidR="002E7F11" w:rsidRPr="007E4DC0" w:rsidRDefault="002410C3" w:rsidP="00E77D6C">
      <w:pPr>
        <w:pStyle w:val="NormalHanging12a"/>
      </w:pPr>
      <w:r w:rsidRPr="007E4DC0">
        <w:t>32.</w:t>
      </w:r>
      <w:r w:rsidRPr="007E4DC0">
        <w:tab/>
        <w:t>zdôrazňuje, že webový portál pre petície je základným nástrojom na zabezpečenie hladkého, efektívneho a tra</w:t>
      </w:r>
      <w:r w:rsidRPr="007E4DC0">
        <w:t>nsparentného petičného procesu; v tejto súvislosti víta zlepšenia v oblasti ochrany údajov a bezpečnostných prvkov, vďaka ktorým je portál pre občanov používateľsky ústretovejší a bezpečnejší; zdôrazňuje, že je potrebné naďalej vynakladať úsilie na zlepšen</w:t>
      </w:r>
      <w:r w:rsidRPr="007E4DC0">
        <w:t>ie prístupnosti portálu aj pre osoby so zdravotným postihnutím; konštatuje, že webový portál pre petície je jednou z najnavštevovanejších webových stránok Európskeho parlamentu, a preto mnohým občanom EÚ slúži ako prvé kontaktné miesto s Európskym parlamen</w:t>
      </w:r>
      <w:r w:rsidRPr="007E4DC0">
        <w:t>tom;</w:t>
      </w:r>
    </w:p>
    <w:p w:rsidR="002E7F11" w:rsidRPr="007E4DC0" w:rsidRDefault="002410C3">
      <w:pPr>
        <w:pStyle w:val="NormalHanging12a"/>
      </w:pPr>
      <w:r w:rsidRPr="007E4DC0">
        <w:t>33.</w:t>
      </w:r>
      <w:r w:rsidRPr="007E4DC0">
        <w:tab/>
        <w:t xml:space="preserve">poveruje svoju predsedníčku, aby postúpila toto uznesenie a správu Výboru pre petície Rade, Komisii, európskej ombudsmanke, vládam a parlamentom členských štátov, výborom pre petície členských štátov a ich ombudsmanom alebo podobným príslušným </w:t>
      </w:r>
      <w:r w:rsidRPr="007E4DC0">
        <w:lastRenderedPageBreak/>
        <w:t>orgánom.</w:t>
      </w:r>
    </w:p>
    <w:p w:rsidR="00FB59B1" w:rsidRPr="007E4DC0" w:rsidRDefault="00FB59B1" w:rsidP="00E077D5"/>
    <w:p w:rsidR="00FB59B1" w:rsidRPr="007E4DC0" w:rsidRDefault="00FB59B1">
      <w:pPr>
        <w:pStyle w:val="PageHeading"/>
        <w:sectPr w:rsidR="00FB59B1" w:rsidRPr="007E4DC0" w:rsidSect="007E4D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E7F11" w:rsidRPr="007E4DC0" w:rsidRDefault="002410C3">
      <w:pPr>
        <w:pStyle w:val="PageHeading"/>
      </w:pPr>
      <w:bookmarkStart w:id="2" w:name="_Toc151389216"/>
      <w:r w:rsidRPr="007E4DC0">
        <w:lastRenderedPageBreak/>
        <w:t>DÔVODOVÁ SPRÁVA</w:t>
      </w:r>
      <w:bookmarkEnd w:id="2"/>
    </w:p>
    <w:p w:rsidR="006F4946" w:rsidRPr="007E4DC0" w:rsidRDefault="002410C3" w:rsidP="006F4946">
      <w:pPr>
        <w:jc w:val="both"/>
      </w:pPr>
      <w:r w:rsidRPr="007E4DC0">
        <w:t>Podľa článku 227 ods. 7 rokovacieho poriadku Európskeho parlamentu podáva Výbor pre petície každoročne správu o výsledkoch svojich rokovaní. Táto správa poskytuje komplexný prehľad o práci, ktorú výbor vykon</w:t>
      </w:r>
      <w:r w:rsidRPr="007E4DC0">
        <w:t>al v roku 2022, a správa zahŕňa štatistickú analýzu doručených a spracovaných petícií, ako aj hodnotenie ostatných parlamentných činností, ako je prijímanie správ a stanovísk, organizácia vypočutí a vzťahy výboru s ostatnými inštitúciami EÚ. Treba pripomen</w:t>
      </w:r>
      <w:r w:rsidRPr="007E4DC0">
        <w:t xml:space="preserve">úť, že hlavná činnosť Výboru pre petície vychádza z petičného práva obrátiť sa na Európsky parlament, ktoré uplatňujú občania EÚ a osoby s pobytom v EÚ podľa článku 227 ZFEÚ a ktoré nie je priamo spojené s pracovným programom Komisie. </w:t>
      </w:r>
    </w:p>
    <w:p w:rsidR="006F4946" w:rsidRPr="007E4DC0" w:rsidRDefault="006F4946" w:rsidP="006F4946">
      <w:pPr>
        <w:jc w:val="both"/>
      </w:pPr>
    </w:p>
    <w:p w:rsidR="006F4946" w:rsidRPr="007E4DC0" w:rsidRDefault="002410C3" w:rsidP="006F4946">
      <w:pPr>
        <w:jc w:val="both"/>
      </w:pPr>
      <w:r w:rsidRPr="007E4DC0">
        <w:t>V roku 2022 boli zr</w:t>
      </w:r>
      <w:r w:rsidRPr="007E4DC0">
        <w:t>ušené všetky opatrenia zavedené v Európskom parlamente v súvislosti s pandémiou ochorenia COVID-19, ktorých cieľom bolo zabezpečiť základné funkcie Parlamentu a zároveň zabrániť zdravotným rizikám pre jeho poslancov a zamestnancov. Týkalo sa to rozhodnutí,</w:t>
      </w:r>
      <w:r w:rsidRPr="007E4DC0">
        <w:t xml:space="preserve"> ktoré okrem iného umožnili všetkým výborom a medziparlamentným delegáciám organizovať svoje schôdze vrátane vypočutí a seminárov v režime účasti na diaľku. V dôsledku toho sa v roku 2022 konali schôdze výborov v priestoroch Parlamentu za osobnej účasti po</w:t>
      </w:r>
      <w:r w:rsidRPr="007E4DC0">
        <w:t xml:space="preserve">slancov EP, ako aj zástupcov Komisie. Predkladatelia petícií mali možnosť zúčastniť sa na diaľku alebo osobne. </w:t>
      </w:r>
    </w:p>
    <w:p w:rsidR="006F4946" w:rsidRPr="007E4DC0" w:rsidRDefault="006F4946" w:rsidP="006F4946">
      <w:pPr>
        <w:jc w:val="both"/>
      </w:pPr>
    </w:p>
    <w:p w:rsidR="006F4946" w:rsidRPr="007E4DC0" w:rsidRDefault="006F4946" w:rsidP="006F4946">
      <w:pPr>
        <w:rPr>
          <w:b/>
        </w:rPr>
      </w:pPr>
    </w:p>
    <w:p w:rsidR="006F4946" w:rsidRPr="007E4DC0" w:rsidRDefault="002410C3" w:rsidP="006F4946">
      <w:pPr>
        <w:rPr>
          <w:b/>
        </w:rPr>
      </w:pPr>
      <w:r w:rsidRPr="007E4DC0">
        <w:rPr>
          <w:b/>
        </w:rPr>
        <w:t>Štatistická analýza petícií prijatých v roku 2022 v porovnaní s rokom 2021</w:t>
      </w:r>
    </w:p>
    <w:p w:rsidR="006F4946" w:rsidRPr="007E4DC0" w:rsidRDefault="006F4946" w:rsidP="006F4946"/>
    <w:p w:rsidR="006F4946" w:rsidRPr="007E4DC0" w:rsidRDefault="002410C3" w:rsidP="006F4946">
      <w:pPr>
        <w:jc w:val="both"/>
      </w:pPr>
      <w:r w:rsidRPr="007E4DC0">
        <w:t xml:space="preserve">Podľa štatistík dostal v roku 2022 Európsky parlament 1 217 </w:t>
      </w:r>
      <w:r w:rsidRPr="007E4DC0">
        <w:t>petícií, čo predstavuje pokles o 12,6 % v porovnaní s 1 392 petíciami predloženými v roku 2021 a nárast o 22,6 % v porovnaní s 1 573 petíciami zaregistrovanými v roku 2020. Počet petícií týkajúcich sa ochorenia COVID-19 sa v porovnaní s dvoma predchádzajúc</w:t>
      </w:r>
      <w:r w:rsidRPr="007E4DC0">
        <w:t>imi rokmi výrazne znížil: 45 petícií v roku 2022 v porovnaní s 242 petíciami v roku 2021 a 209 petícií v roku 2020.</w:t>
      </w:r>
    </w:p>
    <w:p w:rsidR="006F4946" w:rsidRPr="007E4DC0" w:rsidRDefault="006F4946" w:rsidP="006F4946">
      <w:pPr>
        <w:jc w:val="both"/>
      </w:pPr>
    </w:p>
    <w:p w:rsidR="006F4946" w:rsidRPr="007E4DC0" w:rsidRDefault="002410C3" w:rsidP="006F4946">
      <w:pPr>
        <w:jc w:val="both"/>
      </w:pPr>
      <w:r w:rsidRPr="007E4DC0">
        <w:t>Na webovom portáli pre petície majú občania možnosť petície podporiť. V roku 2022 sa 22 441 používateľov prihlásilo ako podporovatelia v po</w:t>
      </w:r>
      <w:r w:rsidRPr="007E4DC0">
        <w:t>rovnaní s 209 272 podporovateľmi v roku 2021. Z toho vyplýva, že v roku 2022 sa v porovnaní s predchádzajúcim rokom výrazne znížil počet používateľov podporujúcich petície na webovom portáli. V roku 2022 sa znížila aj miera podpory na 27 927 kliknutí v por</w:t>
      </w:r>
      <w:r w:rsidRPr="007E4DC0">
        <w:t>ovnaní s 217 876 kliknutiami v roku 2021.</w:t>
      </w:r>
    </w:p>
    <w:p w:rsidR="006F4946" w:rsidRPr="007E4DC0" w:rsidRDefault="006F4946" w:rsidP="006F4946">
      <w:pPr>
        <w:jc w:val="both"/>
      </w:pPr>
    </w:p>
    <w:p w:rsidR="006F4946" w:rsidRPr="007E4DC0" w:rsidRDefault="002410C3" w:rsidP="006F4946">
      <w:pPr>
        <w:jc w:val="both"/>
      </w:pPr>
      <w:r w:rsidRPr="007E4DC0">
        <w:t>V roku 2022 bolo 12 petícií spolupodpísaných viac ako jedným občanom. Z 12 petícií podpísaných viac ako jedným občanom bolo iba päť podpísaných viac ako 100 občanmi; z uvedených piatich petícií bola jedna podpísan</w:t>
      </w:r>
      <w:r w:rsidRPr="007E4DC0">
        <w:t>á viac ako 1 000 občanmi a žiadna viac ako 10 000 občanmi.</w:t>
      </w:r>
    </w:p>
    <w:p w:rsidR="006F4946" w:rsidRPr="007E4DC0" w:rsidRDefault="006F4946" w:rsidP="006F4946">
      <w:pPr>
        <w:jc w:val="both"/>
      </w:pPr>
    </w:p>
    <w:p w:rsidR="006F4946" w:rsidRPr="007E4DC0" w:rsidRDefault="002410C3" w:rsidP="006F4946">
      <w:pPr>
        <w:spacing w:after="160" w:line="252" w:lineRule="auto"/>
        <w:jc w:val="both"/>
        <w:rPr>
          <w:b/>
        </w:rPr>
      </w:pPr>
      <w:r w:rsidRPr="007E4DC0">
        <w:rPr>
          <w:b/>
        </w:rPr>
        <w:t>Spôsob predkladania petícií</w:t>
      </w:r>
    </w:p>
    <w:p w:rsidR="006F4946" w:rsidRPr="007E4DC0" w:rsidRDefault="002410C3" w:rsidP="006F4946">
      <w:pPr>
        <w:spacing w:after="160" w:line="252" w:lineRule="auto"/>
        <w:jc w:val="both"/>
      </w:pPr>
      <w:r w:rsidRPr="007E4DC0">
        <w:t>V roku 2022 bolo prostredníctvom webového portálu pre petície predložených vyše 79 % petícií, zatiaľ čo takmer 21 % petícií bolo podaných poštou. Z údajov v týchto dvoc</w:t>
      </w:r>
      <w:r w:rsidRPr="007E4DC0">
        <w:t>h tabuľkách vyplýva, že v roku 2022 sa podiel petícií predložených prostredníctvom webového portálu pre petície mierne zvýšil v porovnaní s rokom 2021 a webový portál pre petície zostal zďaleka najvyužívanejším kanálom na predkladanie petícií občanov Európ</w:t>
      </w:r>
      <w:r w:rsidRPr="007E4DC0">
        <w:t xml:space="preserve">skemu parlamentu. </w:t>
      </w:r>
    </w:p>
    <w:p w:rsidR="006F4946" w:rsidRPr="007E4DC0" w:rsidRDefault="006F4946" w:rsidP="006F4946">
      <w:pPr>
        <w:widowControl/>
        <w:jc w:val="both"/>
      </w:pPr>
    </w:p>
    <w:tbl>
      <w:tblPr>
        <w:tblW w:w="0" w:type="auto"/>
        <w:tblLook w:val="04A0" w:firstRow="1" w:lastRow="0" w:firstColumn="1" w:lastColumn="0" w:noHBand="0" w:noVBand="1"/>
      </w:tblPr>
      <w:tblGrid>
        <w:gridCol w:w="4508"/>
        <w:gridCol w:w="4508"/>
      </w:tblGrid>
      <w:tr w:rsidR="00243B41" w:rsidRPr="007E4DC0" w:rsidTr="006F4946">
        <w:tc>
          <w:tcPr>
            <w:tcW w:w="4508" w:type="dxa"/>
          </w:tcPr>
          <w:p w:rsidR="006F4946" w:rsidRPr="007E4DC0" w:rsidRDefault="002410C3" w:rsidP="007A182D">
            <w:r w:rsidRPr="007E4DC0">
              <w:lastRenderedPageBreak/>
              <w:t>2022</w:t>
            </w:r>
          </w:p>
        </w:tc>
        <w:tc>
          <w:tcPr>
            <w:tcW w:w="4508" w:type="dxa"/>
            <w:hideMark/>
          </w:tcPr>
          <w:p w:rsidR="006F4946" w:rsidRPr="007E4DC0" w:rsidRDefault="002410C3">
            <w:r w:rsidRPr="007E4DC0">
              <w:t>2021</w:t>
            </w:r>
          </w:p>
        </w:tc>
      </w:tr>
      <w:tr w:rsidR="00243B41" w:rsidRPr="007E4DC0" w:rsidTr="006F4946">
        <w:trPr>
          <w:trHeight w:val="1952"/>
        </w:trPr>
        <w:tc>
          <w:tcPr>
            <w:tcW w:w="4508" w:type="dxa"/>
            <w:hideMark/>
          </w:tcPr>
          <w:tbl>
            <w:tblPr>
              <w:tblW w:w="4012" w:type="dxa"/>
              <w:tblLook w:val="04A0" w:firstRow="1" w:lastRow="0" w:firstColumn="1" w:lastColumn="0" w:noHBand="0" w:noVBand="1"/>
            </w:tblPr>
            <w:tblGrid>
              <w:gridCol w:w="1733"/>
              <w:gridCol w:w="1523"/>
              <w:gridCol w:w="756"/>
            </w:tblGrid>
            <w:tr w:rsidR="00243B41" w:rsidRPr="007E4DC0" w:rsidTr="007A182D">
              <w:trPr>
                <w:trHeight w:val="360"/>
              </w:trPr>
              <w:tc>
                <w:tcPr>
                  <w:tcW w:w="1733" w:type="dxa"/>
                  <w:tcBorders>
                    <w:top w:val="single" w:sz="4" w:space="0" w:color="CCCCFF"/>
                    <w:left w:val="single" w:sz="4" w:space="0" w:color="CCCCFF"/>
                    <w:bottom w:val="single" w:sz="4" w:space="0" w:color="CCCCFF"/>
                    <w:right w:val="single" w:sz="4" w:space="0" w:color="CCCCFF"/>
                  </w:tcBorders>
                  <w:shd w:val="clear" w:color="auto" w:fill="666699"/>
                  <w:noWrap/>
                  <w:vAlign w:val="bottom"/>
                  <w:hideMark/>
                </w:tcPr>
                <w:p w:rsidR="006F4946" w:rsidRPr="007E4DC0" w:rsidRDefault="002410C3">
                  <w:pPr>
                    <w:jc w:val="center"/>
                    <w:rPr>
                      <w:b/>
                      <w:bCs/>
                      <w:color w:val="FFFFFF"/>
                    </w:rPr>
                  </w:pPr>
                  <w:r w:rsidRPr="007E4DC0">
                    <w:rPr>
                      <w:b/>
                      <w:color w:val="FFFFFF"/>
                    </w:rPr>
                    <w:t>Spôsob predloženia petície</w:t>
                  </w:r>
                </w:p>
              </w:tc>
              <w:tc>
                <w:tcPr>
                  <w:tcW w:w="1523" w:type="dxa"/>
                  <w:tcBorders>
                    <w:top w:val="single" w:sz="4" w:space="0" w:color="CCCCFF"/>
                    <w:left w:val="nil"/>
                    <w:bottom w:val="single" w:sz="4" w:space="0" w:color="CCCCFF"/>
                    <w:right w:val="single" w:sz="4" w:space="0" w:color="CCCCFF"/>
                  </w:tcBorders>
                  <w:shd w:val="clear" w:color="auto" w:fill="666699"/>
                  <w:noWrap/>
                  <w:vAlign w:val="bottom"/>
                  <w:hideMark/>
                </w:tcPr>
                <w:p w:rsidR="006F4946" w:rsidRPr="007E4DC0" w:rsidRDefault="002410C3">
                  <w:pPr>
                    <w:rPr>
                      <w:b/>
                      <w:bCs/>
                      <w:color w:val="FFFFFF"/>
                    </w:rPr>
                  </w:pPr>
                  <w:r w:rsidRPr="007E4DC0">
                    <w:rPr>
                      <w:b/>
                      <w:color w:val="FFFFFF"/>
                    </w:rPr>
                    <w:t>Počet petícií</w:t>
                  </w:r>
                </w:p>
              </w:tc>
              <w:tc>
                <w:tcPr>
                  <w:tcW w:w="756" w:type="dxa"/>
                  <w:tcBorders>
                    <w:top w:val="single" w:sz="4" w:space="0" w:color="CCCCFF"/>
                    <w:left w:val="nil"/>
                    <w:bottom w:val="single" w:sz="4" w:space="0" w:color="CCCCFF"/>
                    <w:right w:val="single" w:sz="4" w:space="0" w:color="CCCCFF"/>
                  </w:tcBorders>
                  <w:shd w:val="clear" w:color="auto" w:fill="666699"/>
                  <w:noWrap/>
                  <w:vAlign w:val="bottom"/>
                  <w:hideMark/>
                </w:tcPr>
                <w:p w:rsidR="006F4946" w:rsidRPr="007E4DC0" w:rsidRDefault="002410C3">
                  <w:pPr>
                    <w:jc w:val="center"/>
                    <w:rPr>
                      <w:b/>
                      <w:bCs/>
                      <w:color w:val="FFFFFF"/>
                    </w:rPr>
                  </w:pPr>
                  <w:r w:rsidRPr="007E4DC0">
                    <w:rPr>
                      <w:b/>
                      <w:color w:val="FFFFFF"/>
                    </w:rPr>
                    <w:t>%</w:t>
                  </w:r>
                </w:p>
              </w:tc>
            </w:tr>
            <w:tr w:rsidR="00243B41" w:rsidRPr="007E4DC0" w:rsidTr="007A182D">
              <w:trPr>
                <w:trHeight w:val="360"/>
              </w:trPr>
              <w:tc>
                <w:tcPr>
                  <w:tcW w:w="1733" w:type="dxa"/>
                  <w:tcBorders>
                    <w:top w:val="nil"/>
                    <w:left w:val="single" w:sz="4" w:space="0" w:color="CCCCFF"/>
                    <w:bottom w:val="single" w:sz="4" w:space="0" w:color="CCCCFF"/>
                    <w:right w:val="single" w:sz="4" w:space="0" w:color="CCCCFF"/>
                  </w:tcBorders>
                  <w:shd w:val="clear" w:color="auto" w:fill="FFFFFF"/>
                  <w:noWrap/>
                  <w:vAlign w:val="bottom"/>
                  <w:hideMark/>
                </w:tcPr>
                <w:p w:rsidR="007A182D" w:rsidRPr="007E4DC0" w:rsidRDefault="002410C3" w:rsidP="007A182D">
                  <w:pPr>
                    <w:jc w:val="center"/>
                    <w:rPr>
                      <w:color w:val="000000"/>
                    </w:rPr>
                  </w:pPr>
                  <w:r w:rsidRPr="007E4DC0">
                    <w:rPr>
                      <w:color w:val="000000"/>
                    </w:rPr>
                    <w:t>Portál pre petície</w:t>
                  </w:r>
                </w:p>
              </w:tc>
              <w:tc>
                <w:tcPr>
                  <w:tcW w:w="1523" w:type="dxa"/>
                  <w:tcBorders>
                    <w:top w:val="nil"/>
                    <w:left w:val="nil"/>
                    <w:bottom w:val="single" w:sz="4" w:space="0" w:color="CCCCFF"/>
                    <w:right w:val="single" w:sz="4" w:space="0" w:color="CCCCFF"/>
                  </w:tcBorders>
                  <w:shd w:val="clear" w:color="auto" w:fill="FFFFFF"/>
                  <w:noWrap/>
                  <w:vAlign w:val="bottom"/>
                  <w:hideMark/>
                </w:tcPr>
                <w:p w:rsidR="007A182D" w:rsidRPr="007E4DC0" w:rsidRDefault="002410C3" w:rsidP="007A182D">
                  <w:pPr>
                    <w:jc w:val="right"/>
                    <w:rPr>
                      <w:color w:val="000000"/>
                    </w:rPr>
                  </w:pPr>
                  <w:r w:rsidRPr="007E4DC0">
                    <w:rPr>
                      <w:color w:val="000000"/>
                    </w:rPr>
                    <w:t>962</w:t>
                  </w:r>
                </w:p>
              </w:tc>
              <w:tc>
                <w:tcPr>
                  <w:tcW w:w="756" w:type="dxa"/>
                  <w:tcBorders>
                    <w:top w:val="nil"/>
                    <w:left w:val="nil"/>
                    <w:bottom w:val="single" w:sz="4" w:space="0" w:color="CCCCFF"/>
                    <w:right w:val="single" w:sz="4" w:space="0" w:color="CCCCFF"/>
                  </w:tcBorders>
                  <w:shd w:val="clear" w:color="auto" w:fill="FFFFFF"/>
                  <w:noWrap/>
                  <w:vAlign w:val="bottom"/>
                  <w:hideMark/>
                </w:tcPr>
                <w:p w:rsidR="007A182D" w:rsidRPr="007E4DC0" w:rsidRDefault="002410C3" w:rsidP="007A182D">
                  <w:pPr>
                    <w:jc w:val="center"/>
                    <w:rPr>
                      <w:color w:val="000000"/>
                    </w:rPr>
                  </w:pPr>
                  <w:r w:rsidRPr="007E4DC0">
                    <w:rPr>
                      <w:color w:val="000000"/>
                    </w:rPr>
                    <w:t>79,05</w:t>
                  </w:r>
                </w:p>
              </w:tc>
            </w:tr>
            <w:tr w:rsidR="00243B41" w:rsidRPr="007E4DC0" w:rsidTr="007A182D">
              <w:trPr>
                <w:trHeight w:val="360"/>
              </w:trPr>
              <w:tc>
                <w:tcPr>
                  <w:tcW w:w="1733" w:type="dxa"/>
                  <w:tcBorders>
                    <w:top w:val="nil"/>
                    <w:left w:val="single" w:sz="4" w:space="0" w:color="CCCCFF"/>
                    <w:bottom w:val="single" w:sz="4" w:space="0" w:color="CCCCFF"/>
                    <w:right w:val="single" w:sz="4" w:space="0" w:color="CCCCFF"/>
                  </w:tcBorders>
                  <w:shd w:val="clear" w:color="auto" w:fill="FFFFFF"/>
                  <w:noWrap/>
                  <w:vAlign w:val="bottom"/>
                  <w:hideMark/>
                </w:tcPr>
                <w:p w:rsidR="007A182D" w:rsidRPr="007E4DC0" w:rsidRDefault="002410C3" w:rsidP="007A182D">
                  <w:pPr>
                    <w:jc w:val="center"/>
                    <w:rPr>
                      <w:color w:val="000000"/>
                    </w:rPr>
                  </w:pPr>
                  <w:r w:rsidRPr="007E4DC0">
                    <w:rPr>
                      <w:color w:val="000000"/>
                    </w:rPr>
                    <w:t>List</w:t>
                  </w:r>
                </w:p>
              </w:tc>
              <w:tc>
                <w:tcPr>
                  <w:tcW w:w="1523" w:type="dxa"/>
                  <w:tcBorders>
                    <w:top w:val="nil"/>
                    <w:left w:val="nil"/>
                    <w:bottom w:val="single" w:sz="4" w:space="0" w:color="CCCCFF"/>
                    <w:right w:val="single" w:sz="4" w:space="0" w:color="CCCCFF"/>
                  </w:tcBorders>
                  <w:shd w:val="clear" w:color="auto" w:fill="FFFFFF"/>
                  <w:noWrap/>
                  <w:vAlign w:val="bottom"/>
                  <w:hideMark/>
                </w:tcPr>
                <w:p w:rsidR="007A182D" w:rsidRPr="007E4DC0" w:rsidRDefault="002410C3" w:rsidP="007A182D">
                  <w:pPr>
                    <w:jc w:val="right"/>
                    <w:rPr>
                      <w:color w:val="000000"/>
                    </w:rPr>
                  </w:pPr>
                  <w:r w:rsidRPr="007E4DC0">
                    <w:rPr>
                      <w:color w:val="000000"/>
                    </w:rPr>
                    <w:t xml:space="preserve">255 </w:t>
                  </w:r>
                </w:p>
              </w:tc>
              <w:tc>
                <w:tcPr>
                  <w:tcW w:w="756" w:type="dxa"/>
                  <w:tcBorders>
                    <w:top w:val="nil"/>
                    <w:left w:val="nil"/>
                    <w:bottom w:val="single" w:sz="4" w:space="0" w:color="CCCCFF"/>
                    <w:right w:val="single" w:sz="4" w:space="0" w:color="CCCCFF"/>
                  </w:tcBorders>
                  <w:shd w:val="clear" w:color="auto" w:fill="FFFFFF"/>
                  <w:noWrap/>
                  <w:vAlign w:val="bottom"/>
                  <w:hideMark/>
                </w:tcPr>
                <w:p w:rsidR="007A182D" w:rsidRPr="007E4DC0" w:rsidRDefault="002410C3" w:rsidP="007A182D">
                  <w:pPr>
                    <w:jc w:val="center"/>
                    <w:rPr>
                      <w:color w:val="000000"/>
                    </w:rPr>
                  </w:pPr>
                  <w:r w:rsidRPr="007E4DC0">
                    <w:rPr>
                      <w:color w:val="000000"/>
                    </w:rPr>
                    <w:t>20,95</w:t>
                  </w:r>
                </w:p>
              </w:tc>
            </w:tr>
          </w:tbl>
          <w:p w:rsidR="006F4946" w:rsidRPr="007E4DC0" w:rsidRDefault="006F4946">
            <w:pPr>
              <w:widowControl/>
              <w:rPr>
                <w:sz w:val="20"/>
              </w:rPr>
            </w:pPr>
          </w:p>
        </w:tc>
        <w:tc>
          <w:tcPr>
            <w:tcW w:w="4508" w:type="dxa"/>
            <w:hideMark/>
          </w:tcPr>
          <w:tbl>
            <w:tblPr>
              <w:tblW w:w="4041" w:type="dxa"/>
              <w:tblLook w:val="04A0" w:firstRow="1" w:lastRow="0" w:firstColumn="1" w:lastColumn="0" w:noHBand="0" w:noVBand="1"/>
            </w:tblPr>
            <w:tblGrid>
              <w:gridCol w:w="1762"/>
              <w:gridCol w:w="1494"/>
              <w:gridCol w:w="785"/>
            </w:tblGrid>
            <w:tr w:rsidR="00243B41" w:rsidRPr="007E4DC0" w:rsidTr="007A182D">
              <w:trPr>
                <w:trHeight w:val="360"/>
              </w:trPr>
              <w:tc>
                <w:tcPr>
                  <w:tcW w:w="1762" w:type="dxa"/>
                  <w:tcBorders>
                    <w:top w:val="single" w:sz="4" w:space="0" w:color="CCCCFF"/>
                    <w:left w:val="single" w:sz="4" w:space="0" w:color="CCCCFF"/>
                    <w:bottom w:val="single" w:sz="4" w:space="0" w:color="CCCCFF"/>
                    <w:right w:val="single" w:sz="4" w:space="0" w:color="CCCCFF"/>
                  </w:tcBorders>
                  <w:shd w:val="clear" w:color="auto" w:fill="666699"/>
                  <w:noWrap/>
                  <w:vAlign w:val="bottom"/>
                  <w:hideMark/>
                </w:tcPr>
                <w:p w:rsidR="006F4946" w:rsidRPr="007E4DC0" w:rsidRDefault="002410C3">
                  <w:pPr>
                    <w:jc w:val="center"/>
                    <w:rPr>
                      <w:b/>
                      <w:bCs/>
                      <w:color w:val="FFFFFF"/>
                      <w:szCs w:val="24"/>
                    </w:rPr>
                  </w:pPr>
                  <w:r w:rsidRPr="007E4DC0">
                    <w:rPr>
                      <w:b/>
                      <w:color w:val="FFFFFF"/>
                    </w:rPr>
                    <w:t>Spôsob predloženia petície</w:t>
                  </w:r>
                </w:p>
              </w:tc>
              <w:tc>
                <w:tcPr>
                  <w:tcW w:w="1494" w:type="dxa"/>
                  <w:tcBorders>
                    <w:top w:val="single" w:sz="4" w:space="0" w:color="CCCCFF"/>
                    <w:left w:val="nil"/>
                    <w:bottom w:val="single" w:sz="4" w:space="0" w:color="CCCCFF"/>
                    <w:right w:val="single" w:sz="4" w:space="0" w:color="CCCCFF"/>
                  </w:tcBorders>
                  <w:shd w:val="clear" w:color="auto" w:fill="666699"/>
                  <w:noWrap/>
                  <w:vAlign w:val="bottom"/>
                  <w:hideMark/>
                </w:tcPr>
                <w:p w:rsidR="006F4946" w:rsidRPr="007E4DC0" w:rsidRDefault="002410C3">
                  <w:pPr>
                    <w:rPr>
                      <w:b/>
                      <w:bCs/>
                      <w:color w:val="FFFFFF"/>
                    </w:rPr>
                  </w:pPr>
                  <w:r w:rsidRPr="007E4DC0">
                    <w:rPr>
                      <w:b/>
                      <w:color w:val="FFFFFF"/>
                    </w:rPr>
                    <w:t>Počet petícií</w:t>
                  </w:r>
                </w:p>
              </w:tc>
              <w:tc>
                <w:tcPr>
                  <w:tcW w:w="785" w:type="dxa"/>
                  <w:tcBorders>
                    <w:top w:val="single" w:sz="4" w:space="0" w:color="CCCCFF"/>
                    <w:left w:val="nil"/>
                    <w:bottom w:val="single" w:sz="4" w:space="0" w:color="CCCCFF"/>
                    <w:right w:val="single" w:sz="4" w:space="0" w:color="CCCCFF"/>
                  </w:tcBorders>
                  <w:shd w:val="clear" w:color="auto" w:fill="666699"/>
                  <w:noWrap/>
                  <w:vAlign w:val="bottom"/>
                  <w:hideMark/>
                </w:tcPr>
                <w:p w:rsidR="006F4946" w:rsidRPr="007E4DC0" w:rsidRDefault="002410C3">
                  <w:pPr>
                    <w:jc w:val="center"/>
                    <w:rPr>
                      <w:b/>
                      <w:bCs/>
                      <w:color w:val="FFFFFF"/>
                    </w:rPr>
                  </w:pPr>
                  <w:r w:rsidRPr="007E4DC0">
                    <w:rPr>
                      <w:b/>
                      <w:color w:val="FFFFFF"/>
                    </w:rPr>
                    <w:t>%</w:t>
                  </w:r>
                </w:p>
              </w:tc>
            </w:tr>
            <w:tr w:rsidR="00243B41" w:rsidRPr="007E4DC0" w:rsidTr="007A182D">
              <w:trPr>
                <w:trHeight w:val="360"/>
              </w:trPr>
              <w:tc>
                <w:tcPr>
                  <w:tcW w:w="1762" w:type="dxa"/>
                  <w:tcBorders>
                    <w:top w:val="nil"/>
                    <w:left w:val="single" w:sz="4" w:space="0" w:color="CCCCFF"/>
                    <w:bottom w:val="single" w:sz="4" w:space="0" w:color="CCCCFF"/>
                    <w:right w:val="single" w:sz="4" w:space="0" w:color="CCCCFF"/>
                  </w:tcBorders>
                  <w:shd w:val="clear" w:color="auto" w:fill="FFFFFF"/>
                  <w:noWrap/>
                  <w:vAlign w:val="bottom"/>
                  <w:hideMark/>
                </w:tcPr>
                <w:p w:rsidR="007A182D" w:rsidRPr="007E4DC0" w:rsidRDefault="002410C3" w:rsidP="007A182D">
                  <w:pPr>
                    <w:jc w:val="center"/>
                    <w:rPr>
                      <w:color w:val="000000"/>
                    </w:rPr>
                  </w:pPr>
                  <w:r w:rsidRPr="007E4DC0">
                    <w:rPr>
                      <w:color w:val="000000"/>
                    </w:rPr>
                    <w:t>Portál pre petície</w:t>
                  </w:r>
                </w:p>
              </w:tc>
              <w:tc>
                <w:tcPr>
                  <w:tcW w:w="1494" w:type="dxa"/>
                  <w:tcBorders>
                    <w:top w:val="nil"/>
                    <w:left w:val="nil"/>
                    <w:bottom w:val="single" w:sz="4" w:space="0" w:color="CCCCFF"/>
                    <w:right w:val="single" w:sz="4" w:space="0" w:color="CCCCFF"/>
                  </w:tcBorders>
                  <w:shd w:val="clear" w:color="auto" w:fill="FFFFFF"/>
                  <w:noWrap/>
                  <w:vAlign w:val="bottom"/>
                  <w:hideMark/>
                </w:tcPr>
                <w:p w:rsidR="007A182D" w:rsidRPr="007E4DC0" w:rsidRDefault="002410C3" w:rsidP="007A182D">
                  <w:pPr>
                    <w:jc w:val="right"/>
                    <w:rPr>
                      <w:color w:val="000000"/>
                    </w:rPr>
                  </w:pPr>
                  <w:r w:rsidRPr="007E4DC0">
                    <w:rPr>
                      <w:color w:val="000000"/>
                    </w:rPr>
                    <w:t>1094</w:t>
                  </w:r>
                </w:p>
              </w:tc>
              <w:tc>
                <w:tcPr>
                  <w:tcW w:w="785" w:type="dxa"/>
                  <w:tcBorders>
                    <w:top w:val="nil"/>
                    <w:left w:val="nil"/>
                    <w:bottom w:val="single" w:sz="4" w:space="0" w:color="CCCCFF"/>
                    <w:right w:val="single" w:sz="4" w:space="0" w:color="CCCCFF"/>
                  </w:tcBorders>
                  <w:shd w:val="clear" w:color="auto" w:fill="FFFFFF"/>
                  <w:noWrap/>
                  <w:vAlign w:val="bottom"/>
                  <w:hideMark/>
                </w:tcPr>
                <w:p w:rsidR="007A182D" w:rsidRPr="007E4DC0" w:rsidRDefault="002410C3" w:rsidP="007A182D">
                  <w:pPr>
                    <w:jc w:val="center"/>
                    <w:rPr>
                      <w:color w:val="000000"/>
                    </w:rPr>
                  </w:pPr>
                  <w:r w:rsidRPr="007E4DC0">
                    <w:rPr>
                      <w:color w:val="000000"/>
                    </w:rPr>
                    <w:t>78,6</w:t>
                  </w:r>
                </w:p>
              </w:tc>
            </w:tr>
            <w:tr w:rsidR="00243B41" w:rsidRPr="007E4DC0" w:rsidTr="007A182D">
              <w:trPr>
                <w:trHeight w:val="360"/>
              </w:trPr>
              <w:tc>
                <w:tcPr>
                  <w:tcW w:w="1762" w:type="dxa"/>
                  <w:tcBorders>
                    <w:top w:val="nil"/>
                    <w:left w:val="single" w:sz="4" w:space="0" w:color="CCCCFF"/>
                    <w:bottom w:val="single" w:sz="4" w:space="0" w:color="CCCCFF"/>
                    <w:right w:val="single" w:sz="4" w:space="0" w:color="CCCCFF"/>
                  </w:tcBorders>
                  <w:shd w:val="clear" w:color="auto" w:fill="FFFFFF"/>
                  <w:noWrap/>
                  <w:vAlign w:val="bottom"/>
                  <w:hideMark/>
                </w:tcPr>
                <w:p w:rsidR="007A182D" w:rsidRPr="007E4DC0" w:rsidRDefault="002410C3" w:rsidP="007A182D">
                  <w:pPr>
                    <w:jc w:val="center"/>
                    <w:rPr>
                      <w:color w:val="000000"/>
                    </w:rPr>
                  </w:pPr>
                  <w:r w:rsidRPr="007E4DC0">
                    <w:rPr>
                      <w:color w:val="000000"/>
                    </w:rPr>
                    <w:t xml:space="preserve">List </w:t>
                  </w:r>
                </w:p>
              </w:tc>
              <w:tc>
                <w:tcPr>
                  <w:tcW w:w="1494" w:type="dxa"/>
                  <w:tcBorders>
                    <w:top w:val="nil"/>
                    <w:left w:val="nil"/>
                    <w:bottom w:val="single" w:sz="4" w:space="0" w:color="CCCCFF"/>
                    <w:right w:val="single" w:sz="4" w:space="0" w:color="CCCCFF"/>
                  </w:tcBorders>
                  <w:shd w:val="clear" w:color="auto" w:fill="FFFFFF"/>
                  <w:noWrap/>
                  <w:vAlign w:val="bottom"/>
                  <w:hideMark/>
                </w:tcPr>
                <w:p w:rsidR="007A182D" w:rsidRPr="007E4DC0" w:rsidRDefault="002410C3" w:rsidP="007A182D">
                  <w:pPr>
                    <w:jc w:val="right"/>
                    <w:rPr>
                      <w:color w:val="000000"/>
                    </w:rPr>
                  </w:pPr>
                  <w:r w:rsidRPr="007E4DC0">
                    <w:rPr>
                      <w:color w:val="000000"/>
                    </w:rPr>
                    <w:t>298</w:t>
                  </w:r>
                </w:p>
              </w:tc>
              <w:tc>
                <w:tcPr>
                  <w:tcW w:w="785" w:type="dxa"/>
                  <w:tcBorders>
                    <w:top w:val="nil"/>
                    <w:left w:val="nil"/>
                    <w:bottom w:val="single" w:sz="4" w:space="0" w:color="CCCCFF"/>
                    <w:right w:val="single" w:sz="4" w:space="0" w:color="CCCCFF"/>
                  </w:tcBorders>
                  <w:shd w:val="clear" w:color="auto" w:fill="FFFFFF"/>
                  <w:noWrap/>
                  <w:vAlign w:val="bottom"/>
                  <w:hideMark/>
                </w:tcPr>
                <w:p w:rsidR="007A182D" w:rsidRPr="007E4DC0" w:rsidRDefault="002410C3" w:rsidP="007A182D">
                  <w:pPr>
                    <w:jc w:val="center"/>
                    <w:rPr>
                      <w:color w:val="000000"/>
                    </w:rPr>
                  </w:pPr>
                  <w:r w:rsidRPr="007E4DC0">
                    <w:rPr>
                      <w:color w:val="000000"/>
                    </w:rPr>
                    <w:t>21,4</w:t>
                  </w:r>
                </w:p>
              </w:tc>
            </w:tr>
          </w:tbl>
          <w:p w:rsidR="006F4946" w:rsidRPr="007E4DC0" w:rsidRDefault="006F4946">
            <w:pPr>
              <w:widowControl/>
              <w:rPr>
                <w:sz w:val="20"/>
              </w:rPr>
            </w:pPr>
          </w:p>
        </w:tc>
      </w:tr>
    </w:tbl>
    <w:p w:rsidR="006F4946" w:rsidRPr="007E4DC0" w:rsidRDefault="002410C3" w:rsidP="006F4946">
      <w:pPr>
        <w:spacing w:after="160" w:line="252" w:lineRule="auto"/>
        <w:rPr>
          <w:b/>
        </w:rPr>
      </w:pPr>
      <w:r w:rsidRPr="007E4DC0">
        <w:rPr>
          <w:b/>
        </w:rPr>
        <w:t>Stav petícií podľa kalendárneho roka</w:t>
      </w:r>
      <w:r w:rsidRPr="007E4DC0">
        <w:rPr>
          <w:b/>
          <w:vertAlign w:val="superscript"/>
        </w:rPr>
        <w:footnoteReference w:id="12"/>
      </w:r>
    </w:p>
    <w:p w:rsidR="006F4946" w:rsidRPr="007E4DC0" w:rsidRDefault="002410C3" w:rsidP="006F4946">
      <w:pPr>
        <w:spacing w:after="160" w:line="252" w:lineRule="auto"/>
        <w:jc w:val="both"/>
      </w:pPr>
      <w:r w:rsidRPr="007E4DC0">
        <w:t xml:space="preserve">V </w:t>
      </w:r>
      <w:r w:rsidRPr="007E4DC0">
        <w:t>nasledujúcej tabuľke je uvedený stav petícií od roku 2003 do roku 2022. Možno si všimnúť, že v roku 2022 sa veľká väčšina petícií uzavrela do jedného roka po tom, ako ich výbor prijal a preskúmal. Na základe porovnania s údajmi o stave petícií uvedenými vo</w:t>
      </w:r>
      <w:r w:rsidRPr="007E4DC0">
        <w:t xml:space="preserve"> výročných správach z rokov 2010 až 2021 možno dospieť k záveru, že väčšina petícií sa uzavrie do jedného roka od prijatia a preskúmania. S výnimkou rokov 2016 a 2022 zostáva otvorených menej ako 20 % petícií doručených každý rok od roku 2004 a veľmi malé </w:t>
      </w:r>
      <w:r w:rsidRPr="007E4DC0">
        <w:t>percento petícií (od 0,2 % do 7,2 %) od roku 2004 do roku 2014. Väčšina z týchto otvorených petícií sa týka otázok životného prostredia a prebiehajúcich konaní o nesplnení povinnosti na Súdnom dvore Európskej únie alebo problémov, ktoré chcú členovia výbor</w:t>
      </w:r>
      <w:r w:rsidRPr="007E4DC0">
        <w:t xml:space="preserve">u bližšie preskúmať. </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8"/>
        <w:gridCol w:w="1472"/>
        <w:gridCol w:w="1274"/>
        <w:gridCol w:w="1700"/>
        <w:gridCol w:w="1416"/>
        <w:gridCol w:w="1985"/>
      </w:tblGrid>
      <w:tr w:rsidR="00243B41" w:rsidRPr="007E4DC0" w:rsidTr="006F4946">
        <w:trPr>
          <w:jc w:val="center"/>
        </w:trPr>
        <w:tc>
          <w:tcPr>
            <w:tcW w:w="8785" w:type="dxa"/>
            <w:gridSpan w:val="6"/>
            <w:tcBorders>
              <w:top w:val="single" w:sz="4" w:space="0" w:color="auto"/>
              <w:left w:val="single" w:sz="4" w:space="0" w:color="auto"/>
              <w:bottom w:val="single" w:sz="4" w:space="0" w:color="auto"/>
              <w:right w:val="single" w:sz="4" w:space="0" w:color="auto"/>
            </w:tcBorders>
            <w:hideMark/>
          </w:tcPr>
          <w:p w:rsidR="006F4946" w:rsidRPr="007E4DC0" w:rsidRDefault="002410C3" w:rsidP="0040206F">
            <w:pPr>
              <w:ind w:right="1470"/>
              <w:jc w:val="center"/>
              <w:rPr>
                <w:b/>
                <w:sz w:val="28"/>
                <w:szCs w:val="28"/>
              </w:rPr>
            </w:pPr>
            <w:r w:rsidRPr="007E4DC0">
              <w:br w:type="page"/>
            </w:r>
            <w:r w:rsidRPr="007E4DC0">
              <w:rPr>
                <w:b/>
                <w:sz w:val="28"/>
              </w:rPr>
              <w:t>Stav petícií</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pPr>
              <w:jc w:val="center"/>
              <w:rPr>
                <w:b/>
                <w:snapToGrid w:val="0"/>
                <w:szCs w:val="24"/>
              </w:rPr>
            </w:pPr>
            <w:r w:rsidRPr="007E4DC0">
              <w:rPr>
                <w:b/>
              </w:rPr>
              <w:t>Rok</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pPr>
              <w:jc w:val="center"/>
              <w:rPr>
                <w:b/>
              </w:rPr>
            </w:pPr>
            <w:r w:rsidRPr="007E4DC0">
              <w:rPr>
                <w:b/>
              </w:rPr>
              <w:t>Počet petícií</w:t>
            </w:r>
          </w:p>
        </w:tc>
        <w:tc>
          <w:tcPr>
            <w:tcW w:w="2974" w:type="dxa"/>
            <w:gridSpan w:val="2"/>
            <w:tcBorders>
              <w:top w:val="single" w:sz="4" w:space="0" w:color="auto"/>
              <w:left w:val="single" w:sz="4" w:space="0" w:color="auto"/>
              <w:bottom w:val="single" w:sz="4" w:space="0" w:color="auto"/>
              <w:right w:val="single" w:sz="4" w:space="0" w:color="auto"/>
            </w:tcBorders>
          </w:tcPr>
          <w:p w:rsidR="006F4946" w:rsidRPr="007E4DC0" w:rsidRDefault="006F4946">
            <w:pPr>
              <w:jc w:val="center"/>
              <w:rPr>
                <w:b/>
                <w:u w:val="single"/>
              </w:rPr>
            </w:pPr>
          </w:p>
          <w:p w:rsidR="006F4946" w:rsidRPr="007E4DC0" w:rsidRDefault="002410C3">
            <w:pPr>
              <w:jc w:val="center"/>
              <w:rPr>
                <w:b/>
              </w:rPr>
            </w:pPr>
            <w:r w:rsidRPr="007E4DC0">
              <w:rPr>
                <w:b/>
              </w:rPr>
              <w:t>Otvorené petície</w:t>
            </w:r>
          </w:p>
        </w:tc>
        <w:tc>
          <w:tcPr>
            <w:tcW w:w="3401" w:type="dxa"/>
            <w:gridSpan w:val="2"/>
            <w:tcBorders>
              <w:top w:val="single" w:sz="4" w:space="0" w:color="auto"/>
              <w:left w:val="single" w:sz="4" w:space="0" w:color="auto"/>
              <w:bottom w:val="single" w:sz="4" w:space="0" w:color="auto"/>
              <w:right w:val="single" w:sz="4" w:space="0" w:color="auto"/>
            </w:tcBorders>
          </w:tcPr>
          <w:p w:rsidR="006F4946" w:rsidRPr="007E4DC0" w:rsidRDefault="006F4946">
            <w:pPr>
              <w:jc w:val="center"/>
              <w:rPr>
                <w:b/>
                <w:u w:val="single"/>
              </w:rPr>
            </w:pPr>
          </w:p>
          <w:p w:rsidR="006F4946" w:rsidRPr="007E4DC0" w:rsidRDefault="002410C3">
            <w:pPr>
              <w:jc w:val="center"/>
              <w:rPr>
                <w:snapToGrid w:val="0"/>
              </w:rPr>
            </w:pPr>
            <w:r w:rsidRPr="007E4DC0">
              <w:rPr>
                <w:b/>
              </w:rPr>
              <w:t>Uzavreté petície</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2022</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1 217</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327</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rPr>
            </w:pPr>
            <w:r w:rsidRPr="007E4DC0">
              <w:rPr>
                <w:b/>
              </w:rPr>
              <w:t>26,9 %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890</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rPr>
            </w:pPr>
            <w:r w:rsidRPr="007E4DC0">
              <w:rPr>
                <w:b/>
              </w:rPr>
              <w:t>73,1 %</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2021</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1 392</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274</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rPr>
            </w:pPr>
            <w:r w:rsidRPr="007E4DC0">
              <w:rPr>
                <w:b/>
              </w:rPr>
              <w:t>19,7 %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color w:val="FF0000"/>
              </w:rPr>
            </w:pPr>
            <w:r w:rsidRPr="007E4DC0">
              <w:t xml:space="preserve">1 118 </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rPr>
            </w:pPr>
            <w:r w:rsidRPr="007E4DC0">
              <w:rPr>
                <w:b/>
              </w:rPr>
              <w:t>80,3 %</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2020</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1 573</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273</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rPr>
            </w:pPr>
            <w:r w:rsidRPr="007E4DC0">
              <w:rPr>
                <w:b/>
              </w:rPr>
              <w:t>17,4 %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1 300</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rPr>
            </w:pPr>
            <w:r w:rsidRPr="007E4DC0">
              <w:rPr>
                <w:b/>
              </w:rPr>
              <w:t>82,6 %</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2019</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1 357</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264</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rPr>
            </w:pPr>
            <w:r w:rsidRPr="007E4DC0">
              <w:rPr>
                <w:b/>
              </w:rPr>
              <w:t>19,5 %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1 093</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rPr>
            </w:pPr>
            <w:r w:rsidRPr="007E4DC0">
              <w:rPr>
                <w:b/>
              </w:rPr>
              <w:t>80,5 %</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2018</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1 220</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242</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rPr>
            </w:pPr>
            <w:r w:rsidRPr="007E4DC0">
              <w:rPr>
                <w:b/>
              </w:rPr>
              <w:t>19,8 %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978</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rPr>
            </w:pPr>
            <w:r w:rsidRPr="007E4DC0">
              <w:rPr>
                <w:b/>
              </w:rPr>
              <w:t>80,2 %</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2017</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1 271</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195</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rPr>
            </w:pPr>
            <w:r w:rsidRPr="007E4DC0">
              <w:rPr>
                <w:b/>
              </w:rPr>
              <w:t>15,3 %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1 076</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rPr>
            </w:pPr>
            <w:r w:rsidRPr="007E4DC0">
              <w:rPr>
                <w:b/>
              </w:rPr>
              <w:t>84,7 %</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2016</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1 569</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361</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rPr>
            </w:pPr>
            <w:r w:rsidRPr="007E4DC0">
              <w:rPr>
                <w:b/>
              </w:rPr>
              <w:t>23,0 %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1 208</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rPr>
            </w:pPr>
            <w:r w:rsidRPr="007E4DC0">
              <w:rPr>
                <w:b/>
              </w:rPr>
              <w:t>77,0 %</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2015</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1 431</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166</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rPr>
            </w:pPr>
            <w:r w:rsidRPr="007E4DC0">
              <w:rPr>
                <w:b/>
              </w:rPr>
              <w:t>11,6 %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1 265</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rPr>
            </w:pPr>
            <w:r w:rsidRPr="007E4DC0">
              <w:rPr>
                <w:b/>
              </w:rPr>
              <w:t>88,4 %</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2014</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rPr>
                <w:snapToGrid w:val="0"/>
              </w:rPr>
              <w:t>2 715</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rPr>
                <w:snapToGrid w:val="0"/>
              </w:rPr>
              <w:t>168</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snapToGrid w:val="0"/>
              </w:rPr>
              <w:t>6,2 %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2 547</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snapToGrid w:val="0"/>
              </w:rPr>
              <w:t>93,8 %</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2013</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2 891</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207</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snapToGrid w:val="0"/>
              </w:rPr>
              <w:t>7,2 %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2 684</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rPr>
            </w:pPr>
            <w:r w:rsidRPr="007E4DC0">
              <w:rPr>
                <w:b/>
              </w:rPr>
              <w:t>92,8 %</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2012</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1 986</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rPr>
                <w:snapToGrid w:val="0"/>
              </w:rPr>
              <w:t>39</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2,0 %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1 947</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98,0 %</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2011</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1 414</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29</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2,0 %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1 385</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 xml:space="preserve">98,0 </w:t>
            </w:r>
            <w:r w:rsidRPr="007E4DC0">
              <w:rPr>
                <w:b/>
              </w:rPr>
              <w:t>%</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2010</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1 656</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pPr>
              <w:tabs>
                <w:tab w:val="right" w:pos="1059"/>
              </w:tabs>
              <w:rPr>
                <w:snapToGrid w:val="0"/>
              </w:rPr>
            </w:pPr>
            <w:r w:rsidRPr="007E4DC0">
              <w:t>20</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1,2 %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1 636</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98,8 %</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2009</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1 924</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10</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0,5 %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1 924</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99,5 %</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2008</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1 886</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15</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0,8 %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1 871</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99,2 %</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2007</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1 506</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16</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1,1 %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1 490</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98,9 %</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2006</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1 021</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rPr>
                <w:snapToGrid w:val="0"/>
              </w:rPr>
              <w:t>2</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0,2 %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1 019</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99,8 %</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2005</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1 016</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2</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0,2 %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1 014</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99,8 %</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2004</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rPr>
                <w:snapToGrid w:val="0"/>
              </w:rPr>
              <w:t>1 002</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rPr>
                <w:snapToGrid w:val="0"/>
              </w:rPr>
              <w:t>2</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0,2 %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1 000</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99,8 %</w:t>
            </w:r>
          </w:p>
        </w:tc>
      </w:tr>
      <w:tr w:rsidR="00243B41" w:rsidRPr="007E4DC0" w:rsidTr="006F4946">
        <w:trPr>
          <w:jc w:val="center"/>
        </w:trPr>
        <w:tc>
          <w:tcPr>
            <w:tcW w:w="938"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2003</w:t>
            </w:r>
          </w:p>
        </w:tc>
        <w:tc>
          <w:tcPr>
            <w:tcW w:w="1472" w:type="dxa"/>
            <w:tcBorders>
              <w:top w:val="single" w:sz="4" w:space="0" w:color="auto"/>
              <w:left w:val="single" w:sz="4" w:space="0" w:color="auto"/>
              <w:bottom w:val="single" w:sz="4" w:space="0" w:color="auto"/>
              <w:right w:val="single" w:sz="4" w:space="0" w:color="auto"/>
            </w:tcBorders>
            <w:hideMark/>
          </w:tcPr>
          <w:p w:rsidR="006F4946" w:rsidRPr="007E4DC0" w:rsidRDefault="002410C3">
            <w:r w:rsidRPr="007E4DC0">
              <w:t>1 315</w:t>
            </w:r>
          </w:p>
        </w:tc>
        <w:tc>
          <w:tcPr>
            <w:tcW w:w="1274"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0</w:t>
            </w:r>
          </w:p>
        </w:tc>
        <w:tc>
          <w:tcPr>
            <w:tcW w:w="1700"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0 %</w:t>
            </w:r>
          </w:p>
        </w:tc>
        <w:tc>
          <w:tcPr>
            <w:tcW w:w="1416"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snapToGrid w:val="0"/>
              </w:rPr>
            </w:pPr>
            <w:r w:rsidRPr="007E4DC0">
              <w:t>1 315</w:t>
            </w:r>
          </w:p>
        </w:tc>
        <w:tc>
          <w:tcPr>
            <w:tcW w:w="1985" w:type="dxa"/>
            <w:tcBorders>
              <w:top w:val="single" w:sz="4" w:space="0" w:color="auto"/>
              <w:left w:val="single" w:sz="4" w:space="0" w:color="auto"/>
              <w:bottom w:val="single" w:sz="4" w:space="0" w:color="auto"/>
              <w:right w:val="single" w:sz="4" w:space="0" w:color="auto"/>
            </w:tcBorders>
            <w:hideMark/>
          </w:tcPr>
          <w:p w:rsidR="006F4946" w:rsidRPr="007E4DC0" w:rsidRDefault="002410C3">
            <w:pPr>
              <w:rPr>
                <w:b/>
                <w:snapToGrid w:val="0"/>
              </w:rPr>
            </w:pPr>
            <w:r w:rsidRPr="007E4DC0">
              <w:rPr>
                <w:b/>
              </w:rPr>
              <w:t>100,0 %</w:t>
            </w:r>
          </w:p>
        </w:tc>
      </w:tr>
    </w:tbl>
    <w:p w:rsidR="006F4946" w:rsidRPr="007E4DC0" w:rsidRDefault="002410C3" w:rsidP="006F4946">
      <w:pPr>
        <w:widowControl/>
        <w:rPr>
          <w:b/>
        </w:rPr>
      </w:pPr>
      <w:r w:rsidRPr="007E4DC0">
        <w:rPr>
          <w:b/>
        </w:rPr>
        <w:t>Spracovanie petícií</w:t>
      </w:r>
      <w:r w:rsidRPr="007E4DC0">
        <w:rPr>
          <w:rStyle w:val="FootnoteReference"/>
          <w:b/>
        </w:rPr>
        <w:footnoteReference w:id="13"/>
      </w:r>
      <w:r w:rsidRPr="007E4DC0">
        <w:rPr>
          <w:b/>
        </w:rPr>
        <w:t xml:space="preserve"> </w:t>
      </w:r>
    </w:p>
    <w:p w:rsidR="006F4946" w:rsidRPr="007E4DC0" w:rsidRDefault="006F4946" w:rsidP="006F4946"/>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1"/>
        <w:gridCol w:w="1070"/>
        <w:gridCol w:w="1685"/>
        <w:gridCol w:w="374"/>
        <w:gridCol w:w="1730"/>
        <w:gridCol w:w="1255"/>
        <w:gridCol w:w="1551"/>
      </w:tblGrid>
      <w:tr w:rsidR="00243B41" w:rsidRPr="007E4DC0" w:rsidTr="007A182D">
        <w:tc>
          <w:tcPr>
            <w:tcW w:w="4446" w:type="dxa"/>
            <w:gridSpan w:val="3"/>
            <w:tcBorders>
              <w:top w:val="nil"/>
              <w:left w:val="nil"/>
              <w:bottom w:val="nil"/>
              <w:right w:val="nil"/>
            </w:tcBorders>
            <w:hideMark/>
          </w:tcPr>
          <w:p w:rsidR="006F4946" w:rsidRPr="007E4DC0" w:rsidRDefault="002410C3">
            <w:r w:rsidRPr="007E4DC0">
              <w:lastRenderedPageBreak/>
              <w:t>2022</w:t>
            </w:r>
          </w:p>
        </w:tc>
        <w:tc>
          <w:tcPr>
            <w:tcW w:w="374" w:type="dxa"/>
            <w:vMerge w:val="restart"/>
            <w:tcBorders>
              <w:top w:val="nil"/>
              <w:left w:val="nil"/>
              <w:bottom w:val="nil"/>
              <w:right w:val="nil"/>
            </w:tcBorders>
          </w:tcPr>
          <w:p w:rsidR="006F4946" w:rsidRPr="007E4DC0" w:rsidRDefault="002410C3">
            <w:r w:rsidRPr="007E4DC0">
              <w:t xml:space="preserve"> </w:t>
            </w:r>
          </w:p>
          <w:p w:rsidR="006F4946" w:rsidRPr="007E4DC0" w:rsidRDefault="006F4946"/>
          <w:p w:rsidR="006F4946" w:rsidRPr="007E4DC0" w:rsidRDefault="006F4946"/>
        </w:tc>
        <w:tc>
          <w:tcPr>
            <w:tcW w:w="4536" w:type="dxa"/>
            <w:gridSpan w:val="3"/>
            <w:tcBorders>
              <w:top w:val="nil"/>
              <w:left w:val="nil"/>
              <w:bottom w:val="nil"/>
              <w:right w:val="nil"/>
            </w:tcBorders>
            <w:hideMark/>
          </w:tcPr>
          <w:p w:rsidR="006F4946" w:rsidRPr="007E4DC0" w:rsidRDefault="002410C3">
            <w:r w:rsidRPr="007E4DC0">
              <w:t>2021</w:t>
            </w:r>
          </w:p>
        </w:tc>
      </w:tr>
      <w:tr w:rsidR="00243B41" w:rsidRPr="007E4DC0" w:rsidTr="007A182D">
        <w:tc>
          <w:tcPr>
            <w:tcW w:w="1691" w:type="dxa"/>
            <w:tcBorders>
              <w:top w:val="nil"/>
              <w:left w:val="single" w:sz="4" w:space="0" w:color="auto"/>
              <w:bottom w:val="single" w:sz="4" w:space="0" w:color="auto"/>
              <w:right w:val="single" w:sz="4" w:space="0" w:color="auto"/>
            </w:tcBorders>
            <w:shd w:val="clear" w:color="auto" w:fill="002060"/>
            <w:hideMark/>
          </w:tcPr>
          <w:p w:rsidR="006F4946" w:rsidRPr="007E4DC0" w:rsidRDefault="002410C3" w:rsidP="0040206F">
            <w:pPr>
              <w:rPr>
                <w:b/>
                <w:color w:val="FFFFFF" w:themeColor="background1"/>
              </w:rPr>
            </w:pPr>
            <w:r w:rsidRPr="007E4DC0">
              <w:rPr>
                <w:b/>
                <w:color w:val="FFFFFF" w:themeColor="background1"/>
              </w:rPr>
              <w:t>Spracovanie petícií</w:t>
            </w:r>
          </w:p>
        </w:tc>
        <w:tc>
          <w:tcPr>
            <w:tcW w:w="1070" w:type="dxa"/>
            <w:tcBorders>
              <w:top w:val="nil"/>
              <w:left w:val="single" w:sz="4" w:space="0" w:color="auto"/>
              <w:bottom w:val="single" w:sz="4" w:space="0" w:color="auto"/>
              <w:right w:val="single" w:sz="4" w:space="0" w:color="auto"/>
            </w:tcBorders>
            <w:shd w:val="clear" w:color="auto" w:fill="002060"/>
            <w:hideMark/>
          </w:tcPr>
          <w:p w:rsidR="006F4946" w:rsidRPr="007E4DC0" w:rsidRDefault="002410C3">
            <w:pPr>
              <w:rPr>
                <w:b/>
                <w:color w:val="FFFFFF" w:themeColor="background1"/>
              </w:rPr>
            </w:pPr>
            <w:r w:rsidRPr="007E4DC0">
              <w:rPr>
                <w:b/>
                <w:color w:val="FFFFFF" w:themeColor="background1"/>
              </w:rPr>
              <w:t>Počet</w:t>
            </w:r>
          </w:p>
        </w:tc>
        <w:tc>
          <w:tcPr>
            <w:tcW w:w="1685" w:type="dxa"/>
            <w:tcBorders>
              <w:top w:val="nil"/>
              <w:left w:val="single" w:sz="4" w:space="0" w:color="auto"/>
              <w:bottom w:val="single" w:sz="4" w:space="0" w:color="auto"/>
              <w:right w:val="single" w:sz="4" w:space="0" w:color="auto"/>
            </w:tcBorders>
            <w:shd w:val="clear" w:color="auto" w:fill="002060"/>
            <w:hideMark/>
          </w:tcPr>
          <w:p w:rsidR="006F4946" w:rsidRPr="007E4DC0" w:rsidRDefault="002410C3" w:rsidP="0040206F">
            <w:pPr>
              <w:rPr>
                <w:b/>
                <w:color w:val="FFFFFF" w:themeColor="background1"/>
              </w:rPr>
            </w:pPr>
            <w:r w:rsidRPr="007E4DC0">
              <w:rPr>
                <w:b/>
                <w:color w:val="FFFFFF" w:themeColor="background1"/>
              </w:rPr>
              <w:t>%</w:t>
            </w:r>
          </w:p>
        </w:tc>
        <w:tc>
          <w:tcPr>
            <w:tcW w:w="0" w:type="auto"/>
            <w:vMerge/>
            <w:tcBorders>
              <w:top w:val="nil"/>
              <w:left w:val="single" w:sz="4" w:space="0" w:color="auto"/>
              <w:bottom w:val="single" w:sz="4" w:space="0" w:color="auto"/>
              <w:right w:val="single" w:sz="4" w:space="0" w:color="auto"/>
            </w:tcBorders>
            <w:vAlign w:val="center"/>
            <w:hideMark/>
          </w:tcPr>
          <w:p w:rsidR="006F4946" w:rsidRPr="007E4DC0" w:rsidRDefault="006F4946" w:rsidP="0040206F">
            <w:pPr>
              <w:rPr>
                <w:b/>
                <w:color w:val="FFFFFF" w:themeColor="background1"/>
              </w:rPr>
            </w:pPr>
          </w:p>
        </w:tc>
        <w:tc>
          <w:tcPr>
            <w:tcW w:w="1730" w:type="dxa"/>
            <w:tcBorders>
              <w:top w:val="nil"/>
              <w:left w:val="single" w:sz="4" w:space="0" w:color="auto"/>
              <w:bottom w:val="single" w:sz="4" w:space="0" w:color="auto"/>
              <w:right w:val="single" w:sz="4" w:space="0" w:color="auto"/>
            </w:tcBorders>
            <w:shd w:val="clear" w:color="auto" w:fill="002060"/>
            <w:hideMark/>
          </w:tcPr>
          <w:p w:rsidR="006F4946" w:rsidRPr="007E4DC0" w:rsidRDefault="002410C3" w:rsidP="0040206F">
            <w:pPr>
              <w:rPr>
                <w:b/>
                <w:color w:val="FFFFFF" w:themeColor="background1"/>
              </w:rPr>
            </w:pPr>
            <w:r w:rsidRPr="007E4DC0">
              <w:rPr>
                <w:b/>
                <w:color w:val="FFFFFF" w:themeColor="background1"/>
              </w:rPr>
              <w:t>Spracovanie petícií</w:t>
            </w:r>
          </w:p>
        </w:tc>
        <w:tc>
          <w:tcPr>
            <w:tcW w:w="1255" w:type="dxa"/>
            <w:tcBorders>
              <w:top w:val="nil"/>
              <w:left w:val="single" w:sz="4" w:space="0" w:color="auto"/>
              <w:bottom w:val="single" w:sz="4" w:space="0" w:color="auto"/>
              <w:right w:val="single" w:sz="4" w:space="0" w:color="auto"/>
            </w:tcBorders>
            <w:shd w:val="clear" w:color="auto" w:fill="002060"/>
            <w:hideMark/>
          </w:tcPr>
          <w:p w:rsidR="006F4946" w:rsidRPr="007E4DC0" w:rsidRDefault="002410C3" w:rsidP="0040206F">
            <w:pPr>
              <w:rPr>
                <w:b/>
                <w:color w:val="FFFFFF" w:themeColor="background1"/>
              </w:rPr>
            </w:pPr>
            <w:r w:rsidRPr="007E4DC0">
              <w:rPr>
                <w:b/>
                <w:color w:val="FFFFFF" w:themeColor="background1"/>
              </w:rPr>
              <w:t>Počet</w:t>
            </w:r>
          </w:p>
        </w:tc>
        <w:tc>
          <w:tcPr>
            <w:tcW w:w="1551" w:type="dxa"/>
            <w:tcBorders>
              <w:top w:val="nil"/>
              <w:left w:val="single" w:sz="4" w:space="0" w:color="auto"/>
              <w:bottom w:val="single" w:sz="4" w:space="0" w:color="auto"/>
              <w:right w:val="single" w:sz="4" w:space="0" w:color="auto"/>
            </w:tcBorders>
            <w:shd w:val="clear" w:color="auto" w:fill="002060"/>
          </w:tcPr>
          <w:p w:rsidR="006F4946" w:rsidRPr="007E4DC0" w:rsidRDefault="002410C3" w:rsidP="0040206F">
            <w:pPr>
              <w:rPr>
                <w:b/>
                <w:color w:val="FFFFFF" w:themeColor="background1"/>
              </w:rPr>
            </w:pPr>
            <w:r w:rsidRPr="007E4DC0">
              <w:rPr>
                <w:b/>
                <w:color w:val="FFFFFF" w:themeColor="background1"/>
              </w:rPr>
              <w:t>%</w:t>
            </w:r>
          </w:p>
          <w:p w:rsidR="006F4946" w:rsidRPr="007E4DC0" w:rsidRDefault="006F4946">
            <w:pPr>
              <w:rPr>
                <w:b/>
                <w:color w:val="FFFFFF" w:themeColor="background1"/>
              </w:rPr>
            </w:pPr>
          </w:p>
          <w:p w:rsidR="006F4946" w:rsidRPr="007E4DC0" w:rsidRDefault="006F4946">
            <w:pPr>
              <w:rPr>
                <w:b/>
                <w:color w:val="FFFFFF" w:themeColor="background1"/>
              </w:rPr>
            </w:pPr>
          </w:p>
        </w:tc>
      </w:tr>
      <w:tr w:rsidR="00243B41" w:rsidRPr="007E4DC0" w:rsidTr="006F4946">
        <w:tc>
          <w:tcPr>
            <w:tcW w:w="1691" w:type="dxa"/>
            <w:tcBorders>
              <w:top w:val="single" w:sz="4" w:space="0" w:color="auto"/>
              <w:left w:val="single" w:sz="4" w:space="0" w:color="auto"/>
              <w:bottom w:val="single" w:sz="4" w:space="0" w:color="auto"/>
              <w:right w:val="single" w:sz="4" w:space="0" w:color="auto"/>
            </w:tcBorders>
          </w:tcPr>
          <w:p w:rsidR="007A182D" w:rsidRPr="007E4DC0" w:rsidRDefault="002410C3" w:rsidP="007A182D">
            <w:r w:rsidRPr="007E4DC0">
              <w:t>Prípustné a uzavreté</w:t>
            </w:r>
          </w:p>
        </w:tc>
        <w:tc>
          <w:tcPr>
            <w:tcW w:w="1070"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527</w:t>
            </w:r>
          </w:p>
        </w:tc>
        <w:tc>
          <w:tcPr>
            <w:tcW w:w="1685"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43,48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182D" w:rsidRPr="007E4DC0" w:rsidRDefault="007A182D" w:rsidP="007A182D">
            <w:pPr>
              <w:widowControl/>
            </w:pPr>
          </w:p>
        </w:tc>
        <w:tc>
          <w:tcPr>
            <w:tcW w:w="173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40206F">
            <w:r w:rsidRPr="007E4DC0">
              <w:t>Prípustné a uzavreté</w:t>
            </w:r>
          </w:p>
        </w:tc>
        <w:tc>
          <w:tcPr>
            <w:tcW w:w="1255"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573</w:t>
            </w:r>
          </w:p>
        </w:tc>
        <w:tc>
          <w:tcPr>
            <w:tcW w:w="1551"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41,16</w:t>
            </w:r>
          </w:p>
        </w:tc>
      </w:tr>
      <w:tr w:rsidR="00243B41" w:rsidRPr="007E4DC0" w:rsidTr="006F4946">
        <w:tc>
          <w:tcPr>
            <w:tcW w:w="1691" w:type="dxa"/>
            <w:tcBorders>
              <w:top w:val="single" w:sz="4" w:space="0" w:color="auto"/>
              <w:left w:val="single" w:sz="4" w:space="0" w:color="auto"/>
              <w:bottom w:val="single" w:sz="4" w:space="0" w:color="auto"/>
              <w:right w:val="single" w:sz="4" w:space="0" w:color="auto"/>
            </w:tcBorders>
          </w:tcPr>
          <w:p w:rsidR="007A182D" w:rsidRPr="007E4DC0" w:rsidRDefault="002410C3" w:rsidP="007A182D">
            <w:r w:rsidRPr="007E4DC0">
              <w:t>Prípustné a otvorené</w:t>
            </w:r>
          </w:p>
        </w:tc>
        <w:tc>
          <w:tcPr>
            <w:tcW w:w="1070"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327</w:t>
            </w:r>
          </w:p>
        </w:tc>
        <w:tc>
          <w:tcPr>
            <w:tcW w:w="1685"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26,98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182D" w:rsidRPr="007E4DC0" w:rsidRDefault="007A182D" w:rsidP="007A182D">
            <w:pPr>
              <w:widowControl/>
            </w:pPr>
          </w:p>
        </w:tc>
        <w:tc>
          <w:tcPr>
            <w:tcW w:w="173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Prípustné a otvorené</w:t>
            </w:r>
          </w:p>
        </w:tc>
        <w:tc>
          <w:tcPr>
            <w:tcW w:w="1255"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434</w:t>
            </w:r>
          </w:p>
        </w:tc>
        <w:tc>
          <w:tcPr>
            <w:tcW w:w="1551"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31,18</w:t>
            </w:r>
          </w:p>
        </w:tc>
      </w:tr>
      <w:tr w:rsidR="00243B41" w:rsidRPr="007E4DC0" w:rsidTr="006F4946">
        <w:tc>
          <w:tcPr>
            <w:tcW w:w="1691" w:type="dxa"/>
            <w:tcBorders>
              <w:top w:val="single" w:sz="4" w:space="0" w:color="auto"/>
              <w:left w:val="single" w:sz="4" w:space="0" w:color="auto"/>
              <w:bottom w:val="single" w:sz="4" w:space="0" w:color="auto"/>
              <w:right w:val="single" w:sz="4" w:space="0" w:color="auto"/>
            </w:tcBorders>
          </w:tcPr>
          <w:p w:rsidR="007A182D" w:rsidRPr="007E4DC0" w:rsidRDefault="002410C3" w:rsidP="007A182D">
            <w:r w:rsidRPr="007E4DC0">
              <w:t>Neprípustné</w:t>
            </w:r>
          </w:p>
        </w:tc>
        <w:tc>
          <w:tcPr>
            <w:tcW w:w="1070"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357</w:t>
            </w:r>
          </w:p>
        </w:tc>
        <w:tc>
          <w:tcPr>
            <w:tcW w:w="1685"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29,46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182D" w:rsidRPr="007E4DC0" w:rsidRDefault="007A182D" w:rsidP="007A182D">
            <w:pPr>
              <w:widowControl/>
            </w:pPr>
          </w:p>
        </w:tc>
        <w:tc>
          <w:tcPr>
            <w:tcW w:w="1730" w:type="dxa"/>
            <w:tcBorders>
              <w:top w:val="single" w:sz="4" w:space="0" w:color="auto"/>
              <w:left w:val="single" w:sz="4" w:space="0" w:color="auto"/>
              <w:bottom w:val="single" w:sz="4" w:space="0" w:color="auto"/>
              <w:right w:val="single" w:sz="4" w:space="0" w:color="auto"/>
            </w:tcBorders>
          </w:tcPr>
          <w:p w:rsidR="007A182D" w:rsidRPr="007E4DC0" w:rsidRDefault="002410C3" w:rsidP="007A182D">
            <w:r w:rsidRPr="007E4DC0">
              <w:t>Neprípustné</w:t>
            </w:r>
          </w:p>
        </w:tc>
        <w:tc>
          <w:tcPr>
            <w:tcW w:w="1255"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368</w:t>
            </w:r>
          </w:p>
        </w:tc>
        <w:tc>
          <w:tcPr>
            <w:tcW w:w="1551"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26,5</w:t>
            </w:r>
          </w:p>
        </w:tc>
      </w:tr>
      <w:tr w:rsidR="00243B41" w:rsidRPr="007E4DC0" w:rsidTr="006F4946">
        <w:tc>
          <w:tcPr>
            <w:tcW w:w="1691" w:type="dxa"/>
            <w:tcBorders>
              <w:top w:val="single" w:sz="4" w:space="0" w:color="auto"/>
              <w:left w:val="single" w:sz="4" w:space="0" w:color="auto"/>
              <w:bottom w:val="single" w:sz="4" w:space="0" w:color="auto"/>
              <w:right w:val="single" w:sz="4" w:space="0" w:color="auto"/>
            </w:tcBorders>
          </w:tcPr>
          <w:p w:rsidR="007A182D" w:rsidRPr="007E4DC0" w:rsidRDefault="002410C3" w:rsidP="007A182D">
            <w:r w:rsidRPr="007E4DC0">
              <w:t>Stiahnuté</w:t>
            </w:r>
          </w:p>
        </w:tc>
        <w:tc>
          <w:tcPr>
            <w:tcW w:w="1070"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5</w:t>
            </w:r>
          </w:p>
        </w:tc>
        <w:tc>
          <w:tcPr>
            <w:tcW w:w="1685"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0,08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182D" w:rsidRPr="007E4DC0" w:rsidRDefault="007A182D" w:rsidP="007A182D">
            <w:pPr>
              <w:widowControl/>
            </w:pPr>
          </w:p>
        </w:tc>
        <w:tc>
          <w:tcPr>
            <w:tcW w:w="1730" w:type="dxa"/>
            <w:tcBorders>
              <w:top w:val="single" w:sz="4" w:space="0" w:color="auto"/>
              <w:left w:val="single" w:sz="4" w:space="0" w:color="auto"/>
              <w:bottom w:val="single" w:sz="4" w:space="0" w:color="auto"/>
              <w:right w:val="single" w:sz="4" w:space="0" w:color="auto"/>
            </w:tcBorders>
          </w:tcPr>
          <w:p w:rsidR="007A182D" w:rsidRPr="007E4DC0" w:rsidRDefault="002410C3" w:rsidP="007A182D">
            <w:r w:rsidRPr="007E4DC0">
              <w:t>Stiahnuté</w:t>
            </w:r>
          </w:p>
        </w:tc>
        <w:tc>
          <w:tcPr>
            <w:tcW w:w="1255"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17</w:t>
            </w:r>
          </w:p>
        </w:tc>
        <w:tc>
          <w:tcPr>
            <w:tcW w:w="1551"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1,22</w:t>
            </w:r>
          </w:p>
        </w:tc>
      </w:tr>
      <w:tr w:rsidR="00243B41" w:rsidRPr="007E4DC0" w:rsidTr="006F4946">
        <w:tc>
          <w:tcPr>
            <w:tcW w:w="1691" w:type="dxa"/>
            <w:tcBorders>
              <w:top w:val="single" w:sz="4" w:space="0" w:color="auto"/>
              <w:left w:val="single" w:sz="4" w:space="0" w:color="auto"/>
              <w:bottom w:val="single" w:sz="4" w:space="0" w:color="auto"/>
              <w:right w:val="single" w:sz="4" w:space="0" w:color="auto"/>
            </w:tcBorders>
          </w:tcPr>
          <w:p w:rsidR="007A182D" w:rsidRPr="007E4DC0" w:rsidRDefault="002410C3" w:rsidP="007A182D">
            <w:r w:rsidRPr="007E4DC0">
              <w:t>Odoslané so žiadosťou o stanovisko EK</w:t>
            </w:r>
          </w:p>
        </w:tc>
        <w:tc>
          <w:tcPr>
            <w:tcW w:w="1070"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482</w:t>
            </w:r>
          </w:p>
        </w:tc>
        <w:tc>
          <w:tcPr>
            <w:tcW w:w="1685"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37,57</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182D" w:rsidRPr="007E4DC0" w:rsidRDefault="007A182D" w:rsidP="007A182D">
            <w:pPr>
              <w:widowControl/>
            </w:pPr>
          </w:p>
        </w:tc>
        <w:tc>
          <w:tcPr>
            <w:tcW w:w="1730" w:type="dxa"/>
            <w:tcBorders>
              <w:top w:val="single" w:sz="4" w:space="0" w:color="auto"/>
              <w:left w:val="single" w:sz="4" w:space="0" w:color="auto"/>
              <w:bottom w:val="single" w:sz="4" w:space="0" w:color="auto"/>
              <w:right w:val="single" w:sz="4" w:space="0" w:color="auto"/>
            </w:tcBorders>
          </w:tcPr>
          <w:p w:rsidR="007A182D" w:rsidRPr="007E4DC0" w:rsidRDefault="002410C3" w:rsidP="007A182D">
            <w:r w:rsidRPr="007E4DC0">
              <w:t>Odoslané so žiadosťou o stanovisko EK</w:t>
            </w:r>
          </w:p>
        </w:tc>
        <w:tc>
          <w:tcPr>
            <w:tcW w:w="1255"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554</w:t>
            </w:r>
          </w:p>
        </w:tc>
        <w:tc>
          <w:tcPr>
            <w:tcW w:w="1551"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44,90</w:t>
            </w:r>
          </w:p>
        </w:tc>
      </w:tr>
      <w:tr w:rsidR="00243B41" w:rsidRPr="007E4DC0" w:rsidTr="006F4946">
        <w:tc>
          <w:tcPr>
            <w:tcW w:w="1691" w:type="dxa"/>
            <w:tcBorders>
              <w:top w:val="single" w:sz="4" w:space="0" w:color="auto"/>
              <w:left w:val="single" w:sz="4" w:space="0" w:color="auto"/>
              <w:bottom w:val="single" w:sz="4" w:space="0" w:color="auto"/>
              <w:right w:val="single" w:sz="4" w:space="0" w:color="auto"/>
            </w:tcBorders>
          </w:tcPr>
          <w:p w:rsidR="007A182D" w:rsidRPr="007E4DC0" w:rsidRDefault="002410C3" w:rsidP="007A182D">
            <w:r w:rsidRPr="007E4DC0">
              <w:t>Odoslané so žiadosťou o stanovisko iným orgánom</w:t>
            </w:r>
          </w:p>
        </w:tc>
        <w:tc>
          <w:tcPr>
            <w:tcW w:w="1070"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12</w:t>
            </w:r>
          </w:p>
        </w:tc>
        <w:tc>
          <w:tcPr>
            <w:tcW w:w="1685"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0,94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182D" w:rsidRPr="007E4DC0" w:rsidRDefault="007A182D" w:rsidP="007A182D">
            <w:pPr>
              <w:widowControl/>
            </w:pPr>
          </w:p>
        </w:tc>
        <w:tc>
          <w:tcPr>
            <w:tcW w:w="173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Odoslané so žiadosťou o stanovisko</w:t>
            </w:r>
            <w:r w:rsidRPr="007E4DC0">
              <w:t xml:space="preserve"> iným orgánom</w:t>
            </w:r>
          </w:p>
        </w:tc>
        <w:tc>
          <w:tcPr>
            <w:tcW w:w="1255"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33</w:t>
            </w:r>
          </w:p>
        </w:tc>
        <w:tc>
          <w:tcPr>
            <w:tcW w:w="1551"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2,67</w:t>
            </w:r>
          </w:p>
        </w:tc>
      </w:tr>
      <w:tr w:rsidR="00243B41" w:rsidRPr="007E4DC0" w:rsidTr="006F4946">
        <w:tc>
          <w:tcPr>
            <w:tcW w:w="1691"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Odoslané pre informáciu iným orgánom</w:t>
            </w:r>
          </w:p>
        </w:tc>
        <w:tc>
          <w:tcPr>
            <w:tcW w:w="1070"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789</w:t>
            </w:r>
          </w:p>
        </w:tc>
        <w:tc>
          <w:tcPr>
            <w:tcW w:w="1685"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61,5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A182D" w:rsidRPr="007E4DC0" w:rsidRDefault="007A182D" w:rsidP="007A182D">
            <w:pPr>
              <w:widowControl/>
            </w:pPr>
          </w:p>
        </w:tc>
        <w:tc>
          <w:tcPr>
            <w:tcW w:w="173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Odoslané pre informáciu iným orgánom</w:t>
            </w:r>
          </w:p>
        </w:tc>
        <w:tc>
          <w:tcPr>
            <w:tcW w:w="1255"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647</w:t>
            </w:r>
          </w:p>
        </w:tc>
        <w:tc>
          <w:tcPr>
            <w:tcW w:w="1551"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jc w:val="right"/>
            </w:pPr>
            <w:r w:rsidRPr="007E4DC0">
              <w:t>43,37</w:t>
            </w:r>
          </w:p>
        </w:tc>
      </w:tr>
    </w:tbl>
    <w:p w:rsidR="007A182D" w:rsidRPr="007E4DC0" w:rsidRDefault="007A182D" w:rsidP="006F4946">
      <w:pPr>
        <w:spacing w:after="160" w:line="252" w:lineRule="auto"/>
        <w:jc w:val="both"/>
      </w:pPr>
    </w:p>
    <w:p w:rsidR="006F4946" w:rsidRPr="007E4DC0" w:rsidRDefault="002410C3" w:rsidP="006F4946">
      <w:pPr>
        <w:spacing w:after="160" w:line="252" w:lineRule="auto"/>
        <w:jc w:val="both"/>
      </w:pPr>
      <w:r w:rsidRPr="007E4DC0">
        <w:t>Z tabuliek vyplýva, že percentuálny podiel petícií vyhlásených za neprípustné v roku 2022 je mierne vyšší ako percentuálny podiel petícií</w:t>
      </w:r>
      <w:r w:rsidRPr="007E4DC0">
        <w:t xml:space="preserve"> vyhlásených za neprípustné v roku 2021.</w:t>
      </w:r>
    </w:p>
    <w:p w:rsidR="006F4946" w:rsidRPr="007E4DC0" w:rsidRDefault="002410C3" w:rsidP="006F4946">
      <w:pPr>
        <w:spacing w:after="160" w:line="252" w:lineRule="auto"/>
        <w:jc w:val="both"/>
      </w:pPr>
      <w:r w:rsidRPr="007E4DC0">
        <w:t>Percentuálny podiel prípustných petícií (43,48 %), ktoré boli v roku 2022 okamžite uzavreté po poskytnutí informácií predkladateľovi petície, je v porovnaní s rokom 2021 mierne vyšší. Percentuálny podiel petícií, kt</w:t>
      </w:r>
      <w:r w:rsidRPr="007E4DC0">
        <w:t>oré zostali otvorené v roku 2022 (26,98 %), sa v porovnaní s rokom 2021 znížil (31,18 %).</w:t>
      </w:r>
    </w:p>
    <w:p w:rsidR="006F4946" w:rsidRPr="007E4DC0" w:rsidRDefault="002410C3" w:rsidP="006F4946">
      <w:pPr>
        <w:spacing w:after="160" w:line="252" w:lineRule="auto"/>
        <w:jc w:val="both"/>
      </w:pPr>
      <w:r w:rsidRPr="007E4DC0">
        <w:t xml:space="preserve">Treba takisto poznamenať, že v roku 2022 bola viac ako tretina prípustných petícií (37,57 %) zaslaná Komisii so žiadosťou o stanovisko. </w:t>
      </w:r>
    </w:p>
    <w:p w:rsidR="006F4946" w:rsidRPr="007E4DC0" w:rsidRDefault="002410C3" w:rsidP="006F4946">
      <w:pPr>
        <w:spacing w:after="160" w:line="252" w:lineRule="auto"/>
        <w:jc w:val="both"/>
      </w:pPr>
      <w:r w:rsidRPr="007E4DC0">
        <w:t>Percentuálny podiel petícií z</w:t>
      </w:r>
      <w:r w:rsidRPr="007E4DC0">
        <w:t xml:space="preserve">aslaných iným orgánom so žiadosťou o stanovisko sa v roku 2022 v porovnaní s rokom 2021 výrazne znížil. </w:t>
      </w:r>
    </w:p>
    <w:p w:rsidR="007A182D" w:rsidRPr="007E4DC0" w:rsidRDefault="007A182D" w:rsidP="006F4946">
      <w:pPr>
        <w:spacing w:after="160" w:line="252" w:lineRule="auto"/>
        <w:jc w:val="both"/>
      </w:pPr>
    </w:p>
    <w:p w:rsidR="006F4946" w:rsidRPr="007E4DC0" w:rsidRDefault="002410C3" w:rsidP="006F4946">
      <w:pPr>
        <w:spacing w:after="160" w:line="22" w:lineRule="atLeast"/>
        <w:rPr>
          <w:b/>
        </w:rPr>
      </w:pPr>
      <w:r w:rsidRPr="007E4DC0">
        <w:rPr>
          <w:b/>
        </w:rPr>
        <w:t>Počet petícií podľa krajiny</w:t>
      </w:r>
    </w:p>
    <w:p w:rsidR="006F4946" w:rsidRPr="007E4DC0" w:rsidRDefault="006F4946" w:rsidP="006F4946">
      <w:pPr>
        <w:spacing w:after="160" w:line="252" w:lineRule="auto"/>
      </w:pPr>
    </w:p>
    <w:p w:rsidR="006F4946" w:rsidRPr="007E4DC0" w:rsidRDefault="002410C3" w:rsidP="006F4946">
      <w:pPr>
        <w:spacing w:after="160" w:line="252" w:lineRule="auto"/>
        <w:jc w:val="both"/>
      </w:pPr>
      <w:r w:rsidRPr="007E4DC0">
        <w:t xml:space="preserve">V nasledujúcich dvoch tabuľkách sú z číselného a z percentuálneho hľadiska znázornené zmeny v petíciách podľa </w:t>
      </w:r>
      <w:r w:rsidRPr="007E4DC0">
        <w:t>jednotlivých krajín od roku 2021 do roku 2022. Veľký počet petícií predložených v obidvoch rokoch sa týka EÚ. Znamená to, že v týchto petíciách sa buď nastoľujú otázky týkajúce sa celej EÚ, alebo sa vyzýva na zavedenie spoločných opatrení platných pre celú</w:t>
      </w:r>
      <w:r w:rsidRPr="007E4DC0">
        <w:t xml:space="preserve"> EÚ. Petície týkajúce sa EÚ sa môžu vzťahovať aj na jeden alebo viacero členských štátov, a preto sú zaznamenané aj v kolónke EÚ, aj v kolónke dotknutého členského štátu/dotknutých členských štátov. Tým sa vysvetľuje, prečo súčet petícií týkajúcich sa EÚ a</w:t>
      </w:r>
      <w:r w:rsidRPr="007E4DC0">
        <w:t xml:space="preserve"> petícií týkajúcich sa len členských štátov presahuje celkový počet petícií predložených v rokoch 2021 a 2022. </w:t>
      </w:r>
    </w:p>
    <w:p w:rsidR="00ED0168" w:rsidRPr="007E4DC0" w:rsidRDefault="002410C3" w:rsidP="00ED0168">
      <w:pPr>
        <w:spacing w:after="160" w:line="252" w:lineRule="auto"/>
        <w:jc w:val="both"/>
      </w:pPr>
      <w:r w:rsidRPr="007E4DC0">
        <w:lastRenderedPageBreak/>
        <w:t>Okrem toho treba zdôrazniť, že šesť krajín, ktorých sa petície týkajú najčastejšie, zostalo v oboch rokoch rovnakých, hoci poradie najviac dotkn</w:t>
      </w:r>
      <w:r w:rsidRPr="007E4DC0">
        <w:t xml:space="preserve">utých krajín sa v roku 2022 v porovnaní s rokom 2021 zmenilo (Grécko svoje prvé miesto z roku 2021 postúpilo Poľsku). Väčšina petícií predložených v roku 2022 sa týka Španielska, v porovnaní s rokom 2021 však došlo k značnému poklesu ich počtu. Za zmienku </w:t>
      </w:r>
      <w:r w:rsidRPr="007E4DC0">
        <w:t>stojí výrazný pokles počtu petícií týkajúcich sa Talianska (zo 129 na 101). Podobne sa znížil aj počet petícií týkajúcich sa Grécka, a to o 1,5 (z 82 na 54). Naopak, počet petícií týkajúcich sa Poľska sa v porovnaní s rokom 2021 zvýšil (z 56 na 71).</w:t>
      </w:r>
    </w:p>
    <w:p w:rsidR="006F4946" w:rsidRPr="007E4DC0" w:rsidRDefault="002410C3" w:rsidP="006F4946">
      <w:pPr>
        <w:spacing w:after="160" w:line="252" w:lineRule="auto"/>
        <w:jc w:val="both"/>
      </w:pPr>
      <w:r w:rsidRPr="007E4DC0">
        <w:t>Naopak</w:t>
      </w:r>
      <w:r w:rsidRPr="007E4DC0">
        <w:t xml:space="preserve">, petície týkajúce sa Írska sa v roku 2022 výrazne znížili v porovnaní s petíciami predloženými v roku 2021 (z 24 na 8). </w:t>
      </w:r>
    </w:p>
    <w:p w:rsidR="006F4946" w:rsidRPr="007E4DC0" w:rsidRDefault="002410C3" w:rsidP="006F4946">
      <w:pPr>
        <w:jc w:val="both"/>
      </w:pPr>
      <w:r w:rsidRPr="007E4DC0">
        <w:t>Na chvoste rebríčka sa v roku 2022 ako najmenej dotknuté krajiny umiestnili Česko, Estónsko a Slovensko, zatiaľ čo v roku 2021 to bolo</w:t>
      </w:r>
      <w:r w:rsidRPr="007E4DC0">
        <w:t xml:space="preserve"> Estónsko a Slovinsko. </w:t>
      </w:r>
    </w:p>
    <w:p w:rsidR="007A182D" w:rsidRPr="007E4DC0" w:rsidRDefault="007A182D" w:rsidP="006F4946">
      <w:pPr>
        <w:jc w:val="both"/>
      </w:pPr>
    </w:p>
    <w:tbl>
      <w:tblPr>
        <w:tblW w:w="0" w:type="auto"/>
        <w:tblLook w:val="04A0" w:firstRow="1" w:lastRow="0" w:firstColumn="1" w:lastColumn="0" w:noHBand="0" w:noVBand="1"/>
      </w:tblPr>
      <w:tblGrid>
        <w:gridCol w:w="2083"/>
        <w:gridCol w:w="1110"/>
        <w:gridCol w:w="1126"/>
        <w:gridCol w:w="359"/>
        <w:gridCol w:w="2126"/>
        <w:gridCol w:w="1147"/>
        <w:gridCol w:w="1119"/>
      </w:tblGrid>
      <w:tr w:rsidR="00243B41" w:rsidRPr="007E4DC0" w:rsidTr="007A182D">
        <w:tc>
          <w:tcPr>
            <w:tcW w:w="2083" w:type="dxa"/>
          </w:tcPr>
          <w:p w:rsidR="007A182D" w:rsidRPr="007E4DC0" w:rsidRDefault="002410C3" w:rsidP="00132F25">
            <w:r w:rsidRPr="007E4DC0">
              <w:t>2022</w:t>
            </w:r>
          </w:p>
        </w:tc>
        <w:tc>
          <w:tcPr>
            <w:tcW w:w="1110" w:type="dxa"/>
          </w:tcPr>
          <w:p w:rsidR="007A182D" w:rsidRPr="007E4DC0" w:rsidRDefault="007A182D" w:rsidP="00132F25"/>
        </w:tc>
        <w:tc>
          <w:tcPr>
            <w:tcW w:w="1126" w:type="dxa"/>
          </w:tcPr>
          <w:p w:rsidR="007A182D" w:rsidRPr="007E4DC0" w:rsidRDefault="007A182D" w:rsidP="00132F25"/>
        </w:tc>
        <w:tc>
          <w:tcPr>
            <w:tcW w:w="359" w:type="dxa"/>
          </w:tcPr>
          <w:p w:rsidR="007A182D" w:rsidRPr="007E4DC0" w:rsidRDefault="007A182D" w:rsidP="00132F25"/>
        </w:tc>
        <w:tc>
          <w:tcPr>
            <w:tcW w:w="2126" w:type="dxa"/>
            <w:hideMark/>
          </w:tcPr>
          <w:p w:rsidR="007A182D" w:rsidRPr="007E4DC0" w:rsidRDefault="002410C3" w:rsidP="00132F25">
            <w:r w:rsidRPr="007E4DC0">
              <w:t>2021</w:t>
            </w:r>
          </w:p>
        </w:tc>
        <w:tc>
          <w:tcPr>
            <w:tcW w:w="1147" w:type="dxa"/>
          </w:tcPr>
          <w:p w:rsidR="007A182D" w:rsidRPr="007E4DC0" w:rsidRDefault="007A182D" w:rsidP="00132F25"/>
        </w:tc>
        <w:tc>
          <w:tcPr>
            <w:tcW w:w="1119" w:type="dxa"/>
          </w:tcPr>
          <w:p w:rsidR="007A182D" w:rsidRPr="007E4DC0" w:rsidRDefault="007A182D" w:rsidP="00132F25"/>
        </w:tc>
      </w:tr>
      <w:tr w:rsidR="00243B41" w:rsidRPr="007E4DC0" w:rsidTr="007A182D">
        <w:tc>
          <w:tcPr>
            <w:tcW w:w="2083" w:type="dxa"/>
            <w:tcBorders>
              <w:left w:val="single" w:sz="4" w:space="0" w:color="auto"/>
              <w:bottom w:val="single" w:sz="4" w:space="0" w:color="auto"/>
              <w:right w:val="single" w:sz="4" w:space="0" w:color="auto"/>
            </w:tcBorders>
            <w:shd w:val="clear" w:color="auto" w:fill="666699"/>
            <w:hideMark/>
          </w:tcPr>
          <w:p w:rsidR="007A182D" w:rsidRPr="007E4DC0" w:rsidRDefault="002410C3" w:rsidP="007A182D">
            <w:pPr>
              <w:rPr>
                <w:b/>
                <w:color w:val="FFFFFF" w:themeColor="background1"/>
              </w:rPr>
            </w:pPr>
            <w:r w:rsidRPr="007E4DC0">
              <w:rPr>
                <w:b/>
                <w:color w:val="FFFFFF" w:themeColor="background1"/>
              </w:rPr>
              <w:t>Dotknutá krajina</w:t>
            </w:r>
          </w:p>
        </w:tc>
        <w:tc>
          <w:tcPr>
            <w:tcW w:w="1110" w:type="dxa"/>
            <w:tcBorders>
              <w:left w:val="single" w:sz="4" w:space="0" w:color="auto"/>
              <w:bottom w:val="single" w:sz="4" w:space="0" w:color="auto"/>
              <w:right w:val="single" w:sz="4" w:space="0" w:color="auto"/>
            </w:tcBorders>
            <w:shd w:val="clear" w:color="auto" w:fill="666699"/>
            <w:hideMark/>
          </w:tcPr>
          <w:p w:rsidR="007A182D" w:rsidRPr="007E4DC0" w:rsidRDefault="002410C3" w:rsidP="007A182D">
            <w:pPr>
              <w:rPr>
                <w:b/>
                <w:color w:val="FFFFFF" w:themeColor="background1"/>
              </w:rPr>
            </w:pPr>
            <w:r w:rsidRPr="007E4DC0">
              <w:rPr>
                <w:b/>
                <w:color w:val="FFFFFF" w:themeColor="background1"/>
              </w:rPr>
              <w:t>Petície</w:t>
            </w:r>
          </w:p>
        </w:tc>
        <w:tc>
          <w:tcPr>
            <w:tcW w:w="1126" w:type="dxa"/>
            <w:tcBorders>
              <w:left w:val="single" w:sz="4" w:space="0" w:color="auto"/>
              <w:bottom w:val="single" w:sz="4" w:space="0" w:color="auto"/>
              <w:right w:val="single" w:sz="4" w:space="0" w:color="auto"/>
            </w:tcBorders>
            <w:shd w:val="clear" w:color="auto" w:fill="666699"/>
            <w:hideMark/>
          </w:tcPr>
          <w:p w:rsidR="007A182D" w:rsidRPr="007E4DC0" w:rsidRDefault="002410C3" w:rsidP="007A182D">
            <w:pPr>
              <w:rPr>
                <w:b/>
                <w:color w:val="FFFFFF" w:themeColor="background1"/>
              </w:rPr>
            </w:pPr>
            <w:r w:rsidRPr="007E4DC0">
              <w:rPr>
                <w:b/>
                <w:color w:val="FFFFFF" w:themeColor="background1"/>
              </w:rPr>
              <w:t>%</w:t>
            </w:r>
          </w:p>
        </w:tc>
        <w:tc>
          <w:tcPr>
            <w:tcW w:w="359" w:type="dxa"/>
            <w:tcBorders>
              <w:left w:val="single" w:sz="4" w:space="0" w:color="auto"/>
              <w:bottom w:val="nil"/>
              <w:right w:val="single" w:sz="4" w:space="0" w:color="auto"/>
            </w:tcBorders>
          </w:tcPr>
          <w:p w:rsidR="007A182D" w:rsidRPr="007E4DC0" w:rsidRDefault="007A182D" w:rsidP="007A182D">
            <w:pPr>
              <w:rPr>
                <w:b/>
                <w:color w:val="FFFFFF" w:themeColor="background1"/>
              </w:rPr>
            </w:pPr>
          </w:p>
        </w:tc>
        <w:tc>
          <w:tcPr>
            <w:tcW w:w="2126" w:type="dxa"/>
            <w:tcBorders>
              <w:left w:val="single" w:sz="4" w:space="0" w:color="auto"/>
              <w:bottom w:val="single" w:sz="4" w:space="0" w:color="auto"/>
              <w:right w:val="single" w:sz="4" w:space="0" w:color="auto"/>
            </w:tcBorders>
            <w:shd w:val="clear" w:color="auto" w:fill="666699"/>
            <w:hideMark/>
          </w:tcPr>
          <w:p w:rsidR="007A182D" w:rsidRPr="007E4DC0" w:rsidRDefault="002410C3" w:rsidP="007A182D">
            <w:pPr>
              <w:rPr>
                <w:b/>
                <w:color w:val="FFFFFF" w:themeColor="background1"/>
              </w:rPr>
            </w:pPr>
            <w:r w:rsidRPr="007E4DC0">
              <w:rPr>
                <w:b/>
                <w:color w:val="FFFFFF" w:themeColor="background1"/>
              </w:rPr>
              <w:t>Dotknutá krajina</w:t>
            </w:r>
          </w:p>
        </w:tc>
        <w:tc>
          <w:tcPr>
            <w:tcW w:w="1147" w:type="dxa"/>
            <w:tcBorders>
              <w:left w:val="single" w:sz="4" w:space="0" w:color="auto"/>
              <w:bottom w:val="single" w:sz="4" w:space="0" w:color="auto"/>
              <w:right w:val="single" w:sz="4" w:space="0" w:color="auto"/>
            </w:tcBorders>
            <w:shd w:val="clear" w:color="auto" w:fill="666699"/>
            <w:hideMark/>
          </w:tcPr>
          <w:p w:rsidR="007A182D" w:rsidRPr="007E4DC0" w:rsidRDefault="002410C3" w:rsidP="007A182D">
            <w:pPr>
              <w:rPr>
                <w:b/>
                <w:color w:val="FFFFFF" w:themeColor="background1"/>
              </w:rPr>
            </w:pPr>
            <w:r w:rsidRPr="007E4DC0">
              <w:rPr>
                <w:b/>
                <w:color w:val="FFFFFF" w:themeColor="background1"/>
              </w:rPr>
              <w:t>Petície</w:t>
            </w:r>
          </w:p>
        </w:tc>
        <w:tc>
          <w:tcPr>
            <w:tcW w:w="1119" w:type="dxa"/>
            <w:tcBorders>
              <w:left w:val="single" w:sz="4" w:space="0" w:color="auto"/>
              <w:bottom w:val="single" w:sz="4" w:space="0" w:color="auto"/>
              <w:right w:val="single" w:sz="4" w:space="0" w:color="auto"/>
            </w:tcBorders>
            <w:shd w:val="clear" w:color="auto" w:fill="666699"/>
            <w:hideMark/>
          </w:tcPr>
          <w:p w:rsidR="007A182D" w:rsidRPr="007E4DC0" w:rsidRDefault="002410C3" w:rsidP="007A182D">
            <w:pPr>
              <w:rPr>
                <w:b/>
                <w:color w:val="FFFFFF" w:themeColor="background1"/>
              </w:rPr>
            </w:pPr>
            <w:r w:rsidRPr="007E4DC0">
              <w:rPr>
                <w:b/>
                <w:color w:val="FFFFFF" w:themeColor="background1"/>
              </w:rPr>
              <w:t>%</w:t>
            </w:r>
          </w:p>
        </w:tc>
      </w:tr>
      <w:tr w:rsidR="00243B41" w:rsidRPr="007E4DC0" w:rsidTr="007A182D">
        <w:tc>
          <w:tcPr>
            <w:tcW w:w="2083"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Európska únia</w:t>
            </w:r>
          </w:p>
        </w:tc>
        <w:tc>
          <w:tcPr>
            <w:tcW w:w="1110"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566</w:t>
            </w:r>
          </w:p>
        </w:tc>
        <w:tc>
          <w:tcPr>
            <w:tcW w:w="1126"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46,7</w:t>
            </w:r>
          </w:p>
        </w:tc>
        <w:tc>
          <w:tcPr>
            <w:tcW w:w="359" w:type="dxa"/>
            <w:tcBorders>
              <w:top w:val="nil"/>
              <w:left w:val="single" w:sz="4" w:space="0" w:color="auto"/>
              <w:bottom w:val="nil"/>
              <w:right w:val="single" w:sz="4" w:space="0" w:color="auto"/>
            </w:tcBorders>
          </w:tcPr>
          <w:p w:rsidR="007A182D" w:rsidRPr="007E4DC0" w:rsidRDefault="007A182D" w:rsidP="007A182D"/>
        </w:tc>
        <w:tc>
          <w:tcPr>
            <w:tcW w:w="2126"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Európska únia</w:t>
            </w:r>
          </w:p>
        </w:tc>
        <w:tc>
          <w:tcPr>
            <w:tcW w:w="1147"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577</w:t>
            </w:r>
          </w:p>
        </w:tc>
        <w:tc>
          <w:tcPr>
            <w:tcW w:w="1119"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41,4</w:t>
            </w:r>
          </w:p>
        </w:tc>
      </w:tr>
      <w:tr w:rsidR="00243B41" w:rsidRPr="007E4DC0" w:rsidTr="007A182D">
        <w:tc>
          <w:tcPr>
            <w:tcW w:w="2083"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 xml:space="preserve">Španielsko </w:t>
            </w:r>
          </w:p>
        </w:tc>
        <w:tc>
          <w:tcPr>
            <w:tcW w:w="1110"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199</w:t>
            </w:r>
          </w:p>
        </w:tc>
        <w:tc>
          <w:tcPr>
            <w:tcW w:w="1126"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16,4</w:t>
            </w:r>
          </w:p>
        </w:tc>
        <w:tc>
          <w:tcPr>
            <w:tcW w:w="359" w:type="dxa"/>
            <w:tcBorders>
              <w:top w:val="nil"/>
              <w:left w:val="single" w:sz="4" w:space="0" w:color="auto"/>
              <w:bottom w:val="nil"/>
              <w:right w:val="single" w:sz="4" w:space="0" w:color="auto"/>
            </w:tcBorders>
          </w:tcPr>
          <w:p w:rsidR="007A182D" w:rsidRPr="007E4DC0" w:rsidRDefault="007A182D" w:rsidP="007A182D"/>
        </w:tc>
        <w:tc>
          <w:tcPr>
            <w:tcW w:w="2126"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Španielsko</w:t>
            </w:r>
          </w:p>
        </w:tc>
        <w:tc>
          <w:tcPr>
            <w:tcW w:w="1147"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237</w:t>
            </w:r>
          </w:p>
        </w:tc>
        <w:tc>
          <w:tcPr>
            <w:tcW w:w="1119"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17,0</w:t>
            </w:r>
          </w:p>
        </w:tc>
      </w:tr>
      <w:tr w:rsidR="00243B41" w:rsidRPr="007E4DC0" w:rsidTr="007A182D">
        <w:tc>
          <w:tcPr>
            <w:tcW w:w="2083"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Nemecko</w:t>
            </w:r>
          </w:p>
        </w:tc>
        <w:tc>
          <w:tcPr>
            <w:tcW w:w="1110"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139</w:t>
            </w:r>
          </w:p>
        </w:tc>
        <w:tc>
          <w:tcPr>
            <w:tcW w:w="1126"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11,5</w:t>
            </w:r>
          </w:p>
        </w:tc>
        <w:tc>
          <w:tcPr>
            <w:tcW w:w="359" w:type="dxa"/>
            <w:tcBorders>
              <w:top w:val="nil"/>
              <w:left w:val="single" w:sz="4" w:space="0" w:color="auto"/>
              <w:bottom w:val="nil"/>
              <w:right w:val="single" w:sz="4" w:space="0" w:color="auto"/>
            </w:tcBorders>
          </w:tcPr>
          <w:p w:rsidR="007A182D" w:rsidRPr="007E4DC0" w:rsidRDefault="007A182D" w:rsidP="007A182D"/>
        </w:tc>
        <w:tc>
          <w:tcPr>
            <w:tcW w:w="2126"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Nemecko</w:t>
            </w:r>
          </w:p>
        </w:tc>
        <w:tc>
          <w:tcPr>
            <w:tcW w:w="1147"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136</w:t>
            </w:r>
          </w:p>
        </w:tc>
        <w:tc>
          <w:tcPr>
            <w:tcW w:w="1119"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9,7</w:t>
            </w:r>
          </w:p>
        </w:tc>
      </w:tr>
      <w:tr w:rsidR="00243B41" w:rsidRPr="007E4DC0" w:rsidTr="007A182D">
        <w:tc>
          <w:tcPr>
            <w:tcW w:w="2083"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Taliansko</w:t>
            </w:r>
          </w:p>
        </w:tc>
        <w:tc>
          <w:tcPr>
            <w:tcW w:w="1110"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101</w:t>
            </w:r>
          </w:p>
        </w:tc>
        <w:tc>
          <w:tcPr>
            <w:tcW w:w="1126"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8,3</w:t>
            </w:r>
          </w:p>
        </w:tc>
        <w:tc>
          <w:tcPr>
            <w:tcW w:w="359" w:type="dxa"/>
            <w:tcBorders>
              <w:top w:val="nil"/>
              <w:left w:val="single" w:sz="4" w:space="0" w:color="auto"/>
              <w:bottom w:val="nil"/>
              <w:right w:val="single" w:sz="4" w:space="0" w:color="auto"/>
            </w:tcBorders>
          </w:tcPr>
          <w:p w:rsidR="007A182D" w:rsidRPr="007E4DC0" w:rsidRDefault="007A182D" w:rsidP="007A182D"/>
        </w:tc>
        <w:tc>
          <w:tcPr>
            <w:tcW w:w="2126"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Taliansko</w:t>
            </w:r>
          </w:p>
        </w:tc>
        <w:tc>
          <w:tcPr>
            <w:tcW w:w="1147"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129</w:t>
            </w:r>
          </w:p>
        </w:tc>
        <w:tc>
          <w:tcPr>
            <w:tcW w:w="1119"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9,2</w:t>
            </w:r>
          </w:p>
        </w:tc>
      </w:tr>
      <w:tr w:rsidR="00243B41" w:rsidRPr="007E4DC0" w:rsidTr="007A182D">
        <w:tc>
          <w:tcPr>
            <w:tcW w:w="2083"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Poľsko</w:t>
            </w:r>
          </w:p>
        </w:tc>
        <w:tc>
          <w:tcPr>
            <w:tcW w:w="1110"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71</w:t>
            </w:r>
          </w:p>
        </w:tc>
        <w:tc>
          <w:tcPr>
            <w:tcW w:w="1126"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5,9</w:t>
            </w:r>
          </w:p>
        </w:tc>
        <w:tc>
          <w:tcPr>
            <w:tcW w:w="359" w:type="dxa"/>
            <w:tcBorders>
              <w:top w:val="nil"/>
              <w:left w:val="single" w:sz="4" w:space="0" w:color="auto"/>
              <w:bottom w:val="nil"/>
              <w:right w:val="single" w:sz="4" w:space="0" w:color="auto"/>
            </w:tcBorders>
          </w:tcPr>
          <w:p w:rsidR="007A182D" w:rsidRPr="007E4DC0" w:rsidRDefault="007A182D" w:rsidP="007A182D"/>
        </w:tc>
        <w:tc>
          <w:tcPr>
            <w:tcW w:w="2126"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Grécko</w:t>
            </w:r>
          </w:p>
        </w:tc>
        <w:tc>
          <w:tcPr>
            <w:tcW w:w="1147"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82</w:t>
            </w:r>
          </w:p>
        </w:tc>
        <w:tc>
          <w:tcPr>
            <w:tcW w:w="1119"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5,9</w:t>
            </w:r>
          </w:p>
        </w:tc>
      </w:tr>
      <w:tr w:rsidR="00243B41" w:rsidRPr="007E4DC0" w:rsidTr="007A182D">
        <w:tc>
          <w:tcPr>
            <w:tcW w:w="2083"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Rumunsko</w:t>
            </w:r>
          </w:p>
        </w:tc>
        <w:tc>
          <w:tcPr>
            <w:tcW w:w="1110"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59</w:t>
            </w:r>
          </w:p>
        </w:tc>
        <w:tc>
          <w:tcPr>
            <w:tcW w:w="1126"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4,9</w:t>
            </w:r>
          </w:p>
        </w:tc>
        <w:tc>
          <w:tcPr>
            <w:tcW w:w="359" w:type="dxa"/>
            <w:tcBorders>
              <w:top w:val="nil"/>
              <w:left w:val="single" w:sz="4" w:space="0" w:color="auto"/>
              <w:bottom w:val="nil"/>
              <w:right w:val="single" w:sz="4" w:space="0" w:color="auto"/>
            </w:tcBorders>
          </w:tcPr>
          <w:p w:rsidR="007A182D" w:rsidRPr="007E4DC0" w:rsidRDefault="007A182D" w:rsidP="007A182D"/>
        </w:tc>
        <w:tc>
          <w:tcPr>
            <w:tcW w:w="2126"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Rumunsko</w:t>
            </w:r>
          </w:p>
        </w:tc>
        <w:tc>
          <w:tcPr>
            <w:tcW w:w="1147"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58</w:t>
            </w:r>
          </w:p>
        </w:tc>
        <w:tc>
          <w:tcPr>
            <w:tcW w:w="1119"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4,1</w:t>
            </w:r>
          </w:p>
        </w:tc>
      </w:tr>
      <w:tr w:rsidR="00243B41" w:rsidRPr="007E4DC0" w:rsidTr="007A182D">
        <w:tc>
          <w:tcPr>
            <w:tcW w:w="2083"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 xml:space="preserve">Grécko </w:t>
            </w:r>
          </w:p>
        </w:tc>
        <w:tc>
          <w:tcPr>
            <w:tcW w:w="1110"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54</w:t>
            </w:r>
          </w:p>
        </w:tc>
        <w:tc>
          <w:tcPr>
            <w:tcW w:w="1126"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4,5</w:t>
            </w:r>
          </w:p>
        </w:tc>
        <w:tc>
          <w:tcPr>
            <w:tcW w:w="359" w:type="dxa"/>
            <w:tcBorders>
              <w:top w:val="nil"/>
              <w:left w:val="single" w:sz="4" w:space="0" w:color="auto"/>
              <w:bottom w:val="nil"/>
              <w:right w:val="single" w:sz="4" w:space="0" w:color="auto"/>
            </w:tcBorders>
          </w:tcPr>
          <w:p w:rsidR="007A182D" w:rsidRPr="007E4DC0" w:rsidRDefault="007A182D" w:rsidP="007A182D"/>
        </w:tc>
        <w:tc>
          <w:tcPr>
            <w:tcW w:w="2126"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Poľsko</w:t>
            </w:r>
          </w:p>
        </w:tc>
        <w:tc>
          <w:tcPr>
            <w:tcW w:w="1147"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 xml:space="preserve">56 </w:t>
            </w:r>
          </w:p>
        </w:tc>
        <w:tc>
          <w:tcPr>
            <w:tcW w:w="1119"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4,0</w:t>
            </w:r>
          </w:p>
        </w:tc>
      </w:tr>
      <w:tr w:rsidR="00243B41" w:rsidRPr="007E4DC0" w:rsidTr="007A182D">
        <w:tc>
          <w:tcPr>
            <w:tcW w:w="2083"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Francúzsko</w:t>
            </w:r>
          </w:p>
        </w:tc>
        <w:tc>
          <w:tcPr>
            <w:tcW w:w="1110"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39</w:t>
            </w:r>
          </w:p>
        </w:tc>
        <w:tc>
          <w:tcPr>
            <w:tcW w:w="1126"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3,2</w:t>
            </w:r>
          </w:p>
        </w:tc>
        <w:tc>
          <w:tcPr>
            <w:tcW w:w="359" w:type="dxa"/>
            <w:tcBorders>
              <w:top w:val="nil"/>
              <w:left w:val="single" w:sz="4" w:space="0" w:color="auto"/>
              <w:bottom w:val="nil"/>
              <w:right w:val="single" w:sz="4" w:space="0" w:color="auto"/>
            </w:tcBorders>
          </w:tcPr>
          <w:p w:rsidR="007A182D" w:rsidRPr="007E4DC0" w:rsidRDefault="007A182D" w:rsidP="007A182D"/>
        </w:tc>
        <w:tc>
          <w:tcPr>
            <w:tcW w:w="2126"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Francúzsko</w:t>
            </w:r>
          </w:p>
        </w:tc>
        <w:tc>
          <w:tcPr>
            <w:tcW w:w="1147"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36</w:t>
            </w:r>
          </w:p>
        </w:tc>
        <w:tc>
          <w:tcPr>
            <w:tcW w:w="1119"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2,6</w:t>
            </w:r>
          </w:p>
        </w:tc>
      </w:tr>
      <w:tr w:rsidR="00243B41" w:rsidRPr="007E4DC0" w:rsidTr="007A182D">
        <w:tc>
          <w:tcPr>
            <w:tcW w:w="2083"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Maďarsko</w:t>
            </w:r>
          </w:p>
        </w:tc>
        <w:tc>
          <w:tcPr>
            <w:tcW w:w="1110"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20</w:t>
            </w:r>
          </w:p>
        </w:tc>
        <w:tc>
          <w:tcPr>
            <w:tcW w:w="1126"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1,7</w:t>
            </w:r>
          </w:p>
        </w:tc>
        <w:tc>
          <w:tcPr>
            <w:tcW w:w="359" w:type="dxa"/>
            <w:tcBorders>
              <w:top w:val="nil"/>
              <w:left w:val="single" w:sz="4" w:space="0" w:color="auto"/>
              <w:bottom w:val="nil"/>
              <w:right w:val="single" w:sz="4" w:space="0" w:color="auto"/>
            </w:tcBorders>
          </w:tcPr>
          <w:p w:rsidR="007A182D" w:rsidRPr="007E4DC0" w:rsidRDefault="007A182D" w:rsidP="007A182D"/>
        </w:tc>
        <w:tc>
          <w:tcPr>
            <w:tcW w:w="2126"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Maďarsko</w:t>
            </w:r>
          </w:p>
        </w:tc>
        <w:tc>
          <w:tcPr>
            <w:tcW w:w="1147"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27</w:t>
            </w:r>
          </w:p>
        </w:tc>
        <w:tc>
          <w:tcPr>
            <w:tcW w:w="1119" w:type="dxa"/>
            <w:tcBorders>
              <w:top w:val="single" w:sz="4" w:space="0" w:color="auto"/>
              <w:left w:val="single" w:sz="4" w:space="0" w:color="auto"/>
              <w:bottom w:val="single" w:sz="4" w:space="0" w:color="auto"/>
              <w:right w:val="single" w:sz="4" w:space="0" w:color="auto"/>
            </w:tcBorders>
            <w:vAlign w:val="bottom"/>
            <w:hideMark/>
          </w:tcPr>
          <w:p w:rsidR="007A182D" w:rsidRPr="007E4DC0" w:rsidRDefault="002410C3" w:rsidP="007A182D">
            <w:r w:rsidRPr="007E4DC0">
              <w:t>1,9</w:t>
            </w:r>
          </w:p>
        </w:tc>
      </w:tr>
      <w:tr w:rsidR="00243B41" w:rsidRPr="007E4DC0" w:rsidTr="007A182D">
        <w:tc>
          <w:tcPr>
            <w:tcW w:w="2083" w:type="dxa"/>
            <w:tcBorders>
              <w:top w:val="single" w:sz="4" w:space="0" w:color="auto"/>
              <w:left w:val="single" w:sz="4" w:space="0" w:color="auto"/>
              <w:bottom w:val="single" w:sz="4" w:space="0" w:color="auto"/>
              <w:right w:val="single" w:sz="4" w:space="0" w:color="auto"/>
            </w:tcBorders>
            <w:vAlign w:val="bottom"/>
          </w:tcPr>
          <w:p w:rsidR="007A182D" w:rsidRPr="007E4DC0" w:rsidRDefault="002410C3" w:rsidP="007A182D">
            <w:r w:rsidRPr="007E4DC0">
              <w:t>Portugalsko</w:t>
            </w:r>
          </w:p>
        </w:tc>
        <w:tc>
          <w:tcPr>
            <w:tcW w:w="1110" w:type="dxa"/>
            <w:tcBorders>
              <w:top w:val="single" w:sz="4" w:space="0" w:color="auto"/>
              <w:left w:val="single" w:sz="4" w:space="0" w:color="auto"/>
              <w:bottom w:val="single" w:sz="4" w:space="0" w:color="auto"/>
              <w:right w:val="single" w:sz="4" w:space="0" w:color="auto"/>
            </w:tcBorders>
            <w:vAlign w:val="bottom"/>
          </w:tcPr>
          <w:p w:rsidR="007A182D" w:rsidRPr="007E4DC0" w:rsidRDefault="002410C3" w:rsidP="007A182D">
            <w:r w:rsidRPr="007E4DC0">
              <w:t>19</w:t>
            </w:r>
          </w:p>
        </w:tc>
        <w:tc>
          <w:tcPr>
            <w:tcW w:w="1126" w:type="dxa"/>
            <w:tcBorders>
              <w:top w:val="single" w:sz="4" w:space="0" w:color="auto"/>
              <w:left w:val="single" w:sz="4" w:space="0" w:color="auto"/>
              <w:bottom w:val="single" w:sz="4" w:space="0" w:color="auto"/>
              <w:right w:val="single" w:sz="4" w:space="0" w:color="auto"/>
            </w:tcBorders>
            <w:vAlign w:val="bottom"/>
          </w:tcPr>
          <w:p w:rsidR="007A182D" w:rsidRPr="007E4DC0" w:rsidRDefault="002410C3" w:rsidP="007A182D">
            <w:r w:rsidRPr="007E4DC0">
              <w:t>1,6</w:t>
            </w:r>
          </w:p>
        </w:tc>
        <w:tc>
          <w:tcPr>
            <w:tcW w:w="359" w:type="dxa"/>
            <w:tcBorders>
              <w:top w:val="nil"/>
              <w:left w:val="single" w:sz="4" w:space="0" w:color="auto"/>
              <w:bottom w:val="nil"/>
              <w:right w:val="single" w:sz="4" w:space="0" w:color="auto"/>
            </w:tcBorders>
          </w:tcPr>
          <w:p w:rsidR="007A182D" w:rsidRPr="007E4DC0" w:rsidRDefault="007A182D" w:rsidP="007A182D"/>
        </w:tc>
        <w:tc>
          <w:tcPr>
            <w:tcW w:w="2126" w:type="dxa"/>
            <w:tcBorders>
              <w:top w:val="single" w:sz="4" w:space="0" w:color="auto"/>
              <w:left w:val="single" w:sz="4" w:space="0" w:color="auto"/>
              <w:bottom w:val="single" w:sz="4" w:space="0" w:color="auto"/>
              <w:right w:val="single" w:sz="4" w:space="0" w:color="auto"/>
            </w:tcBorders>
            <w:vAlign w:val="bottom"/>
          </w:tcPr>
          <w:p w:rsidR="007A182D" w:rsidRPr="007E4DC0" w:rsidRDefault="002410C3" w:rsidP="007A182D">
            <w:r w:rsidRPr="007E4DC0">
              <w:t>Írsko</w:t>
            </w:r>
          </w:p>
        </w:tc>
        <w:tc>
          <w:tcPr>
            <w:tcW w:w="1147" w:type="dxa"/>
            <w:tcBorders>
              <w:top w:val="single" w:sz="4" w:space="0" w:color="auto"/>
              <w:left w:val="single" w:sz="4" w:space="0" w:color="auto"/>
              <w:bottom w:val="single" w:sz="4" w:space="0" w:color="auto"/>
              <w:right w:val="single" w:sz="4" w:space="0" w:color="auto"/>
            </w:tcBorders>
            <w:vAlign w:val="bottom"/>
          </w:tcPr>
          <w:p w:rsidR="007A182D" w:rsidRPr="007E4DC0" w:rsidRDefault="002410C3" w:rsidP="007A182D">
            <w:r w:rsidRPr="007E4DC0">
              <w:t>24</w:t>
            </w:r>
          </w:p>
        </w:tc>
        <w:tc>
          <w:tcPr>
            <w:tcW w:w="1119" w:type="dxa"/>
            <w:tcBorders>
              <w:top w:val="single" w:sz="4" w:space="0" w:color="auto"/>
              <w:left w:val="single" w:sz="4" w:space="0" w:color="auto"/>
              <w:bottom w:val="single" w:sz="4" w:space="0" w:color="auto"/>
              <w:right w:val="single" w:sz="4" w:space="0" w:color="auto"/>
            </w:tcBorders>
            <w:vAlign w:val="bottom"/>
          </w:tcPr>
          <w:p w:rsidR="007A182D" w:rsidRPr="007E4DC0" w:rsidRDefault="002410C3" w:rsidP="007A182D">
            <w:r w:rsidRPr="007E4DC0">
              <w:t>1,7</w:t>
            </w:r>
          </w:p>
        </w:tc>
      </w:tr>
      <w:tr w:rsidR="00243B41" w:rsidRPr="007E4DC0" w:rsidTr="007A182D">
        <w:tc>
          <w:tcPr>
            <w:tcW w:w="2083" w:type="dxa"/>
            <w:tcBorders>
              <w:top w:val="single" w:sz="4" w:space="0" w:color="auto"/>
              <w:left w:val="single" w:sz="4" w:space="0" w:color="auto"/>
              <w:bottom w:val="single" w:sz="4" w:space="0" w:color="auto"/>
              <w:right w:val="single" w:sz="4" w:space="0" w:color="auto"/>
            </w:tcBorders>
            <w:vAlign w:val="bottom"/>
          </w:tcPr>
          <w:p w:rsidR="007A182D" w:rsidRPr="007E4DC0" w:rsidRDefault="002410C3" w:rsidP="007A182D">
            <w:r w:rsidRPr="007E4DC0">
              <w:t>Ostatné štáty EÚ</w:t>
            </w:r>
          </w:p>
        </w:tc>
        <w:tc>
          <w:tcPr>
            <w:tcW w:w="1110" w:type="dxa"/>
            <w:tcBorders>
              <w:top w:val="single" w:sz="4" w:space="0" w:color="auto"/>
              <w:left w:val="single" w:sz="4" w:space="0" w:color="auto"/>
              <w:bottom w:val="single" w:sz="4" w:space="0" w:color="auto"/>
              <w:right w:val="single" w:sz="4" w:space="0" w:color="auto"/>
            </w:tcBorders>
            <w:vAlign w:val="bottom"/>
          </w:tcPr>
          <w:p w:rsidR="007A182D" w:rsidRPr="007E4DC0" w:rsidRDefault="002410C3" w:rsidP="007A182D">
            <w:r w:rsidRPr="007E4DC0">
              <w:t>143</w:t>
            </w:r>
          </w:p>
        </w:tc>
        <w:tc>
          <w:tcPr>
            <w:tcW w:w="1126" w:type="dxa"/>
            <w:tcBorders>
              <w:top w:val="single" w:sz="4" w:space="0" w:color="auto"/>
              <w:left w:val="single" w:sz="4" w:space="0" w:color="auto"/>
              <w:bottom w:val="single" w:sz="4" w:space="0" w:color="auto"/>
              <w:right w:val="single" w:sz="4" w:space="0" w:color="auto"/>
            </w:tcBorders>
            <w:vAlign w:val="bottom"/>
          </w:tcPr>
          <w:p w:rsidR="007A182D" w:rsidRPr="007E4DC0" w:rsidRDefault="002410C3" w:rsidP="007A182D">
            <w:r w:rsidRPr="007E4DC0">
              <w:t>11,9</w:t>
            </w:r>
          </w:p>
        </w:tc>
        <w:tc>
          <w:tcPr>
            <w:tcW w:w="359" w:type="dxa"/>
            <w:tcBorders>
              <w:top w:val="nil"/>
              <w:left w:val="single" w:sz="4" w:space="0" w:color="auto"/>
              <w:bottom w:val="nil"/>
              <w:right w:val="single" w:sz="4" w:space="0" w:color="auto"/>
            </w:tcBorders>
          </w:tcPr>
          <w:p w:rsidR="007A182D" w:rsidRPr="007E4DC0" w:rsidRDefault="007A182D" w:rsidP="007A182D"/>
        </w:tc>
        <w:tc>
          <w:tcPr>
            <w:tcW w:w="2126" w:type="dxa"/>
            <w:tcBorders>
              <w:top w:val="single" w:sz="4" w:space="0" w:color="auto"/>
              <w:left w:val="single" w:sz="4" w:space="0" w:color="auto"/>
              <w:bottom w:val="single" w:sz="4" w:space="0" w:color="auto"/>
              <w:right w:val="single" w:sz="4" w:space="0" w:color="auto"/>
            </w:tcBorders>
            <w:vAlign w:val="bottom"/>
          </w:tcPr>
          <w:p w:rsidR="007A182D" w:rsidRPr="007E4DC0" w:rsidRDefault="002410C3" w:rsidP="007A182D">
            <w:r w:rsidRPr="007E4DC0">
              <w:t>Ostatné štáty EÚ</w:t>
            </w:r>
          </w:p>
        </w:tc>
        <w:tc>
          <w:tcPr>
            <w:tcW w:w="1147" w:type="dxa"/>
            <w:tcBorders>
              <w:top w:val="single" w:sz="4" w:space="0" w:color="auto"/>
              <w:left w:val="single" w:sz="4" w:space="0" w:color="auto"/>
              <w:bottom w:val="single" w:sz="4" w:space="0" w:color="auto"/>
              <w:right w:val="single" w:sz="4" w:space="0" w:color="auto"/>
            </w:tcBorders>
            <w:vAlign w:val="bottom"/>
          </w:tcPr>
          <w:p w:rsidR="007A182D" w:rsidRPr="007E4DC0" w:rsidRDefault="002410C3" w:rsidP="007A182D">
            <w:r w:rsidRPr="007E4DC0">
              <w:t>199</w:t>
            </w:r>
          </w:p>
        </w:tc>
        <w:tc>
          <w:tcPr>
            <w:tcW w:w="1119" w:type="dxa"/>
            <w:tcBorders>
              <w:top w:val="single" w:sz="4" w:space="0" w:color="auto"/>
              <w:left w:val="single" w:sz="4" w:space="0" w:color="auto"/>
              <w:bottom w:val="single" w:sz="4" w:space="0" w:color="auto"/>
              <w:right w:val="single" w:sz="4" w:space="0" w:color="auto"/>
            </w:tcBorders>
            <w:vAlign w:val="bottom"/>
          </w:tcPr>
          <w:p w:rsidR="007A182D" w:rsidRPr="007E4DC0" w:rsidRDefault="002410C3" w:rsidP="007A182D">
            <w:r w:rsidRPr="007E4DC0">
              <w:t>14,2</w:t>
            </w:r>
          </w:p>
        </w:tc>
      </w:tr>
      <w:tr w:rsidR="00243B41" w:rsidRPr="007E4DC0" w:rsidTr="007A182D">
        <w:tc>
          <w:tcPr>
            <w:tcW w:w="2083" w:type="dxa"/>
            <w:tcBorders>
              <w:top w:val="single" w:sz="4" w:space="0" w:color="auto"/>
              <w:left w:val="single" w:sz="4" w:space="0" w:color="auto"/>
              <w:bottom w:val="single" w:sz="4" w:space="0" w:color="auto"/>
              <w:right w:val="single" w:sz="4" w:space="0" w:color="auto"/>
            </w:tcBorders>
            <w:vAlign w:val="bottom"/>
          </w:tcPr>
          <w:p w:rsidR="007A182D" w:rsidRPr="007E4DC0" w:rsidRDefault="002410C3" w:rsidP="007A182D">
            <w:r w:rsidRPr="007E4DC0">
              <w:t>Krajiny mimo EÚ</w:t>
            </w:r>
          </w:p>
        </w:tc>
        <w:tc>
          <w:tcPr>
            <w:tcW w:w="1110" w:type="dxa"/>
            <w:tcBorders>
              <w:top w:val="single" w:sz="4" w:space="0" w:color="auto"/>
              <w:left w:val="single" w:sz="4" w:space="0" w:color="auto"/>
              <w:bottom w:val="single" w:sz="4" w:space="0" w:color="auto"/>
              <w:right w:val="single" w:sz="4" w:space="0" w:color="auto"/>
            </w:tcBorders>
            <w:vAlign w:val="bottom"/>
          </w:tcPr>
          <w:p w:rsidR="007A182D" w:rsidRPr="007E4DC0" w:rsidRDefault="002410C3" w:rsidP="007A182D">
            <w:r w:rsidRPr="007E4DC0">
              <w:t>226</w:t>
            </w:r>
          </w:p>
        </w:tc>
        <w:tc>
          <w:tcPr>
            <w:tcW w:w="1126" w:type="dxa"/>
            <w:tcBorders>
              <w:top w:val="single" w:sz="4" w:space="0" w:color="auto"/>
              <w:left w:val="single" w:sz="4" w:space="0" w:color="auto"/>
              <w:bottom w:val="single" w:sz="4" w:space="0" w:color="auto"/>
              <w:right w:val="single" w:sz="4" w:space="0" w:color="auto"/>
            </w:tcBorders>
            <w:vAlign w:val="bottom"/>
          </w:tcPr>
          <w:p w:rsidR="007A182D" w:rsidRPr="007E4DC0" w:rsidRDefault="002410C3" w:rsidP="007A182D">
            <w:r w:rsidRPr="007E4DC0">
              <w:t>18,6</w:t>
            </w:r>
          </w:p>
        </w:tc>
        <w:tc>
          <w:tcPr>
            <w:tcW w:w="359" w:type="dxa"/>
            <w:tcBorders>
              <w:top w:val="nil"/>
              <w:left w:val="single" w:sz="4" w:space="0" w:color="auto"/>
              <w:bottom w:val="nil"/>
              <w:right w:val="single" w:sz="4" w:space="0" w:color="auto"/>
            </w:tcBorders>
          </w:tcPr>
          <w:p w:rsidR="007A182D" w:rsidRPr="007E4DC0" w:rsidRDefault="007A182D" w:rsidP="007A182D"/>
        </w:tc>
        <w:tc>
          <w:tcPr>
            <w:tcW w:w="2126" w:type="dxa"/>
            <w:tcBorders>
              <w:top w:val="single" w:sz="4" w:space="0" w:color="auto"/>
              <w:left w:val="single" w:sz="4" w:space="0" w:color="auto"/>
              <w:bottom w:val="single" w:sz="4" w:space="0" w:color="auto"/>
              <w:right w:val="single" w:sz="4" w:space="0" w:color="auto"/>
            </w:tcBorders>
            <w:vAlign w:val="bottom"/>
          </w:tcPr>
          <w:p w:rsidR="007A182D" w:rsidRPr="007E4DC0" w:rsidRDefault="002410C3" w:rsidP="007A182D">
            <w:r w:rsidRPr="007E4DC0">
              <w:t>Krajiny mimo EÚ</w:t>
            </w:r>
          </w:p>
        </w:tc>
        <w:tc>
          <w:tcPr>
            <w:tcW w:w="1147" w:type="dxa"/>
            <w:tcBorders>
              <w:top w:val="single" w:sz="4" w:space="0" w:color="auto"/>
              <w:left w:val="single" w:sz="4" w:space="0" w:color="auto"/>
              <w:bottom w:val="single" w:sz="4" w:space="0" w:color="auto"/>
              <w:right w:val="single" w:sz="4" w:space="0" w:color="auto"/>
            </w:tcBorders>
            <w:vAlign w:val="bottom"/>
          </w:tcPr>
          <w:p w:rsidR="007A182D" w:rsidRPr="007E4DC0" w:rsidRDefault="002410C3" w:rsidP="007A182D">
            <w:r w:rsidRPr="007E4DC0">
              <w:t>124</w:t>
            </w:r>
          </w:p>
        </w:tc>
        <w:tc>
          <w:tcPr>
            <w:tcW w:w="1119" w:type="dxa"/>
            <w:tcBorders>
              <w:top w:val="single" w:sz="4" w:space="0" w:color="auto"/>
              <w:left w:val="single" w:sz="4" w:space="0" w:color="auto"/>
              <w:bottom w:val="single" w:sz="4" w:space="0" w:color="auto"/>
              <w:right w:val="single" w:sz="4" w:space="0" w:color="auto"/>
            </w:tcBorders>
            <w:vAlign w:val="bottom"/>
          </w:tcPr>
          <w:p w:rsidR="007A182D" w:rsidRPr="007E4DC0" w:rsidRDefault="002410C3" w:rsidP="007A182D">
            <w:r w:rsidRPr="007E4DC0">
              <w:t>8,9</w:t>
            </w:r>
          </w:p>
        </w:tc>
      </w:tr>
    </w:tbl>
    <w:p w:rsidR="006F4946" w:rsidRPr="007E4DC0" w:rsidRDefault="006F4946" w:rsidP="006F4946">
      <w:pPr>
        <w:rPr>
          <w:lang w:eastAsia="en-US"/>
        </w:rPr>
      </w:pPr>
    </w:p>
    <w:p w:rsidR="007A182D" w:rsidRPr="007E4DC0" w:rsidRDefault="007A182D" w:rsidP="006F4946">
      <w:pPr>
        <w:rPr>
          <w:lang w:eastAsia="en-US"/>
        </w:rPr>
      </w:pPr>
    </w:p>
    <w:p w:rsidR="006F4946" w:rsidRPr="007E4DC0" w:rsidRDefault="002410C3" w:rsidP="006F4946">
      <w:pPr>
        <w:spacing w:after="160" w:line="252" w:lineRule="auto"/>
        <w:rPr>
          <w:b/>
        </w:rPr>
      </w:pPr>
      <w:r w:rsidRPr="007E4DC0">
        <w:rPr>
          <w:b/>
        </w:rPr>
        <w:t>Jazyky petícií</w:t>
      </w:r>
    </w:p>
    <w:p w:rsidR="006F4946" w:rsidRPr="007E4DC0" w:rsidRDefault="002410C3" w:rsidP="006F4946">
      <w:r w:rsidRPr="007E4DC0">
        <w:t xml:space="preserve">V rokoch 2022 a 2021 boli petície predložené v 22 úradných jazykoch Európskej únie. Zatiaľ čo v rokoch 2021 aj 2020 boli najpoužívanejšími jazykmi angličtina a nemčina, v roku 2022 </w:t>
      </w:r>
      <w:r w:rsidRPr="007E4DC0">
        <w:t>sa po angličtine stala druhým najpoužívanejším jazykom španielčina. Z tabuliek vyplýva, že angličtina predstavuje viac ako štvrtinu z celkového počtu predložených petícií a že anglický, španielsky, nemecký a taliansky jazyk predstavujú viac ako 3/4 petícií</w:t>
      </w:r>
      <w:r w:rsidRPr="007E4DC0">
        <w:t xml:space="preserve"> prijatých v roku 2022 a 2021 (76,2 % a 77,1 %). </w:t>
      </w:r>
    </w:p>
    <w:p w:rsidR="006F4946" w:rsidRPr="007E4DC0" w:rsidRDefault="006F4946" w:rsidP="006F4946"/>
    <w:p w:rsidR="006F4946" w:rsidRPr="007E4DC0" w:rsidRDefault="002410C3" w:rsidP="006F4946">
      <w:r w:rsidRPr="007E4DC0">
        <w:t>V roku 2022 boli najmenej používanými jazykmi slovinčina, čeština a chorvátčina, zatiaľ čo v roku 2021 to boli írčina, maltčina a slovenčina.</w:t>
      </w:r>
    </w:p>
    <w:p w:rsidR="006F4946" w:rsidRPr="007E4DC0" w:rsidRDefault="006F4946" w:rsidP="006F4946"/>
    <w:p w:rsidR="007A182D" w:rsidRPr="007E4DC0" w:rsidRDefault="007A182D" w:rsidP="006F4946"/>
    <w:tbl>
      <w:tblPr>
        <w:tblW w:w="0" w:type="auto"/>
        <w:tblLook w:val="04A0" w:firstRow="1" w:lastRow="0" w:firstColumn="1" w:lastColumn="0" w:noHBand="0" w:noVBand="1"/>
      </w:tblPr>
      <w:tblGrid>
        <w:gridCol w:w="1390"/>
        <w:gridCol w:w="1275"/>
        <w:gridCol w:w="1248"/>
        <w:gridCol w:w="1223"/>
        <w:gridCol w:w="1390"/>
        <w:gridCol w:w="1260"/>
        <w:gridCol w:w="1240"/>
      </w:tblGrid>
      <w:tr w:rsidR="00243B41" w:rsidRPr="007E4DC0" w:rsidTr="007A182D">
        <w:tc>
          <w:tcPr>
            <w:tcW w:w="1390" w:type="dxa"/>
          </w:tcPr>
          <w:p w:rsidR="006F4946" w:rsidRPr="007E4DC0" w:rsidRDefault="002410C3" w:rsidP="007A182D">
            <w:r w:rsidRPr="007E4DC0">
              <w:t>2022</w:t>
            </w:r>
          </w:p>
        </w:tc>
        <w:tc>
          <w:tcPr>
            <w:tcW w:w="1275" w:type="dxa"/>
          </w:tcPr>
          <w:p w:rsidR="006F4946" w:rsidRPr="007E4DC0" w:rsidRDefault="006F4946"/>
        </w:tc>
        <w:tc>
          <w:tcPr>
            <w:tcW w:w="1248" w:type="dxa"/>
          </w:tcPr>
          <w:p w:rsidR="006F4946" w:rsidRPr="007E4DC0" w:rsidRDefault="006F4946"/>
        </w:tc>
        <w:tc>
          <w:tcPr>
            <w:tcW w:w="1223" w:type="dxa"/>
          </w:tcPr>
          <w:p w:rsidR="006F4946" w:rsidRPr="007E4DC0" w:rsidRDefault="006F4946"/>
        </w:tc>
        <w:tc>
          <w:tcPr>
            <w:tcW w:w="1390" w:type="dxa"/>
            <w:hideMark/>
          </w:tcPr>
          <w:p w:rsidR="006F4946" w:rsidRPr="007E4DC0" w:rsidRDefault="002410C3">
            <w:r w:rsidRPr="007E4DC0">
              <w:t>2021</w:t>
            </w:r>
          </w:p>
        </w:tc>
        <w:tc>
          <w:tcPr>
            <w:tcW w:w="1260" w:type="dxa"/>
          </w:tcPr>
          <w:p w:rsidR="006F4946" w:rsidRPr="007E4DC0" w:rsidRDefault="006F4946"/>
        </w:tc>
        <w:tc>
          <w:tcPr>
            <w:tcW w:w="1240" w:type="dxa"/>
          </w:tcPr>
          <w:p w:rsidR="006F4946" w:rsidRPr="007E4DC0" w:rsidRDefault="006F4946"/>
        </w:tc>
      </w:tr>
      <w:tr w:rsidR="00243B41" w:rsidRPr="007E4DC0" w:rsidTr="007A182D">
        <w:tc>
          <w:tcPr>
            <w:tcW w:w="1390" w:type="dxa"/>
            <w:tcBorders>
              <w:left w:val="single" w:sz="4" w:space="0" w:color="auto"/>
              <w:bottom w:val="single" w:sz="4" w:space="0" w:color="auto"/>
              <w:right w:val="single" w:sz="4" w:space="0" w:color="auto"/>
            </w:tcBorders>
            <w:shd w:val="clear" w:color="auto" w:fill="666699"/>
            <w:hideMark/>
          </w:tcPr>
          <w:p w:rsidR="006F4946" w:rsidRPr="007E4DC0" w:rsidRDefault="002410C3">
            <w:pPr>
              <w:rPr>
                <w:b/>
                <w:color w:val="FFFFFF"/>
              </w:rPr>
            </w:pPr>
            <w:r w:rsidRPr="007E4DC0">
              <w:rPr>
                <w:b/>
                <w:color w:val="FFFFFF"/>
              </w:rPr>
              <w:t>Jazyk petície</w:t>
            </w:r>
          </w:p>
        </w:tc>
        <w:tc>
          <w:tcPr>
            <w:tcW w:w="1275" w:type="dxa"/>
            <w:tcBorders>
              <w:left w:val="single" w:sz="4" w:space="0" w:color="auto"/>
              <w:bottom w:val="single" w:sz="4" w:space="0" w:color="auto"/>
              <w:right w:val="single" w:sz="4" w:space="0" w:color="auto"/>
            </w:tcBorders>
            <w:shd w:val="clear" w:color="auto" w:fill="666699"/>
            <w:hideMark/>
          </w:tcPr>
          <w:p w:rsidR="006F4946" w:rsidRPr="007E4DC0" w:rsidRDefault="002410C3">
            <w:pPr>
              <w:rPr>
                <w:b/>
                <w:color w:val="FFFFFF"/>
              </w:rPr>
            </w:pPr>
            <w:r w:rsidRPr="007E4DC0">
              <w:rPr>
                <w:b/>
                <w:color w:val="FFFFFF"/>
              </w:rPr>
              <w:t>Počet petícií</w:t>
            </w:r>
          </w:p>
        </w:tc>
        <w:tc>
          <w:tcPr>
            <w:tcW w:w="1248" w:type="dxa"/>
            <w:tcBorders>
              <w:left w:val="single" w:sz="4" w:space="0" w:color="auto"/>
              <w:bottom w:val="single" w:sz="4" w:space="0" w:color="auto"/>
              <w:right w:val="single" w:sz="4" w:space="0" w:color="auto"/>
            </w:tcBorders>
            <w:shd w:val="clear" w:color="auto" w:fill="666699"/>
            <w:hideMark/>
          </w:tcPr>
          <w:p w:rsidR="006F4946" w:rsidRPr="007E4DC0" w:rsidRDefault="002410C3">
            <w:pPr>
              <w:rPr>
                <w:b/>
                <w:color w:val="FFFFFF"/>
              </w:rPr>
            </w:pPr>
            <w:r w:rsidRPr="007E4DC0">
              <w:rPr>
                <w:b/>
                <w:color w:val="FFFFFF"/>
              </w:rPr>
              <w:t>%</w:t>
            </w:r>
          </w:p>
        </w:tc>
        <w:tc>
          <w:tcPr>
            <w:tcW w:w="1223" w:type="dxa"/>
            <w:tcBorders>
              <w:left w:val="single" w:sz="4" w:space="0" w:color="auto"/>
              <w:bottom w:val="nil"/>
              <w:right w:val="single" w:sz="4" w:space="0" w:color="auto"/>
            </w:tcBorders>
          </w:tcPr>
          <w:p w:rsidR="006F4946" w:rsidRPr="007E4DC0" w:rsidRDefault="006F4946"/>
        </w:tc>
        <w:tc>
          <w:tcPr>
            <w:tcW w:w="1390" w:type="dxa"/>
            <w:tcBorders>
              <w:left w:val="single" w:sz="4" w:space="0" w:color="auto"/>
              <w:bottom w:val="single" w:sz="4" w:space="0" w:color="auto"/>
              <w:right w:val="single" w:sz="4" w:space="0" w:color="auto"/>
            </w:tcBorders>
            <w:shd w:val="clear" w:color="auto" w:fill="666699"/>
            <w:hideMark/>
          </w:tcPr>
          <w:p w:rsidR="006F4946" w:rsidRPr="007E4DC0" w:rsidRDefault="002410C3">
            <w:pPr>
              <w:rPr>
                <w:b/>
                <w:color w:val="FFFFFF"/>
              </w:rPr>
            </w:pPr>
            <w:r w:rsidRPr="007E4DC0">
              <w:rPr>
                <w:b/>
                <w:color w:val="FFFFFF"/>
              </w:rPr>
              <w:t>Jazyk petície</w:t>
            </w:r>
          </w:p>
        </w:tc>
        <w:tc>
          <w:tcPr>
            <w:tcW w:w="1260" w:type="dxa"/>
            <w:tcBorders>
              <w:left w:val="single" w:sz="4" w:space="0" w:color="auto"/>
              <w:bottom w:val="single" w:sz="4" w:space="0" w:color="auto"/>
              <w:right w:val="single" w:sz="4" w:space="0" w:color="auto"/>
            </w:tcBorders>
            <w:shd w:val="clear" w:color="auto" w:fill="666699"/>
            <w:hideMark/>
          </w:tcPr>
          <w:p w:rsidR="006F4946" w:rsidRPr="007E4DC0" w:rsidRDefault="002410C3">
            <w:pPr>
              <w:rPr>
                <w:b/>
                <w:color w:val="FFFFFF"/>
              </w:rPr>
            </w:pPr>
            <w:r w:rsidRPr="007E4DC0">
              <w:rPr>
                <w:b/>
                <w:color w:val="FFFFFF"/>
              </w:rPr>
              <w:t>Počet petícií</w:t>
            </w:r>
          </w:p>
        </w:tc>
        <w:tc>
          <w:tcPr>
            <w:tcW w:w="1240" w:type="dxa"/>
            <w:tcBorders>
              <w:left w:val="single" w:sz="4" w:space="0" w:color="auto"/>
              <w:bottom w:val="single" w:sz="4" w:space="0" w:color="auto"/>
              <w:right w:val="single" w:sz="4" w:space="0" w:color="auto"/>
            </w:tcBorders>
            <w:shd w:val="clear" w:color="auto" w:fill="666699"/>
            <w:hideMark/>
          </w:tcPr>
          <w:p w:rsidR="006F4946" w:rsidRPr="007E4DC0" w:rsidRDefault="002410C3">
            <w:pPr>
              <w:rPr>
                <w:b/>
                <w:color w:val="FFFFFF"/>
              </w:rPr>
            </w:pPr>
            <w:r w:rsidRPr="007E4DC0">
              <w:rPr>
                <w:b/>
                <w:color w:val="FFFFFF"/>
              </w:rPr>
              <w:t>%</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angličtina</w:t>
            </w:r>
          </w:p>
        </w:tc>
        <w:tc>
          <w:tcPr>
            <w:tcW w:w="1275"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325</w:t>
            </w:r>
          </w:p>
        </w:tc>
        <w:tc>
          <w:tcPr>
            <w:tcW w:w="1248"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26,7</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angličtina</w:t>
            </w:r>
          </w:p>
        </w:tc>
        <w:tc>
          <w:tcPr>
            <w:tcW w:w="126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 xml:space="preserve">401 </w:t>
            </w:r>
          </w:p>
        </w:tc>
        <w:tc>
          <w:tcPr>
            <w:tcW w:w="124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28,8</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španielčina</w:t>
            </w:r>
          </w:p>
        </w:tc>
        <w:tc>
          <w:tcPr>
            <w:tcW w:w="1275"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251</w:t>
            </w:r>
          </w:p>
        </w:tc>
        <w:tc>
          <w:tcPr>
            <w:tcW w:w="1248"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20,6</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nemčina</w:t>
            </w:r>
          </w:p>
        </w:tc>
        <w:tc>
          <w:tcPr>
            <w:tcW w:w="126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 xml:space="preserve">284 </w:t>
            </w:r>
          </w:p>
        </w:tc>
        <w:tc>
          <w:tcPr>
            <w:tcW w:w="124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20,4</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nemčina</w:t>
            </w:r>
          </w:p>
        </w:tc>
        <w:tc>
          <w:tcPr>
            <w:tcW w:w="1275"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215</w:t>
            </w:r>
          </w:p>
        </w:tc>
        <w:tc>
          <w:tcPr>
            <w:tcW w:w="1248"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17,6</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španielčina</w:t>
            </w:r>
          </w:p>
        </w:tc>
        <w:tc>
          <w:tcPr>
            <w:tcW w:w="126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 xml:space="preserve">231 </w:t>
            </w:r>
          </w:p>
        </w:tc>
        <w:tc>
          <w:tcPr>
            <w:tcW w:w="124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16,6</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lastRenderedPageBreak/>
              <w:t>taliančina</w:t>
            </w:r>
          </w:p>
        </w:tc>
        <w:tc>
          <w:tcPr>
            <w:tcW w:w="1275"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138</w:t>
            </w:r>
          </w:p>
        </w:tc>
        <w:tc>
          <w:tcPr>
            <w:tcW w:w="1248"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11,3</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taliančina</w:t>
            </w:r>
          </w:p>
        </w:tc>
        <w:tc>
          <w:tcPr>
            <w:tcW w:w="126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158</w:t>
            </w:r>
          </w:p>
        </w:tc>
        <w:tc>
          <w:tcPr>
            <w:tcW w:w="124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11,3</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francúzština</w:t>
            </w:r>
          </w:p>
        </w:tc>
        <w:tc>
          <w:tcPr>
            <w:tcW w:w="1275"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58</w:t>
            </w:r>
          </w:p>
        </w:tc>
        <w:tc>
          <w:tcPr>
            <w:tcW w:w="1248"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4,8</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gréčtina</w:t>
            </w:r>
          </w:p>
        </w:tc>
        <w:tc>
          <w:tcPr>
            <w:tcW w:w="126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72</w:t>
            </w:r>
          </w:p>
        </w:tc>
        <w:tc>
          <w:tcPr>
            <w:tcW w:w="124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5,1</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poľština</w:t>
            </w:r>
          </w:p>
        </w:tc>
        <w:tc>
          <w:tcPr>
            <w:tcW w:w="1275"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56</w:t>
            </w:r>
          </w:p>
        </w:tc>
        <w:tc>
          <w:tcPr>
            <w:tcW w:w="1248"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4,6</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francúzština</w:t>
            </w:r>
          </w:p>
        </w:tc>
        <w:tc>
          <w:tcPr>
            <w:tcW w:w="126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55</w:t>
            </w:r>
          </w:p>
        </w:tc>
        <w:tc>
          <w:tcPr>
            <w:tcW w:w="124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3,9</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gréčtina</w:t>
            </w:r>
          </w:p>
        </w:tc>
        <w:tc>
          <w:tcPr>
            <w:tcW w:w="1275"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43</w:t>
            </w:r>
          </w:p>
        </w:tc>
        <w:tc>
          <w:tcPr>
            <w:tcW w:w="1248"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3,5</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rumunčina</w:t>
            </w:r>
          </w:p>
        </w:tc>
        <w:tc>
          <w:tcPr>
            <w:tcW w:w="126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42</w:t>
            </w:r>
          </w:p>
        </w:tc>
        <w:tc>
          <w:tcPr>
            <w:tcW w:w="124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3,0</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rumunčina</w:t>
            </w:r>
          </w:p>
        </w:tc>
        <w:tc>
          <w:tcPr>
            <w:tcW w:w="1275"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42</w:t>
            </w:r>
          </w:p>
        </w:tc>
        <w:tc>
          <w:tcPr>
            <w:tcW w:w="1248"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3,5</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poľština</w:t>
            </w:r>
          </w:p>
        </w:tc>
        <w:tc>
          <w:tcPr>
            <w:tcW w:w="126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 xml:space="preserve">39 </w:t>
            </w:r>
          </w:p>
        </w:tc>
        <w:tc>
          <w:tcPr>
            <w:tcW w:w="124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2,8</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Iné</w:t>
            </w:r>
          </w:p>
        </w:tc>
        <w:tc>
          <w:tcPr>
            <w:tcW w:w="1275"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89</w:t>
            </w:r>
          </w:p>
        </w:tc>
        <w:tc>
          <w:tcPr>
            <w:tcW w:w="1248"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7,3</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Iné</w:t>
            </w:r>
          </w:p>
        </w:tc>
        <w:tc>
          <w:tcPr>
            <w:tcW w:w="126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110</w:t>
            </w:r>
          </w:p>
        </w:tc>
        <w:tc>
          <w:tcPr>
            <w:tcW w:w="124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8,0</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rPr>
                <w:b/>
              </w:rPr>
            </w:pPr>
            <w:r w:rsidRPr="007E4DC0">
              <w:rPr>
                <w:b/>
              </w:rPr>
              <w:t>Spolu</w:t>
            </w:r>
          </w:p>
        </w:tc>
        <w:tc>
          <w:tcPr>
            <w:tcW w:w="1275" w:type="dxa"/>
            <w:tcBorders>
              <w:top w:val="single" w:sz="4" w:space="0" w:color="auto"/>
              <w:left w:val="single" w:sz="4" w:space="0" w:color="auto"/>
              <w:bottom w:val="single" w:sz="4" w:space="0" w:color="auto"/>
              <w:right w:val="single" w:sz="4" w:space="0" w:color="auto"/>
            </w:tcBorders>
          </w:tcPr>
          <w:p w:rsidR="007A182D" w:rsidRPr="007E4DC0" w:rsidRDefault="002410C3" w:rsidP="007A182D">
            <w:r w:rsidRPr="007E4DC0">
              <w:t xml:space="preserve">1217 </w:t>
            </w:r>
          </w:p>
        </w:tc>
        <w:tc>
          <w:tcPr>
            <w:tcW w:w="1248" w:type="dxa"/>
            <w:tcBorders>
              <w:top w:val="single" w:sz="4" w:space="0" w:color="auto"/>
              <w:left w:val="single" w:sz="4" w:space="0" w:color="auto"/>
              <w:bottom w:val="single" w:sz="4" w:space="0" w:color="auto"/>
              <w:right w:val="single" w:sz="4" w:space="0" w:color="auto"/>
            </w:tcBorders>
          </w:tcPr>
          <w:p w:rsidR="007A182D" w:rsidRPr="007E4DC0" w:rsidRDefault="002410C3" w:rsidP="007A182D">
            <w:r w:rsidRPr="007E4DC0">
              <w:t>100</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tcPr>
          <w:p w:rsidR="007A182D" w:rsidRPr="007E4DC0" w:rsidRDefault="002410C3" w:rsidP="007A182D">
            <w:pPr>
              <w:rPr>
                <w:b/>
              </w:rPr>
            </w:pPr>
            <w:r w:rsidRPr="007E4DC0">
              <w:rPr>
                <w:b/>
              </w:rPr>
              <w:t>Spolu</w:t>
            </w:r>
          </w:p>
        </w:tc>
        <w:tc>
          <w:tcPr>
            <w:tcW w:w="1260" w:type="dxa"/>
            <w:tcBorders>
              <w:top w:val="single" w:sz="4" w:space="0" w:color="auto"/>
              <w:left w:val="single" w:sz="4" w:space="0" w:color="auto"/>
              <w:bottom w:val="single" w:sz="4" w:space="0" w:color="auto"/>
              <w:right w:val="single" w:sz="4" w:space="0" w:color="auto"/>
            </w:tcBorders>
          </w:tcPr>
          <w:p w:rsidR="007A182D" w:rsidRPr="007E4DC0" w:rsidRDefault="002410C3" w:rsidP="007A182D">
            <w:r w:rsidRPr="007E4DC0">
              <w:t>1392</w:t>
            </w:r>
          </w:p>
        </w:tc>
        <w:tc>
          <w:tcPr>
            <w:tcW w:w="1240" w:type="dxa"/>
            <w:tcBorders>
              <w:top w:val="single" w:sz="4" w:space="0" w:color="auto"/>
              <w:left w:val="single" w:sz="4" w:space="0" w:color="auto"/>
              <w:bottom w:val="single" w:sz="4" w:space="0" w:color="auto"/>
              <w:right w:val="single" w:sz="4" w:space="0" w:color="auto"/>
            </w:tcBorders>
          </w:tcPr>
          <w:p w:rsidR="007A182D" w:rsidRPr="007E4DC0" w:rsidRDefault="002410C3" w:rsidP="007A182D">
            <w:r w:rsidRPr="007E4DC0">
              <w:t>100</w:t>
            </w:r>
          </w:p>
        </w:tc>
      </w:tr>
    </w:tbl>
    <w:p w:rsidR="006F4946" w:rsidRPr="007E4DC0" w:rsidRDefault="006F4946" w:rsidP="006F4946">
      <w:pPr>
        <w:rPr>
          <w:lang w:eastAsia="en-US"/>
        </w:rPr>
      </w:pPr>
    </w:p>
    <w:p w:rsidR="007A182D" w:rsidRPr="007E4DC0" w:rsidRDefault="007A182D" w:rsidP="006F4946">
      <w:pPr>
        <w:rPr>
          <w:lang w:eastAsia="en-US"/>
        </w:rPr>
      </w:pPr>
    </w:p>
    <w:p w:rsidR="006F4946" w:rsidRPr="007E4DC0" w:rsidRDefault="002410C3" w:rsidP="006F4946">
      <w:pPr>
        <w:spacing w:after="160" w:line="252" w:lineRule="auto"/>
        <w:ind w:right="-472"/>
        <w:rPr>
          <w:rFonts w:eastAsia="Calibri"/>
          <w:b/>
        </w:rPr>
      </w:pPr>
      <w:r w:rsidRPr="007E4DC0">
        <w:rPr>
          <w:b/>
        </w:rPr>
        <w:t>Štátna príslušnosť predkladateľov petícií</w:t>
      </w:r>
    </w:p>
    <w:p w:rsidR="006F4946" w:rsidRPr="007E4DC0" w:rsidRDefault="002410C3" w:rsidP="006F4946">
      <w:r w:rsidRPr="007E4DC0">
        <w:t xml:space="preserve">Pokiaľ ide o štátnu príslušnosť, zatiaľ čo najviac petícií v roku 2021 </w:t>
      </w:r>
      <w:r w:rsidRPr="007E4DC0">
        <w:t>predložili nemeckí občania, v roku 2022 ich predstihli španielski občania a umiestnili sa na čele rebríčka predkladania petícií, čím sa potvrdilo znižovanie počtu petícií predložených nemeckými občanmi zaznamenané už v roku 2021 v porovnaní s rokom 2020.</w:t>
      </w:r>
    </w:p>
    <w:p w:rsidR="006F4946" w:rsidRPr="007E4DC0" w:rsidRDefault="006F4946" w:rsidP="006F4946"/>
    <w:p w:rsidR="006F4946" w:rsidRPr="007E4DC0" w:rsidRDefault="002410C3" w:rsidP="006F4946">
      <w:r w:rsidRPr="007E4DC0">
        <w:t>Okrem toho v tabuľkách uvedených ďalej je zobrazený výrazný nárast počtu petícií predložených poľskými a francúzskymi štátnymi príslušníkmi v roku 2022 v porovnaní s predchádzajúcim rokom. Konkrétne sa v roku 2022 počet petícií talianskych občanov zvýšil o</w:t>
      </w:r>
      <w:r w:rsidRPr="007E4DC0">
        <w:t xml:space="preserve"> 12,3 % a v prípade francúzskych občanov o 30,4 %.</w:t>
      </w:r>
    </w:p>
    <w:p w:rsidR="006F4946" w:rsidRPr="007E4DC0" w:rsidRDefault="006F4946" w:rsidP="006F4946"/>
    <w:p w:rsidR="006F4946" w:rsidRPr="007E4DC0" w:rsidRDefault="002410C3" w:rsidP="006F4946">
      <w:r w:rsidRPr="007E4DC0">
        <w:t xml:space="preserve">Naopak počet petícií talianskych a gréckych občanov v roku 2022 výrazne klesol. </w:t>
      </w:r>
    </w:p>
    <w:p w:rsidR="006F4946" w:rsidRPr="007E4DC0" w:rsidRDefault="006F4946" w:rsidP="006F4946"/>
    <w:tbl>
      <w:tblPr>
        <w:tblW w:w="0" w:type="auto"/>
        <w:tblLook w:val="04A0" w:firstRow="1" w:lastRow="0" w:firstColumn="1" w:lastColumn="0" w:noHBand="0" w:noVBand="1"/>
      </w:tblPr>
      <w:tblGrid>
        <w:gridCol w:w="1689"/>
        <w:gridCol w:w="1197"/>
        <w:gridCol w:w="1137"/>
        <w:gridCol w:w="1042"/>
        <w:gridCol w:w="1689"/>
        <w:gridCol w:w="1185"/>
        <w:gridCol w:w="1131"/>
      </w:tblGrid>
      <w:tr w:rsidR="00243B41" w:rsidRPr="007E4DC0" w:rsidTr="006F4946">
        <w:tc>
          <w:tcPr>
            <w:tcW w:w="1390" w:type="dxa"/>
            <w:tcBorders>
              <w:top w:val="nil"/>
              <w:left w:val="nil"/>
              <w:bottom w:val="single" w:sz="4" w:space="0" w:color="auto"/>
              <w:right w:val="nil"/>
            </w:tcBorders>
            <w:hideMark/>
          </w:tcPr>
          <w:p w:rsidR="006F4946" w:rsidRPr="007E4DC0" w:rsidRDefault="002410C3">
            <w:r w:rsidRPr="007E4DC0">
              <w:t>2022</w:t>
            </w:r>
          </w:p>
        </w:tc>
        <w:tc>
          <w:tcPr>
            <w:tcW w:w="1275" w:type="dxa"/>
            <w:tcBorders>
              <w:top w:val="nil"/>
              <w:left w:val="nil"/>
              <w:bottom w:val="single" w:sz="4" w:space="0" w:color="auto"/>
              <w:right w:val="nil"/>
            </w:tcBorders>
          </w:tcPr>
          <w:p w:rsidR="006F4946" w:rsidRPr="007E4DC0" w:rsidRDefault="006F4946"/>
        </w:tc>
        <w:tc>
          <w:tcPr>
            <w:tcW w:w="1248" w:type="dxa"/>
            <w:tcBorders>
              <w:top w:val="nil"/>
              <w:left w:val="nil"/>
              <w:bottom w:val="single" w:sz="4" w:space="0" w:color="auto"/>
              <w:right w:val="nil"/>
            </w:tcBorders>
          </w:tcPr>
          <w:p w:rsidR="006F4946" w:rsidRPr="007E4DC0" w:rsidRDefault="006F4946"/>
        </w:tc>
        <w:tc>
          <w:tcPr>
            <w:tcW w:w="1223" w:type="dxa"/>
          </w:tcPr>
          <w:p w:rsidR="006F4946" w:rsidRPr="007E4DC0" w:rsidRDefault="006F4946"/>
        </w:tc>
        <w:tc>
          <w:tcPr>
            <w:tcW w:w="1390" w:type="dxa"/>
            <w:tcBorders>
              <w:top w:val="nil"/>
              <w:left w:val="nil"/>
              <w:bottom w:val="single" w:sz="4" w:space="0" w:color="auto"/>
              <w:right w:val="nil"/>
            </w:tcBorders>
            <w:hideMark/>
          </w:tcPr>
          <w:p w:rsidR="006F4946" w:rsidRPr="007E4DC0" w:rsidRDefault="002410C3">
            <w:r w:rsidRPr="007E4DC0">
              <w:t>2021</w:t>
            </w:r>
          </w:p>
        </w:tc>
        <w:tc>
          <w:tcPr>
            <w:tcW w:w="1260" w:type="dxa"/>
            <w:tcBorders>
              <w:top w:val="nil"/>
              <w:left w:val="nil"/>
              <w:bottom w:val="single" w:sz="4" w:space="0" w:color="auto"/>
              <w:right w:val="nil"/>
            </w:tcBorders>
          </w:tcPr>
          <w:p w:rsidR="006F4946" w:rsidRPr="007E4DC0" w:rsidRDefault="006F4946"/>
        </w:tc>
        <w:tc>
          <w:tcPr>
            <w:tcW w:w="1240" w:type="dxa"/>
            <w:tcBorders>
              <w:top w:val="nil"/>
              <w:left w:val="nil"/>
              <w:bottom w:val="single" w:sz="4" w:space="0" w:color="auto"/>
              <w:right w:val="nil"/>
            </w:tcBorders>
          </w:tcPr>
          <w:p w:rsidR="006F4946" w:rsidRPr="007E4DC0" w:rsidRDefault="006F4946"/>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shd w:val="clear" w:color="auto" w:fill="666699"/>
            <w:hideMark/>
          </w:tcPr>
          <w:p w:rsidR="006F4946" w:rsidRPr="007E4DC0" w:rsidRDefault="002410C3">
            <w:pPr>
              <w:rPr>
                <w:b/>
                <w:color w:val="FFFFFF"/>
              </w:rPr>
            </w:pPr>
            <w:r w:rsidRPr="007E4DC0">
              <w:rPr>
                <w:b/>
                <w:color w:val="FFFFFF"/>
              </w:rPr>
              <w:t>Štátna príslušnosť hlavného predkladateľa petície</w:t>
            </w:r>
          </w:p>
        </w:tc>
        <w:tc>
          <w:tcPr>
            <w:tcW w:w="1275" w:type="dxa"/>
            <w:tcBorders>
              <w:top w:val="single" w:sz="4" w:space="0" w:color="auto"/>
              <w:left w:val="single" w:sz="4" w:space="0" w:color="auto"/>
              <w:bottom w:val="single" w:sz="4" w:space="0" w:color="auto"/>
              <w:right w:val="single" w:sz="4" w:space="0" w:color="auto"/>
            </w:tcBorders>
            <w:shd w:val="clear" w:color="auto" w:fill="666699"/>
            <w:hideMark/>
          </w:tcPr>
          <w:p w:rsidR="006F4946" w:rsidRPr="007E4DC0" w:rsidRDefault="002410C3">
            <w:pPr>
              <w:rPr>
                <w:b/>
                <w:color w:val="FFFFFF"/>
              </w:rPr>
            </w:pPr>
            <w:r w:rsidRPr="007E4DC0">
              <w:rPr>
                <w:b/>
                <w:color w:val="FFFFFF"/>
              </w:rPr>
              <w:t>Počet petícií</w:t>
            </w:r>
          </w:p>
        </w:tc>
        <w:tc>
          <w:tcPr>
            <w:tcW w:w="1248" w:type="dxa"/>
            <w:tcBorders>
              <w:top w:val="single" w:sz="4" w:space="0" w:color="auto"/>
              <w:left w:val="single" w:sz="4" w:space="0" w:color="auto"/>
              <w:bottom w:val="single" w:sz="4" w:space="0" w:color="auto"/>
              <w:right w:val="single" w:sz="4" w:space="0" w:color="auto"/>
            </w:tcBorders>
            <w:shd w:val="clear" w:color="auto" w:fill="666699"/>
            <w:hideMark/>
          </w:tcPr>
          <w:p w:rsidR="006F4946" w:rsidRPr="007E4DC0" w:rsidRDefault="002410C3">
            <w:pPr>
              <w:rPr>
                <w:b/>
                <w:color w:val="FFFFFF"/>
              </w:rPr>
            </w:pPr>
            <w:r w:rsidRPr="007E4DC0">
              <w:rPr>
                <w:b/>
                <w:color w:val="FFFFFF"/>
              </w:rPr>
              <w:t>%</w:t>
            </w:r>
          </w:p>
        </w:tc>
        <w:tc>
          <w:tcPr>
            <w:tcW w:w="1223" w:type="dxa"/>
            <w:tcBorders>
              <w:top w:val="nil"/>
              <w:left w:val="single" w:sz="4" w:space="0" w:color="auto"/>
              <w:bottom w:val="nil"/>
              <w:right w:val="single" w:sz="4" w:space="0" w:color="auto"/>
            </w:tcBorders>
          </w:tcPr>
          <w:p w:rsidR="006F4946" w:rsidRPr="007E4DC0" w:rsidRDefault="006F4946"/>
        </w:tc>
        <w:tc>
          <w:tcPr>
            <w:tcW w:w="1390" w:type="dxa"/>
            <w:tcBorders>
              <w:top w:val="single" w:sz="4" w:space="0" w:color="auto"/>
              <w:left w:val="single" w:sz="4" w:space="0" w:color="auto"/>
              <w:bottom w:val="single" w:sz="4" w:space="0" w:color="auto"/>
              <w:right w:val="single" w:sz="4" w:space="0" w:color="auto"/>
            </w:tcBorders>
            <w:shd w:val="clear" w:color="auto" w:fill="666699"/>
            <w:hideMark/>
          </w:tcPr>
          <w:p w:rsidR="006F4946" w:rsidRPr="007E4DC0" w:rsidRDefault="002410C3">
            <w:pPr>
              <w:rPr>
                <w:b/>
                <w:color w:val="FFFFFF"/>
              </w:rPr>
            </w:pPr>
            <w:r w:rsidRPr="007E4DC0">
              <w:rPr>
                <w:b/>
                <w:color w:val="FFFFFF"/>
              </w:rPr>
              <w:t xml:space="preserve">Štátna príslušnosť hlavného </w:t>
            </w:r>
            <w:r w:rsidRPr="007E4DC0">
              <w:rPr>
                <w:b/>
                <w:color w:val="FFFFFF"/>
              </w:rPr>
              <w:t>predkladateľa petície</w:t>
            </w:r>
          </w:p>
        </w:tc>
        <w:tc>
          <w:tcPr>
            <w:tcW w:w="1260" w:type="dxa"/>
            <w:tcBorders>
              <w:top w:val="single" w:sz="4" w:space="0" w:color="auto"/>
              <w:left w:val="single" w:sz="4" w:space="0" w:color="auto"/>
              <w:bottom w:val="single" w:sz="4" w:space="0" w:color="auto"/>
              <w:right w:val="single" w:sz="4" w:space="0" w:color="auto"/>
            </w:tcBorders>
            <w:shd w:val="clear" w:color="auto" w:fill="666699"/>
            <w:hideMark/>
          </w:tcPr>
          <w:p w:rsidR="006F4946" w:rsidRPr="007E4DC0" w:rsidRDefault="002410C3">
            <w:pPr>
              <w:rPr>
                <w:b/>
                <w:color w:val="FFFFFF"/>
              </w:rPr>
            </w:pPr>
            <w:r w:rsidRPr="007E4DC0">
              <w:rPr>
                <w:b/>
                <w:color w:val="FFFFFF"/>
              </w:rPr>
              <w:t>Počet petícií</w:t>
            </w:r>
          </w:p>
        </w:tc>
        <w:tc>
          <w:tcPr>
            <w:tcW w:w="1240" w:type="dxa"/>
            <w:tcBorders>
              <w:top w:val="single" w:sz="4" w:space="0" w:color="auto"/>
              <w:left w:val="single" w:sz="4" w:space="0" w:color="auto"/>
              <w:bottom w:val="single" w:sz="4" w:space="0" w:color="auto"/>
              <w:right w:val="single" w:sz="4" w:space="0" w:color="auto"/>
            </w:tcBorders>
            <w:shd w:val="clear" w:color="auto" w:fill="666699"/>
            <w:hideMark/>
          </w:tcPr>
          <w:p w:rsidR="006F4946" w:rsidRPr="007E4DC0" w:rsidRDefault="002410C3">
            <w:pPr>
              <w:rPr>
                <w:b/>
                <w:color w:val="FFFFFF"/>
              </w:rPr>
            </w:pPr>
            <w:r w:rsidRPr="007E4DC0">
              <w:rPr>
                <w:b/>
                <w:color w:val="FFFFFF"/>
              </w:rPr>
              <w:t>%</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Španielsko</w:t>
            </w:r>
          </w:p>
        </w:tc>
        <w:tc>
          <w:tcPr>
            <w:tcW w:w="1275"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266</w:t>
            </w:r>
          </w:p>
        </w:tc>
        <w:tc>
          <w:tcPr>
            <w:tcW w:w="1248"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21,9</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Nemecko</w:t>
            </w:r>
          </w:p>
        </w:tc>
        <w:tc>
          <w:tcPr>
            <w:tcW w:w="126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 xml:space="preserve">318 </w:t>
            </w:r>
          </w:p>
        </w:tc>
        <w:tc>
          <w:tcPr>
            <w:tcW w:w="124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22,7</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Nemecko</w:t>
            </w:r>
          </w:p>
        </w:tc>
        <w:tc>
          <w:tcPr>
            <w:tcW w:w="1275"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251</w:t>
            </w:r>
          </w:p>
        </w:tc>
        <w:tc>
          <w:tcPr>
            <w:tcW w:w="1248"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20,7</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Španielsko</w:t>
            </w:r>
          </w:p>
        </w:tc>
        <w:tc>
          <w:tcPr>
            <w:tcW w:w="126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 xml:space="preserve">254 </w:t>
            </w:r>
          </w:p>
        </w:tc>
        <w:tc>
          <w:tcPr>
            <w:tcW w:w="124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18,1</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Taliansko</w:t>
            </w:r>
          </w:p>
        </w:tc>
        <w:tc>
          <w:tcPr>
            <w:tcW w:w="1275"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159</w:t>
            </w:r>
          </w:p>
        </w:tc>
        <w:tc>
          <w:tcPr>
            <w:tcW w:w="1248"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13,1</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Taliansko</w:t>
            </w:r>
          </w:p>
        </w:tc>
        <w:tc>
          <w:tcPr>
            <w:tcW w:w="126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 xml:space="preserve">205 </w:t>
            </w:r>
          </w:p>
        </w:tc>
        <w:tc>
          <w:tcPr>
            <w:tcW w:w="124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14,6</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Rumunsko</w:t>
            </w:r>
          </w:p>
        </w:tc>
        <w:tc>
          <w:tcPr>
            <w:tcW w:w="1275"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78</w:t>
            </w:r>
          </w:p>
        </w:tc>
        <w:tc>
          <w:tcPr>
            <w:tcW w:w="1248"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6,4</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Grécko</w:t>
            </w:r>
          </w:p>
        </w:tc>
        <w:tc>
          <w:tcPr>
            <w:tcW w:w="126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88</w:t>
            </w:r>
          </w:p>
        </w:tc>
        <w:tc>
          <w:tcPr>
            <w:tcW w:w="124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6,2</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Poľsko</w:t>
            </w:r>
          </w:p>
        </w:tc>
        <w:tc>
          <w:tcPr>
            <w:tcW w:w="1275"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73</w:t>
            </w:r>
          </w:p>
        </w:tc>
        <w:tc>
          <w:tcPr>
            <w:tcW w:w="1248"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6,0</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Rumunsko</w:t>
            </w:r>
          </w:p>
        </w:tc>
        <w:tc>
          <w:tcPr>
            <w:tcW w:w="126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78</w:t>
            </w:r>
          </w:p>
        </w:tc>
        <w:tc>
          <w:tcPr>
            <w:tcW w:w="124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5,5</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 xml:space="preserve">Francúzsko </w:t>
            </w:r>
          </w:p>
        </w:tc>
        <w:tc>
          <w:tcPr>
            <w:tcW w:w="1275"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60</w:t>
            </w:r>
          </w:p>
        </w:tc>
        <w:tc>
          <w:tcPr>
            <w:tcW w:w="1248"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5,0</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Poľsko</w:t>
            </w:r>
          </w:p>
        </w:tc>
        <w:tc>
          <w:tcPr>
            <w:tcW w:w="126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65</w:t>
            </w:r>
          </w:p>
        </w:tc>
        <w:tc>
          <w:tcPr>
            <w:tcW w:w="124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4,6</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Grécko</w:t>
            </w:r>
          </w:p>
        </w:tc>
        <w:tc>
          <w:tcPr>
            <w:tcW w:w="1275"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60</w:t>
            </w:r>
          </w:p>
        </w:tc>
        <w:tc>
          <w:tcPr>
            <w:tcW w:w="1248"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5,0</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Francúzsko</w:t>
            </w:r>
          </w:p>
        </w:tc>
        <w:tc>
          <w:tcPr>
            <w:tcW w:w="126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46</w:t>
            </w:r>
          </w:p>
        </w:tc>
        <w:tc>
          <w:tcPr>
            <w:tcW w:w="124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3,2</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Maďarsko</w:t>
            </w:r>
          </w:p>
        </w:tc>
        <w:tc>
          <w:tcPr>
            <w:tcW w:w="1275"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33</w:t>
            </w:r>
          </w:p>
        </w:tc>
        <w:tc>
          <w:tcPr>
            <w:tcW w:w="1248"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2,7</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Belgicko</w:t>
            </w:r>
          </w:p>
        </w:tc>
        <w:tc>
          <w:tcPr>
            <w:tcW w:w="126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35</w:t>
            </w:r>
          </w:p>
        </w:tc>
        <w:tc>
          <w:tcPr>
            <w:tcW w:w="124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2,5</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Portugalsko</w:t>
            </w:r>
          </w:p>
        </w:tc>
        <w:tc>
          <w:tcPr>
            <w:tcW w:w="1275"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26</w:t>
            </w:r>
          </w:p>
        </w:tc>
        <w:tc>
          <w:tcPr>
            <w:tcW w:w="1248"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2,1</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Bulharsko</w:t>
            </w:r>
          </w:p>
        </w:tc>
        <w:tc>
          <w:tcPr>
            <w:tcW w:w="126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34</w:t>
            </w:r>
          </w:p>
        </w:tc>
        <w:tc>
          <w:tcPr>
            <w:tcW w:w="124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2,4</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tcPr>
          <w:p w:rsidR="007A182D" w:rsidRPr="007E4DC0" w:rsidRDefault="007A182D" w:rsidP="007A182D"/>
          <w:p w:rsidR="007A182D" w:rsidRPr="007E4DC0" w:rsidRDefault="002410C3" w:rsidP="007A182D">
            <w:r w:rsidRPr="007E4DC0">
              <w:t>Štátna príslušnosť inej krajiny EÚ</w:t>
            </w:r>
          </w:p>
        </w:tc>
        <w:tc>
          <w:tcPr>
            <w:tcW w:w="1275" w:type="dxa"/>
            <w:tcBorders>
              <w:top w:val="single" w:sz="4" w:space="0" w:color="auto"/>
              <w:left w:val="single" w:sz="4" w:space="0" w:color="auto"/>
              <w:bottom w:val="single" w:sz="4" w:space="0" w:color="auto"/>
              <w:right w:val="single" w:sz="4" w:space="0" w:color="auto"/>
            </w:tcBorders>
          </w:tcPr>
          <w:p w:rsidR="007A182D" w:rsidRPr="007E4DC0" w:rsidRDefault="007A182D" w:rsidP="007A182D"/>
          <w:p w:rsidR="007A182D" w:rsidRPr="007E4DC0" w:rsidRDefault="002410C3" w:rsidP="007A182D">
            <w:r w:rsidRPr="007E4DC0">
              <w:t>170</w:t>
            </w:r>
          </w:p>
        </w:tc>
        <w:tc>
          <w:tcPr>
            <w:tcW w:w="1248" w:type="dxa"/>
            <w:tcBorders>
              <w:top w:val="single" w:sz="4" w:space="0" w:color="auto"/>
              <w:left w:val="single" w:sz="4" w:space="0" w:color="auto"/>
              <w:bottom w:val="single" w:sz="4" w:space="0" w:color="auto"/>
              <w:right w:val="single" w:sz="4" w:space="0" w:color="auto"/>
            </w:tcBorders>
          </w:tcPr>
          <w:p w:rsidR="007A182D" w:rsidRPr="007E4DC0" w:rsidRDefault="007A182D" w:rsidP="007A182D"/>
          <w:p w:rsidR="007A182D" w:rsidRPr="007E4DC0" w:rsidRDefault="002410C3" w:rsidP="007A182D">
            <w:r w:rsidRPr="007E4DC0">
              <w:t>13,9</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tcPr>
          <w:p w:rsidR="007A182D" w:rsidRPr="007E4DC0" w:rsidRDefault="007A182D" w:rsidP="007A182D"/>
          <w:p w:rsidR="007A182D" w:rsidRPr="007E4DC0" w:rsidRDefault="002410C3" w:rsidP="007A182D">
            <w:r w:rsidRPr="007E4DC0">
              <w:t>Štátna príslušnosť inej krajiny EÚ</w:t>
            </w:r>
          </w:p>
        </w:tc>
        <w:tc>
          <w:tcPr>
            <w:tcW w:w="1260" w:type="dxa"/>
            <w:tcBorders>
              <w:top w:val="single" w:sz="4" w:space="0" w:color="auto"/>
              <w:left w:val="single" w:sz="4" w:space="0" w:color="auto"/>
              <w:bottom w:val="single" w:sz="4" w:space="0" w:color="auto"/>
              <w:right w:val="single" w:sz="4" w:space="0" w:color="auto"/>
            </w:tcBorders>
          </w:tcPr>
          <w:p w:rsidR="007A182D" w:rsidRPr="007E4DC0" w:rsidRDefault="007A182D" w:rsidP="007A182D"/>
          <w:p w:rsidR="007A182D" w:rsidRPr="007E4DC0" w:rsidRDefault="002410C3" w:rsidP="007A182D">
            <w:r w:rsidRPr="007E4DC0">
              <w:t>243</w:t>
            </w:r>
          </w:p>
        </w:tc>
        <w:tc>
          <w:tcPr>
            <w:tcW w:w="1240" w:type="dxa"/>
            <w:tcBorders>
              <w:top w:val="single" w:sz="4" w:space="0" w:color="auto"/>
              <w:left w:val="single" w:sz="4" w:space="0" w:color="auto"/>
              <w:bottom w:val="single" w:sz="4" w:space="0" w:color="auto"/>
              <w:right w:val="single" w:sz="4" w:space="0" w:color="auto"/>
            </w:tcBorders>
          </w:tcPr>
          <w:p w:rsidR="007A182D" w:rsidRPr="007E4DC0" w:rsidRDefault="007A182D" w:rsidP="007A182D"/>
          <w:p w:rsidR="007A182D" w:rsidRPr="007E4DC0" w:rsidRDefault="002410C3" w:rsidP="007A182D">
            <w:r w:rsidRPr="007E4DC0">
              <w:t>17,3</w:t>
            </w:r>
          </w:p>
        </w:tc>
      </w:tr>
      <w:tr w:rsidR="00243B41" w:rsidRPr="007E4DC0" w:rsidTr="006F4946">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Štátna príslušnosť krajiny mimo EÚ</w:t>
            </w:r>
          </w:p>
        </w:tc>
        <w:tc>
          <w:tcPr>
            <w:tcW w:w="1275"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49</w:t>
            </w:r>
          </w:p>
        </w:tc>
        <w:tc>
          <w:tcPr>
            <w:tcW w:w="1248"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4,0</w:t>
            </w:r>
          </w:p>
        </w:tc>
        <w:tc>
          <w:tcPr>
            <w:tcW w:w="1223" w:type="dxa"/>
            <w:tcBorders>
              <w:top w:val="nil"/>
              <w:left w:val="single" w:sz="4" w:space="0" w:color="auto"/>
              <w:bottom w:val="nil"/>
              <w:right w:val="single" w:sz="4" w:space="0" w:color="auto"/>
            </w:tcBorders>
          </w:tcPr>
          <w:p w:rsidR="007A182D" w:rsidRPr="007E4DC0" w:rsidRDefault="007A182D" w:rsidP="007A182D"/>
        </w:tc>
        <w:tc>
          <w:tcPr>
            <w:tcW w:w="139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Štátna</w:t>
            </w:r>
            <w:r w:rsidRPr="007E4DC0">
              <w:t xml:space="preserve"> príslušnosť krajiny mimo EÚ</w:t>
            </w:r>
          </w:p>
        </w:tc>
        <w:tc>
          <w:tcPr>
            <w:tcW w:w="126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35</w:t>
            </w:r>
          </w:p>
        </w:tc>
        <w:tc>
          <w:tcPr>
            <w:tcW w:w="1240" w:type="dxa"/>
            <w:tcBorders>
              <w:top w:val="single" w:sz="4" w:space="0" w:color="auto"/>
              <w:left w:val="single" w:sz="4" w:space="0" w:color="auto"/>
              <w:bottom w:val="single" w:sz="4" w:space="0" w:color="auto"/>
              <w:right w:val="single" w:sz="4" w:space="0" w:color="auto"/>
            </w:tcBorders>
            <w:hideMark/>
          </w:tcPr>
          <w:p w:rsidR="007A182D" w:rsidRPr="007E4DC0" w:rsidRDefault="002410C3" w:rsidP="007A182D">
            <w:r w:rsidRPr="007E4DC0">
              <w:t>2,5</w:t>
            </w:r>
          </w:p>
        </w:tc>
      </w:tr>
    </w:tbl>
    <w:p w:rsidR="006F4946" w:rsidRPr="007E4DC0" w:rsidRDefault="002410C3" w:rsidP="006F4946">
      <w:r w:rsidRPr="007E4DC0">
        <w:rPr>
          <w:b/>
        </w:rPr>
        <w:t>Hlavné témy petícií</w:t>
      </w:r>
    </w:p>
    <w:p w:rsidR="006F4946" w:rsidRPr="007E4DC0" w:rsidRDefault="006F4946" w:rsidP="006F4946">
      <w:pPr>
        <w:spacing w:after="160" w:line="252" w:lineRule="auto"/>
        <w:rPr>
          <w:b/>
        </w:rPr>
      </w:pPr>
    </w:p>
    <w:p w:rsidR="006F4946" w:rsidRPr="007E4DC0" w:rsidRDefault="002410C3" w:rsidP="006F4946">
      <w:pPr>
        <w:spacing w:after="160" w:line="252" w:lineRule="auto"/>
      </w:pPr>
      <w:r w:rsidRPr="007E4DC0">
        <w:lastRenderedPageBreak/>
        <w:t>V ďalej uvedených tabuľkách sa nachádza desať najčastejších tém petícií. Z tabuliek vyplýva, že hlavné témy sa z roka na rok líšili. Zatiaľ čo v roku 2021 boli na najvyšších miestach základné práva,</w:t>
      </w:r>
      <w:r w:rsidRPr="007E4DC0">
        <w:t xml:space="preserve"> životné prostredie a zdravie, v roku 2022 patrili medzi hlavné tri témy životné prostredie, základné práva a spravodlivosť. </w:t>
      </w:r>
    </w:p>
    <w:p w:rsidR="006F4946" w:rsidRPr="007E4DC0" w:rsidRDefault="002410C3" w:rsidP="006F4946">
      <w:pPr>
        <w:spacing w:after="160" w:line="252" w:lineRule="auto"/>
      </w:pPr>
      <w:r w:rsidRPr="007E4DC0">
        <w:t>V roku 2022 sa počet petícií, v ktorých občania vyjadrovali obavy v súvislosti s vonkajšími vzťahmi, výrazne zvýšil, keďže sa v po</w:t>
      </w:r>
      <w:r w:rsidRPr="007E4DC0">
        <w:t xml:space="preserve">rovnaní s rokom 2021 viac ako zdvojnásobil. Možno to vysvetliť vysokým počtom petícií týkajúcich sa vojny na Ukrajine predložených v roku 2022. </w:t>
      </w:r>
    </w:p>
    <w:p w:rsidR="006F4946" w:rsidRPr="007E4DC0" w:rsidRDefault="002410C3" w:rsidP="006F4946">
      <w:pPr>
        <w:spacing w:after="160" w:line="252" w:lineRule="auto"/>
      </w:pPr>
      <w:r w:rsidRPr="007E4DC0">
        <w:t>Pokiaľ ide o petície týkajúce sa zdravia, v roku 2022 dostal výbor 115 petícií týkajúcich tejto témy v porovnan</w:t>
      </w:r>
      <w:r w:rsidRPr="007E4DC0">
        <w:t>í s 313 petíciami, ktoré boli zaregistrované na rovnakú tému v roku 2021. Výrazný pokles možno vysvetliť znížením počtu petícií o ochorení COVID-19 súvisiacich s politikou očkovania a COVID preukazom, keďže tieto témy v roku 2021 výrazne zvýšili počet petí</w:t>
      </w:r>
      <w:r w:rsidRPr="007E4DC0">
        <w:t xml:space="preserve">cií zaoberajúcich sa zdravím. </w:t>
      </w:r>
    </w:p>
    <w:p w:rsidR="006F4946" w:rsidRPr="007E4DC0" w:rsidRDefault="002410C3" w:rsidP="006F4946">
      <w:pPr>
        <w:spacing w:after="160" w:line="252" w:lineRule="auto"/>
      </w:pPr>
      <w:r w:rsidRPr="007E4DC0">
        <w:t>Pokiaľ ide o základné práva, v roku 2022 sa počet petícií na túto tému znížil o 35,9 % v porovnaní s rokom 2021. Pravdepodobne je to spôsobené tým, že v roku 2021 boli vo významnom počte petícií (139 petícií) zaregistrovaných</w:t>
      </w:r>
      <w:r w:rsidRPr="007E4DC0">
        <w:t xml:space="preserve"> v rámci témy základných práv vyjadrené obavy z vplyvu vnútroštátnych mimoriadnych opatrení súvisiacich s pandémiou ochorenia COVID-19 na základné práva a slobody občanov vrátane slobody pohybu, práva na prácu, práva na prístup k informáciám a práva na vzd</w:t>
      </w:r>
      <w:r w:rsidRPr="007E4DC0">
        <w:t>elanie.</w:t>
      </w:r>
    </w:p>
    <w:p w:rsidR="007A182D" w:rsidRPr="007E4DC0" w:rsidRDefault="007A182D" w:rsidP="006F4946">
      <w:pPr>
        <w:spacing w:after="160" w:line="252" w:lineRule="auto"/>
      </w:pPr>
    </w:p>
    <w:tbl>
      <w:tblPr>
        <w:tblW w:w="0" w:type="auto"/>
        <w:tblLook w:val="04A0" w:firstRow="1" w:lastRow="0" w:firstColumn="1" w:lastColumn="0" w:noHBand="0" w:noVBand="1"/>
      </w:tblPr>
      <w:tblGrid>
        <w:gridCol w:w="4480"/>
        <w:gridCol w:w="4546"/>
      </w:tblGrid>
      <w:tr w:rsidR="00243B41" w:rsidRPr="007E4DC0" w:rsidTr="006F4946">
        <w:tc>
          <w:tcPr>
            <w:tcW w:w="4480" w:type="dxa"/>
          </w:tcPr>
          <w:p w:rsidR="006F4946" w:rsidRPr="007E4DC0" w:rsidRDefault="002410C3" w:rsidP="007A182D">
            <w:r w:rsidRPr="007E4DC0">
              <w:t>2022</w:t>
            </w:r>
          </w:p>
        </w:tc>
        <w:tc>
          <w:tcPr>
            <w:tcW w:w="4546" w:type="dxa"/>
            <w:hideMark/>
          </w:tcPr>
          <w:p w:rsidR="006F4946" w:rsidRPr="007E4DC0" w:rsidRDefault="002410C3">
            <w:r w:rsidRPr="007E4DC0">
              <w:t>2021</w:t>
            </w:r>
          </w:p>
        </w:tc>
      </w:tr>
      <w:tr w:rsidR="00243B41" w:rsidRPr="007E4DC0" w:rsidTr="006F4946">
        <w:tc>
          <w:tcPr>
            <w:tcW w:w="4480" w:type="dxa"/>
            <w:hideMark/>
          </w:tcPr>
          <w:tbl>
            <w:tblPr>
              <w:tblW w:w="4134" w:type="dxa"/>
              <w:tblLook w:val="04A0" w:firstRow="1" w:lastRow="0" w:firstColumn="1" w:lastColumn="0" w:noHBand="0" w:noVBand="1"/>
            </w:tblPr>
            <w:tblGrid>
              <w:gridCol w:w="2263"/>
              <w:gridCol w:w="1134"/>
              <w:gridCol w:w="737"/>
            </w:tblGrid>
            <w:tr w:rsidR="00243B41" w:rsidRPr="007E4DC0">
              <w:trPr>
                <w:trHeight w:val="360"/>
              </w:trPr>
              <w:tc>
                <w:tcPr>
                  <w:tcW w:w="2263" w:type="dxa"/>
                  <w:tcBorders>
                    <w:top w:val="single" w:sz="4" w:space="0" w:color="CCCCFF"/>
                    <w:left w:val="single" w:sz="4" w:space="0" w:color="CCCCFF"/>
                    <w:bottom w:val="single" w:sz="4" w:space="0" w:color="CCCCFF"/>
                    <w:right w:val="single" w:sz="4" w:space="0" w:color="CCCCFF"/>
                  </w:tcBorders>
                  <w:shd w:val="clear" w:color="auto" w:fill="666699"/>
                  <w:noWrap/>
                  <w:vAlign w:val="center"/>
                  <w:hideMark/>
                </w:tcPr>
                <w:p w:rsidR="006F4946" w:rsidRPr="007E4DC0" w:rsidRDefault="002410C3">
                  <w:pPr>
                    <w:jc w:val="center"/>
                    <w:rPr>
                      <w:b/>
                      <w:bCs/>
                      <w:color w:val="FFFFFF"/>
                    </w:rPr>
                  </w:pPr>
                  <w:r w:rsidRPr="007E4DC0">
                    <w:rPr>
                      <w:b/>
                      <w:color w:val="FFFFFF"/>
                    </w:rPr>
                    <w:t>Desať najčastejších tém petícií</w:t>
                  </w:r>
                </w:p>
              </w:tc>
              <w:tc>
                <w:tcPr>
                  <w:tcW w:w="1134" w:type="dxa"/>
                  <w:tcBorders>
                    <w:top w:val="single" w:sz="4" w:space="0" w:color="CCCCFF"/>
                    <w:left w:val="nil"/>
                    <w:bottom w:val="single" w:sz="4" w:space="0" w:color="CCCCFF"/>
                    <w:right w:val="single" w:sz="4" w:space="0" w:color="CCCCFF"/>
                  </w:tcBorders>
                  <w:shd w:val="clear" w:color="auto" w:fill="666699"/>
                  <w:noWrap/>
                  <w:vAlign w:val="center"/>
                  <w:hideMark/>
                </w:tcPr>
                <w:p w:rsidR="006F4946" w:rsidRPr="007E4DC0" w:rsidRDefault="002410C3">
                  <w:pPr>
                    <w:jc w:val="center"/>
                    <w:rPr>
                      <w:b/>
                      <w:bCs/>
                      <w:color w:val="FFFFFF"/>
                    </w:rPr>
                  </w:pPr>
                  <w:r w:rsidRPr="007E4DC0">
                    <w:rPr>
                      <w:b/>
                      <w:color w:val="FFFFFF"/>
                    </w:rPr>
                    <w:t>Počet petícií</w:t>
                  </w:r>
                </w:p>
              </w:tc>
              <w:tc>
                <w:tcPr>
                  <w:tcW w:w="737" w:type="dxa"/>
                  <w:tcBorders>
                    <w:top w:val="single" w:sz="4" w:space="0" w:color="CCCCFF"/>
                    <w:left w:val="nil"/>
                    <w:bottom w:val="single" w:sz="4" w:space="0" w:color="CCCCFF"/>
                    <w:right w:val="single" w:sz="4" w:space="0" w:color="CCCCFF"/>
                  </w:tcBorders>
                  <w:shd w:val="clear" w:color="auto" w:fill="666699"/>
                  <w:noWrap/>
                  <w:vAlign w:val="center"/>
                  <w:hideMark/>
                </w:tcPr>
                <w:p w:rsidR="006F4946" w:rsidRPr="007E4DC0" w:rsidRDefault="002410C3">
                  <w:pPr>
                    <w:jc w:val="center"/>
                    <w:rPr>
                      <w:b/>
                      <w:bCs/>
                      <w:color w:val="FFFFFF"/>
                    </w:rPr>
                  </w:pPr>
                  <w:r w:rsidRPr="007E4DC0">
                    <w:rPr>
                      <w:b/>
                      <w:color w:val="FFFFFF"/>
                    </w:rPr>
                    <w:t>%</w:t>
                  </w:r>
                </w:p>
              </w:tc>
            </w:tr>
            <w:tr w:rsidR="00243B41" w:rsidRPr="007E4DC0">
              <w:trPr>
                <w:trHeight w:val="360"/>
              </w:trPr>
              <w:tc>
                <w:tcPr>
                  <w:tcW w:w="2263"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Životné prostredie</w:t>
                  </w:r>
                </w:p>
              </w:tc>
              <w:tc>
                <w:tcPr>
                  <w:tcW w:w="1134" w:type="dxa"/>
                  <w:tcBorders>
                    <w:top w:val="nil"/>
                    <w:left w:val="nil"/>
                    <w:bottom w:val="single" w:sz="4" w:space="0" w:color="CCCCFF"/>
                    <w:right w:val="single" w:sz="4" w:space="0" w:color="CCCCFF"/>
                  </w:tcBorders>
                  <w:shd w:val="clear" w:color="auto" w:fill="FFFFFF"/>
                  <w:noWrap/>
                  <w:hideMark/>
                </w:tcPr>
                <w:p w:rsidR="007A182D" w:rsidRPr="007E4DC0" w:rsidRDefault="002410C3" w:rsidP="007A182D">
                  <w:pPr>
                    <w:jc w:val="right"/>
                  </w:pPr>
                  <w:r w:rsidRPr="007E4DC0">
                    <w:t>258</w:t>
                  </w:r>
                </w:p>
              </w:tc>
              <w:tc>
                <w:tcPr>
                  <w:tcW w:w="737" w:type="dxa"/>
                  <w:tcBorders>
                    <w:top w:val="nil"/>
                    <w:left w:val="nil"/>
                    <w:bottom w:val="single" w:sz="4" w:space="0" w:color="CCCCFF"/>
                    <w:right w:val="single" w:sz="4" w:space="0" w:color="CCCCFF"/>
                  </w:tcBorders>
                  <w:shd w:val="clear" w:color="auto" w:fill="FFFFFF"/>
                  <w:noWrap/>
                  <w:hideMark/>
                </w:tcPr>
                <w:p w:rsidR="007A182D" w:rsidRPr="007E4DC0" w:rsidRDefault="002410C3" w:rsidP="007A182D">
                  <w:pPr>
                    <w:jc w:val="right"/>
                    <w:rPr>
                      <w:color w:val="000000"/>
                    </w:rPr>
                  </w:pPr>
                  <w:r w:rsidRPr="007E4DC0">
                    <w:rPr>
                      <w:color w:val="000000"/>
                    </w:rPr>
                    <w:t>21,2</w:t>
                  </w:r>
                </w:p>
              </w:tc>
            </w:tr>
            <w:tr w:rsidR="00243B41" w:rsidRPr="007E4DC0" w:rsidTr="00132F25">
              <w:trPr>
                <w:trHeight w:val="360"/>
              </w:trPr>
              <w:tc>
                <w:tcPr>
                  <w:tcW w:w="2263"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Základné práva</w:t>
                  </w:r>
                </w:p>
              </w:tc>
              <w:tc>
                <w:tcPr>
                  <w:tcW w:w="1134" w:type="dxa"/>
                  <w:tcBorders>
                    <w:top w:val="nil"/>
                    <w:left w:val="nil"/>
                    <w:bottom w:val="single" w:sz="4" w:space="0" w:color="CCCCFF"/>
                    <w:right w:val="single" w:sz="4" w:space="0" w:color="CCCCFF"/>
                  </w:tcBorders>
                  <w:shd w:val="clear" w:color="auto" w:fill="FFFFFF"/>
                  <w:noWrap/>
                  <w:hideMark/>
                </w:tcPr>
                <w:p w:rsidR="007A182D" w:rsidRPr="007E4DC0" w:rsidRDefault="002410C3" w:rsidP="007A182D">
                  <w:pPr>
                    <w:jc w:val="right"/>
                  </w:pPr>
                  <w:r w:rsidRPr="007E4DC0">
                    <w:t>211</w:t>
                  </w:r>
                </w:p>
              </w:tc>
              <w:tc>
                <w:tcPr>
                  <w:tcW w:w="737" w:type="dxa"/>
                  <w:tcBorders>
                    <w:top w:val="nil"/>
                    <w:left w:val="nil"/>
                    <w:bottom w:val="single" w:sz="4" w:space="0" w:color="CCCCFF"/>
                    <w:right w:val="single" w:sz="4" w:space="0" w:color="CCCCFF"/>
                  </w:tcBorders>
                  <w:shd w:val="clear" w:color="auto" w:fill="FFFFFF"/>
                  <w:noWrap/>
                  <w:hideMark/>
                </w:tcPr>
                <w:p w:rsidR="007A182D" w:rsidRPr="007E4DC0" w:rsidRDefault="002410C3" w:rsidP="007A182D">
                  <w:pPr>
                    <w:jc w:val="right"/>
                    <w:rPr>
                      <w:color w:val="000000"/>
                    </w:rPr>
                  </w:pPr>
                  <w:r w:rsidRPr="007E4DC0">
                    <w:rPr>
                      <w:color w:val="000000"/>
                    </w:rPr>
                    <w:t>17,4</w:t>
                  </w:r>
                </w:p>
              </w:tc>
            </w:tr>
            <w:tr w:rsidR="00243B41" w:rsidRPr="007E4DC0">
              <w:trPr>
                <w:trHeight w:val="360"/>
              </w:trPr>
              <w:tc>
                <w:tcPr>
                  <w:tcW w:w="2263"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Spravodlivosť</w:t>
                  </w:r>
                </w:p>
              </w:tc>
              <w:tc>
                <w:tcPr>
                  <w:tcW w:w="1134"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pPr>
                  <w:r w:rsidRPr="007E4DC0">
                    <w:t>189</w:t>
                  </w:r>
                </w:p>
              </w:tc>
              <w:tc>
                <w:tcPr>
                  <w:tcW w:w="737"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15,6</w:t>
                  </w:r>
                </w:p>
              </w:tc>
            </w:tr>
            <w:tr w:rsidR="00243B41" w:rsidRPr="007E4DC0">
              <w:trPr>
                <w:trHeight w:val="360"/>
              </w:trPr>
              <w:tc>
                <w:tcPr>
                  <w:tcW w:w="2263"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Vonkajšie vzťahy</w:t>
                  </w:r>
                </w:p>
              </w:tc>
              <w:tc>
                <w:tcPr>
                  <w:tcW w:w="1134"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pPr>
                  <w:r w:rsidRPr="007E4DC0">
                    <w:t>126</w:t>
                  </w:r>
                </w:p>
              </w:tc>
              <w:tc>
                <w:tcPr>
                  <w:tcW w:w="737"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10,4</w:t>
                  </w:r>
                </w:p>
              </w:tc>
            </w:tr>
            <w:tr w:rsidR="00243B41" w:rsidRPr="007E4DC0">
              <w:trPr>
                <w:trHeight w:val="360"/>
              </w:trPr>
              <w:tc>
                <w:tcPr>
                  <w:tcW w:w="2263"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Osobné záležitosti</w:t>
                  </w:r>
                </w:p>
              </w:tc>
              <w:tc>
                <w:tcPr>
                  <w:tcW w:w="1134"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pPr>
                  <w:r w:rsidRPr="007E4DC0">
                    <w:t>126</w:t>
                  </w:r>
                </w:p>
              </w:tc>
              <w:tc>
                <w:tcPr>
                  <w:tcW w:w="737"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10,4</w:t>
                  </w:r>
                </w:p>
              </w:tc>
            </w:tr>
            <w:tr w:rsidR="00243B41" w:rsidRPr="007E4DC0">
              <w:trPr>
                <w:trHeight w:val="360"/>
              </w:trPr>
              <w:tc>
                <w:tcPr>
                  <w:tcW w:w="2263"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Zdravie</w:t>
                  </w:r>
                </w:p>
              </w:tc>
              <w:tc>
                <w:tcPr>
                  <w:tcW w:w="1134"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pPr>
                  <w:r w:rsidRPr="007E4DC0">
                    <w:t>115</w:t>
                  </w:r>
                </w:p>
              </w:tc>
              <w:tc>
                <w:tcPr>
                  <w:tcW w:w="737"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9,5</w:t>
                  </w:r>
                </w:p>
              </w:tc>
            </w:tr>
            <w:tr w:rsidR="00243B41" w:rsidRPr="007E4DC0">
              <w:trPr>
                <w:trHeight w:val="360"/>
              </w:trPr>
              <w:tc>
                <w:tcPr>
                  <w:tcW w:w="2263"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Zamestnanosť</w:t>
                  </w:r>
                </w:p>
              </w:tc>
              <w:tc>
                <w:tcPr>
                  <w:tcW w:w="1134"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pPr>
                  <w:r w:rsidRPr="007E4DC0">
                    <w:t>73</w:t>
                  </w:r>
                </w:p>
              </w:tc>
              <w:tc>
                <w:tcPr>
                  <w:tcW w:w="737"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6,0</w:t>
                  </w:r>
                </w:p>
              </w:tc>
            </w:tr>
            <w:tr w:rsidR="00243B41" w:rsidRPr="007E4DC0">
              <w:trPr>
                <w:trHeight w:val="360"/>
              </w:trPr>
              <w:tc>
                <w:tcPr>
                  <w:tcW w:w="2263"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 xml:space="preserve">Práva </w:t>
                  </w:r>
                  <w:r w:rsidRPr="007E4DC0">
                    <w:rPr>
                      <w:color w:val="000000"/>
                    </w:rPr>
                    <w:t>spotrebiteľov</w:t>
                  </w:r>
                </w:p>
              </w:tc>
              <w:tc>
                <w:tcPr>
                  <w:tcW w:w="1134"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pPr>
                  <w:r w:rsidRPr="007E4DC0">
                    <w:t>66</w:t>
                  </w:r>
                </w:p>
              </w:tc>
              <w:tc>
                <w:tcPr>
                  <w:tcW w:w="737"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5,4</w:t>
                  </w:r>
                </w:p>
              </w:tc>
            </w:tr>
            <w:tr w:rsidR="00243B41" w:rsidRPr="007E4DC0">
              <w:trPr>
                <w:trHeight w:val="360"/>
              </w:trPr>
              <w:tc>
                <w:tcPr>
                  <w:tcW w:w="2263"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Inštitúcie</w:t>
                  </w:r>
                </w:p>
              </w:tc>
              <w:tc>
                <w:tcPr>
                  <w:tcW w:w="1134"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pPr>
                  <w:r w:rsidRPr="007E4DC0">
                    <w:t>63</w:t>
                  </w:r>
                </w:p>
              </w:tc>
              <w:tc>
                <w:tcPr>
                  <w:tcW w:w="737"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5,2</w:t>
                  </w:r>
                </w:p>
              </w:tc>
            </w:tr>
            <w:tr w:rsidR="00243B41" w:rsidRPr="007E4DC0">
              <w:trPr>
                <w:trHeight w:val="360"/>
              </w:trPr>
              <w:tc>
                <w:tcPr>
                  <w:tcW w:w="2263"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Energetika</w:t>
                  </w:r>
                </w:p>
              </w:tc>
              <w:tc>
                <w:tcPr>
                  <w:tcW w:w="1134"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pPr>
                  <w:r w:rsidRPr="007E4DC0">
                    <w:t>61</w:t>
                  </w:r>
                </w:p>
              </w:tc>
              <w:tc>
                <w:tcPr>
                  <w:tcW w:w="737"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5,0</w:t>
                  </w:r>
                </w:p>
              </w:tc>
            </w:tr>
          </w:tbl>
          <w:p w:rsidR="006F4946" w:rsidRPr="007E4DC0" w:rsidRDefault="006F4946">
            <w:pPr>
              <w:widowControl/>
              <w:rPr>
                <w:sz w:val="20"/>
              </w:rPr>
            </w:pPr>
          </w:p>
        </w:tc>
        <w:tc>
          <w:tcPr>
            <w:tcW w:w="4546" w:type="dxa"/>
            <w:hideMark/>
          </w:tcPr>
          <w:tbl>
            <w:tblPr>
              <w:tblW w:w="4139" w:type="dxa"/>
              <w:tblLook w:val="04A0" w:firstRow="1" w:lastRow="0" w:firstColumn="1" w:lastColumn="0" w:noHBand="0" w:noVBand="1"/>
            </w:tblPr>
            <w:tblGrid>
              <w:gridCol w:w="2268"/>
              <w:gridCol w:w="1134"/>
              <w:gridCol w:w="737"/>
            </w:tblGrid>
            <w:tr w:rsidR="00243B41" w:rsidRPr="007E4DC0">
              <w:trPr>
                <w:trHeight w:val="360"/>
              </w:trPr>
              <w:tc>
                <w:tcPr>
                  <w:tcW w:w="2268" w:type="dxa"/>
                  <w:tcBorders>
                    <w:top w:val="single" w:sz="4" w:space="0" w:color="CCCCFF"/>
                    <w:left w:val="single" w:sz="4" w:space="0" w:color="CCCCFF"/>
                    <w:bottom w:val="single" w:sz="4" w:space="0" w:color="CCCCFF"/>
                    <w:right w:val="single" w:sz="4" w:space="0" w:color="CCCCFF"/>
                  </w:tcBorders>
                  <w:shd w:val="clear" w:color="auto" w:fill="666699"/>
                  <w:noWrap/>
                  <w:vAlign w:val="center"/>
                  <w:hideMark/>
                </w:tcPr>
                <w:p w:rsidR="006F4946" w:rsidRPr="007E4DC0" w:rsidRDefault="002410C3">
                  <w:pPr>
                    <w:jc w:val="center"/>
                    <w:rPr>
                      <w:b/>
                      <w:bCs/>
                      <w:color w:val="FFFFFF"/>
                      <w:szCs w:val="24"/>
                    </w:rPr>
                  </w:pPr>
                  <w:r w:rsidRPr="007E4DC0">
                    <w:rPr>
                      <w:b/>
                      <w:color w:val="FFFFFF"/>
                    </w:rPr>
                    <w:t>Desať najčastejších tém petícií</w:t>
                  </w:r>
                </w:p>
              </w:tc>
              <w:tc>
                <w:tcPr>
                  <w:tcW w:w="1134" w:type="dxa"/>
                  <w:tcBorders>
                    <w:top w:val="single" w:sz="4" w:space="0" w:color="CCCCFF"/>
                    <w:left w:val="nil"/>
                    <w:bottom w:val="single" w:sz="4" w:space="0" w:color="CCCCFF"/>
                    <w:right w:val="single" w:sz="4" w:space="0" w:color="CCCCFF"/>
                  </w:tcBorders>
                  <w:shd w:val="clear" w:color="auto" w:fill="666699"/>
                  <w:noWrap/>
                  <w:vAlign w:val="center"/>
                  <w:hideMark/>
                </w:tcPr>
                <w:p w:rsidR="006F4946" w:rsidRPr="007E4DC0" w:rsidRDefault="002410C3">
                  <w:pPr>
                    <w:jc w:val="center"/>
                    <w:rPr>
                      <w:b/>
                      <w:bCs/>
                      <w:color w:val="FFFFFF"/>
                    </w:rPr>
                  </w:pPr>
                  <w:r w:rsidRPr="007E4DC0">
                    <w:rPr>
                      <w:b/>
                      <w:color w:val="FFFFFF"/>
                    </w:rPr>
                    <w:t>Počet petícií</w:t>
                  </w:r>
                </w:p>
              </w:tc>
              <w:tc>
                <w:tcPr>
                  <w:tcW w:w="737" w:type="dxa"/>
                  <w:tcBorders>
                    <w:top w:val="single" w:sz="4" w:space="0" w:color="CCCCFF"/>
                    <w:left w:val="nil"/>
                    <w:bottom w:val="single" w:sz="4" w:space="0" w:color="CCCCFF"/>
                    <w:right w:val="single" w:sz="4" w:space="0" w:color="CCCCFF"/>
                  </w:tcBorders>
                  <w:shd w:val="clear" w:color="auto" w:fill="666699"/>
                  <w:noWrap/>
                  <w:vAlign w:val="center"/>
                  <w:hideMark/>
                </w:tcPr>
                <w:p w:rsidR="006F4946" w:rsidRPr="007E4DC0" w:rsidRDefault="002410C3">
                  <w:pPr>
                    <w:jc w:val="center"/>
                    <w:rPr>
                      <w:b/>
                      <w:bCs/>
                      <w:color w:val="FFFFFF"/>
                    </w:rPr>
                  </w:pPr>
                  <w:r w:rsidRPr="007E4DC0">
                    <w:rPr>
                      <w:b/>
                      <w:color w:val="FFFFFF"/>
                    </w:rPr>
                    <w:t>%</w:t>
                  </w:r>
                </w:p>
              </w:tc>
            </w:tr>
            <w:tr w:rsidR="00243B41" w:rsidRPr="007E4DC0">
              <w:trPr>
                <w:trHeight w:val="360"/>
              </w:trPr>
              <w:tc>
                <w:tcPr>
                  <w:tcW w:w="2268"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 xml:space="preserve">Základné práva </w:t>
                  </w:r>
                </w:p>
              </w:tc>
              <w:tc>
                <w:tcPr>
                  <w:tcW w:w="1134" w:type="dxa"/>
                  <w:tcBorders>
                    <w:top w:val="nil"/>
                    <w:left w:val="nil"/>
                    <w:bottom w:val="single" w:sz="4" w:space="0" w:color="CCCCFF"/>
                    <w:right w:val="single" w:sz="4" w:space="0" w:color="CCCCFF"/>
                  </w:tcBorders>
                  <w:shd w:val="clear" w:color="auto" w:fill="FFFFFF"/>
                  <w:noWrap/>
                  <w:hideMark/>
                </w:tcPr>
                <w:p w:rsidR="007A182D" w:rsidRPr="007E4DC0" w:rsidRDefault="002410C3" w:rsidP="007A182D">
                  <w:pPr>
                    <w:jc w:val="right"/>
                    <w:rPr>
                      <w:color w:val="000000"/>
                    </w:rPr>
                  </w:pPr>
                  <w:r w:rsidRPr="007E4DC0">
                    <w:t>329</w:t>
                  </w:r>
                </w:p>
              </w:tc>
              <w:tc>
                <w:tcPr>
                  <w:tcW w:w="737" w:type="dxa"/>
                  <w:tcBorders>
                    <w:top w:val="nil"/>
                    <w:left w:val="nil"/>
                    <w:bottom w:val="single" w:sz="4" w:space="0" w:color="CCCCFF"/>
                    <w:right w:val="single" w:sz="4" w:space="0" w:color="CCCCFF"/>
                  </w:tcBorders>
                  <w:shd w:val="clear" w:color="auto" w:fill="FFFFFF"/>
                  <w:noWrap/>
                  <w:hideMark/>
                </w:tcPr>
                <w:p w:rsidR="007A182D" w:rsidRPr="007E4DC0" w:rsidRDefault="002410C3" w:rsidP="007A182D">
                  <w:pPr>
                    <w:jc w:val="right"/>
                    <w:rPr>
                      <w:color w:val="000000"/>
                    </w:rPr>
                  </w:pPr>
                  <w:r w:rsidRPr="007E4DC0">
                    <w:t>23,6</w:t>
                  </w:r>
                </w:p>
              </w:tc>
            </w:tr>
            <w:tr w:rsidR="00243B41" w:rsidRPr="007E4DC0" w:rsidTr="00132F25">
              <w:trPr>
                <w:trHeight w:val="360"/>
              </w:trPr>
              <w:tc>
                <w:tcPr>
                  <w:tcW w:w="2268"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 xml:space="preserve">Životné prostredie </w:t>
                  </w:r>
                </w:p>
              </w:tc>
              <w:tc>
                <w:tcPr>
                  <w:tcW w:w="1134"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 xml:space="preserve">327 </w:t>
                  </w:r>
                </w:p>
              </w:tc>
              <w:tc>
                <w:tcPr>
                  <w:tcW w:w="737"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23,5</w:t>
                  </w:r>
                </w:p>
              </w:tc>
            </w:tr>
            <w:tr w:rsidR="00243B41" w:rsidRPr="007E4DC0">
              <w:trPr>
                <w:trHeight w:val="360"/>
              </w:trPr>
              <w:tc>
                <w:tcPr>
                  <w:tcW w:w="2268"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Zdravie</w:t>
                  </w:r>
                </w:p>
              </w:tc>
              <w:tc>
                <w:tcPr>
                  <w:tcW w:w="1134"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 xml:space="preserve">313 </w:t>
                  </w:r>
                </w:p>
              </w:tc>
              <w:tc>
                <w:tcPr>
                  <w:tcW w:w="737"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22,5</w:t>
                  </w:r>
                </w:p>
              </w:tc>
            </w:tr>
            <w:tr w:rsidR="00243B41" w:rsidRPr="007E4DC0">
              <w:trPr>
                <w:trHeight w:val="360"/>
              </w:trPr>
              <w:tc>
                <w:tcPr>
                  <w:tcW w:w="2268"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Spravodlivosť</w:t>
                  </w:r>
                </w:p>
              </w:tc>
              <w:tc>
                <w:tcPr>
                  <w:tcW w:w="1134"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172</w:t>
                  </w:r>
                </w:p>
              </w:tc>
              <w:tc>
                <w:tcPr>
                  <w:tcW w:w="737"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12,3</w:t>
                  </w:r>
                </w:p>
              </w:tc>
            </w:tr>
            <w:tr w:rsidR="00243B41" w:rsidRPr="007E4DC0">
              <w:trPr>
                <w:trHeight w:val="360"/>
              </w:trPr>
              <w:tc>
                <w:tcPr>
                  <w:tcW w:w="2268"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Zamestnanosť</w:t>
                  </w:r>
                </w:p>
              </w:tc>
              <w:tc>
                <w:tcPr>
                  <w:tcW w:w="1134"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94</w:t>
                  </w:r>
                </w:p>
              </w:tc>
              <w:tc>
                <w:tcPr>
                  <w:tcW w:w="737"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6,7</w:t>
                  </w:r>
                </w:p>
              </w:tc>
            </w:tr>
            <w:tr w:rsidR="00243B41" w:rsidRPr="007E4DC0">
              <w:trPr>
                <w:trHeight w:val="360"/>
              </w:trPr>
              <w:tc>
                <w:tcPr>
                  <w:tcW w:w="2268"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Práva spotrebiteľov</w:t>
                  </w:r>
                </w:p>
              </w:tc>
              <w:tc>
                <w:tcPr>
                  <w:tcW w:w="1134"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86</w:t>
                  </w:r>
                </w:p>
              </w:tc>
              <w:tc>
                <w:tcPr>
                  <w:tcW w:w="737"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6,1</w:t>
                  </w:r>
                </w:p>
              </w:tc>
            </w:tr>
            <w:tr w:rsidR="00243B41" w:rsidRPr="007E4DC0">
              <w:trPr>
                <w:trHeight w:val="360"/>
              </w:trPr>
              <w:tc>
                <w:tcPr>
                  <w:tcW w:w="2268"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 xml:space="preserve">Vnútorný trh </w:t>
                  </w:r>
                </w:p>
              </w:tc>
              <w:tc>
                <w:tcPr>
                  <w:tcW w:w="1134"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 xml:space="preserve">73 </w:t>
                  </w:r>
                </w:p>
              </w:tc>
              <w:tc>
                <w:tcPr>
                  <w:tcW w:w="737"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5,2</w:t>
                  </w:r>
                </w:p>
              </w:tc>
            </w:tr>
            <w:tr w:rsidR="00243B41" w:rsidRPr="007E4DC0">
              <w:trPr>
                <w:trHeight w:val="360"/>
              </w:trPr>
              <w:tc>
                <w:tcPr>
                  <w:tcW w:w="2268"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Doprava</w:t>
                  </w:r>
                </w:p>
              </w:tc>
              <w:tc>
                <w:tcPr>
                  <w:tcW w:w="1134"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71</w:t>
                  </w:r>
                </w:p>
              </w:tc>
              <w:tc>
                <w:tcPr>
                  <w:tcW w:w="737"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5,1</w:t>
                  </w:r>
                </w:p>
              </w:tc>
            </w:tr>
            <w:tr w:rsidR="00243B41" w:rsidRPr="007E4DC0">
              <w:trPr>
                <w:trHeight w:val="360"/>
              </w:trPr>
              <w:tc>
                <w:tcPr>
                  <w:tcW w:w="2268"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Vonkajšie vzťahy</w:t>
                  </w:r>
                </w:p>
              </w:tc>
              <w:tc>
                <w:tcPr>
                  <w:tcW w:w="1134"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61</w:t>
                  </w:r>
                </w:p>
              </w:tc>
              <w:tc>
                <w:tcPr>
                  <w:tcW w:w="737"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4,4</w:t>
                  </w:r>
                </w:p>
              </w:tc>
            </w:tr>
            <w:tr w:rsidR="00243B41" w:rsidRPr="007E4DC0">
              <w:trPr>
                <w:trHeight w:val="360"/>
              </w:trPr>
              <w:tc>
                <w:tcPr>
                  <w:tcW w:w="2268" w:type="dxa"/>
                  <w:tcBorders>
                    <w:top w:val="nil"/>
                    <w:left w:val="single" w:sz="4" w:space="0" w:color="CCCCFF"/>
                    <w:bottom w:val="single" w:sz="4" w:space="0" w:color="CCCCFF"/>
                    <w:right w:val="single" w:sz="4" w:space="0" w:color="CCCCFF"/>
                  </w:tcBorders>
                  <w:shd w:val="clear" w:color="auto" w:fill="FFFFFF"/>
                  <w:noWrap/>
                  <w:vAlign w:val="center"/>
                  <w:hideMark/>
                </w:tcPr>
                <w:p w:rsidR="007A182D" w:rsidRPr="007E4DC0" w:rsidRDefault="002410C3" w:rsidP="007A182D">
                  <w:pPr>
                    <w:rPr>
                      <w:color w:val="000000"/>
                    </w:rPr>
                  </w:pPr>
                  <w:r w:rsidRPr="007E4DC0">
                    <w:rPr>
                      <w:color w:val="000000"/>
                    </w:rPr>
                    <w:t>Vzdelávanie</w:t>
                  </w:r>
                </w:p>
              </w:tc>
              <w:tc>
                <w:tcPr>
                  <w:tcW w:w="1134"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54</w:t>
                  </w:r>
                </w:p>
              </w:tc>
              <w:tc>
                <w:tcPr>
                  <w:tcW w:w="737" w:type="dxa"/>
                  <w:tcBorders>
                    <w:top w:val="nil"/>
                    <w:left w:val="nil"/>
                    <w:bottom w:val="single" w:sz="4" w:space="0" w:color="CCCCFF"/>
                    <w:right w:val="single" w:sz="4" w:space="0" w:color="CCCCFF"/>
                  </w:tcBorders>
                  <w:shd w:val="clear" w:color="auto" w:fill="FFFFFF"/>
                  <w:noWrap/>
                  <w:vAlign w:val="center"/>
                  <w:hideMark/>
                </w:tcPr>
                <w:p w:rsidR="007A182D" w:rsidRPr="007E4DC0" w:rsidRDefault="002410C3" w:rsidP="007A182D">
                  <w:pPr>
                    <w:jc w:val="right"/>
                    <w:rPr>
                      <w:color w:val="000000"/>
                    </w:rPr>
                  </w:pPr>
                  <w:r w:rsidRPr="007E4DC0">
                    <w:rPr>
                      <w:color w:val="000000"/>
                    </w:rPr>
                    <w:t>3,9</w:t>
                  </w:r>
                </w:p>
              </w:tc>
            </w:tr>
          </w:tbl>
          <w:p w:rsidR="006F4946" w:rsidRPr="007E4DC0" w:rsidRDefault="006F4946">
            <w:pPr>
              <w:widowControl/>
              <w:rPr>
                <w:sz w:val="20"/>
              </w:rPr>
            </w:pPr>
          </w:p>
        </w:tc>
      </w:tr>
    </w:tbl>
    <w:p w:rsidR="006F4946" w:rsidRPr="007E4DC0" w:rsidRDefault="006F4946" w:rsidP="006F4946">
      <w:pPr>
        <w:spacing w:after="160" w:line="252" w:lineRule="auto"/>
        <w:rPr>
          <w:b/>
          <w:szCs w:val="24"/>
          <w:lang w:eastAsia="en-US"/>
        </w:rPr>
      </w:pPr>
    </w:p>
    <w:p w:rsidR="006F4946" w:rsidRPr="007E4DC0" w:rsidRDefault="002410C3" w:rsidP="006F4946">
      <w:pPr>
        <w:spacing w:after="160" w:line="252" w:lineRule="auto"/>
        <w:rPr>
          <w:b/>
        </w:rPr>
      </w:pPr>
      <w:r w:rsidRPr="007E4DC0">
        <w:rPr>
          <w:b/>
        </w:rPr>
        <w:t>Webový portál pre petície</w:t>
      </w:r>
    </w:p>
    <w:p w:rsidR="006F4946" w:rsidRPr="007E4DC0" w:rsidRDefault="002410C3" w:rsidP="006F4946">
      <w:pPr>
        <w:spacing w:after="160" w:line="252" w:lineRule="auto"/>
        <w:jc w:val="both"/>
      </w:pPr>
      <w:r w:rsidRPr="007E4DC0">
        <w:t xml:space="preserve">V roku 2022 sa webový portál pre petície, ktorý bol spustený koncom roka 2014, ešte vylepšil, aby bol pre predkladateľov petícií </w:t>
      </w:r>
      <w:r w:rsidRPr="007E4DC0">
        <w:t>používateľsky ústretovejší, bezpečnejší a prístupnejší.</w:t>
      </w:r>
    </w:p>
    <w:p w:rsidR="006F4946" w:rsidRPr="007E4DC0" w:rsidRDefault="002410C3" w:rsidP="006F4946">
      <w:pPr>
        <w:spacing w:after="160" w:line="252" w:lineRule="auto"/>
        <w:jc w:val="both"/>
      </w:pPr>
      <w:r w:rsidRPr="007E4DC0">
        <w:t>Hlavným cieľom portálu pre petície „2.0“</w:t>
      </w:r>
      <w:r w:rsidRPr="007E4DC0">
        <w:rPr>
          <w:rStyle w:val="FootnoteReference"/>
        </w:rPr>
        <w:footnoteReference w:id="14"/>
      </w:r>
      <w:r w:rsidRPr="007E4DC0">
        <w:t xml:space="preserve"> je umožniť občanom, predkladateľom petícií a </w:t>
      </w:r>
      <w:r w:rsidRPr="007E4DC0">
        <w:lastRenderedPageBreak/>
        <w:t xml:space="preserve">podporovateľom, aby upriamili svoju pozornosť na spracovanie petícií a ich výsledky. Technická práca sa zamerala </w:t>
      </w:r>
      <w:r w:rsidRPr="007E4DC0">
        <w:t>na zlúčenie starého portálu s nástrojom EP pre publikovanie na webe, ktorý umožní včasnejšiu a účinnejšiu aktualizáciu obsahu rôznych stránok. Vyvinuli sa aj nové a intuitívnejšie menu a päty stránok a takisto sa vytvorili veľmi komplexné a prístupné „prír</w:t>
      </w:r>
      <w:r w:rsidRPr="007E4DC0">
        <w:t>učky pre rýchly štart“ vo všetkých 24 európskych jazykoch. Pracovalo sa aj na novom vyhľadávači, ktorý má používateľom pomôcť nájsť petíciu v databáze ešte rýchlejšie, a na novej a čistejšej podobe stránky. Tím PETIPortal prišiel s myšlienkou tzv. aktuálny</w:t>
      </w:r>
      <w:r w:rsidRPr="007E4DC0">
        <w:t>ch/ťažiskových položiek, ktoré zvýraznia niektoré súčasné petície a vytvoria tematické prepojenia.</w:t>
      </w:r>
    </w:p>
    <w:p w:rsidR="006F4946" w:rsidRPr="007E4DC0" w:rsidRDefault="002410C3" w:rsidP="006F4946">
      <w:pPr>
        <w:spacing w:after="160" w:line="252" w:lineRule="auto"/>
        <w:jc w:val="both"/>
      </w:pPr>
      <w:r w:rsidRPr="007E4DC0">
        <w:t xml:space="preserve">Sekretariát výboru PETI spolupracoval aj s GR ITEC a oddelením pre archív na procese archivácie údajov pre uzavreté petície staršie ako 10 rokov. Okrem toho </w:t>
      </w:r>
      <w:r w:rsidRPr="007E4DC0">
        <w:t>tím PETIPortal zabezpečil, aby boli všetky petície zverejnené do niekoľkých dní od ich prijatia. Navyše otázky predkladateľov petícií doručené prostredníctvom chatbotu PETIportal alebo priamo asistenčnej službe PETIportal Smart Helpdesk boli zodpovedané vč</w:t>
      </w:r>
      <w:r w:rsidRPr="007E4DC0">
        <w:t>as a úspešne vo všetkých jazykoch bez akýchkoľvek formálnych sťažností.</w:t>
      </w:r>
    </w:p>
    <w:p w:rsidR="006F4946" w:rsidRPr="007E4DC0" w:rsidRDefault="006F4946" w:rsidP="006F4946">
      <w:pPr>
        <w:spacing w:after="160" w:line="252" w:lineRule="auto"/>
      </w:pPr>
    </w:p>
    <w:p w:rsidR="006F4946" w:rsidRPr="007E4DC0" w:rsidRDefault="002410C3" w:rsidP="006F4946">
      <w:pPr>
        <w:spacing w:after="160" w:line="252" w:lineRule="auto"/>
        <w:rPr>
          <w:b/>
        </w:rPr>
      </w:pPr>
      <w:r w:rsidRPr="007E4DC0">
        <w:rPr>
          <w:b/>
        </w:rPr>
        <w:t>Vzťahy s Komisiou</w:t>
      </w:r>
    </w:p>
    <w:p w:rsidR="006F4946" w:rsidRPr="007E4DC0" w:rsidRDefault="002410C3" w:rsidP="006F4946">
      <w:pPr>
        <w:spacing w:after="160" w:line="252" w:lineRule="auto"/>
        <w:jc w:val="both"/>
      </w:pPr>
      <w:r w:rsidRPr="007E4DC0">
        <w:t xml:space="preserve">Komisia je pri spracúvaní petícií stále prirodzeným partnerom Výboru pre petície, keďže ide o inštitúciu EÚ zodpovednú za zabezpečovanie vykonávania a dodržiavania </w:t>
      </w:r>
      <w:r w:rsidRPr="007E4DC0">
        <w:t>práva Únie. Výbor a Komisia navzájom dobre a nepretržite spolupracujú. Hlavným kontaktným miestom v Komisii je generálny sekretariát, ktorý koordinuje prideľovanie petícií príslušným útvarom Komisie a zasiela odpovede Komisie sekretariátu výboru. Útvary Ko</w:t>
      </w:r>
      <w:r w:rsidRPr="007E4DC0">
        <w:t xml:space="preserve">misie sa zúčastňujú na schôdzach Výboru pre petície, keď sa o petíciách rokuje vo výbore na základe písomnej odpovede Komisie alebo iných prijatých dokumentov. Hoci Komisia zintenzívnila svoje úsilie o poskytovanie včasných odpovedí na žiadosti Výboru pre </w:t>
      </w:r>
      <w:r w:rsidRPr="007E4DC0">
        <w:t xml:space="preserve">petície o informácie, výbor sa domnieva, že Komisia by sa mala aktívnejšie zapájať do práce Výboru pre petície, aby sa zabezpečilo, že predkladatelia petícií dostanú presnú odpoveď na svoje žiadosti a sťažnosti týkajúce sa vykonávania práva EÚ. </w:t>
      </w:r>
    </w:p>
    <w:p w:rsidR="006F4946" w:rsidRPr="007E4DC0" w:rsidRDefault="002410C3" w:rsidP="006F4946">
      <w:pPr>
        <w:spacing w:after="160" w:line="252" w:lineRule="auto"/>
        <w:jc w:val="both"/>
      </w:pPr>
      <w:r w:rsidRPr="007E4DC0">
        <w:t>Výbor okre</w:t>
      </w:r>
      <w:r w:rsidRPr="007E4DC0">
        <w:t>m toho zopakoval svoju žiadosť o pravidelné poskytovanie aktuálnych informácií o priebehu konaní o nesplnení povinnosti a o transparentnosť a prístup k dokumentom týkajúcich sa postupov v prípade nesplnenia povinnosti a konaní v rámci projektu EU Pilot, kt</w:t>
      </w:r>
      <w:r w:rsidRPr="007E4DC0">
        <w:t>oré sa týkajú otvorených petícií. Napokon výbor zostáva naďalej kritický, pokiaľ ide o novú politiku presadzovania práva, ktorú Komisia vytvorila na základe oznámenia z roku 2016 s názvom Právo EÚ: Lepšie výsledky pomocou lepšieho uplatňovania práva (C(201</w:t>
      </w:r>
      <w:r w:rsidRPr="007E4DC0">
        <w:t>6)8600), ktorého cieľom je nasmerovať občanov na vnútroštátnu úroveň, keď sťažnosti alebo petície nevyvolávajú otázky v súvislosti so širším dodržiavaním zásady alebo so sústavným nedodržiavaním práva EÚ. V tejto súvislosti sa výbor domnieva, že Komisia by</w:t>
      </w:r>
      <w:r w:rsidRPr="007E4DC0">
        <w:t xml:space="preserve"> mala skontrolovať, či vnútroštátne orgány podnikajú kroky potrebné na reagovanie na obavy občanov vyjadrené v ich petíciách. </w:t>
      </w:r>
    </w:p>
    <w:p w:rsidR="006F4946" w:rsidRPr="007E4DC0" w:rsidRDefault="002410C3" w:rsidP="006F4946">
      <w:pPr>
        <w:spacing w:after="160" w:line="252" w:lineRule="auto"/>
        <w:jc w:val="both"/>
      </w:pPr>
      <w:r w:rsidRPr="007E4DC0">
        <w:t xml:space="preserve">Výbor pre petície v rámci ročného cyklu štruktúrovaného dialógu privítal účasť podpredsedu Maroša Šefčoviča na svojej schôdzi 3. </w:t>
      </w:r>
      <w:r w:rsidRPr="007E4DC0">
        <w:t xml:space="preserve">decembra 2021 na diaľku. </w:t>
      </w:r>
    </w:p>
    <w:p w:rsidR="006F4946" w:rsidRPr="007E4DC0" w:rsidRDefault="002410C3" w:rsidP="006F4946">
      <w:pPr>
        <w:spacing w:after="160" w:line="252" w:lineRule="auto"/>
        <w:jc w:val="both"/>
      </w:pPr>
      <w:r w:rsidRPr="007E4DC0">
        <w:t>Za zmienku stojí aj účasť Komisie na podujatiach Výboru pre petície počas celého roka, najmä na vystúpení európskej komisárky pre rovnosť Heleny Dalliovej počas verejného vypočutia, ktoré zorganizoval Výbor pre petície v spoluprác</w:t>
      </w:r>
      <w:r w:rsidRPr="007E4DC0">
        <w:t xml:space="preserve">i s Výborom pre občianske slobody, </w:t>
      </w:r>
      <w:r w:rsidRPr="007E4DC0">
        <w:lastRenderedPageBreak/>
        <w:t>spravodlivosť a vnútorné veci a Výborom pre právne veci na tému Diskriminácia na základe sexuálnej orientácie na schôdzi 1. decembra 2022. Zástupcovia Komisie sa v roku 2022 zúčastnili aj na viacerých vypočutiach výboru P</w:t>
      </w:r>
      <w:r w:rsidRPr="007E4DC0">
        <w:t>ETI: verejné vypočutie na tému Výzvy pre duševné zdravie novej generácie v celej EÚ, ktoré sa konalo 25. októbra (GR SANTE), vypočutie na tému Kultúrna a jazyková rozmanitosť v EÚ, ktoré sa konalo 20. apríla (GR EAC), a verejné vypočutie na tému Európsky p</w:t>
      </w:r>
      <w:r w:rsidRPr="007E4DC0">
        <w:t>rokurátor zodpovedný za životné prostredie – spoločný súbor nástrojov na boj proti environmentálnej trestnej činnosti, ktoré sa konalo 15. marca (GR JUST). No a napokon na výročnom seminári o právach osôb so zdravotným postihnutím, ktorý sa konal 30. novem</w:t>
      </w:r>
      <w:r w:rsidRPr="007E4DC0">
        <w:t>bra 2022 a bol zameraný na posudzovanie zdravotného postihnutia, vzájomné uznávanie a preukaz EÚ pre osoby so zdravotným postihnutím, vystúpila európska komisárka pre rovnosť Helena DALLI. Prezentácia štúdie s názvom Monitorovanie dusíka vo vode v EÚ – prá</w:t>
      </w:r>
      <w:r w:rsidRPr="007E4DC0">
        <w:t xml:space="preserve">vny rámec, účinky dusičnanov, zásady dizajnu, účinnosť a budúci vývoj, GR ENV. </w:t>
      </w:r>
    </w:p>
    <w:p w:rsidR="006F4946" w:rsidRPr="007E4DC0" w:rsidRDefault="002410C3" w:rsidP="006F4946">
      <w:pPr>
        <w:spacing w:after="160" w:line="252" w:lineRule="auto"/>
        <w:rPr>
          <w:b/>
        </w:rPr>
      </w:pPr>
      <w:r w:rsidRPr="007E4DC0">
        <w:rPr>
          <w:b/>
        </w:rPr>
        <w:t>Európska iniciatíva občanov</w:t>
      </w:r>
    </w:p>
    <w:p w:rsidR="006F4946" w:rsidRPr="007E4DC0" w:rsidRDefault="002410C3" w:rsidP="006F4946">
      <w:pPr>
        <w:jc w:val="both"/>
        <w:rPr>
          <w:snapToGrid w:val="0"/>
        </w:rPr>
      </w:pPr>
      <w:r w:rsidRPr="007E4DC0">
        <w:rPr>
          <w:snapToGrid w:val="0"/>
        </w:rPr>
        <w:t>Európska iniciatíva občanov je mechanizmus Európskej únie (EÚ) zameraný na posilnenie priamej demokracie tým, že umožňuje „občanom EÚ priamo sa podi</w:t>
      </w:r>
      <w:r w:rsidRPr="007E4DC0">
        <w:rPr>
          <w:snapToGrid w:val="0"/>
        </w:rPr>
        <w:t>eľať na tvorbe politík EÚ“. Táto iniciatíva umožňuje miliónu občanov Európskej únie, ktorí sú štátnymi príslušníkmi najmenej siedmich členských štátov, priamo vyzvať Európsku komisiu, aby navrhla právny akt v oblasti, v ktorej členské štáty preniesli právo</w:t>
      </w:r>
      <w:r w:rsidRPr="007E4DC0">
        <w:rPr>
          <w:snapToGrid w:val="0"/>
        </w:rPr>
        <w:t>moci na úroveň EÚ. Ak na konci postupu dosiahne európska iniciatíva občanov prahovú hodnotu, organizátori sú pozvaní na vypočutie, ktoré organizuje Výbor pre petície, aby predstavili svoju iniciatívu, a po ňom môže Parlament rozhodnúť o ďalšej diskusii a p</w:t>
      </w:r>
      <w:r w:rsidRPr="007E4DC0">
        <w:rPr>
          <w:snapToGrid w:val="0"/>
        </w:rPr>
        <w:t>rijať o danej téme uznesenie na plenárnej schôdzi.</w:t>
      </w:r>
    </w:p>
    <w:p w:rsidR="006F4946" w:rsidRPr="007E4DC0" w:rsidRDefault="006F4946" w:rsidP="006F4946">
      <w:pPr>
        <w:jc w:val="both"/>
        <w:rPr>
          <w:snapToGrid w:val="0"/>
        </w:rPr>
      </w:pPr>
    </w:p>
    <w:p w:rsidR="006F4946" w:rsidRPr="007E4DC0" w:rsidRDefault="002410C3" w:rsidP="006F4946">
      <w:pPr>
        <w:jc w:val="both"/>
        <w:rPr>
          <w:snapToGrid w:val="0"/>
        </w:rPr>
      </w:pPr>
      <w:r w:rsidRPr="007E4DC0">
        <w:rPr>
          <w:snapToGrid w:val="0"/>
        </w:rPr>
        <w:t>Článok 230 rokovacieho poriadku Európskeho parlamentu umožňuje Výboru pre petície preskúmať navrhované iniciatívy občanov, ktoré boli zaregistrované v súlade s článkom 4 nariadenia (EÚ) č. 211/2011, ale k</w:t>
      </w:r>
      <w:r w:rsidRPr="007E4DC0">
        <w:rPr>
          <w:snapToGrid w:val="0"/>
        </w:rPr>
        <w:t>toré nemožno predložiť Komisii v súlade s článkom 9 uvedeného nariadenia, keďže neboli dodržané všetky stanovené príslušné postupy a podmienky, ak sa výbor domnieva, že je vhodné prijať následné opatrenia. Na tomto základe sa vo výbore 8. septembra 2022 us</w:t>
      </w:r>
      <w:r w:rsidRPr="007E4DC0">
        <w:rPr>
          <w:snapToGrid w:val="0"/>
        </w:rPr>
        <w:t>kutočnila diskusia o európskej iniciatíve občanov „Voliči bez hraníc“ za účasti organizátorov a zástupcu Komisie a členov výboru. Iniciatíva „Voliči bez hraníc“ sa zaoberala požiadavkou na posilnenie európskeho občianstva. Hlavnými cieľmi zástupcov európsk</w:t>
      </w:r>
      <w:r w:rsidRPr="007E4DC0">
        <w:rPr>
          <w:snapToGrid w:val="0"/>
        </w:rPr>
        <w:t>ej iniciatívy občanov bolo odstrániť prekážky registrácie občanov EÚ, aby mohli voliť a byť volení v európskych a miestnych voľbách, ako aj opätovne potvrdiť všeobecné volebné právo ako základné právo občanov EÚ, ktorí by podľa organizátorov mali mať právo</w:t>
      </w:r>
      <w:r w:rsidRPr="007E4DC0">
        <w:rPr>
          <w:snapToGrid w:val="0"/>
        </w:rPr>
        <w:t xml:space="preserve"> rozhodnúť sa, či budú voliť vo svojej krajine pobytu alebo pôvodu vo všetkých voľbách a referendách. Hoci sa európska iniciatíva občanov skončila bez toho, aby sa dosiahla prahová hodnota 1 milióna podpisov, Výbor pre petície by ju mohol priblížiť a rozho</w:t>
      </w:r>
      <w:r w:rsidRPr="007E4DC0">
        <w:rPr>
          <w:snapToGrid w:val="0"/>
        </w:rPr>
        <w:t>dnúť o zaslaní iniciatívy Výboru pre ústavné veci pre informáciu a požiadať Európsku komisiu a Radu o aktuálne informácie o tejto téme.</w:t>
      </w:r>
      <w:r w:rsidRPr="007E4DC0">
        <w:t xml:space="preserve"> </w:t>
      </w:r>
    </w:p>
    <w:p w:rsidR="006F4946" w:rsidRPr="007E4DC0" w:rsidRDefault="006F4946" w:rsidP="006F4946">
      <w:pPr>
        <w:rPr>
          <w:snapToGrid w:val="0"/>
        </w:rPr>
      </w:pPr>
    </w:p>
    <w:p w:rsidR="006F4946" w:rsidRPr="007E4DC0" w:rsidRDefault="002410C3" w:rsidP="006F4946">
      <w:pPr>
        <w:spacing w:after="160" w:line="252" w:lineRule="auto"/>
        <w:rPr>
          <w:b/>
        </w:rPr>
      </w:pPr>
      <w:r w:rsidRPr="007E4DC0">
        <w:rPr>
          <w:b/>
        </w:rPr>
        <w:t xml:space="preserve">Vzťahy s Radou </w:t>
      </w:r>
    </w:p>
    <w:p w:rsidR="006F4946" w:rsidRPr="007E4DC0" w:rsidRDefault="002410C3" w:rsidP="006F4946">
      <w:pPr>
        <w:spacing w:after="160" w:line="252" w:lineRule="auto"/>
        <w:jc w:val="both"/>
      </w:pPr>
      <w:r w:rsidRPr="007E4DC0">
        <w:t>Členovia sekretariátu Rady sa môžu zúčastňovať na schôdzach Výboru pre petície. Žiaľ, v roku 2022 výbo</w:t>
      </w:r>
      <w:r w:rsidRPr="007E4DC0">
        <w:t>r nezaznamenal účasť Rady na rozpravách. V tejto súvislosti sa výbor domnieva, že na odblokovanie petícií, ktoré si vyžadujú promptné odpovede a reakcie vnútroštátnych orgánov, by bola potrebná aktívnejšia spolupráca s členskými štátmi. Výbor však berie na</w:t>
      </w:r>
      <w:r w:rsidRPr="007E4DC0">
        <w:t xml:space="preserve"> vedomie účasť niektorých miestnych alebo regionálnych samospráv na diskusii o petíciách na schôdzach výboru, ktoré sa v roku 2022 týkali najmä tém súvisiacich so Španielskom. Výbor </w:t>
      </w:r>
      <w:r w:rsidRPr="007E4DC0">
        <w:lastRenderedPageBreak/>
        <w:t>tiež oceňuje úsilie niektorých vnútroštátnych orgánov zúčastňovať sa na po</w:t>
      </w:r>
      <w:r w:rsidRPr="007E4DC0">
        <w:t>dujatiach organizovaných Výborom pre petície. V tejto súvislosti treba pripomenúť účasť Martiny Štepánkovej, námestníčky ministra pre fondy EÚ a záležitosti EÚ na ministerstve práce a sociálnych vecí, v rámci českého predsedníctva Rady EÚ na výročnom semin</w:t>
      </w:r>
      <w:r w:rsidRPr="007E4DC0">
        <w:t>ári o právach osôb so zdravotným postihnutím na schôdzi výboru 30. novembra 2022.</w:t>
      </w:r>
    </w:p>
    <w:p w:rsidR="006F4946" w:rsidRPr="007E4DC0" w:rsidRDefault="002410C3" w:rsidP="006F4946">
      <w:pPr>
        <w:spacing w:after="160" w:line="252" w:lineRule="auto"/>
        <w:rPr>
          <w:b/>
        </w:rPr>
      </w:pPr>
      <w:r w:rsidRPr="007E4DC0">
        <w:rPr>
          <w:b/>
        </w:rPr>
        <w:t>Vzťahy s európskym ombudsmanom</w:t>
      </w:r>
    </w:p>
    <w:p w:rsidR="006F4946" w:rsidRPr="007E4DC0" w:rsidRDefault="002410C3" w:rsidP="006F4946">
      <w:pPr>
        <w:spacing w:after="160" w:line="252" w:lineRule="auto"/>
        <w:jc w:val="both"/>
      </w:pPr>
      <w:r w:rsidRPr="007E4DC0">
        <w:t xml:space="preserve">Výbor pre petície si s úradom európskeho ombudsmana udržiava konštruktívne pracovné vzťahy. </w:t>
      </w:r>
    </w:p>
    <w:p w:rsidR="006F4946" w:rsidRPr="007E4DC0" w:rsidRDefault="002410C3" w:rsidP="006F4946">
      <w:pPr>
        <w:spacing w:after="160" w:line="252" w:lineRule="auto"/>
        <w:jc w:val="both"/>
      </w:pPr>
      <w:r w:rsidRPr="007E4DC0">
        <w:t>Výbor si 8. septembra 2022 vypočul prezentáciu výr</w:t>
      </w:r>
      <w:r w:rsidRPr="007E4DC0">
        <w:t>očnej správy európskej ombudsmanky za rok 2021, ktorú predniesla pani Emily O'Reilly. V správe sa zdokumentovala práca ombudsmanky na zlepšovaní prístupu verejnosti k dokumentom, a to aj prostredníctvom uverejnenia príručky pre inštitúcie EÚ, ktorá im pomô</w:t>
      </w:r>
      <w:r w:rsidRPr="007E4DC0">
        <w:t>že v plnej miere plniť si povinnosti v tejto oblasti. Poskytla podrobné informácie o rôznych vyšetrovaniach. V roku 2021 ombudsmanka začala 338 vyšetrovaní, z ktorých šesť bolo z vlastnej iniciatívy, pričom sťažnosti týkajúce sa transparentnosti a zodpoved</w:t>
      </w:r>
      <w:r w:rsidRPr="007E4DC0">
        <w:t>nosti predstavovali najväčší podiel vyšetrovaní (29 %), zatiaľ čo priemerná dĺžka vyšetrovania bola kratšia ako štyri mesiace. Pani O’Reilly poďakovala Európskemu parlamentu za to, že prevažnou väčšinou schválil nový štatút, ktorý zachováva právomoci úradu</w:t>
      </w:r>
      <w:r w:rsidRPr="007E4DC0">
        <w:t>, posilňuje právny základ ombudsmana a zavádza záruky, ktoré ďalej zaručujú nezávislosť úradu.</w:t>
      </w:r>
    </w:p>
    <w:p w:rsidR="006F4946" w:rsidRPr="007E4DC0" w:rsidRDefault="002410C3" w:rsidP="006F4946">
      <w:pPr>
        <w:spacing w:after="160" w:line="252" w:lineRule="auto"/>
        <w:jc w:val="both"/>
      </w:pPr>
      <w:r w:rsidRPr="007E4DC0">
        <w:t>Treba tiež poznamenať, že ombudsmanka vystúpila na výročnom seminári výboru o právach osôb so zdravotným postihnutím, ktorý sa konal 30. novembra 2022.</w:t>
      </w:r>
    </w:p>
    <w:p w:rsidR="006F4946" w:rsidRPr="007E4DC0" w:rsidRDefault="002410C3" w:rsidP="006F4946">
      <w:pPr>
        <w:spacing w:after="160" w:line="252" w:lineRule="auto"/>
        <w:rPr>
          <w:b/>
        </w:rPr>
      </w:pPr>
      <w:r w:rsidRPr="007E4DC0">
        <w:rPr>
          <w:b/>
        </w:rPr>
        <w:t xml:space="preserve">Vzťahy s </w:t>
      </w:r>
      <w:r w:rsidRPr="007E4DC0">
        <w:rPr>
          <w:b/>
        </w:rPr>
        <w:t>Európskym dvorom audítorov</w:t>
      </w:r>
    </w:p>
    <w:p w:rsidR="006F4946" w:rsidRPr="007E4DC0" w:rsidRDefault="002410C3" w:rsidP="006F4946">
      <w:pPr>
        <w:spacing w:after="160" w:line="252" w:lineRule="auto"/>
        <w:jc w:val="both"/>
      </w:pPr>
      <w:r w:rsidRPr="007E4DC0">
        <w:t>Výbor pre petície si v posledných rokoch vybudoval konštruktívne pracovné vzťahy s Európskym dvorom audítorov (EDA) a aktívne prispieval k jeho ročným pracovným programom.</w:t>
      </w:r>
    </w:p>
    <w:p w:rsidR="006F4946" w:rsidRPr="007E4DC0" w:rsidRDefault="002410C3" w:rsidP="006F4946">
      <w:pPr>
        <w:spacing w:after="160" w:line="252" w:lineRule="auto"/>
        <w:rPr>
          <w:b/>
        </w:rPr>
      </w:pPr>
      <w:r w:rsidRPr="007E4DC0">
        <w:rPr>
          <w:b/>
        </w:rPr>
        <w:t>Vzťahy s inými orgánmi EÚ</w:t>
      </w:r>
    </w:p>
    <w:p w:rsidR="006F4946" w:rsidRPr="007E4DC0" w:rsidRDefault="002410C3" w:rsidP="006F4946">
      <w:pPr>
        <w:spacing w:after="160" w:line="252" w:lineRule="auto"/>
        <w:jc w:val="both"/>
      </w:pPr>
      <w:r w:rsidRPr="007E4DC0">
        <w:t xml:space="preserve">Výbor pre petície si 15. marca </w:t>
      </w:r>
      <w:r w:rsidRPr="007E4DC0">
        <w:t xml:space="preserve">2022 vypočul prezentáciu spravodajcu Arnauda Schwartza o stanovisku Európskeho hospodárskeho a sociálneho výboru na tému Zlepšenie ochrany životného prostredia prostredníctvom trestného práva. </w:t>
      </w:r>
    </w:p>
    <w:p w:rsidR="006F4946" w:rsidRPr="007E4DC0" w:rsidRDefault="002410C3" w:rsidP="006F4946">
      <w:pPr>
        <w:spacing w:after="160" w:line="252" w:lineRule="auto"/>
        <w:rPr>
          <w:b/>
        </w:rPr>
      </w:pPr>
      <w:r w:rsidRPr="007E4DC0">
        <w:rPr>
          <w:b/>
        </w:rPr>
        <w:t xml:space="preserve">Návštevy na účely zistenia potrebných skutočností </w:t>
      </w:r>
    </w:p>
    <w:p w:rsidR="006F4946" w:rsidRPr="007E4DC0" w:rsidRDefault="002410C3" w:rsidP="006F4946">
      <w:pPr>
        <w:spacing w:after="160" w:line="252" w:lineRule="auto"/>
        <w:jc w:val="both"/>
      </w:pPr>
      <w:r w:rsidRPr="007E4DC0">
        <w:t>V roku 2022</w:t>
      </w:r>
      <w:r w:rsidRPr="007E4DC0">
        <w:t xml:space="preserve"> Výbor pre petície zorganizoval sedem návštev na účely zistenia potrebných skutočností. Dve z nich boli odložené z predchádzajúcich rokov. </w:t>
      </w:r>
    </w:p>
    <w:p w:rsidR="006F4946" w:rsidRPr="007E4DC0" w:rsidRDefault="002410C3" w:rsidP="006F4946">
      <w:pPr>
        <w:spacing w:after="160" w:line="252" w:lineRule="auto"/>
        <w:jc w:val="both"/>
      </w:pPr>
      <w:r w:rsidRPr="007E4DC0">
        <w:t>Výbor uskutočnil od 23. do 25. februára 2022 návštevu Mar Menor (Murcia) v Španielsku na účely zistenia potrebných s</w:t>
      </w:r>
      <w:r w:rsidRPr="007E4DC0">
        <w:t>kutočností v súvislosti s viacerými petíciami, ktoré nastolili otázku zhoršovania prírodnej oblasti Mar Menor. Delegácia Výboru pre petície sa stretla s predkladateľmi petícií a politickými zástupcami na národnej, regionálnej a miestnej úrovni. Delegácia p</w:t>
      </w:r>
      <w:r w:rsidRPr="007E4DC0">
        <w:t xml:space="preserve">otom navštívila najviac zasiahnuté oblasti a stretla sa s vedcami, sociálnymi, obchodnými a obchodnými organizáciami, ako aj s hovorcami parlamentných skupín regionálneho zhromaždenia a odborníkmi. </w:t>
      </w:r>
    </w:p>
    <w:p w:rsidR="006F4946" w:rsidRPr="007E4DC0" w:rsidRDefault="002410C3" w:rsidP="006F4946">
      <w:pPr>
        <w:spacing w:after="160" w:line="252" w:lineRule="auto"/>
        <w:jc w:val="both"/>
      </w:pPr>
      <w:r w:rsidRPr="007E4DC0">
        <w:t>Od 11. do 13. apríla 2022 výbor uskutočnil služobnú cestu</w:t>
      </w:r>
      <w:r w:rsidRPr="007E4DC0">
        <w:t xml:space="preserve"> na účely zistenia potrebných skutočností na Baleáry do Palmy de Mallorca (Španielsko) v nadväznosti na niekoľko petícií o </w:t>
      </w:r>
      <w:r w:rsidRPr="007E4DC0">
        <w:lastRenderedPageBreak/>
        <w:t>údajnom zlom zaobchádzaní s maloletými v rámci pestúnskej starostlivosti na Malorke. V prvý deň sa delegácia stretla s predkladateľmi</w:t>
      </w:r>
      <w:r w:rsidRPr="007E4DC0">
        <w:t xml:space="preserve"> petícií, rodinami obetí, novinármi a politickými zástupcami na regionálnej úrovni. Členovia sa tiež stretli s politickými predstaviteľmi na miestnej úrovni, odborníkmi, ombudsmanom pre maloleté osoby, prokurátorom a políciou. Delegácia navštívila „Natzare</w:t>
      </w:r>
      <w:r w:rsidRPr="007E4DC0">
        <w:t>t Fondation“, ktorá sa špecializuje na starostlivosť o maloleté osoby v situáciách vylúčenia.</w:t>
      </w:r>
    </w:p>
    <w:p w:rsidR="006F4946" w:rsidRPr="007E4DC0" w:rsidRDefault="002410C3" w:rsidP="006F4946">
      <w:pPr>
        <w:spacing w:after="160" w:line="252" w:lineRule="auto"/>
        <w:jc w:val="both"/>
      </w:pPr>
      <w:r w:rsidRPr="007E4DC0">
        <w:t xml:space="preserve">V dňoch 23. až 25. mája 2022 sa zorganizovala návšteva Francúzska (región Hauts de France) na účely zistenia potrebných skutočností s cieľom preskúmať aspekty </w:t>
      </w:r>
      <w:r w:rsidRPr="007E4DC0">
        <w:t xml:space="preserve">uvedené v petícii č. 0549/2021 v súvislosti s bezpečnými a chránenými parkoviskami v EÚ. S cieľom získať informácie z prvej ruky o náročnej bezpečnostnej situácii vodičov nákladných vozidiel sa členovia delegácie stretli so zástupcami žandárov z oddelenia </w:t>
      </w:r>
      <w:r w:rsidRPr="007E4DC0">
        <w:t>Somme a s predkladateľmi petícií. Delegácia potom uskutočnila návštevy v teréne s cieľom prezrieť si bezpečné parkoviská pre ťažké nákladné vozidlá a získať prehľad o tom, ako fungujú a akým problémom čelia. Delegácia sa stretla aj so zainteresovanými stra</w:t>
      </w:r>
      <w:r w:rsidRPr="007E4DC0">
        <w:t>nami, konkrétne s organizáciou pre bezpečné parkovanie, ktorá vykonáva audity, prevádzkovateľmi diaľnic a parkovísk a ich národným združením. V posledný deň delegácia navštívila miesto, kde bol zavraždený vodič nákladného vozidla, a stretla sa s hlavným št</w:t>
      </w:r>
      <w:r w:rsidRPr="007E4DC0">
        <w:t>átnym prokurátorom regiónu, ktorý je zodpovedný za tento prípad.</w:t>
      </w:r>
    </w:p>
    <w:p w:rsidR="006F4946" w:rsidRPr="007E4DC0" w:rsidRDefault="002410C3" w:rsidP="006F4946">
      <w:pPr>
        <w:spacing w:after="160" w:line="252" w:lineRule="auto"/>
        <w:jc w:val="both"/>
      </w:pPr>
      <w:r w:rsidRPr="007E4DC0">
        <w:t>Od utorka 14. júna do štvrtka 16. júna sa dvaja členovia Výboru pre petície zúčastnili na spoločnej ceste ad hoc delegácie výborov EMPL, LIBE a PETI na 15. zasadnutie konferencie zmluvných št</w:t>
      </w:r>
      <w:r w:rsidRPr="007E4DC0">
        <w:t>átov Dohovoru o právach osôb so zdravotným postihnutím (UNCRPD COSP), ktoré sa konalo v sídle Organizácie Spojených národov v New Yorku. Hlavným cieľom delegácie, ktorá vycestovala na konferenciu ako súčasť oficiálnej delegácie EÚ, bolo zúčastniť sa na 15.</w:t>
      </w:r>
      <w:r w:rsidRPr="007E4DC0">
        <w:t xml:space="preserve"> zasadnutí Dohovoru OSN o právach osôb so zdravotným postihnutím (na hlavných a sprievodných podujatiach) v rámci jej monitorovacích funkcií ako jedného z členov rámca EÚ pre UNCRPD, pričom zároveň vyjadrila záväzok Parlamentu k plnému vykonávaniu Dohovoru</w:t>
      </w:r>
      <w:r w:rsidRPr="007E4DC0">
        <w:t xml:space="preserve"> OSN o právach osôb so zdravotným postihnutím. Členovia sa zúčastnili aj na sérii dvojstranných a viacstranných stretnutí so zástupcami občianskej spoločnosti, vysokopostavenými úradníkmi OSN, diplomatmi a ďalšími partnermi, počas ktorých si vymenili názor</w:t>
      </w:r>
      <w:r w:rsidRPr="007E4DC0">
        <w:t>y a diskutovali o možných spôsoboch lepšieho vykonávania Dohovoru OSN o právach osôb so zdravotným postihnutím a presadzovania práv osôb so zdravotným postihnutím v rámci Únie a na celom svete.</w:t>
      </w:r>
    </w:p>
    <w:p w:rsidR="006F4946" w:rsidRPr="007E4DC0" w:rsidRDefault="002410C3" w:rsidP="006F4946">
      <w:pPr>
        <w:spacing w:after="160" w:line="252" w:lineRule="auto"/>
        <w:jc w:val="both"/>
      </w:pPr>
      <w:r w:rsidRPr="007E4DC0">
        <w:t xml:space="preserve">Delegácia výboru PETI uskutočnila 18. až 22. júla návštevu na </w:t>
      </w:r>
      <w:r w:rsidRPr="007E4DC0">
        <w:t>účely zistenia potrebných skutočností vo Washingtone. Cieľom návštevy bolo zvýšiť informovanosť a diskutovať o vplyve amerického zákona o dodržiavaní daňových predpisov v prípade zahraničných účtov (FATCA) na občanov EÚ a uskutočniť výmenu názorov s daňový</w:t>
      </w:r>
      <w:r w:rsidRPr="007E4DC0">
        <w:t>mi úradníkmi, senátormi a zástupcami v Kongrese a so zainteresovanými stranami s cieľom nájsť konkrétne riešenia problémov mnohých občanov EÚ a ich rodinných príslušníkov ovplyvnených extrateritoriálnym uplatňovaním zdaňovania založeného na občianstve. Náv</w:t>
      </w:r>
      <w:r w:rsidRPr="007E4DC0">
        <w:t>števa na účely zistenia potrebných skutočností bola uskutočnená v nadväznosti na petície č. 1088/2016, 1470/2020, 0323/2021 a 0394/2021 týkajúce sa účinkov zákona FATCA na občanov EÚ, najmä tých, ktorí majú dvojité občianstvo EÚ – USA, vrátane ťažkostí s p</w:t>
      </w:r>
      <w:r w:rsidRPr="007E4DC0">
        <w:t>rístupom obyvateľov USA v Európskej únii k niektorým finančným službám a údajného porušovania práv EÚ a výnimiek z niektorých právnych predpisov na ochranu spotrebiteľa.</w:t>
      </w:r>
    </w:p>
    <w:p w:rsidR="006F4946" w:rsidRPr="007E4DC0" w:rsidRDefault="002410C3" w:rsidP="006F4946">
      <w:pPr>
        <w:spacing w:after="160" w:line="252" w:lineRule="auto"/>
        <w:jc w:val="both"/>
      </w:pPr>
      <w:r w:rsidRPr="007E4DC0">
        <w:t>Od 19. do 21. septembra 2022 zorganizoval Výbor pre petície návštevu Poľska na účely z</w:t>
      </w:r>
      <w:r w:rsidRPr="007E4DC0">
        <w:t xml:space="preserve">istenia </w:t>
      </w:r>
      <w:r w:rsidRPr="007E4DC0">
        <w:lastRenderedPageBreak/>
        <w:t>potrebných skutočností Táto služobná cesta bola naplánovaná na rok 2020, ale bola odložená z dôvodu cestovných obmedzení súvisiacich s pandémiou ochorenia COVID-19. Jej cieľom bolo reagovať na petície týkajúce sa údajného porušenia právnych predpis</w:t>
      </w:r>
      <w:r w:rsidRPr="007E4DC0">
        <w:t>ov EÚ v oblasti životného prostredia v Bielovežskom pralese, ktorý je chránený v rámci sústavy Natura 2000. Ďalším cieľom bolo reagovať na petície o prístupe žiakov so zdravotným postihnutím k vzdelávaniu v Poľsku. Delegácia výboru PETI vycestovala do Varš</w:t>
      </w:r>
      <w:r w:rsidRPr="007E4DC0">
        <w:t xml:space="preserve">avy, aby sa stretla s námestníkom ministra školstva a námestníkom ministra životného prostredia, ako aj s predkladateľmi petícií, mimovládnymi organizáciami a odborníkmi. Uskutočnili sa dve návštevy v teréne, jedna v „inkluzívnej“ škole vo Varšave a druhá </w:t>
      </w:r>
      <w:r w:rsidRPr="007E4DC0">
        <w:t>v Bielovežskom pralese, s cieľom diskutovať s lesnými hospodármi a miestnymi orgánmi.</w:t>
      </w:r>
    </w:p>
    <w:p w:rsidR="006F4946" w:rsidRPr="007E4DC0" w:rsidRDefault="002410C3" w:rsidP="006F4946">
      <w:pPr>
        <w:spacing w:after="160" w:line="252" w:lineRule="auto"/>
        <w:jc w:val="both"/>
      </w:pPr>
      <w:r w:rsidRPr="007E4DC0">
        <w:t>Posledná návšteva na účely zistenia potrebných skutočností v roku 2022 sa uskutočnila v Nemecku od 3. do 4. novembra. Táto návšteva nemeckého úradu starostlivosti o mláde</w:t>
      </w:r>
      <w:r w:rsidRPr="007E4DC0">
        <w:t>ž (Jugendamt), ktorá bola pôvodne schválená na rok 2020, bola dvakrát odložená z dôvodu šírenia ochorenia COVID-19. Mnohé petície predložené výboru sa týkajú cezhraničných rodinných záležitostí a služobná cesta umožnila poslancom lepšie pochopiť nemecký sú</w:t>
      </w:r>
      <w:r w:rsidRPr="007E4DC0">
        <w:t>dny systém a úlohu úradu Jugendamt (Úrad starostlivosti o mládež) v týchto otázkach. Poslanci si vymenili názory s predkladateľmi petícií a so zástupcami ministerstiev, súdov, ako aj úradov starostlivosti o mládež.</w:t>
      </w:r>
    </w:p>
    <w:p w:rsidR="006F4946" w:rsidRPr="007E4DC0" w:rsidRDefault="002410C3" w:rsidP="006F4946">
      <w:pPr>
        <w:spacing w:after="160" w:line="252" w:lineRule="auto"/>
      </w:pPr>
      <w:r w:rsidRPr="007E4DC0">
        <w:rPr>
          <w:b/>
        </w:rPr>
        <w:t>Verejné vypočutia</w:t>
      </w:r>
    </w:p>
    <w:p w:rsidR="006F4946" w:rsidRPr="007E4DC0" w:rsidRDefault="002410C3" w:rsidP="006F4946">
      <w:pPr>
        <w:jc w:val="both"/>
      </w:pPr>
      <w:r w:rsidRPr="007E4DC0">
        <w:t>V roku 2022 Výbor pre p</w:t>
      </w:r>
      <w:r w:rsidRPr="007E4DC0">
        <w:t>etície usporiadal šesť verejných vypočutí, na ktorých sa čiastočne podieľali aj ďalšie parlamentné výbory. Verejné vypočutia sa týkali širokej škály tém, ktoré boli uvedené v petíciách.</w:t>
      </w:r>
    </w:p>
    <w:p w:rsidR="006F4946" w:rsidRPr="007E4DC0" w:rsidRDefault="006F4946" w:rsidP="006F4946">
      <w:pPr>
        <w:jc w:val="both"/>
      </w:pPr>
    </w:p>
    <w:p w:rsidR="006F4946" w:rsidRPr="007E4DC0" w:rsidRDefault="002410C3" w:rsidP="006F4946">
      <w:pPr>
        <w:jc w:val="both"/>
      </w:pPr>
      <w:r w:rsidRPr="007E4DC0">
        <w:t>Výbor pre petície usporiadal 15. marca 2022 spolu s Výborom pre právn</w:t>
      </w:r>
      <w:r w:rsidRPr="007E4DC0">
        <w:t>e veci verejné vypočutie na tému Európsky prokurátor zodpovedný za životné prostredie – spoločný súbor nástrojov na boj proti environmentálnej trestnej činnosti. Výbor dostáva viacero petícií o otázkach životného prostredia spôsobených ľudskou činnosťou, k</w:t>
      </w:r>
      <w:r w:rsidRPr="007E4DC0">
        <w:t>toré často poukazujú na nedostatočnú efektívnosť a kapacitu vnútroštátnych orgánov na odhaľovanie, vyšetrovanie a stíhanie trestných činov proti životnému prostrediu. Ako sa uvádza v prijatých petíciách, trestné činy proti životnému prostrediu ohrozujú cie</w:t>
      </w:r>
      <w:r w:rsidRPr="007E4DC0">
        <w:t>le Európskej zelenej dohody, a to z hľadiska negatívnych účinkov na životné prostredie, ako aj z hľadiska finančných strát. Spájajú sa s praním špinavých peňazí, korupciou, falšovaním, pašeráctvom, fyzickým násilím a vraždou, takže ich účinky ďaleko presah</w:t>
      </w:r>
      <w:r w:rsidRPr="007E4DC0">
        <w:t>ujú poškodzovanie biotopu. Na vypočutí sa preto preberali nedostatky a výzvy pri presadzovaní trestného práva EÚ v oblasti životného prostredia na základe prijatých petícií, ako aj nové nástroje na boj proti trestným činom proti životnému prostrediu vrátan</w:t>
      </w:r>
      <w:r w:rsidRPr="007E4DC0">
        <w:t>e možného vytvorenia Európskej prokuratúry pre životné prostredie. V prvej panelovej diskusii o súčasných výzvach v boji proti trestným činom proti životnému prostrediu v EÚ dvaja rečníci z Európskeho úradu pre životné prostredie analyzovali nedostatky a v</w:t>
      </w:r>
      <w:r w:rsidRPr="007E4DC0">
        <w:t xml:space="preserve">ýzvy pri presadzovaní trestného práva EÚ v oblasti životného prostredia na základe doručených petícií. Zástupca Europolu potom rokoval o konkrétnych príkladoch cezhraničných vyšetrovaní na riešenie trestných činov proti životnému prostrediu a o výzvach vo </w:t>
      </w:r>
      <w:r w:rsidRPr="007E4DC0">
        <w:t xml:space="preserve">vzťahoch s vnútroštátnymi orgánmi. Druhá panelová diskusia sa zaoberala novými nástrojmi na boj proti trestným činom proti životnému prostrediu. Európska komisia predložila svoj návrh novej smernice o ochrane životného prostredia prostredníctvom trestného </w:t>
      </w:r>
      <w:r w:rsidRPr="007E4DC0">
        <w:t>práva a francúzsky európsky prokurátor sa podelil o svoje názory na možné vytvorenie Európskej prokuratúry pre životné prostredie. Toto vypočutie prispelo k príprave výboru na vypracovanie stanoviska k uvedenému návrhu smernice o trestných činoch proti živ</w:t>
      </w:r>
      <w:r w:rsidRPr="007E4DC0">
        <w:t xml:space="preserve">otnému prostrediu.  </w:t>
      </w:r>
    </w:p>
    <w:p w:rsidR="006F4946" w:rsidRPr="007E4DC0" w:rsidRDefault="006F4946" w:rsidP="006F4946">
      <w:pPr>
        <w:jc w:val="both"/>
      </w:pPr>
    </w:p>
    <w:p w:rsidR="006F4946" w:rsidRPr="007E4DC0" w:rsidRDefault="002410C3" w:rsidP="006F4946">
      <w:pPr>
        <w:jc w:val="both"/>
      </w:pPr>
      <w:r w:rsidRPr="007E4DC0">
        <w:t>Výbor usporiadal 20. apríla 2022 verejné vypočutie na tému Kultúrna a jazyková rozmanitosť v EÚ. Prvá panelová diskusia sa zamerala na podporu európskej kultúrnej a jazykovej rozmanitosti v právnom rámci EÚ. Druhá panelová diskusia sa</w:t>
      </w:r>
      <w:r w:rsidRPr="007E4DC0">
        <w:t xml:space="preserve"> sústredila na pridanú hodnotu kultúrnej a jazykovej rozmanitosti v EÚ. Diskusie sa sústredili na to, ako podporovať jazykovú a kultúrnu rozmanitosť, ktorá je životne dôležitou zložkou európskeho kultúrneho dedičstva, a predchádzať jej strate. </w:t>
      </w:r>
    </w:p>
    <w:p w:rsidR="006F4946" w:rsidRPr="007E4DC0" w:rsidRDefault="006F4946" w:rsidP="006F4946">
      <w:pPr>
        <w:jc w:val="both"/>
      </w:pPr>
    </w:p>
    <w:p w:rsidR="006F4946" w:rsidRPr="007E4DC0" w:rsidRDefault="002410C3" w:rsidP="006F4946">
      <w:pPr>
        <w:jc w:val="both"/>
      </w:pPr>
      <w:r w:rsidRPr="007E4DC0">
        <w:t xml:space="preserve">Výbor pre </w:t>
      </w:r>
      <w:r w:rsidRPr="007E4DC0">
        <w:t>petície zorganizoval 15. júna 2022 verejné vypočutie na tému Sociálne a environmentálne vplyvy energie z obnoviteľných zdrojov v Európe. V kontexte krízy na Ukrajine a politického rámca (energetická sebestačnosť, Európska zelená dohoda a revízia smernice o</w:t>
      </w:r>
      <w:r w:rsidRPr="007E4DC0">
        <w:t xml:space="preserve"> obnoviteľných zdrojoch energie) sa toto verejné vypočutie zameralo na to, ako by obnoviteľné zdroje energie mohli nahradiť súčasný mix výroby elektrickej energie. Zaoberalo sa aj potrebou environmentálnych a sociálnych aspektov, aby sa dosiahla akceptácia</w:t>
      </w:r>
      <w:r w:rsidRPr="007E4DC0">
        <w:t xml:space="preserve"> zo strany verejnosti a aby sa zabránilo odmietnutiu a ohrozeniu energetickej transformácie. Toto vypočutie poskytlo štruktúrovanú odpoveď na rôzne petície, ktoré výbor doteraz dostal: petície č. 0128 – 21, 1178 – 2020, 0441 – 2021, 0148 – 21, 0232 – 21, 0</w:t>
      </w:r>
      <w:r w:rsidRPr="007E4DC0">
        <w:t xml:space="preserve">306 – 21, 0446 – 21, 0447 – 21 a 0482 – 21. </w:t>
      </w:r>
    </w:p>
    <w:p w:rsidR="006F4946" w:rsidRPr="007E4DC0" w:rsidRDefault="006F4946" w:rsidP="006F4946">
      <w:pPr>
        <w:jc w:val="both"/>
      </w:pPr>
    </w:p>
    <w:p w:rsidR="006F4946" w:rsidRPr="007E4DC0" w:rsidRDefault="002410C3" w:rsidP="006F4946">
      <w:pPr>
        <w:jc w:val="both"/>
      </w:pPr>
      <w:r w:rsidRPr="007E4DC0">
        <w:t>Výbor pre kultúru a vzdelávanie v spolupráci s Výborom pre petície usporiadal 15. júna 2022 vypočutie na tému Spojené kráľovstvo a Erasmus+. Na vypočutí sa posudzoval vplyv rozhodnutia Spojeného kráľovstva vyst</w:t>
      </w:r>
      <w:r w:rsidRPr="007E4DC0">
        <w:t xml:space="preserve">úpiť z programu Erasmus+ na inštitúcie vysokoškolského vzdelávania a ich študentov. </w:t>
      </w:r>
    </w:p>
    <w:p w:rsidR="006F4946" w:rsidRPr="007E4DC0" w:rsidRDefault="006F4946" w:rsidP="006F4946">
      <w:pPr>
        <w:jc w:val="both"/>
      </w:pPr>
    </w:p>
    <w:p w:rsidR="006F4946" w:rsidRPr="007E4DC0" w:rsidRDefault="002410C3" w:rsidP="006F4946">
      <w:pPr>
        <w:jc w:val="both"/>
      </w:pPr>
      <w:r w:rsidRPr="007E4DC0">
        <w:t xml:space="preserve">Po Medzinárodnom dni duševného zdravia v októbri 2022 Výbor pre petície zorganizoval 25. októbra 2022 verejné vypočutie na tému Výzvy pre duševné zdravie novej generácie </w:t>
      </w:r>
      <w:r w:rsidRPr="007E4DC0">
        <w:t xml:space="preserve">v celej EÚ. Na tomto verejnom vypočutí sa posudzovala situácia detí a mládeže v oblasti duševného zdravia, keďže detstvo a dospievanie sú mimoriadne citlivým obdobím. Koordinátorka EP pre práva detí Ewa Kopacz poskytla prehľad situácie v oblasti duševného </w:t>
      </w:r>
      <w:r w:rsidRPr="007E4DC0">
        <w:t>zdravia mladých ľudí v Európe. GR SANTE vysvetlilo kľúčové body činnosti Komisie a traja experti poskytli relevantné informácie o týchto témach: vplyv pandémie ochorenia COVID-19 na duševné zdravie detí a mladých ľudí, výzvy pre duševné zdravie, najmä vo v</w:t>
      </w:r>
      <w:r w:rsidRPr="007E4DC0">
        <w:t>zdelávaní a na pracovisku, podmienky duševného zdravia a porušovanie ľudských práv, diskriminácia a stigmatizácia, ako aj nové výzvy súvisiace so sociálnymi médiami. Toto vypočutie poskytlo fórum na výmenu názorov o otázkach nastolených v rôznych petíciách</w:t>
      </w:r>
      <w:r w:rsidRPr="007E4DC0">
        <w:t>, ktoré výbor dostal, napr. petície č. 0956/2018, 1186/2018, 1205/2020 a 1553/2020.</w:t>
      </w:r>
    </w:p>
    <w:p w:rsidR="006F4946" w:rsidRPr="007E4DC0" w:rsidRDefault="006F4946" w:rsidP="006F4946">
      <w:pPr>
        <w:jc w:val="both"/>
      </w:pPr>
    </w:p>
    <w:p w:rsidR="006F4946" w:rsidRPr="007E4DC0" w:rsidRDefault="002410C3" w:rsidP="006F4946">
      <w:pPr>
        <w:jc w:val="both"/>
      </w:pPr>
      <w:r w:rsidRPr="007E4DC0">
        <w:t>Výbor pre petície usporiadal 1. decembra 2022 v spolupráci s Výborom pre občianske slobody, spravodlivosť a vnútorné veci a Výborom pre právne veci verejné vypočutie s náz</w:t>
      </w:r>
      <w:r w:rsidRPr="007E4DC0">
        <w:t xml:space="preserve">vom Diskriminácia na základe sexuálnej orientácie. Vypočutie sa zaoberalo právnymi ťažkosťami, s ktorými sa dúhové rodiny stretávajú vo svojom každodennom živote v členských štátoch, a to </w:t>
      </w:r>
      <w:r w:rsidRPr="007E4DC0">
        <w:rPr>
          <w:i/>
          <w:iCs/>
        </w:rPr>
        <w:t xml:space="preserve">de facto </w:t>
      </w:r>
      <w:r w:rsidRPr="007E4DC0">
        <w:t xml:space="preserve">alebo </w:t>
      </w:r>
      <w:r w:rsidRPr="007E4DC0">
        <w:rPr>
          <w:i/>
          <w:iCs/>
        </w:rPr>
        <w:t>de iure</w:t>
      </w:r>
      <w:r w:rsidRPr="007E4DC0">
        <w:t>, a posudzovala sa na ňom situácia týkajúca sa</w:t>
      </w:r>
      <w:r w:rsidRPr="007E4DC0">
        <w:t xml:space="preserve"> vzájomného uznávania rodičovstva a manželstiev, ako aj otázky starostlivosti o dieťa. Prvá panelová diskusia sa zamerala na otázku rovnakého zaobchádzania s LGBTI osobami v EÚ. Druhá panelová diskusia sa zaoberala otázkou voľného pohybu párov rovnakého po</w:t>
      </w:r>
      <w:r w:rsidRPr="007E4DC0">
        <w:t xml:space="preserve">hlavia a dúhových rodín v EÚ. Komisárka pre rovnosť Helena Dalli zdôraznila, že v stratégii EÚ pre rovnosť sa navrhuje rozšíriť zoznam trestných činov EÚ o trestné činy z nenávisti vrátane homofóbnych nenávistných prejavov.  </w:t>
      </w:r>
    </w:p>
    <w:p w:rsidR="006F4946" w:rsidRPr="007E4DC0" w:rsidRDefault="002410C3" w:rsidP="007A182D">
      <w:pPr>
        <w:spacing w:before="240" w:after="240"/>
        <w:rPr>
          <w:b/>
        </w:rPr>
      </w:pPr>
      <w:r w:rsidRPr="007E4DC0">
        <w:rPr>
          <w:b/>
        </w:rPr>
        <w:t>Semináre</w:t>
      </w:r>
    </w:p>
    <w:p w:rsidR="006F4946" w:rsidRPr="007E4DC0" w:rsidRDefault="002410C3" w:rsidP="006F4946">
      <w:pPr>
        <w:jc w:val="both"/>
      </w:pPr>
      <w:r w:rsidRPr="007E4DC0">
        <w:lastRenderedPageBreak/>
        <w:t>V roku 2022 zorganizo</w:t>
      </w:r>
      <w:r w:rsidRPr="007E4DC0">
        <w:t>val Výbor pre petície dva semináre týkajúce sa tém, ktoré boli uvedené v petíciách.</w:t>
      </w:r>
    </w:p>
    <w:p w:rsidR="006F4946" w:rsidRPr="007E4DC0" w:rsidRDefault="006F4946" w:rsidP="006F4946">
      <w:pPr>
        <w:jc w:val="both"/>
      </w:pPr>
    </w:p>
    <w:p w:rsidR="006F4946" w:rsidRPr="007E4DC0" w:rsidRDefault="002410C3" w:rsidP="006F4946">
      <w:pPr>
        <w:jc w:val="both"/>
      </w:pPr>
      <w:r w:rsidRPr="007E4DC0">
        <w:t>Výbor pre petície usporiadal 10. októbra 2022 seminár na tému Transparentnosť a angažovanosť občanov v boji proti korupcii. Tento seminár sa zameral na politiku transparen</w:t>
      </w:r>
      <w:r w:rsidRPr="007E4DC0">
        <w:t xml:space="preserve">tnosti a zverejňovania informácií, predchádzanie korupcii a podporu integrity v Európe, ako aj na úlohu občanov a občianskej spoločnosti v boji proti korupcii. </w:t>
      </w:r>
    </w:p>
    <w:p w:rsidR="006F4946" w:rsidRPr="007E4DC0" w:rsidRDefault="006F4946" w:rsidP="006F4946">
      <w:pPr>
        <w:jc w:val="both"/>
      </w:pPr>
    </w:p>
    <w:p w:rsidR="006F4946" w:rsidRPr="007E4DC0" w:rsidRDefault="002410C3" w:rsidP="006F4946">
      <w:pPr>
        <w:jc w:val="both"/>
      </w:pPr>
      <w:r w:rsidRPr="007E4DC0">
        <w:t>Výbor usporiadal 30. novembra 2022 výročný seminár o právach osôb so zdravotným postihnutím. T</w:t>
      </w:r>
      <w:r w:rsidRPr="007E4DC0">
        <w:t>ento rok sa seminár zameral na „Posudzovanie zdravotného postihnutia, vzájomné uznávanie a preukaz EÚ pre osoby so zdravotným postihnutím“ a zaoberal sa prekážkami uvedenými v petíciách osôb so zdravotným postihnutím pri pohybe v rámci EÚ. Komisárka pre ro</w:t>
      </w:r>
      <w:r w:rsidRPr="007E4DC0">
        <w:t>vnosť Helena Dalli predstavila hlavnú iniciatívu Komisie na zavedenie európskeho preukazu zdravotného postihnutia, ktorý uľahčí voľný pohyb osôb so zdravotným postihnutím. Poslanci diskutovali o výzvach spojených s harmonizáciou a vzájomným uznávaním zdrav</w:t>
      </w:r>
      <w:r w:rsidRPr="007E4DC0">
        <w:t>otného postihnutia členskými štátmi s cieľom zaručiť základné práva osôb so zdravotným postihnutím v Európe.</w:t>
      </w:r>
    </w:p>
    <w:p w:rsidR="006F4946" w:rsidRPr="007E4DC0" w:rsidRDefault="002410C3" w:rsidP="007A182D">
      <w:pPr>
        <w:spacing w:before="240" w:after="160" w:line="252" w:lineRule="auto"/>
        <w:rPr>
          <w:b/>
        </w:rPr>
      </w:pPr>
      <w:r w:rsidRPr="007E4DC0">
        <w:rPr>
          <w:b/>
        </w:rPr>
        <w:t>Štúdie</w:t>
      </w:r>
    </w:p>
    <w:p w:rsidR="006F4946" w:rsidRPr="007E4DC0" w:rsidRDefault="002410C3" w:rsidP="006F4946">
      <w:pPr>
        <w:spacing w:after="160" w:line="252" w:lineRule="auto"/>
        <w:jc w:val="both"/>
      </w:pPr>
      <w:r w:rsidRPr="007E4DC0">
        <w:t xml:space="preserve">Výbor si v roku 2022 vypočul prezentácie týchto štúdií, ktorých vypracovanie na žiadosť výboru zadala tematická sekcia pre práva občanov a </w:t>
      </w:r>
      <w:r w:rsidRPr="007E4DC0">
        <w:t>ústavné veci:</w:t>
      </w:r>
    </w:p>
    <w:p w:rsidR="006F4946" w:rsidRPr="007E4DC0" w:rsidRDefault="002410C3" w:rsidP="006F4946">
      <w:pPr>
        <w:spacing w:after="160" w:line="252" w:lineRule="auto"/>
        <w:jc w:val="both"/>
      </w:pPr>
      <w:r w:rsidRPr="007E4DC0">
        <w:t>– štúdia na tému Monitorovanie dusíka vo vode v EÚ – právny rámec, účinky dusičnanov, zásady dizajnu, účinnosť a budúci vývoj, ktorú 25. októbra 2022 predstavila Susanne WUIJTS, Národný inštitút pre verejné zdravie a životné prostredie a Utre</w:t>
      </w:r>
      <w:r w:rsidRPr="007E4DC0">
        <w:t>chtská univerzita (Centre for Water, Oceans and Sustainability Law),</w:t>
      </w:r>
    </w:p>
    <w:p w:rsidR="006F4946" w:rsidRPr="007E4DC0" w:rsidRDefault="002410C3" w:rsidP="006F4946">
      <w:pPr>
        <w:spacing w:after="160" w:line="252" w:lineRule="auto"/>
        <w:jc w:val="both"/>
      </w:pPr>
      <w:r w:rsidRPr="007E4DC0">
        <w:t xml:space="preserve">– štúdia na tému Posúdenie zdravotného postihnutia, vzájomné uznávanie a preukaz EÚ pre osoby so zdravotným postihnutím – pokrok a príležitosti, ktorú predstavil Mark PRIESTLEY, profesor </w:t>
      </w:r>
      <w:r w:rsidRPr="007E4DC0">
        <w:t>politiky v oblasti zdravotného postihnutia, Univerzita v Leedse, počas každoročného seminára o právach osôb so zdravotným postihnutím 30. novembra 2022. V tejto štúdii sa skúma pokrok dosiahnutý pri vzájomnom uznávaní zdravotného postihnutia a súvisiace vý</w:t>
      </w:r>
      <w:r w:rsidRPr="007E4DC0">
        <w:t>zvy. Petície občanov upozorňujú na skutočnosť, že medzi členskými štátmi a v rôznych oblastiach politiky existujú rôzne definície a postupy posudzovania zdravotného postihnutia, a zdôrazňujú potrebu vzájomného uznávania. Harmonizácia posudzovania je náročn</w:t>
      </w:r>
      <w:r w:rsidRPr="007E4DC0">
        <w:t>á, ale spoločné prieniky sú možné. Preukaz EÚ pre osoby so zdravotným postihnutím poskytuje administratívny model vzájomného uznávania.</w:t>
      </w:r>
    </w:p>
    <w:p w:rsidR="006F4946" w:rsidRPr="007E4DC0" w:rsidRDefault="002410C3" w:rsidP="006F4946">
      <w:pPr>
        <w:spacing w:afterLines="160" w:after="384" w:line="252" w:lineRule="auto"/>
        <w:jc w:val="both"/>
        <w:rPr>
          <w:b/>
        </w:rPr>
      </w:pPr>
      <w:r w:rsidRPr="007E4DC0">
        <w:rPr>
          <w:b/>
        </w:rPr>
        <w:t>Hlavné otázky</w:t>
      </w:r>
    </w:p>
    <w:p w:rsidR="006F4946" w:rsidRPr="007E4DC0" w:rsidRDefault="002410C3" w:rsidP="0040206F">
      <w:pPr>
        <w:spacing w:afterLines="160" w:after="384" w:line="252" w:lineRule="auto"/>
        <w:ind w:left="720" w:hanging="360"/>
        <w:rPr>
          <w:i/>
        </w:rPr>
      </w:pPr>
      <w:r w:rsidRPr="007E4DC0">
        <w:rPr>
          <w:rFonts w:ascii="Wingdings" w:hAnsi="Wingdings"/>
        </w:rPr>
        <w:sym w:font="Wingdings" w:char="F0A7"/>
      </w:r>
      <w:r w:rsidRPr="007E4DC0">
        <w:rPr>
          <w:rFonts w:ascii="Wingdings" w:hAnsi="Wingdings"/>
        </w:rPr>
        <w:tab/>
      </w:r>
      <w:r w:rsidRPr="007E4DC0">
        <w:rPr>
          <w:i/>
        </w:rPr>
        <w:t xml:space="preserve">Vonkajšie vzťahy </w:t>
      </w:r>
    </w:p>
    <w:p w:rsidR="006F4946" w:rsidRPr="007E4DC0" w:rsidRDefault="002410C3" w:rsidP="006F4946">
      <w:pPr>
        <w:spacing w:afterLines="160" w:after="384" w:line="252" w:lineRule="auto"/>
        <w:jc w:val="both"/>
      </w:pPr>
      <w:r w:rsidRPr="007E4DC0">
        <w:t>Treba poznamenať, že v roku 2022 sa zvýšil počet petícií o otázkach vonkajších vzťahov</w:t>
      </w:r>
      <w:r w:rsidRPr="007E4DC0">
        <w:t>. Tento nárast je do veľkej miery spôsobený vysokým počtom petícií predložených v súvislosti s inváziou Ruska na Ukrajinu. Týkajú sa bezpečnosti, ale aj humanitárnej pomoci, sankcií, bezpečnosti dodávok potravín, vojenskej a finančnej podpory Ukrajine, rie</w:t>
      </w:r>
      <w:r w:rsidRPr="007E4DC0">
        <w:t xml:space="preserve">šenia konfliktov, vízovej politiky, dodávok energie a integrácie Ukrajiny do EÚ. </w:t>
      </w:r>
    </w:p>
    <w:p w:rsidR="006F4946" w:rsidRPr="007E4DC0" w:rsidRDefault="002410C3" w:rsidP="006F4946">
      <w:pPr>
        <w:spacing w:afterLines="160" w:after="384" w:line="252" w:lineRule="auto"/>
        <w:jc w:val="both"/>
        <w:rPr>
          <w:i/>
        </w:rPr>
      </w:pPr>
      <w:r w:rsidRPr="007E4DC0">
        <w:rPr>
          <w:rFonts w:ascii="Wingdings" w:hAnsi="Wingdings"/>
        </w:rPr>
        <w:lastRenderedPageBreak/>
        <w:sym w:font="Wingdings" w:char="F0A7"/>
      </w:r>
      <w:r w:rsidRPr="007E4DC0">
        <w:rPr>
          <w:rFonts w:ascii="Wingdings" w:hAnsi="Wingdings"/>
        </w:rPr>
        <w:tab/>
      </w:r>
      <w:r w:rsidRPr="007E4DC0">
        <w:rPr>
          <w:i/>
        </w:rPr>
        <w:t xml:space="preserve">Základné práva </w:t>
      </w:r>
    </w:p>
    <w:p w:rsidR="006F4946" w:rsidRPr="007E4DC0" w:rsidRDefault="002410C3" w:rsidP="006F4946">
      <w:pPr>
        <w:spacing w:afterLines="160" w:after="384" w:line="252" w:lineRule="auto"/>
        <w:contextualSpacing/>
        <w:jc w:val="both"/>
      </w:pPr>
      <w:r w:rsidRPr="007E4DC0">
        <w:t>V roku 2022 bol výboru doručený veľký počet petícií o základných právach, a to aj o vplyve povinných opatrení na zastavenie šírenia ochorenia COVID-19 na pr</w:t>
      </w:r>
      <w:r w:rsidRPr="007E4DC0">
        <w:t xml:space="preserve">ávny štát a demokraciu. </w:t>
      </w:r>
    </w:p>
    <w:p w:rsidR="006F4946" w:rsidRPr="007E4DC0" w:rsidRDefault="006F4946" w:rsidP="006F4946">
      <w:pPr>
        <w:spacing w:afterLines="160" w:after="384" w:line="252" w:lineRule="auto"/>
        <w:contextualSpacing/>
        <w:jc w:val="both"/>
      </w:pPr>
    </w:p>
    <w:p w:rsidR="006F4946" w:rsidRPr="007E4DC0" w:rsidRDefault="002410C3" w:rsidP="006F4946">
      <w:pPr>
        <w:spacing w:afterLines="160" w:after="384" w:line="252" w:lineRule="auto"/>
        <w:contextualSpacing/>
        <w:jc w:val="both"/>
      </w:pPr>
      <w:r w:rsidRPr="007E4DC0">
        <w:t>Výbor okrem toho venoval mimoriadnu pozornosť sexuálnym právam a slobodám. V tejto súvislosti preskúmal sériu petícií o základných právach občanov LGBT v EÚ. Konkrétne verejné vypočutie na tému Diskriminácia na základe sexuálnej o</w:t>
      </w:r>
      <w:r w:rsidRPr="007E4DC0">
        <w:t>rientácie sa zaoberalo rôznymi formami diskriminácie LGBTI osôb v niektorých členských štátoch po tom, ako výbor dostal niekoľko petícií, ktoré sa týkajú prípadov zón bez LGBTI alebo útokov na práva LGBTI osôb v niektorých členských štátoch.</w:t>
      </w:r>
    </w:p>
    <w:p w:rsidR="006F4946" w:rsidRPr="007E4DC0" w:rsidRDefault="006F4946" w:rsidP="006F4946">
      <w:pPr>
        <w:spacing w:afterLines="160" w:after="384" w:line="252" w:lineRule="auto"/>
        <w:contextualSpacing/>
        <w:jc w:val="both"/>
      </w:pPr>
    </w:p>
    <w:p w:rsidR="006F4946" w:rsidRPr="007E4DC0" w:rsidRDefault="002410C3" w:rsidP="006F4946">
      <w:pPr>
        <w:spacing w:afterLines="160" w:after="384" w:line="252" w:lineRule="auto"/>
        <w:contextualSpacing/>
        <w:jc w:val="both"/>
      </w:pPr>
      <w:r w:rsidRPr="007E4DC0">
        <w:t xml:space="preserve">Výbor prijal </w:t>
      </w:r>
      <w:r w:rsidRPr="007E4DC0">
        <w:t>21. apríla 2022 stanovisko k </w:t>
      </w:r>
      <w:r w:rsidRPr="007E4DC0">
        <w:rPr>
          <w:i/>
          <w:iCs/>
        </w:rPr>
        <w:t>situácii v oblasti základných práv v Európskej únii – výročná správa za roky 2020 – 2021</w:t>
      </w:r>
      <w:r w:rsidRPr="007E4DC0">
        <w:t>.</w:t>
      </w:r>
    </w:p>
    <w:p w:rsidR="006F4946" w:rsidRPr="007E4DC0" w:rsidRDefault="006F4946" w:rsidP="006F4946">
      <w:pPr>
        <w:spacing w:afterLines="160" w:after="384" w:line="252" w:lineRule="auto"/>
        <w:contextualSpacing/>
        <w:jc w:val="both"/>
      </w:pPr>
    </w:p>
    <w:p w:rsidR="007A182D" w:rsidRPr="007E4DC0" w:rsidRDefault="002410C3" w:rsidP="007A182D">
      <w:pPr>
        <w:spacing w:afterLines="160" w:after="384"/>
        <w:jc w:val="both"/>
        <w:rPr>
          <w:i/>
        </w:rPr>
      </w:pPr>
      <w:r w:rsidRPr="007E4DC0">
        <w:t xml:space="preserve">Okrem toho výbor 15. marca 2022 prijal </w:t>
      </w:r>
      <w:r w:rsidRPr="007E4DC0">
        <w:rPr>
          <w:i/>
          <w:iCs/>
        </w:rPr>
        <w:t>stanovisko k správe Komisie o právnom štáte za rok 2021</w:t>
      </w:r>
      <w:r w:rsidRPr="007E4DC0">
        <w:t>.</w:t>
      </w:r>
    </w:p>
    <w:p w:rsidR="006F4946" w:rsidRPr="007E4DC0" w:rsidRDefault="002410C3" w:rsidP="007A182D">
      <w:pPr>
        <w:spacing w:before="240" w:afterLines="160" w:after="384" w:line="252" w:lineRule="auto"/>
        <w:jc w:val="both"/>
        <w:rPr>
          <w:i/>
        </w:rPr>
      </w:pPr>
      <w:r w:rsidRPr="007E4DC0">
        <w:rPr>
          <w:rFonts w:ascii="Wingdings" w:hAnsi="Wingdings"/>
        </w:rPr>
        <w:sym w:font="Wingdings" w:char="F0A7"/>
      </w:r>
      <w:r w:rsidRPr="007E4DC0">
        <w:rPr>
          <w:rFonts w:ascii="Wingdings" w:hAnsi="Wingdings"/>
        </w:rPr>
        <w:tab/>
      </w:r>
      <w:r w:rsidRPr="007E4DC0">
        <w:rPr>
          <w:i/>
        </w:rPr>
        <w:t>Otázky životného prostredia</w:t>
      </w:r>
    </w:p>
    <w:p w:rsidR="006F4946" w:rsidRPr="007E4DC0" w:rsidRDefault="002410C3" w:rsidP="006F4946">
      <w:pPr>
        <w:spacing w:afterLines="160" w:after="384" w:line="252" w:lineRule="auto"/>
        <w:jc w:val="both"/>
      </w:pPr>
      <w:r w:rsidRPr="007E4DC0">
        <w:t xml:space="preserve">Aj v roku </w:t>
      </w:r>
      <w:r w:rsidRPr="007E4DC0">
        <w:t>2022 u občanov stále výrazne rezonovali environmentálne otázky a výbor im venoval mimoriadnu pozornosť. O ochrane životného prostredia sa na základe petícií diskutovalo na všetkých schôdzach výborov. Vo výbore sa diskutovalo o témach, ako je znečistenie hl</w:t>
      </w:r>
      <w:r w:rsidRPr="007E4DC0">
        <w:t>ukom vrátane vplyvu veterných parkov a veterných turbín na životné prostredie, banské činnosti, znečistenie ovzdušia a kvalita ovzdušia a nakladanie s odpadom. Výbor preskúmal aj údajné porušenie právnych predpisov EÚ vo viacerých oblastiach, ako sú pestic</w:t>
      </w:r>
      <w:r w:rsidRPr="007E4DC0">
        <w:t>ídy, vytvorenie doplnkových rezerv na poľnohospodárske zavlažovanie, zhoršenie podmienok v národnom parku Doñana, vplyv plánovaného umelého ostrova/projektu na životné prostredie či údajne nezákonné povoľovanie zariadení na výrobu elektrickej energie z obn</w:t>
      </w:r>
      <w:r w:rsidRPr="007E4DC0">
        <w:t xml:space="preserve">oviteľných zdrojov. </w:t>
      </w:r>
    </w:p>
    <w:p w:rsidR="006F4946" w:rsidRPr="007E4DC0" w:rsidRDefault="002410C3" w:rsidP="006F4946">
      <w:pPr>
        <w:spacing w:afterLines="160" w:after="384" w:line="252" w:lineRule="auto"/>
        <w:jc w:val="both"/>
      </w:pPr>
      <w:r w:rsidRPr="007E4DC0">
        <w:t>Výbor okrem toho uskutočnil návštevy na účely zistenia potrebných skutočností v Mar Menor (Španielsko) v súvislosti s niekoľkými petíciami, ktoré nastolili otázku zhoršovania prírodnej oblasti Mar Menor a Bielovežského pralesa (Poľsko)</w:t>
      </w:r>
      <w:r w:rsidRPr="007E4DC0">
        <w:t xml:space="preserve"> s cieľom reagovať na petície týkajúce sa údajného porušenia právnych predpisov EÚ v oblasti životného prostredia. Počas verejného vypočutia tiež vo veľkej miere diskutoval o ustanovení európskeho prokurátora zodpovedného za životné prostredie a o sociálny</w:t>
      </w:r>
      <w:r w:rsidRPr="007E4DC0">
        <w:t xml:space="preserve">ch a environmentálnych vplyvoch energie z obnoviteľných zdrojov.  </w:t>
      </w:r>
    </w:p>
    <w:p w:rsidR="006F4946" w:rsidRPr="007E4DC0" w:rsidRDefault="002410C3" w:rsidP="006F4946">
      <w:pPr>
        <w:spacing w:afterLines="160" w:after="384" w:line="252" w:lineRule="auto"/>
        <w:jc w:val="both"/>
      </w:pPr>
      <w:r w:rsidRPr="007E4DC0">
        <w:t xml:space="preserve">Výbor sa zameral aj na nezákonnú ťažbu dreva, či už počas návštevy Poľska na účely zistenia potrebných skutočností, alebo prostredníctvom predloženia otázky na ústne zodpovedanie a návrhu </w:t>
      </w:r>
      <w:r w:rsidRPr="007E4DC0">
        <w:t xml:space="preserve">uznesenia. </w:t>
      </w:r>
    </w:p>
    <w:p w:rsidR="006F4946" w:rsidRPr="007E4DC0" w:rsidRDefault="002410C3" w:rsidP="006F4946">
      <w:pPr>
        <w:spacing w:afterLines="160" w:after="384" w:line="252" w:lineRule="auto"/>
        <w:jc w:val="both"/>
        <w:rPr>
          <w:i/>
        </w:rPr>
      </w:pPr>
      <w:r w:rsidRPr="007E4DC0">
        <w:rPr>
          <w:rFonts w:ascii="Wingdings" w:hAnsi="Wingdings"/>
        </w:rPr>
        <w:sym w:font="Wingdings" w:char="F0A7"/>
      </w:r>
      <w:r w:rsidRPr="007E4DC0">
        <w:rPr>
          <w:rFonts w:ascii="Wingdings" w:hAnsi="Wingdings"/>
        </w:rPr>
        <w:tab/>
      </w:r>
      <w:r w:rsidRPr="007E4DC0">
        <w:rPr>
          <w:i/>
        </w:rPr>
        <w:t>Problematika zdravotného postihnutia</w:t>
      </w:r>
    </w:p>
    <w:p w:rsidR="006F4946" w:rsidRPr="007E4DC0" w:rsidRDefault="002410C3" w:rsidP="006F4946">
      <w:pPr>
        <w:spacing w:afterLines="160" w:after="384" w:line="252" w:lineRule="auto"/>
        <w:jc w:val="both"/>
      </w:pPr>
      <w:r w:rsidRPr="007E4DC0">
        <w:t xml:space="preserve">Výbor pre petície zohráva špecifickú ochrannú úlohu, pokiaľ ide o súlad s Dohovorom OSN </w:t>
      </w:r>
      <w:r w:rsidRPr="007E4DC0">
        <w:lastRenderedPageBreak/>
        <w:t>o právach osôb so zdravotným postihnutím v rámci tvorby politík a legislatívnych opatrení na úrovni EÚ. V rámci tejto</w:t>
      </w:r>
      <w:r w:rsidRPr="007E4DC0">
        <w:t xml:space="preserve"> zodpovednosti sa výbor zaoberá petíciami týkajúcimi sa problematiky zdravotného postihnutia. Je potrebné zdôrazniť, že v roku 2022 sa počet petícií o zdravotnom postihnutí (28) v porovnaní s rokom 2020 zvýšil (20 v roku 2020 a 13 v roku 2021). V roku 2022</w:t>
      </w:r>
      <w:r w:rsidRPr="007E4DC0">
        <w:t xml:space="preserve"> výbor pokračoval v skúmaní petícií o zdravotnom postihnutí, pričom sa zistilo, že hlavnými výzvami zostáva diskriminácia, prístup k vzdelaniu a zamestnaniu, ako aj začlenenie. Výbor venoval osobitnú pozornosť petícii č. 0070/2022 o zrušení chránených diel</w:t>
      </w:r>
      <w:r w:rsidRPr="007E4DC0">
        <w:t>ní, petícii č. 0226/2021 o zavedení právnych predpisov na podporu sociálneho začlenenia osôb so zdravotným postihnutím v celej EÚ, petícii č. 1135/2021 o zlepšení podmienok hlasovania v EÚ, najmä v prípade starších osôb a osôb so zdravotným postihnutím, ak</w:t>
      </w:r>
      <w:r w:rsidRPr="007E4DC0">
        <w:t xml:space="preserve">o aj petícii č. 1246/2021 o používaní typu písma Dyslexie vo všetkých dokumentoch EÚ a iných médiách. </w:t>
      </w:r>
    </w:p>
    <w:p w:rsidR="006F4946" w:rsidRPr="007E4DC0" w:rsidRDefault="002410C3" w:rsidP="006F4946">
      <w:pPr>
        <w:spacing w:afterLines="160" w:after="384" w:line="252" w:lineRule="auto"/>
        <w:jc w:val="both"/>
      </w:pPr>
      <w:r w:rsidRPr="007E4DC0">
        <w:t>Od utorka 14. júna do štvrtka 16. júna sa Výbor pre petície zúčastnil na ceste ad hoc delegácie výborov EÚ na 15. zasadnutie konferencie zmluvných štátov</w:t>
      </w:r>
      <w:r w:rsidRPr="007E4DC0">
        <w:t xml:space="preserve"> Dohovoru o právach osôb so zdravotným postihnutím (UNCRPD COSP), ktoré sa konalo v sídle Organizácie Spojených národov v New Yorku. Hlavným cieľom delegácie bolo zúčastniť sa na konferencii v rámci svojich monitorovacích funkcií ako jeden z členov rámca E</w:t>
      </w:r>
      <w:r w:rsidRPr="007E4DC0">
        <w:t>Ú pre Dohovor OSN o právach osôb so zdravotným postihnutím. Táto cesta poskytla Parlamentu a výboru príležitosť vyjadriť sa k záväzku Parlamentu v plnej miere vykonávať Dohovor OSN o právach osôb so zdravotným postihnutím a vymeniť si názory a diskutovať o</w:t>
      </w:r>
      <w:r w:rsidRPr="007E4DC0">
        <w:t xml:space="preserve"> možných spôsoboch lepšieho vykonávania Dohovoru OSN o právach osôb so zdravotným postihnutím a zlepšenia práv osôb so zdravotným postihnutím v rámci Únie a na celom svete. </w:t>
      </w:r>
    </w:p>
    <w:p w:rsidR="006F4946" w:rsidRPr="007E4DC0" w:rsidRDefault="002410C3" w:rsidP="006F4946">
      <w:pPr>
        <w:spacing w:afterLines="160" w:after="384" w:line="252" w:lineRule="auto"/>
        <w:jc w:val="both"/>
      </w:pPr>
      <w:r w:rsidRPr="007E4DC0">
        <w:t>Hoci EÚ podpísala Dohovor OSN o právach osôb so zdravotným postihnutím v roku 2009</w:t>
      </w:r>
      <w:r w:rsidRPr="007E4DC0">
        <w:t xml:space="preserve">, stále je potrebné riešiť diskrimináciu v oblasti vzdelávania, zamestnanosti a dopravy. Výbor pre petície prijal na svojej schôdzi 13. a 14. júla 2022 stanovisko s názvom </w:t>
      </w:r>
      <w:r w:rsidRPr="007E4DC0">
        <w:rPr>
          <w:i/>
          <w:iCs/>
        </w:rPr>
        <w:t>Za rovnaké práva pre osoby so zdravotným postihnutím</w:t>
      </w:r>
      <w:r w:rsidRPr="007E4DC0">
        <w:t>. Vzhľadom na ponaučenia z petíc</w:t>
      </w:r>
      <w:r w:rsidRPr="007E4DC0">
        <w:t>ií adresovaných Parlamentu v tejto oblasti výbor prispel stanoviskom k uzneseniu Parlamentu, v ktorom opätovne potvrdzuje potrebu v plnej miere vykonávať Dohovor OSN o právach osôb so zdravotným postihnutím v EÚ, bojovať proti diskriminácii osôb so zdravot</w:t>
      </w:r>
      <w:r w:rsidRPr="007E4DC0">
        <w:t xml:space="preserve">ným postihnutím a navrhnúť konkrétne opatrenia na zabezpečenie ich rovnakej účasti na spoločenskom a politickom živote. </w:t>
      </w:r>
    </w:p>
    <w:p w:rsidR="006F4946" w:rsidRPr="007E4DC0" w:rsidRDefault="002410C3" w:rsidP="006F4946">
      <w:pPr>
        <w:spacing w:afterLines="160" w:after="384" w:line="252" w:lineRule="auto"/>
        <w:jc w:val="both"/>
      </w:pPr>
      <w:r w:rsidRPr="007E4DC0">
        <w:t>No a napokon výbor 30. novembra 2022 zorganizoval výročný seminár o právach osôb so zdravotným postihnutím, ktorý bol zameraný na posud</w:t>
      </w:r>
      <w:r w:rsidRPr="007E4DC0">
        <w:t>zovanie zdravotného postihnutia, vzájomné uznávanie a preukaz EÚ pre osoby so zdravotným postihnutím, Seminár sa zaoberal prekážkami pri pohybe v rámci EÚ uvedenými v petíciách osôb so zdravotným postihnutím a vychádzal zo štúdie s názvom Posúdenie zdravot</w:t>
      </w:r>
      <w:r w:rsidRPr="007E4DC0">
        <w:t xml:space="preserve">ného postihnutia, vzájomné uznávanie a preukaz EÚ pre osoby so zdravotným postihnutím – pokrok a príležitosti (pozri vyššie pododdiely o seminári a štúdiách).  </w:t>
      </w:r>
    </w:p>
    <w:p w:rsidR="006F4946" w:rsidRPr="007E4DC0" w:rsidRDefault="002410C3" w:rsidP="006F4946">
      <w:pPr>
        <w:spacing w:afterLines="160" w:after="384" w:line="252" w:lineRule="auto"/>
        <w:jc w:val="both"/>
        <w:rPr>
          <w:b/>
        </w:rPr>
      </w:pPr>
      <w:bookmarkStart w:id="3" w:name="_Toc43131244"/>
      <w:r w:rsidRPr="007E4DC0">
        <w:rPr>
          <w:b/>
        </w:rPr>
        <w:t>Správy, návrhy uznesení a stanoviská</w:t>
      </w:r>
      <w:bookmarkEnd w:id="3"/>
    </w:p>
    <w:p w:rsidR="006F4946" w:rsidRPr="007E4DC0" w:rsidRDefault="002410C3" w:rsidP="006F4946">
      <w:pPr>
        <w:jc w:val="both"/>
      </w:pPr>
      <w:bookmarkStart w:id="4" w:name="_Toc43131245"/>
      <w:r w:rsidRPr="007E4DC0">
        <w:t>Napriek obmedzeným časovým intervalom na schôdze výboru Vý</w:t>
      </w:r>
      <w:r w:rsidRPr="007E4DC0">
        <w:t xml:space="preserve">bor pre petície intenzívne pracoval na prijímaní značného počtu parlamentných spisov. </w:t>
      </w:r>
    </w:p>
    <w:p w:rsidR="006F4946" w:rsidRPr="007E4DC0" w:rsidRDefault="006F4946" w:rsidP="006F4946">
      <w:pPr>
        <w:jc w:val="both"/>
      </w:pPr>
    </w:p>
    <w:p w:rsidR="006F4946" w:rsidRPr="007E4DC0" w:rsidRDefault="002410C3" w:rsidP="006F4946">
      <w:pPr>
        <w:jc w:val="both"/>
      </w:pPr>
      <w:r w:rsidRPr="007E4DC0">
        <w:lastRenderedPageBreak/>
        <w:t>Výbor prijal tieto správy:</w:t>
      </w:r>
    </w:p>
    <w:p w:rsidR="006F4946" w:rsidRPr="007E4DC0" w:rsidRDefault="006F4946" w:rsidP="006F4946">
      <w:pPr>
        <w:jc w:val="both"/>
      </w:pP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správa o iniciatíve s názvom V ústrety občanom: petičné právo, právo predložiť vec európskemu ombudsmanovi a európska iniciatíva občanov (</w:t>
      </w:r>
      <w:r w:rsidRPr="007E4DC0">
        <w:t xml:space="preserve">2020/2275(INI)) – prijatá 26. – 27. januára 2022; </w:t>
      </w: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 xml:space="preserve">správa o občianstve EÚ na rok 2020 – Posilnenie postavenia občanov a ochrana ich práv (2021/2099(INI)) – prijatá 26. – 27. januára 2022; </w:t>
      </w: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správa o návšteve vo Vitorii a Madride (Španielsko) na účely zi</w:t>
      </w:r>
      <w:r w:rsidRPr="007E4DC0">
        <w:t xml:space="preserve">stenia potrebných skutočností: „379 nevyriešených prípadov vrážd spáchaných teroristickou skupinou ETA v Španielsku“, ktorá sa uskutočnila 3. novembra 2021 – prijatá 20. – 21. apríla 2022; </w:t>
      </w: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 xml:space="preserve">správa podľa článku 227 ods. 7 o rokovaniach Výboru pre petície </w:t>
      </w:r>
      <w:r w:rsidRPr="007E4DC0">
        <w:t>v roku 2021, spravodajca: Lorant Vincze (PPE) – prijatá 24. – 25. októbra 2022;</w:t>
      </w: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správa o návšteve Mar Menor (Murcia, Španielsko) na účely zistenia potrebných skutočností od 23. do 25. februára 2022 v súvislosti so zhoršovaním stavu životného prostredia v</w:t>
      </w:r>
      <w:r w:rsidRPr="007E4DC0">
        <w:t> Mar Menor – prijatá 24. – 25. októbra 2022;</w:t>
      </w: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 xml:space="preserve">správa o návšteve Španielska na účely zistenia potrebných skutočností, Palma de Mallorca, 11. apríla 2022 – prijatá 30. novembra – 1. decembra 2022; </w:t>
      </w: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 xml:space="preserve">správa o návšteve Francúzska (región Hauts de France) na </w:t>
      </w:r>
      <w:r w:rsidRPr="007E4DC0">
        <w:t xml:space="preserve">účely zistenia potrebných skutočností od 23. do 25. mája 2022 s cieľom preskúmať aspekty uvedené v petícii č. 0549/2021 v súvislosti s bezpečnými a chránenými parkoviskami v EÚ – prijatá 30. novembra – 1. decembra 2022. </w:t>
      </w:r>
    </w:p>
    <w:p w:rsidR="006F4946" w:rsidRPr="007E4DC0" w:rsidRDefault="006F4946" w:rsidP="006F4946">
      <w:pPr>
        <w:pStyle w:val="ListParagraph"/>
        <w:ind w:left="0"/>
      </w:pPr>
    </w:p>
    <w:p w:rsidR="006F4946" w:rsidRPr="007E4DC0" w:rsidRDefault="002410C3" w:rsidP="006F4946">
      <w:pPr>
        <w:pStyle w:val="ListParagraph"/>
        <w:ind w:left="0"/>
      </w:pPr>
      <w:r w:rsidRPr="007E4DC0">
        <w:t>Okrem toho výbor prijal tieto návr</w:t>
      </w:r>
      <w:r w:rsidRPr="007E4DC0">
        <w:t>hy uznesení:</w:t>
      </w:r>
    </w:p>
    <w:p w:rsidR="006F4946" w:rsidRPr="007E4DC0" w:rsidRDefault="006F4946" w:rsidP="006F4946">
      <w:pPr>
        <w:jc w:val="both"/>
      </w:pP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krátky návrh uznesenia o smerniciach o dusičnanoch, spravodajkyňa: Dolors Montserrat (predsedníčka) – prijatý 14. – 15. marca 2022;</w:t>
      </w: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návrh uznesenia o nezákonnej ťažbe dreva v EÚ, spravodajkyňa: Dolors Montserrat (predsedníčka) – prijatý 1</w:t>
      </w:r>
      <w:r w:rsidRPr="007E4DC0">
        <w:t>6. – 17. mája 2022;</w:t>
      </w: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krátky návrh uznesenia o zlepšení predpisov EÚ týkajúcich sa voľne žijúcich a exotických zvierat, ktoré sa majú chovať ako spoločenské zvieratá v Európskej únii, prostredníctvom pozitívneho zoznamu EÚ – prijatý 24. – 25. októbra 2022;</w:t>
      </w: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 xml:space="preserve">krátky návrh uznesenia o digitálnej priepasti: sociálne rozdiely spôsobené digitalizáciou, spravodajkyňa: Dolors Montserrat (PPE) – prijatý 30. novembra – 1. decembra 2022; </w:t>
      </w: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krátky návrh uznesenia o vytvorení Európskeho hlavného mesta miestneho obchod</w:t>
      </w:r>
      <w:r w:rsidRPr="007E4DC0">
        <w:t>u, spravodajkyňa: Dolors Montserrat (PPE) – prijatý 30. novembra – 1. decembra 2022.</w:t>
      </w:r>
    </w:p>
    <w:p w:rsidR="006F4946" w:rsidRPr="007E4DC0" w:rsidRDefault="006F4946" w:rsidP="006F4946">
      <w:pPr>
        <w:jc w:val="both"/>
      </w:pPr>
    </w:p>
    <w:p w:rsidR="006F4946" w:rsidRPr="007E4DC0" w:rsidRDefault="002410C3" w:rsidP="006F4946">
      <w:pPr>
        <w:jc w:val="both"/>
      </w:pPr>
      <w:r w:rsidRPr="007E4DC0">
        <w:t xml:space="preserve">Výbor tiež prijal tieto stanoviská: </w:t>
      </w:r>
    </w:p>
    <w:p w:rsidR="006F4946" w:rsidRPr="007E4DC0" w:rsidRDefault="006F4946" w:rsidP="006F4946">
      <w:pPr>
        <w:jc w:val="both"/>
      </w:pPr>
    </w:p>
    <w:bookmarkEnd w:id="4"/>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stanovisko na tému Vykonávanie opatrení na začleňovanie v rámci programu Erasmus+ na roky 2014 – 2020 (2021/2009(INI)) – prijaté 2</w:t>
      </w:r>
      <w:r w:rsidRPr="007E4DC0">
        <w:t xml:space="preserve">6. – 27. januára 2022; </w:t>
      </w: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 xml:space="preserve">stanovisko na tému Ochrana práv dieťaťa v občianskoprávnych, správnych a rodinnoprávnych konaniach (2021/2060(INI)) – prijaté 26. – 27. januára 2022; </w:t>
      </w: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 xml:space="preserve">stanovisko na tému Lepšia právna regulácia: spojme sily v záujme lepšej </w:t>
      </w:r>
      <w:r w:rsidRPr="007E4DC0">
        <w:t xml:space="preserve">tvorby právnych predpisov (2021/2166(INI)) – prijaté 7. februára 2022; </w:t>
      </w: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 xml:space="preserve">stanovisko na tému Správa Komisie o právnom štáte 2021, (2021/2180(INI)), spravodajkyňa: Isabel Benjumea Benjumea (PPE) – prijaté 14. – 15. marca 2022; </w:t>
      </w: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stanovisko k situácii v obl</w:t>
      </w:r>
      <w:r w:rsidRPr="007E4DC0">
        <w:t xml:space="preserve">asti základných práv v Európskej únii v rokoch 2020 a 2021, </w:t>
      </w:r>
      <w:r w:rsidRPr="007E4DC0">
        <w:lastRenderedPageBreak/>
        <w:t xml:space="preserve">spravodajca: Mario Furore (nezaradený) – prijaté 20. – 21. apríla 2022; </w:t>
      </w: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 xml:space="preserve">stanovisko na tému Za rovnaké práva pre osoby so zdravotným postihnutím, prijaté 21 hlasmi za 13. – 14. júla 2022; </w:t>
      </w: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sta</w:t>
      </w:r>
      <w:r w:rsidRPr="007E4DC0">
        <w:t>novisko na tému Ochrana životného prostredia prostredníctvom trestného práva a nahradenie smernice 2008/99/ES, spravodajca: Vlad Gheorghe (Renew) – prijaté 30. novembra – 1. decembra 2022;</w:t>
      </w: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stanovisko na tému Vykonávanie dohody o vystúpení Spojeného kráľo</w:t>
      </w:r>
      <w:r w:rsidRPr="007E4DC0">
        <w:t>vstva z EÚ, spravodajkyňa: Dolors Montserrat (PPE) – prijatý 30. novembra – 1. decembra 2022.</w:t>
      </w:r>
    </w:p>
    <w:p w:rsidR="006F4946" w:rsidRPr="007E4DC0" w:rsidRDefault="006F4946" w:rsidP="006F4946">
      <w:pPr>
        <w:jc w:val="both"/>
      </w:pPr>
    </w:p>
    <w:p w:rsidR="006F4946" w:rsidRPr="007E4DC0" w:rsidRDefault="002410C3" w:rsidP="006F4946">
      <w:pPr>
        <w:pStyle w:val="Normal12"/>
        <w:jc w:val="both"/>
      </w:pPr>
      <w:r w:rsidRPr="007E4DC0">
        <w:t xml:space="preserve">No a napokon výbor prijal tieto stanoviská: </w:t>
      </w:r>
    </w:p>
    <w:p w:rsidR="006F4946" w:rsidRPr="007E4DC0" w:rsidRDefault="002410C3" w:rsidP="0040206F">
      <w:pPr>
        <w:ind w:left="720" w:hanging="360"/>
      </w:pPr>
      <w:r w:rsidRPr="007E4DC0">
        <w:rPr>
          <w:rFonts w:ascii="Symbol" w:hAnsi="Symbol"/>
        </w:rPr>
        <w:sym w:font="Symbol" w:char="F0B7"/>
      </w:r>
      <w:r w:rsidRPr="007E4DC0">
        <w:rPr>
          <w:rFonts w:ascii="Symbol" w:hAnsi="Symbol"/>
        </w:rPr>
        <w:tab/>
      </w:r>
      <w:r w:rsidRPr="007E4DC0">
        <w:t>otázka na ústne zodpovedanie o nezákonnej ťažbe dreva v EÚ, spravodajkyňa: Dolors Montserrat (predsedníčka) – prij</w:t>
      </w:r>
      <w:r w:rsidRPr="007E4DC0">
        <w:t>atý 16. – 17. mája 2022;</w:t>
      </w:r>
    </w:p>
    <w:p w:rsidR="006F4946" w:rsidRPr="007E4DC0" w:rsidRDefault="002410C3" w:rsidP="0048021C">
      <w:pPr>
        <w:ind w:left="720" w:hanging="360"/>
      </w:pPr>
      <w:r w:rsidRPr="007E4DC0">
        <w:rPr>
          <w:rFonts w:ascii="Symbol" w:hAnsi="Symbol"/>
        </w:rPr>
        <w:sym w:font="Symbol" w:char="F0B7"/>
      </w:r>
      <w:r w:rsidRPr="007E4DC0">
        <w:rPr>
          <w:rFonts w:ascii="Symbol" w:hAnsi="Symbol"/>
        </w:rPr>
        <w:tab/>
      </w:r>
      <w:r w:rsidRPr="007E4DC0">
        <w:t xml:space="preserve">pozmeňujúce návrhy k rozpočtu na rok 2023 – prijaté 13. – 14. júla 2022. </w:t>
      </w:r>
    </w:p>
    <w:p w:rsidR="00F461BD" w:rsidRPr="007E4DC0" w:rsidRDefault="002410C3" w:rsidP="00141600">
      <w:r w:rsidRPr="007E4DC0">
        <w:br w:type="page"/>
      </w:r>
    </w:p>
    <w:p w:rsidR="00141600" w:rsidRPr="007E4DC0" w:rsidRDefault="002410C3" w:rsidP="00141600">
      <w:pPr>
        <w:pStyle w:val="PageHeading"/>
      </w:pPr>
      <w:bookmarkStart w:id="5" w:name="ProcPageRR"/>
      <w:bookmarkStart w:id="6" w:name="_Toc151389217"/>
      <w:r w:rsidRPr="007E4DC0">
        <w:lastRenderedPageBreak/>
        <w:t>INFORMÁCIE O PRIJATÍ V GESTORSKOM VÝBORE</w:t>
      </w:r>
      <w:bookmarkEnd w:id="6"/>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43B41" w:rsidRPr="007E4DC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41600" w:rsidRPr="007E4DC0" w:rsidRDefault="002410C3">
            <w:pPr>
              <w:autoSpaceDE w:val="0"/>
              <w:autoSpaceDN w:val="0"/>
              <w:adjustRightInd w:val="0"/>
              <w:rPr>
                <w:b/>
                <w:bCs/>
                <w:color w:val="000000"/>
                <w:sz w:val="20"/>
              </w:rPr>
            </w:pPr>
            <w:r w:rsidRPr="007E4DC0">
              <w:rPr>
                <w:b/>
                <w:color w:val="000000"/>
                <w:sz w:val="20"/>
              </w:rPr>
              <w:t>Dátum prijatia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41600" w:rsidRPr="007E4DC0" w:rsidRDefault="002410C3">
            <w:pPr>
              <w:autoSpaceDE w:val="0"/>
              <w:autoSpaceDN w:val="0"/>
              <w:adjustRightInd w:val="0"/>
              <w:rPr>
                <w:color w:val="000000"/>
                <w:sz w:val="20"/>
              </w:rPr>
            </w:pPr>
            <w:r w:rsidRPr="007E4DC0">
              <w:rPr>
                <w:color w:val="000000"/>
                <w:sz w:val="20"/>
              </w:rPr>
              <w:t>24.10.2023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41600" w:rsidRPr="007E4DC0" w:rsidRDefault="00141600">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41600" w:rsidRPr="007E4DC0" w:rsidRDefault="00141600">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41600" w:rsidRPr="007E4DC0" w:rsidRDefault="00141600">
            <w:pPr>
              <w:autoSpaceDE w:val="0"/>
              <w:autoSpaceDN w:val="0"/>
              <w:adjustRightInd w:val="0"/>
              <w:rPr>
                <w:rFonts w:ascii="sans-serif" w:hAnsi="sans-serif" w:cs="sans-serif"/>
                <w:color w:val="000000"/>
                <w:szCs w:val="24"/>
              </w:rPr>
            </w:pPr>
          </w:p>
        </w:tc>
      </w:tr>
      <w:tr w:rsidR="00243B41" w:rsidRPr="007E4DC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41600" w:rsidRPr="007E4DC0" w:rsidRDefault="002410C3">
            <w:pPr>
              <w:autoSpaceDE w:val="0"/>
              <w:autoSpaceDN w:val="0"/>
              <w:adjustRightInd w:val="0"/>
              <w:rPr>
                <w:b/>
                <w:bCs/>
                <w:color w:val="000000"/>
                <w:sz w:val="20"/>
              </w:rPr>
            </w:pPr>
            <w:r w:rsidRPr="007E4DC0">
              <w:rPr>
                <w:b/>
                <w:color w:val="000000"/>
                <w:sz w:val="20"/>
              </w:rPr>
              <w:t>Výsledok záverečného hlasovania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41600" w:rsidRPr="007E4DC0" w:rsidRDefault="002410C3">
            <w:pPr>
              <w:autoSpaceDE w:val="0"/>
              <w:autoSpaceDN w:val="0"/>
              <w:adjustRightInd w:val="0"/>
              <w:rPr>
                <w:color w:val="000000"/>
                <w:sz w:val="20"/>
              </w:rPr>
            </w:pPr>
            <w:r w:rsidRPr="007E4DC0">
              <w:rPr>
                <w:color w:val="000000"/>
                <w:sz w:val="20"/>
              </w:rPr>
              <w:t>+:</w:t>
            </w:r>
          </w:p>
          <w:p w:rsidR="00141600" w:rsidRPr="007E4DC0" w:rsidRDefault="002410C3">
            <w:pPr>
              <w:autoSpaceDE w:val="0"/>
              <w:autoSpaceDN w:val="0"/>
              <w:adjustRightInd w:val="0"/>
              <w:rPr>
                <w:color w:val="000000"/>
                <w:sz w:val="20"/>
              </w:rPr>
            </w:pPr>
            <w:r w:rsidRPr="007E4DC0">
              <w:rPr>
                <w:color w:val="000000"/>
                <w:sz w:val="20"/>
              </w:rPr>
              <w:t>–:</w:t>
            </w:r>
          </w:p>
          <w:p w:rsidR="00141600" w:rsidRPr="007E4DC0" w:rsidRDefault="002410C3">
            <w:pPr>
              <w:autoSpaceDE w:val="0"/>
              <w:autoSpaceDN w:val="0"/>
              <w:adjustRightInd w:val="0"/>
              <w:rPr>
                <w:color w:val="000000"/>
                <w:sz w:val="20"/>
              </w:rPr>
            </w:pPr>
            <w:r w:rsidRPr="007E4DC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41600" w:rsidRPr="007E4DC0" w:rsidRDefault="002410C3">
            <w:pPr>
              <w:autoSpaceDE w:val="0"/>
              <w:autoSpaceDN w:val="0"/>
              <w:adjustRightInd w:val="0"/>
              <w:rPr>
                <w:color w:val="000000"/>
                <w:sz w:val="20"/>
              </w:rPr>
            </w:pPr>
            <w:r w:rsidRPr="007E4DC0">
              <w:rPr>
                <w:color w:val="000000"/>
                <w:sz w:val="20"/>
              </w:rPr>
              <w:t>16</w:t>
            </w:r>
          </w:p>
          <w:p w:rsidR="00141600" w:rsidRPr="007E4DC0" w:rsidRDefault="002410C3">
            <w:pPr>
              <w:autoSpaceDE w:val="0"/>
              <w:autoSpaceDN w:val="0"/>
              <w:adjustRightInd w:val="0"/>
              <w:rPr>
                <w:color w:val="000000"/>
                <w:sz w:val="20"/>
              </w:rPr>
            </w:pPr>
            <w:r w:rsidRPr="007E4DC0">
              <w:rPr>
                <w:color w:val="000000"/>
                <w:sz w:val="20"/>
              </w:rPr>
              <w:t>0</w:t>
            </w:r>
          </w:p>
          <w:p w:rsidR="00141600" w:rsidRPr="007E4DC0" w:rsidRDefault="002410C3">
            <w:pPr>
              <w:autoSpaceDE w:val="0"/>
              <w:autoSpaceDN w:val="0"/>
              <w:adjustRightInd w:val="0"/>
              <w:rPr>
                <w:color w:val="000000"/>
                <w:sz w:val="20"/>
              </w:rPr>
            </w:pPr>
            <w:r w:rsidRPr="007E4DC0">
              <w:rPr>
                <w:color w:val="000000"/>
                <w:sz w:val="20"/>
              </w:rPr>
              <w:t>3</w:t>
            </w:r>
          </w:p>
        </w:tc>
      </w:tr>
      <w:tr w:rsidR="00243B41" w:rsidRPr="007E4DC0">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41600" w:rsidRPr="007E4DC0" w:rsidRDefault="002410C3">
            <w:pPr>
              <w:autoSpaceDE w:val="0"/>
              <w:autoSpaceDN w:val="0"/>
              <w:adjustRightInd w:val="0"/>
              <w:rPr>
                <w:b/>
                <w:bCs/>
                <w:color w:val="000000"/>
                <w:sz w:val="20"/>
              </w:rPr>
            </w:pPr>
            <w:r w:rsidRPr="007E4DC0">
              <w:rPr>
                <w:b/>
                <w:color w:val="000000"/>
                <w:sz w:val="20"/>
              </w:rPr>
              <w:t xml:space="preserve">Poslanci prítomní na záverečnom </w:t>
            </w:r>
            <w:r w:rsidRPr="007E4DC0">
              <w:rPr>
                <w:b/>
                <w:color w:val="000000"/>
                <w:sz w:val="20"/>
              </w:rPr>
              <w:t>hlasovaní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41600" w:rsidRPr="007E4DC0" w:rsidRDefault="002410C3">
            <w:pPr>
              <w:autoSpaceDE w:val="0"/>
              <w:autoSpaceDN w:val="0"/>
              <w:adjustRightInd w:val="0"/>
              <w:rPr>
                <w:color w:val="000000"/>
                <w:sz w:val="20"/>
              </w:rPr>
            </w:pPr>
            <w:r w:rsidRPr="007E4DC0">
              <w:rPr>
                <w:color w:val="000000"/>
                <w:sz w:val="20"/>
              </w:rPr>
              <w:t xml:space="preserve">Alex Agius Saliba, Marc Angel, Margrete Auken, Alexander Bernhuber, Ryszard Czarnecki, Francesca Donato, Vlad Gheorghe, Peter Jahr, Cristina Maestre Martín De Almagro, Ana Miranda, Dolors Montserrat, Ulrike Müller, Emil Radev, Loránt Vincze, </w:t>
            </w:r>
            <w:r w:rsidRPr="007E4DC0">
              <w:rPr>
                <w:color w:val="000000"/>
                <w:sz w:val="20"/>
              </w:rPr>
              <w:t>Michal Wiezik, Tatjana Ždanoka, Kosma Złotowski</w:t>
            </w:r>
          </w:p>
        </w:tc>
      </w:tr>
      <w:tr w:rsidR="00243B41" w:rsidRPr="007E4DC0">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41600" w:rsidRPr="007E4DC0" w:rsidRDefault="002410C3">
            <w:pPr>
              <w:autoSpaceDE w:val="0"/>
              <w:autoSpaceDN w:val="0"/>
              <w:adjustRightInd w:val="0"/>
              <w:rPr>
                <w:b/>
                <w:bCs/>
                <w:color w:val="000000"/>
                <w:sz w:val="20"/>
              </w:rPr>
            </w:pPr>
            <w:r w:rsidRPr="007E4DC0">
              <w:rPr>
                <w:b/>
                <w:color w:val="000000"/>
                <w:sz w:val="20"/>
              </w:rPr>
              <w:t>Náhradníci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41600" w:rsidRPr="007E4DC0" w:rsidRDefault="002410C3">
            <w:pPr>
              <w:autoSpaceDE w:val="0"/>
              <w:autoSpaceDN w:val="0"/>
              <w:adjustRightInd w:val="0"/>
              <w:rPr>
                <w:color w:val="000000"/>
                <w:sz w:val="20"/>
              </w:rPr>
            </w:pPr>
            <w:r w:rsidRPr="007E4DC0">
              <w:rPr>
                <w:color w:val="000000"/>
                <w:sz w:val="20"/>
              </w:rPr>
              <w:t>Karolin Braunsberger-Reinhold, Maite Pagazaurtundúa</w:t>
            </w:r>
          </w:p>
        </w:tc>
      </w:tr>
    </w:tbl>
    <w:p w:rsidR="00141600" w:rsidRPr="007E4DC0" w:rsidRDefault="00141600"/>
    <w:bookmarkEnd w:id="5"/>
    <w:p w:rsidR="0048021C" w:rsidRPr="007E4DC0" w:rsidRDefault="0048021C" w:rsidP="00141600">
      <w:pPr>
        <w:sectPr w:rsidR="0048021C" w:rsidRPr="007E4DC0" w:rsidSect="00052334">
          <w:footnotePr>
            <w:numRestart w:val="eachSect"/>
          </w:footnotePr>
          <w:endnotePr>
            <w:numFmt w:val="decimal"/>
          </w:endnotePr>
          <w:pgSz w:w="11906" w:h="16838"/>
          <w:pgMar w:top="1134" w:right="1418" w:bottom="1418" w:left="1418" w:header="567" w:footer="567" w:gutter="0"/>
          <w:cols w:space="720"/>
          <w:noEndnote/>
          <w:docGrid w:linePitch="326"/>
        </w:sectPr>
      </w:pPr>
    </w:p>
    <w:p w:rsidR="0048021C" w:rsidRPr="007E4DC0" w:rsidRDefault="002410C3" w:rsidP="00141600">
      <w:pPr>
        <w:pStyle w:val="PageHeading"/>
      </w:pPr>
      <w:bookmarkStart w:id="7" w:name="RollCallPageRR"/>
      <w:bookmarkStart w:id="8" w:name="_Toc151389218"/>
      <w:r w:rsidRPr="007E4DC0">
        <w:lastRenderedPageBreak/>
        <w:t>ZÁVEREČNÉ HLASOVANIE PODĽA MIEN V GESTORSKOM VÝBORE</w:t>
      </w:r>
      <w:bookmarkEnd w:id="8"/>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43B41" w:rsidRPr="007E4DC0" w:rsidTr="008E2F19">
        <w:trPr>
          <w:cantSplit/>
        </w:trPr>
        <w:tc>
          <w:tcPr>
            <w:tcW w:w="1701" w:type="dxa"/>
            <w:shd w:val="pct10" w:color="000000" w:fill="FFFFFF"/>
            <w:vAlign w:val="center"/>
          </w:tcPr>
          <w:p w:rsidR="0048021C" w:rsidRPr="007E4DC0" w:rsidRDefault="002410C3" w:rsidP="008E2F19">
            <w:pPr>
              <w:pStyle w:val="RollCallVotes"/>
            </w:pPr>
            <w:r w:rsidRPr="007E4DC0">
              <w:t>16</w:t>
            </w:r>
          </w:p>
        </w:tc>
        <w:tc>
          <w:tcPr>
            <w:tcW w:w="7371" w:type="dxa"/>
            <w:shd w:val="pct10" w:color="000000" w:fill="FFFFFF"/>
          </w:tcPr>
          <w:p w:rsidR="0048021C" w:rsidRPr="007E4DC0" w:rsidRDefault="002410C3" w:rsidP="008E2F19">
            <w:pPr>
              <w:pStyle w:val="RollCallSymbols14pt"/>
            </w:pPr>
            <w:r w:rsidRPr="007E4DC0">
              <w:t>+</w:t>
            </w:r>
          </w:p>
        </w:tc>
      </w:tr>
      <w:tr w:rsidR="00243B41" w:rsidRPr="007E4DC0" w:rsidTr="008E2F19">
        <w:trPr>
          <w:cantSplit/>
        </w:trPr>
        <w:tc>
          <w:tcPr>
            <w:tcW w:w="1701" w:type="dxa"/>
            <w:shd w:val="clear" w:color="auto" w:fill="FFFFFF"/>
          </w:tcPr>
          <w:p w:rsidR="0048021C" w:rsidRPr="007E4DC0" w:rsidRDefault="002410C3" w:rsidP="008E2F19">
            <w:pPr>
              <w:pStyle w:val="RollCallTable"/>
            </w:pPr>
            <w:r w:rsidRPr="007E4DC0">
              <w:t>NI</w:t>
            </w:r>
          </w:p>
        </w:tc>
        <w:tc>
          <w:tcPr>
            <w:tcW w:w="7371" w:type="dxa"/>
            <w:shd w:val="clear" w:color="auto" w:fill="FFFFFF"/>
          </w:tcPr>
          <w:p w:rsidR="0048021C" w:rsidRPr="007E4DC0" w:rsidRDefault="002410C3" w:rsidP="008E2F19">
            <w:pPr>
              <w:pStyle w:val="RollCallTable"/>
            </w:pPr>
            <w:r w:rsidRPr="007E4DC0">
              <w:t>Tatjana Ždanoka</w:t>
            </w:r>
          </w:p>
        </w:tc>
      </w:tr>
      <w:tr w:rsidR="00243B41" w:rsidRPr="007E4DC0" w:rsidTr="008E2F19">
        <w:trPr>
          <w:cantSplit/>
        </w:trPr>
        <w:tc>
          <w:tcPr>
            <w:tcW w:w="1701" w:type="dxa"/>
            <w:shd w:val="clear" w:color="auto" w:fill="FFFFFF"/>
          </w:tcPr>
          <w:p w:rsidR="0048021C" w:rsidRPr="007E4DC0" w:rsidRDefault="002410C3" w:rsidP="008E2F19">
            <w:pPr>
              <w:pStyle w:val="RollCallTable"/>
            </w:pPr>
            <w:r w:rsidRPr="007E4DC0">
              <w:t>PPE</w:t>
            </w:r>
          </w:p>
        </w:tc>
        <w:tc>
          <w:tcPr>
            <w:tcW w:w="7371" w:type="dxa"/>
            <w:shd w:val="clear" w:color="auto" w:fill="FFFFFF"/>
          </w:tcPr>
          <w:p w:rsidR="0048021C" w:rsidRPr="007E4DC0" w:rsidRDefault="002410C3" w:rsidP="008E2F19">
            <w:pPr>
              <w:pStyle w:val="RollCallTable"/>
            </w:pPr>
            <w:r w:rsidRPr="007E4DC0">
              <w:t>Alexander Bernhuber, Karolin Braunsberger-Reinhold, Peter Jahr, Dolors Montserrat, Emil Radev, Loránt Vincze</w:t>
            </w:r>
          </w:p>
        </w:tc>
      </w:tr>
      <w:tr w:rsidR="00243B41" w:rsidRPr="007E4DC0" w:rsidTr="008E2F19">
        <w:trPr>
          <w:cantSplit/>
        </w:trPr>
        <w:tc>
          <w:tcPr>
            <w:tcW w:w="1701" w:type="dxa"/>
            <w:shd w:val="clear" w:color="auto" w:fill="FFFFFF"/>
          </w:tcPr>
          <w:p w:rsidR="0048021C" w:rsidRPr="007E4DC0" w:rsidRDefault="002410C3" w:rsidP="008E2F19">
            <w:pPr>
              <w:pStyle w:val="RollCallTable"/>
            </w:pPr>
            <w:r w:rsidRPr="007E4DC0">
              <w:t>Renew</w:t>
            </w:r>
          </w:p>
        </w:tc>
        <w:tc>
          <w:tcPr>
            <w:tcW w:w="7371" w:type="dxa"/>
            <w:shd w:val="clear" w:color="auto" w:fill="FFFFFF"/>
          </w:tcPr>
          <w:p w:rsidR="0048021C" w:rsidRPr="007E4DC0" w:rsidRDefault="002410C3" w:rsidP="008E2F19">
            <w:pPr>
              <w:pStyle w:val="RollCallTable"/>
            </w:pPr>
            <w:r w:rsidRPr="007E4DC0">
              <w:t>Vlad Gheorghe, Ulrike Müller, Maite Pagazaurtundúa, Michal Wiezik</w:t>
            </w:r>
          </w:p>
        </w:tc>
      </w:tr>
      <w:tr w:rsidR="00243B41" w:rsidRPr="007E4DC0" w:rsidTr="008E2F19">
        <w:trPr>
          <w:cantSplit/>
        </w:trPr>
        <w:tc>
          <w:tcPr>
            <w:tcW w:w="1701" w:type="dxa"/>
            <w:shd w:val="clear" w:color="auto" w:fill="FFFFFF"/>
          </w:tcPr>
          <w:p w:rsidR="0048021C" w:rsidRPr="007E4DC0" w:rsidRDefault="002410C3" w:rsidP="008E2F19">
            <w:pPr>
              <w:pStyle w:val="RollCallTable"/>
            </w:pPr>
            <w:r w:rsidRPr="007E4DC0">
              <w:t>S&amp;D</w:t>
            </w:r>
          </w:p>
        </w:tc>
        <w:tc>
          <w:tcPr>
            <w:tcW w:w="7371" w:type="dxa"/>
            <w:shd w:val="clear" w:color="auto" w:fill="FFFFFF"/>
          </w:tcPr>
          <w:p w:rsidR="0048021C" w:rsidRPr="007E4DC0" w:rsidRDefault="002410C3" w:rsidP="008E2F19">
            <w:pPr>
              <w:pStyle w:val="RollCallTable"/>
            </w:pPr>
            <w:r w:rsidRPr="007E4DC0">
              <w:t>Alex Agius Saliba, Marc Angel, Cristina Maestre Martín De Almagro</w:t>
            </w:r>
          </w:p>
        </w:tc>
      </w:tr>
      <w:tr w:rsidR="00243B41" w:rsidRPr="007E4DC0" w:rsidTr="008E2F19">
        <w:trPr>
          <w:cantSplit/>
        </w:trPr>
        <w:tc>
          <w:tcPr>
            <w:tcW w:w="1701" w:type="dxa"/>
            <w:shd w:val="clear" w:color="auto" w:fill="FFFFFF"/>
          </w:tcPr>
          <w:p w:rsidR="0048021C" w:rsidRPr="007E4DC0" w:rsidRDefault="002410C3" w:rsidP="008E2F19">
            <w:pPr>
              <w:pStyle w:val="RollCallTable"/>
            </w:pPr>
            <w:r w:rsidRPr="007E4DC0">
              <w:t>Verts/ALE</w:t>
            </w:r>
          </w:p>
        </w:tc>
        <w:tc>
          <w:tcPr>
            <w:tcW w:w="7371" w:type="dxa"/>
            <w:shd w:val="clear" w:color="auto" w:fill="FFFFFF"/>
          </w:tcPr>
          <w:p w:rsidR="0048021C" w:rsidRPr="007E4DC0" w:rsidRDefault="002410C3" w:rsidP="008E2F19">
            <w:pPr>
              <w:pStyle w:val="RollCallTable"/>
            </w:pPr>
            <w:r w:rsidRPr="007E4DC0">
              <w:t>Margrete Auken, Ana Miranda</w:t>
            </w:r>
          </w:p>
        </w:tc>
      </w:tr>
    </w:tbl>
    <w:p w:rsidR="0048021C" w:rsidRPr="007E4DC0" w:rsidRDefault="0048021C" w:rsidP="008E2F1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43B41" w:rsidRPr="007E4DC0" w:rsidTr="008E2F19">
        <w:trPr>
          <w:cantSplit/>
        </w:trPr>
        <w:tc>
          <w:tcPr>
            <w:tcW w:w="1701" w:type="dxa"/>
            <w:shd w:val="pct10" w:color="000000" w:fill="FFFFFF"/>
            <w:vAlign w:val="center"/>
          </w:tcPr>
          <w:p w:rsidR="0048021C" w:rsidRPr="007E4DC0" w:rsidRDefault="002410C3" w:rsidP="008E2F19">
            <w:pPr>
              <w:pStyle w:val="RollCallVotes"/>
            </w:pPr>
            <w:r w:rsidRPr="007E4DC0">
              <w:t>0</w:t>
            </w:r>
          </w:p>
        </w:tc>
        <w:tc>
          <w:tcPr>
            <w:tcW w:w="7371" w:type="dxa"/>
            <w:shd w:val="pct10" w:color="000000" w:fill="FFFFFF"/>
          </w:tcPr>
          <w:p w:rsidR="0048021C" w:rsidRPr="007E4DC0" w:rsidRDefault="002410C3" w:rsidP="008E2F19">
            <w:pPr>
              <w:pStyle w:val="RollCallSymbols14pt"/>
            </w:pPr>
            <w:r w:rsidRPr="007E4DC0">
              <w:t>-</w:t>
            </w:r>
          </w:p>
        </w:tc>
      </w:tr>
      <w:tr w:rsidR="00243B41" w:rsidRPr="007E4DC0" w:rsidTr="008E2F19">
        <w:trPr>
          <w:cantSplit/>
        </w:trPr>
        <w:tc>
          <w:tcPr>
            <w:tcW w:w="1701" w:type="dxa"/>
            <w:shd w:val="clear" w:color="auto" w:fill="FFFFFF"/>
          </w:tcPr>
          <w:p w:rsidR="0048021C" w:rsidRPr="007E4DC0" w:rsidRDefault="0048021C" w:rsidP="008E2F19">
            <w:pPr>
              <w:pStyle w:val="RollCallTable"/>
            </w:pPr>
          </w:p>
        </w:tc>
        <w:tc>
          <w:tcPr>
            <w:tcW w:w="7371" w:type="dxa"/>
            <w:shd w:val="clear" w:color="auto" w:fill="FFFFFF"/>
          </w:tcPr>
          <w:p w:rsidR="0048021C" w:rsidRPr="007E4DC0" w:rsidRDefault="0048021C" w:rsidP="008E2F19">
            <w:pPr>
              <w:pStyle w:val="RollCallTable"/>
            </w:pPr>
          </w:p>
        </w:tc>
      </w:tr>
    </w:tbl>
    <w:p w:rsidR="0048021C" w:rsidRPr="007E4DC0" w:rsidRDefault="0048021C" w:rsidP="008E2F19"/>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43B41" w:rsidRPr="007E4DC0" w:rsidTr="008E2F19">
        <w:trPr>
          <w:cantSplit/>
        </w:trPr>
        <w:tc>
          <w:tcPr>
            <w:tcW w:w="1701" w:type="dxa"/>
            <w:shd w:val="pct10" w:color="000000" w:fill="FFFFFF"/>
            <w:vAlign w:val="center"/>
          </w:tcPr>
          <w:p w:rsidR="0048021C" w:rsidRPr="007E4DC0" w:rsidRDefault="002410C3" w:rsidP="008E2F19">
            <w:pPr>
              <w:pStyle w:val="RollCallVotes"/>
            </w:pPr>
            <w:r w:rsidRPr="007E4DC0">
              <w:t>3</w:t>
            </w:r>
          </w:p>
        </w:tc>
        <w:tc>
          <w:tcPr>
            <w:tcW w:w="7371" w:type="dxa"/>
            <w:shd w:val="pct10" w:color="000000" w:fill="FFFFFF"/>
          </w:tcPr>
          <w:p w:rsidR="0048021C" w:rsidRPr="007E4DC0" w:rsidRDefault="002410C3" w:rsidP="008E2F19">
            <w:pPr>
              <w:pStyle w:val="RollCallSymbols14pt"/>
            </w:pPr>
            <w:r w:rsidRPr="007E4DC0">
              <w:t>0</w:t>
            </w:r>
          </w:p>
        </w:tc>
      </w:tr>
      <w:tr w:rsidR="00243B41" w:rsidRPr="007E4DC0" w:rsidTr="008E2F19">
        <w:trPr>
          <w:cantSplit/>
        </w:trPr>
        <w:tc>
          <w:tcPr>
            <w:tcW w:w="1701" w:type="dxa"/>
            <w:shd w:val="clear" w:color="auto" w:fill="FFFFFF"/>
          </w:tcPr>
          <w:p w:rsidR="0048021C" w:rsidRPr="007E4DC0" w:rsidRDefault="002410C3" w:rsidP="008E2F19">
            <w:pPr>
              <w:pStyle w:val="RollCallTable"/>
            </w:pPr>
            <w:r w:rsidRPr="007E4DC0">
              <w:t>ECR</w:t>
            </w:r>
          </w:p>
        </w:tc>
        <w:tc>
          <w:tcPr>
            <w:tcW w:w="7371" w:type="dxa"/>
            <w:shd w:val="clear" w:color="auto" w:fill="FFFFFF"/>
          </w:tcPr>
          <w:p w:rsidR="0048021C" w:rsidRPr="007E4DC0" w:rsidRDefault="002410C3" w:rsidP="008E2F19">
            <w:pPr>
              <w:pStyle w:val="RollCallTable"/>
            </w:pPr>
            <w:r w:rsidRPr="007E4DC0">
              <w:t>Ryszard Czarnecki, Kosma Złotowski</w:t>
            </w:r>
          </w:p>
        </w:tc>
      </w:tr>
      <w:tr w:rsidR="00243B41" w:rsidRPr="007E4DC0" w:rsidTr="008E2F19">
        <w:trPr>
          <w:cantSplit/>
        </w:trPr>
        <w:tc>
          <w:tcPr>
            <w:tcW w:w="1701" w:type="dxa"/>
            <w:shd w:val="clear" w:color="auto" w:fill="FFFFFF"/>
          </w:tcPr>
          <w:p w:rsidR="0048021C" w:rsidRPr="007E4DC0" w:rsidRDefault="002410C3" w:rsidP="008E2F19">
            <w:pPr>
              <w:pStyle w:val="RollCallTable"/>
            </w:pPr>
            <w:r w:rsidRPr="007E4DC0">
              <w:t>NI</w:t>
            </w:r>
          </w:p>
        </w:tc>
        <w:tc>
          <w:tcPr>
            <w:tcW w:w="7371" w:type="dxa"/>
            <w:shd w:val="clear" w:color="auto" w:fill="FFFFFF"/>
          </w:tcPr>
          <w:p w:rsidR="0048021C" w:rsidRPr="007E4DC0" w:rsidRDefault="002410C3" w:rsidP="008E2F19">
            <w:pPr>
              <w:pStyle w:val="RollCallTable"/>
            </w:pPr>
            <w:r w:rsidRPr="007E4DC0">
              <w:t>Francesca Donato</w:t>
            </w:r>
          </w:p>
        </w:tc>
      </w:tr>
    </w:tbl>
    <w:p w:rsidR="0048021C" w:rsidRPr="007E4DC0" w:rsidRDefault="0048021C" w:rsidP="008E2F19">
      <w:pPr>
        <w:pStyle w:val="Normal12a"/>
      </w:pPr>
    </w:p>
    <w:p w:rsidR="0048021C" w:rsidRPr="007E4DC0" w:rsidRDefault="002410C3" w:rsidP="008E2F19">
      <w:r w:rsidRPr="007E4DC0">
        <w:t>Vysvetlenie použitých znakov:</w:t>
      </w:r>
    </w:p>
    <w:p w:rsidR="0048021C" w:rsidRPr="007E4DC0" w:rsidRDefault="002410C3" w:rsidP="008E2F19">
      <w:pPr>
        <w:pStyle w:val="RollCallTabs"/>
      </w:pPr>
      <w:r w:rsidRPr="007E4DC0">
        <w:t>+</w:t>
      </w:r>
      <w:r w:rsidRPr="007E4DC0">
        <w:tab/>
        <w:t>:</w:t>
      </w:r>
      <w:r w:rsidRPr="007E4DC0">
        <w:tab/>
        <w:t>za</w:t>
      </w:r>
    </w:p>
    <w:p w:rsidR="0048021C" w:rsidRPr="007E4DC0" w:rsidRDefault="002410C3" w:rsidP="008E2F19">
      <w:pPr>
        <w:pStyle w:val="RollCallTabs"/>
      </w:pPr>
      <w:r w:rsidRPr="007E4DC0">
        <w:t>-</w:t>
      </w:r>
      <w:r w:rsidRPr="007E4DC0">
        <w:tab/>
        <w:t>:</w:t>
      </w:r>
      <w:r w:rsidRPr="007E4DC0">
        <w:tab/>
        <w:t>proti</w:t>
      </w:r>
    </w:p>
    <w:p w:rsidR="0048021C" w:rsidRPr="007E4DC0" w:rsidRDefault="002410C3" w:rsidP="008E2F19">
      <w:pPr>
        <w:pStyle w:val="RollCallTabs"/>
      </w:pPr>
      <w:r w:rsidRPr="007E4DC0">
        <w:t>0</w:t>
      </w:r>
      <w:r w:rsidRPr="007E4DC0">
        <w:tab/>
        <w:t>:</w:t>
      </w:r>
      <w:r w:rsidRPr="007E4DC0">
        <w:tab/>
        <w:t>zdržali sa hlasovania</w:t>
      </w:r>
    </w:p>
    <w:p w:rsidR="0048021C" w:rsidRPr="007E4DC0" w:rsidRDefault="0048021C" w:rsidP="008E2F19"/>
    <w:bookmarkEnd w:id="7"/>
    <w:p w:rsidR="00473A0B" w:rsidRPr="007E4DC0" w:rsidRDefault="00473A0B" w:rsidP="0048021C"/>
    <w:sectPr w:rsidR="00473A0B" w:rsidRPr="007E4DC0" w:rsidSect="00052334">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E4DC0" w:rsidRDefault="002410C3">
      <w:r w:rsidRPr="007E4DC0">
        <w:separator/>
      </w:r>
    </w:p>
  </w:endnote>
  <w:endnote w:type="continuationSeparator" w:id="0">
    <w:p w:rsidR="00000000" w:rsidRPr="007E4DC0" w:rsidRDefault="002410C3">
      <w:r w:rsidRPr="007E4D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DC0" w:rsidRPr="007E4DC0" w:rsidRDefault="007E4DC0" w:rsidP="007E4DC0">
    <w:pPr>
      <w:pStyle w:val="EPFooter"/>
    </w:pPr>
    <w:r w:rsidRPr="007E4DC0">
      <w:t>PE</w:t>
    </w:r>
    <w:r w:rsidRPr="007E4DC0">
      <w:rPr>
        <w:rStyle w:val="HideTWBExt"/>
      </w:rPr>
      <w:t>&lt;NoPE&gt;</w:t>
    </w:r>
    <w:r w:rsidRPr="007E4DC0">
      <w:t>749.894</w:t>
    </w:r>
    <w:r w:rsidRPr="007E4DC0">
      <w:rPr>
        <w:rStyle w:val="HideTWBExt"/>
      </w:rPr>
      <w:t>&lt;/NoPE&gt;&lt;Version&gt;</w:t>
    </w:r>
    <w:r w:rsidRPr="007E4DC0">
      <w:t>v03-00</w:t>
    </w:r>
    <w:r w:rsidRPr="007E4DC0">
      <w:rPr>
        <w:rStyle w:val="HideTWBExt"/>
      </w:rPr>
      <w:t>&lt;/Version&gt;</w:t>
    </w:r>
    <w:r w:rsidRPr="007E4DC0">
      <w:tab/>
    </w:r>
    <w:r w:rsidRPr="007E4DC0">
      <w:fldChar w:fldCharType="begin"/>
    </w:r>
    <w:r w:rsidRPr="007E4DC0">
      <w:instrText xml:space="preserve"> PAGE  \* MERGEFORMAT </w:instrText>
    </w:r>
    <w:r w:rsidRPr="007E4DC0">
      <w:fldChar w:fldCharType="separate"/>
    </w:r>
    <w:r w:rsidR="002410C3">
      <w:rPr>
        <w:noProof/>
      </w:rPr>
      <w:t>33</w:t>
    </w:r>
    <w:r w:rsidRPr="007E4DC0">
      <w:fldChar w:fldCharType="end"/>
    </w:r>
    <w:r w:rsidRPr="007E4DC0">
      <w:t>/</w:t>
    </w:r>
    <w:fldSimple w:instr=" NUMPAGES  \* MERGEFORMAT ">
      <w:r w:rsidR="002410C3">
        <w:rPr>
          <w:noProof/>
        </w:rPr>
        <w:t>33</w:t>
      </w:r>
    </w:fldSimple>
    <w:r w:rsidRPr="007E4DC0">
      <w:tab/>
    </w:r>
    <w:r w:rsidRPr="007E4DC0">
      <w:rPr>
        <w:rStyle w:val="HideTWBExt"/>
      </w:rPr>
      <w:t>&lt;PathFdR&gt;</w:t>
    </w:r>
    <w:r w:rsidRPr="007E4DC0">
      <w:t>RR\1289548SK.docx</w:t>
    </w:r>
    <w:r w:rsidRPr="007E4DC0">
      <w:rPr>
        <w:rStyle w:val="HideTWBExt"/>
      </w:rPr>
      <w:t>&lt;/PathFdR&gt;</w:t>
    </w:r>
  </w:p>
  <w:p w:rsidR="004A2E19" w:rsidRPr="007E4DC0" w:rsidRDefault="007E4DC0" w:rsidP="007E4DC0">
    <w:pPr>
      <w:pStyle w:val="EPFooter2"/>
    </w:pPr>
    <w:r w:rsidRPr="007E4DC0">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DC0" w:rsidRPr="007E4DC0" w:rsidRDefault="007E4DC0" w:rsidP="007E4DC0">
    <w:pPr>
      <w:pStyle w:val="EPFooter"/>
    </w:pPr>
    <w:r w:rsidRPr="007E4DC0">
      <w:rPr>
        <w:rStyle w:val="HideTWBExt"/>
      </w:rPr>
      <w:t>&lt;PathFdR&gt;</w:t>
    </w:r>
    <w:r w:rsidRPr="007E4DC0">
      <w:t>RR\1289548SK.docx</w:t>
    </w:r>
    <w:r w:rsidRPr="007E4DC0">
      <w:rPr>
        <w:rStyle w:val="HideTWBExt"/>
      </w:rPr>
      <w:t>&lt;/PathFdR&gt;</w:t>
    </w:r>
    <w:r w:rsidRPr="007E4DC0">
      <w:tab/>
    </w:r>
    <w:r w:rsidRPr="007E4DC0">
      <w:fldChar w:fldCharType="begin"/>
    </w:r>
    <w:r w:rsidRPr="007E4DC0">
      <w:instrText xml:space="preserve"> PAGE  \* MERGEFORMAT </w:instrText>
    </w:r>
    <w:r w:rsidRPr="007E4DC0">
      <w:fldChar w:fldCharType="separate"/>
    </w:r>
    <w:r w:rsidR="002410C3">
      <w:rPr>
        <w:noProof/>
      </w:rPr>
      <w:t>33</w:t>
    </w:r>
    <w:r w:rsidRPr="007E4DC0">
      <w:fldChar w:fldCharType="end"/>
    </w:r>
    <w:r w:rsidRPr="007E4DC0">
      <w:t>/</w:t>
    </w:r>
    <w:fldSimple w:instr=" NUMPAGES  \* MERGEFORMAT ">
      <w:r w:rsidR="002410C3">
        <w:rPr>
          <w:noProof/>
        </w:rPr>
        <w:t>33</w:t>
      </w:r>
    </w:fldSimple>
    <w:r w:rsidRPr="007E4DC0">
      <w:tab/>
      <w:t>PE</w:t>
    </w:r>
    <w:r w:rsidRPr="007E4DC0">
      <w:rPr>
        <w:rStyle w:val="HideTWBExt"/>
      </w:rPr>
      <w:t>&lt;NoPE&gt;</w:t>
    </w:r>
    <w:r w:rsidRPr="007E4DC0">
      <w:t>749.894</w:t>
    </w:r>
    <w:r w:rsidRPr="007E4DC0">
      <w:rPr>
        <w:rStyle w:val="HideTWBExt"/>
      </w:rPr>
      <w:t>&lt;/NoPE&gt;&lt;Version&gt;</w:t>
    </w:r>
    <w:r w:rsidRPr="007E4DC0">
      <w:t>v03-00</w:t>
    </w:r>
    <w:r w:rsidRPr="007E4DC0">
      <w:rPr>
        <w:rStyle w:val="HideTWBExt"/>
      </w:rPr>
      <w:t>&lt;/Version&gt;</w:t>
    </w:r>
  </w:p>
  <w:p w:rsidR="004A2E19" w:rsidRPr="007E4DC0" w:rsidRDefault="007E4DC0" w:rsidP="007E4DC0">
    <w:pPr>
      <w:pStyle w:val="EPFooter2"/>
    </w:pPr>
    <w:r w:rsidRPr="007E4DC0">
      <w:tab/>
    </w:r>
    <w:r w:rsidRPr="007E4DC0">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DC0" w:rsidRPr="007E4DC0" w:rsidRDefault="007E4DC0" w:rsidP="007E4DC0">
    <w:pPr>
      <w:pStyle w:val="EPFooter"/>
    </w:pPr>
    <w:r w:rsidRPr="007E4DC0">
      <w:rPr>
        <w:rStyle w:val="HideTWBExt"/>
      </w:rPr>
      <w:t>&lt;PathFdR&gt;</w:t>
    </w:r>
    <w:r w:rsidRPr="007E4DC0">
      <w:t>RR\1289548SK.docx</w:t>
    </w:r>
    <w:r w:rsidRPr="007E4DC0">
      <w:rPr>
        <w:rStyle w:val="HideTWBExt"/>
      </w:rPr>
      <w:t>&lt;/PathFdR&gt;</w:t>
    </w:r>
    <w:r w:rsidRPr="007E4DC0">
      <w:tab/>
    </w:r>
    <w:r w:rsidRPr="007E4DC0">
      <w:tab/>
      <w:t>PE</w:t>
    </w:r>
    <w:r w:rsidRPr="007E4DC0">
      <w:rPr>
        <w:rStyle w:val="HideTWBExt"/>
      </w:rPr>
      <w:t>&lt;NoPE&gt;</w:t>
    </w:r>
    <w:r w:rsidRPr="007E4DC0">
      <w:t>749.894</w:t>
    </w:r>
    <w:r w:rsidRPr="007E4DC0">
      <w:rPr>
        <w:rStyle w:val="HideTWBExt"/>
      </w:rPr>
      <w:t>&lt;/NoPE&gt;&lt;Version&gt;</w:t>
    </w:r>
    <w:r w:rsidRPr="007E4DC0">
      <w:t>v03-00</w:t>
    </w:r>
    <w:r w:rsidRPr="007E4DC0">
      <w:rPr>
        <w:rStyle w:val="HideTWBExt"/>
      </w:rPr>
      <w:t>&lt;/Version&gt;</w:t>
    </w:r>
  </w:p>
  <w:p w:rsidR="004A2E19" w:rsidRPr="007E4DC0" w:rsidRDefault="007E4DC0" w:rsidP="007E4DC0">
    <w:pPr>
      <w:pStyle w:val="EPFooter2"/>
    </w:pPr>
    <w:r w:rsidRPr="007E4DC0">
      <w:t>SK</w:t>
    </w:r>
    <w:r w:rsidRPr="007E4DC0">
      <w:tab/>
    </w:r>
    <w:r w:rsidRPr="007E4DC0">
      <w:rPr>
        <w:b w:val="0"/>
        <w:i/>
        <w:color w:val="C0C0C0"/>
        <w:sz w:val="22"/>
      </w:rPr>
      <w:t>Zjednotení v rozmanitosti</w:t>
    </w:r>
    <w:r w:rsidRPr="007E4DC0">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E19" w:rsidRPr="007E4DC0" w:rsidRDefault="002410C3">
      <w:r w:rsidRPr="007E4DC0">
        <w:separator/>
      </w:r>
    </w:p>
  </w:footnote>
  <w:footnote w:type="continuationSeparator" w:id="0">
    <w:p w:rsidR="004A2E19" w:rsidRPr="007E4DC0" w:rsidRDefault="002410C3">
      <w:r w:rsidRPr="007E4DC0">
        <w:continuationSeparator/>
      </w:r>
    </w:p>
  </w:footnote>
  <w:footnote w:id="1">
    <w:p w:rsidR="004A2E19" w:rsidRPr="007E4DC0" w:rsidRDefault="002410C3">
      <w:pPr>
        <w:pStyle w:val="FootnoteText"/>
      </w:pPr>
      <w:r w:rsidRPr="007E4DC0">
        <w:rPr>
          <w:rStyle w:val="FootnoteReference"/>
        </w:rPr>
        <w:footnoteRef/>
      </w:r>
      <w:r w:rsidRPr="007E4DC0">
        <w:t xml:space="preserve"> Prijatá Európskym parlamentom 9. marca 2022 v podobe uznesenia (Ú. v. EÚ C 347, 9.9.2022, s. 110).</w:t>
      </w:r>
    </w:p>
  </w:footnote>
  <w:footnote w:id="2">
    <w:p w:rsidR="004A2E19" w:rsidRPr="007E4DC0" w:rsidRDefault="002410C3" w:rsidP="00E77D6C">
      <w:pPr>
        <w:pStyle w:val="FootnoteText"/>
      </w:pPr>
      <w:r w:rsidRPr="007E4DC0">
        <w:rPr>
          <w:rStyle w:val="FootnoteReference"/>
        </w:rPr>
        <w:footnoteRef/>
      </w:r>
      <w:r w:rsidRPr="007E4DC0">
        <w:t xml:space="preserve"> Prijaté Európskym parlamentom v podobe uznesenia 15. decembra 2022 (Ú. v. EÚ C 177, 17.5.2023, s. 129).</w:t>
      </w:r>
    </w:p>
  </w:footnote>
  <w:footnote w:id="3">
    <w:p w:rsidR="004A2E19" w:rsidRPr="007E4DC0" w:rsidRDefault="002410C3" w:rsidP="00E77D6C">
      <w:pPr>
        <w:pStyle w:val="FootnoteText"/>
      </w:pPr>
      <w:r w:rsidRPr="007E4DC0">
        <w:rPr>
          <w:rStyle w:val="FootnoteReference"/>
        </w:rPr>
        <w:footnoteRef/>
      </w:r>
      <w:r w:rsidRPr="007E4DC0">
        <w:t xml:space="preserve"> Prijatá Európskym parlamentom v podobe uznesenia</w:t>
      </w:r>
      <w:r w:rsidRPr="007E4DC0">
        <w:t xml:space="preserve"> 10. marca 2022 (Ú. v. EÚ C 347, 9.9.2022, s. 202).</w:t>
      </w:r>
    </w:p>
  </w:footnote>
  <w:footnote w:id="4">
    <w:p w:rsidR="004A2E19" w:rsidRPr="007E4DC0" w:rsidRDefault="002410C3" w:rsidP="00E77D6C">
      <w:pPr>
        <w:pStyle w:val="FootnoteText"/>
      </w:pPr>
      <w:r w:rsidRPr="007E4DC0">
        <w:rPr>
          <w:rStyle w:val="FootnoteReference"/>
        </w:rPr>
        <w:footnoteRef/>
      </w:r>
      <w:r w:rsidRPr="007E4DC0">
        <w:t xml:space="preserve"> Stanovisko prijaté ako súčasť postupu 2021/2166(INI), ktorý sa uzavrel prijatím uznesenia Európskeho parlamentu zo 7. júla 2022 o lepšej právnej regulácii:. spojme sily v záujme lepšej tvorby právnych </w:t>
      </w:r>
      <w:r w:rsidRPr="007E4DC0">
        <w:t>predpisov (Ú. v. EÚ C 47, 7.2.2023, s. 250).</w:t>
      </w:r>
    </w:p>
  </w:footnote>
  <w:footnote w:id="5">
    <w:p w:rsidR="004A2E19" w:rsidRPr="007E4DC0" w:rsidRDefault="002410C3" w:rsidP="00815517">
      <w:pPr>
        <w:pStyle w:val="FootnoteText"/>
      </w:pPr>
      <w:r w:rsidRPr="007E4DC0">
        <w:rPr>
          <w:rStyle w:val="FootnoteReference"/>
        </w:rPr>
        <w:footnoteRef/>
      </w:r>
      <w:r w:rsidRPr="007E4DC0">
        <w:t xml:space="preserve"> Stanovisko prijaté ako súčasť postupu 2021/2180(INI), ktorý sa uzavrel prijatím uznesenia Európskeho parlamentu z 19. mája 2022 o správe Komisie o právnom štáte za rok 2021 (Ú. v. EÚ C 479, 16.12.2022, s. 18).</w:t>
      </w:r>
      <w:r w:rsidRPr="007E4DC0">
        <w:t xml:space="preserve"> </w:t>
      </w:r>
    </w:p>
  </w:footnote>
  <w:footnote w:id="6">
    <w:p w:rsidR="004A2E19" w:rsidRPr="007E4DC0" w:rsidRDefault="002410C3">
      <w:pPr>
        <w:pStyle w:val="FootnoteText"/>
      </w:pPr>
      <w:r w:rsidRPr="007E4DC0">
        <w:rPr>
          <w:rStyle w:val="FootnoteReference"/>
        </w:rPr>
        <w:footnoteRef/>
      </w:r>
      <w:r w:rsidRPr="007E4DC0">
        <w:t xml:space="preserve"> Smernica Európskeho parlamentu a Rady 2000/60/ES z 23. októbra 2000, ktorou sa stanovuje rámec pôsobnosti pre opatrenia Spoločenstva v oblasti vodného hospodárstva (Ú. v. ES L 327, 22.12.2000, s. 1).</w:t>
      </w:r>
    </w:p>
  </w:footnote>
  <w:footnote w:id="7">
    <w:p w:rsidR="004A2E19" w:rsidRPr="007E4DC0" w:rsidRDefault="002410C3">
      <w:pPr>
        <w:pStyle w:val="FootnoteText"/>
      </w:pPr>
      <w:r w:rsidRPr="007E4DC0">
        <w:rPr>
          <w:rStyle w:val="FootnoteReference"/>
        </w:rPr>
        <w:footnoteRef/>
      </w:r>
      <w:r w:rsidRPr="007E4DC0">
        <w:t xml:space="preserve"> Smernica Európskeho parlamentu a Rady 2009/147/ES </w:t>
      </w:r>
      <w:r w:rsidRPr="007E4DC0">
        <w:t>z 30. novembra 2009 o ochrane voľne žijúceho vtáctva (Ú. v. EÚ L 20, 26.1.2010, s. 7).</w:t>
      </w:r>
    </w:p>
  </w:footnote>
  <w:footnote w:id="8">
    <w:p w:rsidR="004A2E19" w:rsidRPr="007E4DC0" w:rsidRDefault="002410C3">
      <w:pPr>
        <w:pStyle w:val="FootnoteText"/>
      </w:pPr>
      <w:r w:rsidRPr="007E4DC0">
        <w:rPr>
          <w:rStyle w:val="FootnoteReference"/>
        </w:rPr>
        <w:footnoteRef/>
      </w:r>
      <w:r w:rsidRPr="007E4DC0">
        <w:t xml:space="preserve"> Smernica Rady 92/43/EHS z 21. mája 1992 o ochrane prirodzených biotopov a voľne žijúcich živočíchov a rastlín (Ú. v. ES L 206, 22.7.1992, s. 7).</w:t>
      </w:r>
    </w:p>
  </w:footnote>
  <w:footnote w:id="9">
    <w:p w:rsidR="004A2E19" w:rsidRPr="007E4DC0" w:rsidRDefault="002410C3" w:rsidP="002E439D">
      <w:pPr>
        <w:pStyle w:val="FootnoteText"/>
      </w:pPr>
      <w:r w:rsidRPr="007E4DC0">
        <w:rPr>
          <w:rStyle w:val="FootnoteReference"/>
        </w:rPr>
        <w:footnoteRef/>
      </w:r>
      <w:r w:rsidRPr="007E4DC0">
        <w:t xml:space="preserve"> Ú. v. EÚ C 32, 27.1.</w:t>
      </w:r>
      <w:r w:rsidRPr="007E4DC0">
        <w:t>2023, s. 20.</w:t>
      </w:r>
    </w:p>
  </w:footnote>
  <w:footnote w:id="10">
    <w:p w:rsidR="004A2E19" w:rsidRPr="007E4DC0" w:rsidRDefault="002410C3">
      <w:pPr>
        <w:pStyle w:val="FootnoteText"/>
      </w:pPr>
      <w:r w:rsidRPr="007E4DC0">
        <w:rPr>
          <w:rStyle w:val="FootnoteReference"/>
        </w:rPr>
        <w:footnoteRef/>
      </w:r>
      <w:r w:rsidRPr="007E4DC0">
        <w:t xml:space="preserve"> Ú. v. EÚ C 274, 9.4.2021, s. 1.</w:t>
      </w:r>
    </w:p>
  </w:footnote>
  <w:footnote w:id="11">
    <w:p w:rsidR="004A2E19" w:rsidRPr="007E4DC0" w:rsidRDefault="002410C3" w:rsidP="00BD1168">
      <w:pPr>
        <w:pStyle w:val="FootnoteText"/>
      </w:pPr>
      <w:r w:rsidRPr="007E4DC0">
        <w:rPr>
          <w:rStyle w:val="FootnoteReference"/>
        </w:rPr>
        <w:footnoteRef/>
      </w:r>
      <w:r w:rsidRPr="007E4DC0">
        <w:t xml:space="preserve"> Stanovisko prijaté ako súčasť postupu 2022/2026(INI), ktorý sa uzavrel prijatím uznesenia Európskeho parlamentu z 13. decembra 2022 za rovnaké práva pre osoby so zdravotným postihnutím (Ú. v. EÚ C 177, 17.5.</w:t>
      </w:r>
      <w:r w:rsidRPr="007E4DC0">
        <w:t>2023, s. 13).</w:t>
      </w:r>
    </w:p>
  </w:footnote>
  <w:footnote w:id="12">
    <w:p w:rsidR="004A2E19" w:rsidRPr="007E4DC0" w:rsidRDefault="002410C3" w:rsidP="006F4946">
      <w:pPr>
        <w:pStyle w:val="FootnoteText"/>
      </w:pPr>
      <w:r w:rsidRPr="007E4DC0">
        <w:rPr>
          <w:rStyle w:val="FootnoteReference"/>
        </w:rPr>
        <w:footnoteRef/>
      </w:r>
      <w:r w:rsidRPr="007E4DC0">
        <w:rPr>
          <w:rStyle w:val="FootnoteReference"/>
        </w:rPr>
        <w:t xml:space="preserve"> </w:t>
      </w:r>
      <w:r w:rsidRPr="007E4DC0">
        <w:t>Štatistiky o stave petícií boli stiahnuté 6. júna 2023.</w:t>
      </w:r>
    </w:p>
  </w:footnote>
  <w:footnote w:id="13">
    <w:p w:rsidR="004A2E19" w:rsidRPr="007E4DC0" w:rsidRDefault="002410C3" w:rsidP="006F4946">
      <w:pPr>
        <w:pStyle w:val="FootnoteText"/>
      </w:pPr>
      <w:r w:rsidRPr="007E4DC0">
        <w:rPr>
          <w:rStyle w:val="FootnoteReference"/>
        </w:rPr>
        <w:footnoteRef/>
      </w:r>
      <w:r w:rsidRPr="007E4DC0">
        <w:t xml:space="preserve"> Štatistiky o spracovaní petícií sa neustále vyvíjajú, najmä pokiaľ ide o počet otvorených a uzavretých petícií. Údaje za rok 2022 boli stiahnuté 7. júna 2023.</w:t>
      </w:r>
    </w:p>
  </w:footnote>
  <w:footnote w:id="14">
    <w:p w:rsidR="004A2E19" w:rsidRPr="007E4DC0" w:rsidRDefault="002410C3" w:rsidP="006F4946">
      <w:pPr>
        <w:pStyle w:val="FootnoteText"/>
      </w:pPr>
      <w:r w:rsidRPr="007E4DC0">
        <w:rPr>
          <w:rStyle w:val="FootnoteReference"/>
        </w:rPr>
        <w:footnoteRef/>
      </w:r>
      <w:r w:rsidRPr="007E4DC0">
        <w:t xml:space="preserve"> Verzia 2.6 webového p</w:t>
      </w:r>
      <w:r w:rsidRPr="007E4DC0">
        <w:t>ortálu pre petície bola spustená v roku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0C3" w:rsidRDefault="002410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0C3" w:rsidRDefault="002410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0C3" w:rsidRDefault="002410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0A5E66"/>
    <w:multiLevelType w:val="hybridMultilevel"/>
    <w:tmpl w:val="4E5ED410"/>
    <w:lvl w:ilvl="0" w:tplc="9718FD8E">
      <w:start w:val="1"/>
      <w:numFmt w:val="bullet"/>
      <w:lvlText w:val=""/>
      <w:lvlJc w:val="left"/>
      <w:pPr>
        <w:ind w:left="720" w:hanging="360"/>
      </w:pPr>
      <w:rPr>
        <w:rFonts w:ascii="Symbol" w:hAnsi="Symbol" w:hint="default"/>
      </w:rPr>
    </w:lvl>
    <w:lvl w:ilvl="1" w:tplc="F8EC00A4">
      <w:start w:val="1"/>
      <w:numFmt w:val="bullet"/>
      <w:lvlText w:val="o"/>
      <w:lvlJc w:val="left"/>
      <w:pPr>
        <w:ind w:left="1440" w:hanging="360"/>
      </w:pPr>
      <w:rPr>
        <w:rFonts w:ascii="Courier New" w:hAnsi="Courier New" w:cs="Courier New" w:hint="default"/>
      </w:rPr>
    </w:lvl>
    <w:lvl w:ilvl="2" w:tplc="D53608D2">
      <w:start w:val="1"/>
      <w:numFmt w:val="bullet"/>
      <w:lvlText w:val=""/>
      <w:lvlJc w:val="left"/>
      <w:pPr>
        <w:ind w:left="2160" w:hanging="360"/>
      </w:pPr>
      <w:rPr>
        <w:rFonts w:ascii="Wingdings" w:hAnsi="Wingdings" w:hint="default"/>
      </w:rPr>
    </w:lvl>
    <w:lvl w:ilvl="3" w:tplc="E46483E2">
      <w:start w:val="1"/>
      <w:numFmt w:val="bullet"/>
      <w:lvlText w:val=""/>
      <w:lvlJc w:val="left"/>
      <w:pPr>
        <w:ind w:left="2880" w:hanging="360"/>
      </w:pPr>
      <w:rPr>
        <w:rFonts w:ascii="Symbol" w:hAnsi="Symbol" w:hint="default"/>
      </w:rPr>
    </w:lvl>
    <w:lvl w:ilvl="4" w:tplc="07861928">
      <w:start w:val="1"/>
      <w:numFmt w:val="bullet"/>
      <w:lvlText w:val="o"/>
      <w:lvlJc w:val="left"/>
      <w:pPr>
        <w:ind w:left="3600" w:hanging="360"/>
      </w:pPr>
      <w:rPr>
        <w:rFonts w:ascii="Courier New" w:hAnsi="Courier New" w:cs="Courier New" w:hint="default"/>
      </w:rPr>
    </w:lvl>
    <w:lvl w:ilvl="5" w:tplc="70CCBB32">
      <w:start w:val="1"/>
      <w:numFmt w:val="bullet"/>
      <w:lvlText w:val=""/>
      <w:lvlJc w:val="left"/>
      <w:pPr>
        <w:ind w:left="4320" w:hanging="360"/>
      </w:pPr>
      <w:rPr>
        <w:rFonts w:ascii="Wingdings" w:hAnsi="Wingdings" w:hint="default"/>
      </w:rPr>
    </w:lvl>
    <w:lvl w:ilvl="6" w:tplc="EB7C849E">
      <w:start w:val="1"/>
      <w:numFmt w:val="bullet"/>
      <w:lvlText w:val=""/>
      <w:lvlJc w:val="left"/>
      <w:pPr>
        <w:ind w:left="5040" w:hanging="360"/>
      </w:pPr>
      <w:rPr>
        <w:rFonts w:ascii="Symbol" w:hAnsi="Symbol" w:hint="default"/>
      </w:rPr>
    </w:lvl>
    <w:lvl w:ilvl="7" w:tplc="48CE6FDC">
      <w:start w:val="1"/>
      <w:numFmt w:val="bullet"/>
      <w:lvlText w:val="o"/>
      <w:lvlJc w:val="left"/>
      <w:pPr>
        <w:ind w:left="5760" w:hanging="360"/>
      </w:pPr>
      <w:rPr>
        <w:rFonts w:ascii="Courier New" w:hAnsi="Courier New" w:cs="Courier New" w:hint="default"/>
      </w:rPr>
    </w:lvl>
    <w:lvl w:ilvl="8" w:tplc="C2C80670">
      <w:start w:val="1"/>
      <w:numFmt w:val="bullet"/>
      <w:lvlText w:val=""/>
      <w:lvlJc w:val="left"/>
      <w:pPr>
        <w:ind w:left="6480" w:hanging="360"/>
      </w:pPr>
      <w:rPr>
        <w:rFonts w:ascii="Wingdings" w:hAnsi="Wingdings" w:hint="default"/>
      </w:rPr>
    </w:lvl>
  </w:abstractNum>
  <w:abstractNum w:abstractNumId="11" w15:restartNumberingAfterBreak="0">
    <w:nsid w:val="158E2691"/>
    <w:multiLevelType w:val="hybridMultilevel"/>
    <w:tmpl w:val="958E1234"/>
    <w:lvl w:ilvl="0" w:tplc="CC9AC454">
      <w:start w:val="1"/>
      <w:numFmt w:val="bullet"/>
      <w:lvlText w:val=""/>
      <w:lvlJc w:val="left"/>
      <w:pPr>
        <w:ind w:left="720" w:hanging="360"/>
      </w:pPr>
      <w:rPr>
        <w:rFonts w:ascii="Wingdings" w:hAnsi="Wingdings" w:hint="default"/>
      </w:rPr>
    </w:lvl>
    <w:lvl w:ilvl="1" w:tplc="4C48F094">
      <w:start w:val="1"/>
      <w:numFmt w:val="bullet"/>
      <w:lvlText w:val="o"/>
      <w:lvlJc w:val="left"/>
      <w:pPr>
        <w:ind w:left="1440" w:hanging="360"/>
      </w:pPr>
      <w:rPr>
        <w:rFonts w:ascii="Courier New" w:hAnsi="Courier New" w:cs="Courier New" w:hint="default"/>
      </w:rPr>
    </w:lvl>
    <w:lvl w:ilvl="2" w:tplc="0CCC48A6">
      <w:start w:val="1"/>
      <w:numFmt w:val="bullet"/>
      <w:lvlText w:val=""/>
      <w:lvlJc w:val="left"/>
      <w:pPr>
        <w:ind w:left="2160" w:hanging="360"/>
      </w:pPr>
      <w:rPr>
        <w:rFonts w:ascii="Wingdings" w:hAnsi="Wingdings" w:hint="default"/>
      </w:rPr>
    </w:lvl>
    <w:lvl w:ilvl="3" w:tplc="8A18336A">
      <w:start w:val="1"/>
      <w:numFmt w:val="bullet"/>
      <w:lvlText w:val=""/>
      <w:lvlJc w:val="left"/>
      <w:pPr>
        <w:ind w:left="2880" w:hanging="360"/>
      </w:pPr>
      <w:rPr>
        <w:rFonts w:ascii="Symbol" w:hAnsi="Symbol" w:hint="default"/>
      </w:rPr>
    </w:lvl>
    <w:lvl w:ilvl="4" w:tplc="B6660DA0">
      <w:start w:val="1"/>
      <w:numFmt w:val="bullet"/>
      <w:lvlText w:val="o"/>
      <w:lvlJc w:val="left"/>
      <w:pPr>
        <w:ind w:left="3600" w:hanging="360"/>
      </w:pPr>
      <w:rPr>
        <w:rFonts w:ascii="Courier New" w:hAnsi="Courier New" w:cs="Courier New" w:hint="default"/>
      </w:rPr>
    </w:lvl>
    <w:lvl w:ilvl="5" w:tplc="2130852C">
      <w:start w:val="1"/>
      <w:numFmt w:val="bullet"/>
      <w:lvlText w:val=""/>
      <w:lvlJc w:val="left"/>
      <w:pPr>
        <w:ind w:left="4320" w:hanging="360"/>
      </w:pPr>
      <w:rPr>
        <w:rFonts w:ascii="Wingdings" w:hAnsi="Wingdings" w:hint="default"/>
      </w:rPr>
    </w:lvl>
    <w:lvl w:ilvl="6" w:tplc="54BAF3B4">
      <w:start w:val="1"/>
      <w:numFmt w:val="bullet"/>
      <w:lvlText w:val=""/>
      <w:lvlJc w:val="left"/>
      <w:pPr>
        <w:ind w:left="5040" w:hanging="360"/>
      </w:pPr>
      <w:rPr>
        <w:rFonts w:ascii="Symbol" w:hAnsi="Symbol" w:hint="default"/>
      </w:rPr>
    </w:lvl>
    <w:lvl w:ilvl="7" w:tplc="FEF0CD4C">
      <w:start w:val="1"/>
      <w:numFmt w:val="bullet"/>
      <w:lvlText w:val="o"/>
      <w:lvlJc w:val="left"/>
      <w:pPr>
        <w:ind w:left="5760" w:hanging="360"/>
      </w:pPr>
      <w:rPr>
        <w:rFonts w:ascii="Courier New" w:hAnsi="Courier New" w:cs="Courier New" w:hint="default"/>
      </w:rPr>
    </w:lvl>
    <w:lvl w:ilvl="8" w:tplc="958A5044">
      <w:start w:val="1"/>
      <w:numFmt w:val="bullet"/>
      <w:lvlText w:val=""/>
      <w:lvlJc w:val="left"/>
      <w:pPr>
        <w:ind w:left="6480" w:hanging="360"/>
      </w:pPr>
      <w:rPr>
        <w:rFonts w:ascii="Wingdings" w:hAnsi="Wingdings" w:hint="default"/>
      </w:rPr>
    </w:lvl>
  </w:abstractNum>
  <w:abstractNum w:abstractNumId="12" w15:restartNumberingAfterBreak="0">
    <w:nsid w:val="2A7343A1"/>
    <w:multiLevelType w:val="hybridMultilevel"/>
    <w:tmpl w:val="894478C6"/>
    <w:lvl w:ilvl="0" w:tplc="3438B1A2">
      <w:start w:val="1"/>
      <w:numFmt w:val="bullet"/>
      <w:lvlText w:val=""/>
      <w:lvlJc w:val="left"/>
      <w:pPr>
        <w:ind w:left="720" w:hanging="360"/>
      </w:pPr>
      <w:rPr>
        <w:rFonts w:ascii="Symbol" w:hAnsi="Symbol" w:hint="default"/>
      </w:rPr>
    </w:lvl>
    <w:lvl w:ilvl="1" w:tplc="399C727E">
      <w:start w:val="1"/>
      <w:numFmt w:val="bullet"/>
      <w:lvlText w:val="o"/>
      <w:lvlJc w:val="left"/>
      <w:pPr>
        <w:ind w:left="1440" w:hanging="360"/>
      </w:pPr>
      <w:rPr>
        <w:rFonts w:ascii="Courier New" w:hAnsi="Courier New" w:cs="Courier New" w:hint="default"/>
      </w:rPr>
    </w:lvl>
    <w:lvl w:ilvl="2" w:tplc="D3B45254">
      <w:start w:val="1"/>
      <w:numFmt w:val="bullet"/>
      <w:lvlText w:val=""/>
      <w:lvlJc w:val="left"/>
      <w:pPr>
        <w:ind w:left="2160" w:hanging="360"/>
      </w:pPr>
      <w:rPr>
        <w:rFonts w:ascii="Wingdings" w:hAnsi="Wingdings" w:hint="default"/>
      </w:rPr>
    </w:lvl>
    <w:lvl w:ilvl="3" w:tplc="D0501E50">
      <w:start w:val="1"/>
      <w:numFmt w:val="bullet"/>
      <w:lvlText w:val=""/>
      <w:lvlJc w:val="left"/>
      <w:pPr>
        <w:ind w:left="2880" w:hanging="360"/>
      </w:pPr>
      <w:rPr>
        <w:rFonts w:ascii="Symbol" w:hAnsi="Symbol" w:hint="default"/>
      </w:rPr>
    </w:lvl>
    <w:lvl w:ilvl="4" w:tplc="5960094A">
      <w:start w:val="1"/>
      <w:numFmt w:val="bullet"/>
      <w:lvlText w:val="o"/>
      <w:lvlJc w:val="left"/>
      <w:pPr>
        <w:ind w:left="3600" w:hanging="360"/>
      </w:pPr>
      <w:rPr>
        <w:rFonts w:ascii="Courier New" w:hAnsi="Courier New" w:cs="Courier New" w:hint="default"/>
      </w:rPr>
    </w:lvl>
    <w:lvl w:ilvl="5" w:tplc="BBA0A348">
      <w:start w:val="1"/>
      <w:numFmt w:val="bullet"/>
      <w:lvlText w:val=""/>
      <w:lvlJc w:val="left"/>
      <w:pPr>
        <w:ind w:left="4320" w:hanging="360"/>
      </w:pPr>
      <w:rPr>
        <w:rFonts w:ascii="Wingdings" w:hAnsi="Wingdings" w:hint="default"/>
      </w:rPr>
    </w:lvl>
    <w:lvl w:ilvl="6" w:tplc="9DD6851E">
      <w:start w:val="1"/>
      <w:numFmt w:val="bullet"/>
      <w:lvlText w:val=""/>
      <w:lvlJc w:val="left"/>
      <w:pPr>
        <w:ind w:left="5040" w:hanging="360"/>
      </w:pPr>
      <w:rPr>
        <w:rFonts w:ascii="Symbol" w:hAnsi="Symbol" w:hint="default"/>
      </w:rPr>
    </w:lvl>
    <w:lvl w:ilvl="7" w:tplc="5BCC0ADA">
      <w:start w:val="1"/>
      <w:numFmt w:val="bullet"/>
      <w:lvlText w:val="o"/>
      <w:lvlJc w:val="left"/>
      <w:pPr>
        <w:ind w:left="5760" w:hanging="360"/>
      </w:pPr>
      <w:rPr>
        <w:rFonts w:ascii="Courier New" w:hAnsi="Courier New" w:cs="Courier New" w:hint="default"/>
      </w:rPr>
    </w:lvl>
    <w:lvl w:ilvl="8" w:tplc="9BE2DE60">
      <w:start w:val="1"/>
      <w:numFmt w:val="bullet"/>
      <w:lvlText w:val=""/>
      <w:lvlJc w:val="left"/>
      <w:pPr>
        <w:ind w:left="6480" w:hanging="360"/>
      </w:pPr>
      <w:rPr>
        <w:rFonts w:ascii="Wingdings" w:hAnsi="Wingdings" w:hint="default"/>
      </w:rPr>
    </w:lvl>
  </w:abstractNum>
  <w:abstractNum w:abstractNumId="13" w15:restartNumberingAfterBreak="0">
    <w:nsid w:val="552119A8"/>
    <w:multiLevelType w:val="hybridMultilevel"/>
    <w:tmpl w:val="08785DCA"/>
    <w:lvl w:ilvl="0" w:tplc="2026A280">
      <w:start w:val="1"/>
      <w:numFmt w:val="bullet"/>
      <w:lvlText w:val=""/>
      <w:lvlJc w:val="left"/>
      <w:pPr>
        <w:ind w:left="720" w:hanging="360"/>
      </w:pPr>
      <w:rPr>
        <w:rFonts w:ascii="Symbol" w:hAnsi="Symbol" w:hint="default"/>
      </w:rPr>
    </w:lvl>
    <w:lvl w:ilvl="1" w:tplc="8938B760">
      <w:start w:val="1"/>
      <w:numFmt w:val="bullet"/>
      <w:lvlText w:val="o"/>
      <w:lvlJc w:val="left"/>
      <w:pPr>
        <w:ind w:left="1440" w:hanging="360"/>
      </w:pPr>
      <w:rPr>
        <w:rFonts w:ascii="Courier New" w:hAnsi="Courier New" w:cs="Courier New" w:hint="default"/>
      </w:rPr>
    </w:lvl>
    <w:lvl w:ilvl="2" w:tplc="4FB40466">
      <w:start w:val="1"/>
      <w:numFmt w:val="bullet"/>
      <w:lvlText w:val=""/>
      <w:lvlJc w:val="left"/>
      <w:pPr>
        <w:ind w:left="2160" w:hanging="360"/>
      </w:pPr>
      <w:rPr>
        <w:rFonts w:ascii="Wingdings" w:hAnsi="Wingdings" w:hint="default"/>
      </w:rPr>
    </w:lvl>
    <w:lvl w:ilvl="3" w:tplc="18D0623C">
      <w:start w:val="1"/>
      <w:numFmt w:val="bullet"/>
      <w:lvlText w:val=""/>
      <w:lvlJc w:val="left"/>
      <w:pPr>
        <w:ind w:left="2880" w:hanging="360"/>
      </w:pPr>
      <w:rPr>
        <w:rFonts w:ascii="Symbol" w:hAnsi="Symbol" w:hint="default"/>
      </w:rPr>
    </w:lvl>
    <w:lvl w:ilvl="4" w:tplc="323C7E82">
      <w:start w:val="1"/>
      <w:numFmt w:val="bullet"/>
      <w:lvlText w:val="o"/>
      <w:lvlJc w:val="left"/>
      <w:pPr>
        <w:ind w:left="3600" w:hanging="360"/>
      </w:pPr>
      <w:rPr>
        <w:rFonts w:ascii="Courier New" w:hAnsi="Courier New" w:cs="Courier New" w:hint="default"/>
      </w:rPr>
    </w:lvl>
    <w:lvl w:ilvl="5" w:tplc="A2726AA0">
      <w:start w:val="1"/>
      <w:numFmt w:val="bullet"/>
      <w:lvlText w:val=""/>
      <w:lvlJc w:val="left"/>
      <w:pPr>
        <w:ind w:left="4320" w:hanging="360"/>
      </w:pPr>
      <w:rPr>
        <w:rFonts w:ascii="Wingdings" w:hAnsi="Wingdings" w:hint="default"/>
      </w:rPr>
    </w:lvl>
    <w:lvl w:ilvl="6" w:tplc="1062EC90">
      <w:start w:val="1"/>
      <w:numFmt w:val="bullet"/>
      <w:lvlText w:val=""/>
      <w:lvlJc w:val="left"/>
      <w:pPr>
        <w:ind w:left="5040" w:hanging="360"/>
      </w:pPr>
      <w:rPr>
        <w:rFonts w:ascii="Symbol" w:hAnsi="Symbol" w:hint="default"/>
      </w:rPr>
    </w:lvl>
    <w:lvl w:ilvl="7" w:tplc="E12C11E0">
      <w:start w:val="1"/>
      <w:numFmt w:val="bullet"/>
      <w:lvlText w:val="o"/>
      <w:lvlJc w:val="left"/>
      <w:pPr>
        <w:ind w:left="5760" w:hanging="360"/>
      </w:pPr>
      <w:rPr>
        <w:rFonts w:ascii="Courier New" w:hAnsi="Courier New" w:cs="Courier New" w:hint="default"/>
      </w:rPr>
    </w:lvl>
    <w:lvl w:ilvl="8" w:tplc="3CD8B7DE">
      <w:start w:val="1"/>
      <w:numFmt w:val="bullet"/>
      <w:lvlText w:val=""/>
      <w:lvlJc w:val="left"/>
      <w:pPr>
        <w:ind w:left="6480" w:hanging="360"/>
      </w:pPr>
      <w:rPr>
        <w:rFonts w:ascii="Wingdings" w:hAnsi="Wingdings" w:hint="default"/>
      </w:rPr>
    </w:lvl>
  </w:abstractNum>
  <w:abstractNum w:abstractNumId="14" w15:restartNumberingAfterBreak="0">
    <w:nsid w:val="580A3F02"/>
    <w:multiLevelType w:val="hybridMultilevel"/>
    <w:tmpl w:val="C4E04C5E"/>
    <w:lvl w:ilvl="0" w:tplc="4A005544">
      <w:start w:val="1"/>
      <w:numFmt w:val="bullet"/>
      <w:lvlText w:val=""/>
      <w:lvlJc w:val="left"/>
      <w:pPr>
        <w:ind w:left="720" w:hanging="360"/>
      </w:pPr>
      <w:rPr>
        <w:rFonts w:ascii="Symbol" w:hAnsi="Symbol" w:hint="default"/>
      </w:rPr>
    </w:lvl>
    <w:lvl w:ilvl="1" w:tplc="AD6202A2">
      <w:start w:val="1"/>
      <w:numFmt w:val="bullet"/>
      <w:lvlText w:val="o"/>
      <w:lvlJc w:val="left"/>
      <w:pPr>
        <w:ind w:left="1440" w:hanging="360"/>
      </w:pPr>
      <w:rPr>
        <w:rFonts w:ascii="Courier New" w:hAnsi="Courier New" w:cs="Courier New" w:hint="default"/>
      </w:rPr>
    </w:lvl>
    <w:lvl w:ilvl="2" w:tplc="45CE6904">
      <w:start w:val="1"/>
      <w:numFmt w:val="bullet"/>
      <w:lvlText w:val=""/>
      <w:lvlJc w:val="left"/>
      <w:pPr>
        <w:ind w:left="2160" w:hanging="360"/>
      </w:pPr>
      <w:rPr>
        <w:rFonts w:ascii="Wingdings" w:hAnsi="Wingdings" w:hint="default"/>
      </w:rPr>
    </w:lvl>
    <w:lvl w:ilvl="3" w:tplc="536E25FC">
      <w:start w:val="1"/>
      <w:numFmt w:val="bullet"/>
      <w:lvlText w:val=""/>
      <w:lvlJc w:val="left"/>
      <w:pPr>
        <w:ind w:left="2880" w:hanging="360"/>
      </w:pPr>
      <w:rPr>
        <w:rFonts w:ascii="Symbol" w:hAnsi="Symbol" w:hint="default"/>
      </w:rPr>
    </w:lvl>
    <w:lvl w:ilvl="4" w:tplc="A0F2E148">
      <w:start w:val="1"/>
      <w:numFmt w:val="bullet"/>
      <w:lvlText w:val="o"/>
      <w:lvlJc w:val="left"/>
      <w:pPr>
        <w:ind w:left="3600" w:hanging="360"/>
      </w:pPr>
      <w:rPr>
        <w:rFonts w:ascii="Courier New" w:hAnsi="Courier New" w:cs="Courier New" w:hint="default"/>
      </w:rPr>
    </w:lvl>
    <w:lvl w:ilvl="5" w:tplc="02AA8D1C">
      <w:start w:val="1"/>
      <w:numFmt w:val="bullet"/>
      <w:lvlText w:val=""/>
      <w:lvlJc w:val="left"/>
      <w:pPr>
        <w:ind w:left="4320" w:hanging="360"/>
      </w:pPr>
      <w:rPr>
        <w:rFonts w:ascii="Wingdings" w:hAnsi="Wingdings" w:hint="default"/>
      </w:rPr>
    </w:lvl>
    <w:lvl w:ilvl="6" w:tplc="10B2F8FE">
      <w:start w:val="1"/>
      <w:numFmt w:val="bullet"/>
      <w:lvlText w:val=""/>
      <w:lvlJc w:val="left"/>
      <w:pPr>
        <w:ind w:left="5040" w:hanging="360"/>
      </w:pPr>
      <w:rPr>
        <w:rFonts w:ascii="Symbol" w:hAnsi="Symbol" w:hint="default"/>
      </w:rPr>
    </w:lvl>
    <w:lvl w:ilvl="7" w:tplc="AF828C80">
      <w:start w:val="1"/>
      <w:numFmt w:val="bullet"/>
      <w:lvlText w:val="o"/>
      <w:lvlJc w:val="left"/>
      <w:pPr>
        <w:ind w:left="5760" w:hanging="360"/>
      </w:pPr>
      <w:rPr>
        <w:rFonts w:ascii="Courier New" w:hAnsi="Courier New" w:cs="Courier New" w:hint="default"/>
      </w:rPr>
    </w:lvl>
    <w:lvl w:ilvl="8" w:tplc="7C4C078A">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4"/>
  </w:num>
  <w:num w:numId="44">
    <w:abstractNumId w:val="14"/>
  </w:num>
  <w:num w:numId="45">
    <w:abstractNumId w:val="10"/>
  </w:num>
  <w:num w:numId="46">
    <w:abstractNumId w:val="10"/>
  </w:num>
  <w:num w:numId="47">
    <w:abstractNumId w:val="13"/>
  </w:num>
  <w:num w:numId="48">
    <w:abstractNumId w:val="13"/>
  </w:num>
  <w:num w:numId="49">
    <w:abstractNumId w:val="12"/>
  </w:num>
  <w:num w:numId="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DOCDT" w:val="06/11/2023"/>
    <w:docVar w:name="LastEditedSection" w:val=" 1"/>
    <w:docVar w:name="strSubDir" w:val="749"/>
    <w:docVar w:name="TXTLANGUE" w:val="EN"/>
    <w:docVar w:name="TXTLANGUEMIN" w:val="en"/>
    <w:docVar w:name="TXTNRINI" w:val="2023/2047"/>
    <w:docVar w:name="TXTNRPE" w:val="749.894"/>
    <w:docVar w:name="TXTPEorAP" w:val="PE"/>
    <w:docVar w:name="TXTROUTE" w:val="RR\749894EN.docx"/>
    <w:docVar w:name="TXTVERSION" w:val="03-00"/>
    <w:docVar w:name="TXTYEAR" w:val="2022"/>
  </w:docVars>
  <w:rsids>
    <w:rsidRoot w:val="001121AB"/>
    <w:rsid w:val="00007BEB"/>
    <w:rsid w:val="0001314A"/>
    <w:rsid w:val="00052334"/>
    <w:rsid w:val="00056AFE"/>
    <w:rsid w:val="000A1617"/>
    <w:rsid w:val="000A2FE8"/>
    <w:rsid w:val="000A6230"/>
    <w:rsid w:val="000A7C3F"/>
    <w:rsid w:val="000E5AB6"/>
    <w:rsid w:val="0010571B"/>
    <w:rsid w:val="001121AB"/>
    <w:rsid w:val="00117238"/>
    <w:rsid w:val="00126CBB"/>
    <w:rsid w:val="00132F25"/>
    <w:rsid w:val="00141600"/>
    <w:rsid w:val="001543B1"/>
    <w:rsid w:val="00162763"/>
    <w:rsid w:val="00163117"/>
    <w:rsid w:val="0018403B"/>
    <w:rsid w:val="001935F9"/>
    <w:rsid w:val="001A38A7"/>
    <w:rsid w:val="001B243C"/>
    <w:rsid w:val="0023148B"/>
    <w:rsid w:val="002410C3"/>
    <w:rsid w:val="00243B41"/>
    <w:rsid w:val="00247A41"/>
    <w:rsid w:val="00264F49"/>
    <w:rsid w:val="00267F9B"/>
    <w:rsid w:val="0027511E"/>
    <w:rsid w:val="00281F12"/>
    <w:rsid w:val="00284DE1"/>
    <w:rsid w:val="002B48AA"/>
    <w:rsid w:val="002D5404"/>
    <w:rsid w:val="002E439D"/>
    <w:rsid w:val="002E7F11"/>
    <w:rsid w:val="002F5F24"/>
    <w:rsid w:val="00322AF7"/>
    <w:rsid w:val="003236D5"/>
    <w:rsid w:val="003454B8"/>
    <w:rsid w:val="00374DEE"/>
    <w:rsid w:val="00377900"/>
    <w:rsid w:val="00395531"/>
    <w:rsid w:val="003A4E3B"/>
    <w:rsid w:val="003B5605"/>
    <w:rsid w:val="003D4AE1"/>
    <w:rsid w:val="003E01C9"/>
    <w:rsid w:val="003E5F85"/>
    <w:rsid w:val="00401839"/>
    <w:rsid w:val="0040206F"/>
    <w:rsid w:val="00403969"/>
    <w:rsid w:val="00416057"/>
    <w:rsid w:val="004168E1"/>
    <w:rsid w:val="00473A0B"/>
    <w:rsid w:val="0048021C"/>
    <w:rsid w:val="004A2E19"/>
    <w:rsid w:val="004A6733"/>
    <w:rsid w:val="004F2B3B"/>
    <w:rsid w:val="00517C9A"/>
    <w:rsid w:val="0052746F"/>
    <w:rsid w:val="005408AD"/>
    <w:rsid w:val="00565466"/>
    <w:rsid w:val="00575544"/>
    <w:rsid w:val="00581BBE"/>
    <w:rsid w:val="00590808"/>
    <w:rsid w:val="005A5FA3"/>
    <w:rsid w:val="005D7CC1"/>
    <w:rsid w:val="005E387B"/>
    <w:rsid w:val="005F28FB"/>
    <w:rsid w:val="00600DE4"/>
    <w:rsid w:val="00613BDB"/>
    <w:rsid w:val="00616F11"/>
    <w:rsid w:val="006378F7"/>
    <w:rsid w:val="006741FE"/>
    <w:rsid w:val="006833F0"/>
    <w:rsid w:val="006A34D7"/>
    <w:rsid w:val="006C507B"/>
    <w:rsid w:val="006C7785"/>
    <w:rsid w:val="006F4946"/>
    <w:rsid w:val="00710598"/>
    <w:rsid w:val="00733900"/>
    <w:rsid w:val="00735C56"/>
    <w:rsid w:val="00763780"/>
    <w:rsid w:val="0076498E"/>
    <w:rsid w:val="007A182D"/>
    <w:rsid w:val="007A1D5C"/>
    <w:rsid w:val="007A45DD"/>
    <w:rsid w:val="007A477A"/>
    <w:rsid w:val="007A7139"/>
    <w:rsid w:val="007E4DC0"/>
    <w:rsid w:val="007F16D5"/>
    <w:rsid w:val="007F2482"/>
    <w:rsid w:val="007F4CB7"/>
    <w:rsid w:val="00815517"/>
    <w:rsid w:val="008352B8"/>
    <w:rsid w:val="008770D5"/>
    <w:rsid w:val="00885B69"/>
    <w:rsid w:val="008C2558"/>
    <w:rsid w:val="008E2F19"/>
    <w:rsid w:val="008F342A"/>
    <w:rsid w:val="00900E13"/>
    <w:rsid w:val="00936BFF"/>
    <w:rsid w:val="009375E0"/>
    <w:rsid w:val="0095185C"/>
    <w:rsid w:val="00955CA1"/>
    <w:rsid w:val="00957EF7"/>
    <w:rsid w:val="0097076D"/>
    <w:rsid w:val="009714C1"/>
    <w:rsid w:val="00981746"/>
    <w:rsid w:val="009C6B37"/>
    <w:rsid w:val="009C7AF6"/>
    <w:rsid w:val="009F4C83"/>
    <w:rsid w:val="009F5570"/>
    <w:rsid w:val="00A16738"/>
    <w:rsid w:val="00A22F7B"/>
    <w:rsid w:val="00A24456"/>
    <w:rsid w:val="00A35C80"/>
    <w:rsid w:val="00A40EE0"/>
    <w:rsid w:val="00A431BF"/>
    <w:rsid w:val="00A60787"/>
    <w:rsid w:val="00A63348"/>
    <w:rsid w:val="00A738CD"/>
    <w:rsid w:val="00A96E83"/>
    <w:rsid w:val="00AA08AD"/>
    <w:rsid w:val="00AA52E8"/>
    <w:rsid w:val="00AB35D5"/>
    <w:rsid w:val="00B30D06"/>
    <w:rsid w:val="00B47AD1"/>
    <w:rsid w:val="00BA5E6B"/>
    <w:rsid w:val="00BA6987"/>
    <w:rsid w:val="00BC5100"/>
    <w:rsid w:val="00BD1168"/>
    <w:rsid w:val="00BD2BAD"/>
    <w:rsid w:val="00BF32D9"/>
    <w:rsid w:val="00C026CF"/>
    <w:rsid w:val="00C364D2"/>
    <w:rsid w:val="00C82603"/>
    <w:rsid w:val="00C849EB"/>
    <w:rsid w:val="00C84F93"/>
    <w:rsid w:val="00C87884"/>
    <w:rsid w:val="00C93D32"/>
    <w:rsid w:val="00CB5762"/>
    <w:rsid w:val="00CE25FC"/>
    <w:rsid w:val="00D325BF"/>
    <w:rsid w:val="00D35EAF"/>
    <w:rsid w:val="00DC0CE6"/>
    <w:rsid w:val="00DC0E61"/>
    <w:rsid w:val="00DF4347"/>
    <w:rsid w:val="00DF5114"/>
    <w:rsid w:val="00E077D5"/>
    <w:rsid w:val="00E273FF"/>
    <w:rsid w:val="00E348AE"/>
    <w:rsid w:val="00E77D6C"/>
    <w:rsid w:val="00E84684"/>
    <w:rsid w:val="00E94365"/>
    <w:rsid w:val="00EA0720"/>
    <w:rsid w:val="00EA099C"/>
    <w:rsid w:val="00EA41AE"/>
    <w:rsid w:val="00EB1A1C"/>
    <w:rsid w:val="00EC5BA7"/>
    <w:rsid w:val="00ED0168"/>
    <w:rsid w:val="00EE7E30"/>
    <w:rsid w:val="00F041F4"/>
    <w:rsid w:val="00F40988"/>
    <w:rsid w:val="00F40B36"/>
    <w:rsid w:val="00F461BD"/>
    <w:rsid w:val="00F57085"/>
    <w:rsid w:val="00FA0748"/>
    <w:rsid w:val="00FB59B1"/>
    <w:rsid w:val="00FF09B5"/>
    <w:rsid w:val="00FF2167"/>
    <w:rsid w:val="00FF6B9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EDD0055-7A41-4C34-A887-422F6F6D8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semiHidden="1"/>
    <w:lsdException w:name="caption" w:semiHidden="1" w:unhideWhenUsed="1" w:qFormat="1"/>
    <w:lsdException w:name="annotation reference" w:uiPriority="99"/>
    <w:lsdException w:name="Title" w:uiPriority="10" w:qFormat="1"/>
    <w:lsdException w:name="Subtitle" w:uiPriority="11" w:qFormat="1"/>
    <w:lsdException w:name="Strong" w:qFormat="1"/>
    <w:lsdException w:name="Emphasis" w:uiPriority="20"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48B"/>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007BEB"/>
    <w:pPr>
      <w:spacing w:after="240"/>
    </w:pPr>
  </w:style>
  <w:style w:type="paragraph" w:styleId="TOCHeading">
    <w:name w:val="TOC Heading"/>
    <w:basedOn w:val="Normal"/>
    <w:next w:val="TOCPage"/>
    <w:uiPriority w:val="39"/>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A63348"/>
    <w:pPr>
      <w:spacing w:before="80" w:after="80"/>
    </w:pPr>
    <w:rPr>
      <w:rFonts w:ascii="Arial Narrow" w:hAnsi="Arial Narrow" w:cs="Arial"/>
      <w:b/>
      <w:sz w:val="32"/>
      <w:szCs w:val="22"/>
    </w:rPr>
  </w:style>
  <w:style w:type="paragraph" w:customStyle="1" w:styleId="CoverNormal24a">
    <w:name w:val="CoverNormal24a"/>
    <w:basedOn w:val="Normal"/>
    <w:rsid w:val="00E8468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1B243C"/>
    <w:pPr>
      <w:spacing w:before="1080"/>
      <w:jc w:val="right"/>
    </w:pPr>
    <w:rPr>
      <w:rFonts w:ascii="Arial" w:hAnsi="Arial" w:cs="Arial"/>
      <w:b/>
    </w:rPr>
  </w:style>
  <w:style w:type="paragraph" w:customStyle="1" w:styleId="CoverDocType24a">
    <w:name w:val="CoverDocType24a"/>
    <w:basedOn w:val="Normal"/>
    <w:rsid w:val="00E8468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uiPriority w:val="99"/>
    <w:semiHidden/>
    <w:rsid w:val="00DC0CE6"/>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table" w:styleId="TableGrid">
    <w:name w:val="Table Grid"/>
    <w:basedOn w:val="TableNormal"/>
    <w:rsid w:val="00565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565466"/>
    <w:pPr>
      <w:jc w:val="center"/>
    </w:pPr>
    <w:rPr>
      <w:rFonts w:ascii="Arial" w:hAnsi="Arial" w:cs="Arial"/>
      <w:i/>
      <w:sz w:val="22"/>
      <w:szCs w:val="22"/>
    </w:rPr>
  </w:style>
  <w:style w:type="paragraph" w:customStyle="1" w:styleId="LineTop">
    <w:name w:val="LineTop"/>
    <w:basedOn w:val="Normal"/>
    <w:next w:val="Normal"/>
    <w:rsid w:val="0056546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65466"/>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A63348"/>
    <w:pPr>
      <w:spacing w:after="80"/>
    </w:pPr>
    <w:rPr>
      <w:rFonts w:ascii="Arial" w:hAnsi="Arial" w:cs="Arial"/>
      <w:sz w:val="20"/>
      <w:szCs w:val="22"/>
    </w:rPr>
  </w:style>
  <w:style w:type="paragraph" w:customStyle="1" w:styleId="EPLogo">
    <w:name w:val="EPLogo"/>
    <w:basedOn w:val="Normal"/>
    <w:qFormat/>
    <w:rsid w:val="00A63348"/>
    <w:pPr>
      <w:jc w:val="right"/>
    </w:pPr>
  </w:style>
  <w:style w:type="paragraph" w:customStyle="1" w:styleId="EPFooter">
    <w:name w:val="EPFooter"/>
    <w:basedOn w:val="Normal"/>
    <w:rsid w:val="00E84684"/>
    <w:pPr>
      <w:tabs>
        <w:tab w:val="center" w:pos="4535"/>
        <w:tab w:val="right" w:pos="9071"/>
      </w:tabs>
      <w:spacing w:before="240" w:after="240"/>
    </w:pPr>
    <w:rPr>
      <w:color w:val="010000"/>
      <w:sz w:val="22"/>
    </w:rPr>
  </w:style>
  <w:style w:type="character" w:customStyle="1" w:styleId="HeaderChar">
    <w:name w:val="Header Char"/>
    <w:basedOn w:val="DefaultParagraphFont"/>
    <w:link w:val="Header"/>
    <w:uiPriority w:val="99"/>
    <w:semiHidden/>
    <w:rsid w:val="00DC0CE6"/>
    <w:rPr>
      <w:sz w:val="24"/>
    </w:rPr>
  </w:style>
  <w:style w:type="paragraph" w:customStyle="1" w:styleId="EPComma">
    <w:name w:val="EPComma"/>
    <w:basedOn w:val="Normal"/>
    <w:rsid w:val="00374DEE"/>
    <w:pPr>
      <w:spacing w:before="480" w:after="240"/>
    </w:pPr>
  </w:style>
  <w:style w:type="paragraph" w:styleId="FootnoteText">
    <w:name w:val="footnote text"/>
    <w:basedOn w:val="Normal"/>
    <w:link w:val="FootnoteTextChar"/>
    <w:unhideWhenUsed/>
    <w:rsid w:val="00E77D6C"/>
    <w:pPr>
      <w:widowControl/>
      <w:jc w:val="both"/>
    </w:pPr>
    <w:rPr>
      <w:rFonts w:eastAsia="Calibri"/>
      <w:sz w:val="20"/>
      <w:lang w:eastAsia="en-US"/>
    </w:rPr>
  </w:style>
  <w:style w:type="character" w:customStyle="1" w:styleId="FootnoteTextChar">
    <w:name w:val="Footnote Text Char"/>
    <w:basedOn w:val="DefaultParagraphFont"/>
    <w:link w:val="FootnoteText"/>
    <w:rsid w:val="00E77D6C"/>
    <w:rPr>
      <w:rFonts w:eastAsia="Calibri"/>
      <w:lang w:eastAsia="en-US"/>
    </w:rPr>
  </w:style>
  <w:style w:type="character" w:styleId="FootnoteReference">
    <w:name w:val="footnote reference"/>
    <w:unhideWhenUsed/>
    <w:rsid w:val="00E77D6C"/>
    <w:rPr>
      <w:vertAlign w:val="superscript"/>
    </w:rPr>
  </w:style>
  <w:style w:type="character" w:customStyle="1" w:styleId="Heading1Char">
    <w:name w:val="Heading 1 Char"/>
    <w:basedOn w:val="DefaultParagraphFont"/>
    <w:link w:val="Heading1"/>
    <w:uiPriority w:val="9"/>
    <w:rsid w:val="006F4946"/>
    <w:rPr>
      <w:rFonts w:ascii="Arial" w:hAnsi="Arial"/>
      <w:b/>
      <w:kern w:val="28"/>
      <w:sz w:val="28"/>
    </w:rPr>
  </w:style>
  <w:style w:type="character" w:customStyle="1" w:styleId="Heading2Char">
    <w:name w:val="Heading 2 Char"/>
    <w:basedOn w:val="DefaultParagraphFont"/>
    <w:link w:val="Heading2"/>
    <w:uiPriority w:val="9"/>
    <w:semiHidden/>
    <w:rsid w:val="006F4946"/>
    <w:rPr>
      <w:rFonts w:ascii="Arial" w:hAnsi="Arial"/>
      <w:b/>
      <w:i/>
      <w:sz w:val="24"/>
    </w:rPr>
  </w:style>
  <w:style w:type="character" w:customStyle="1" w:styleId="Heading3Char">
    <w:name w:val="Heading 3 Char"/>
    <w:basedOn w:val="DefaultParagraphFont"/>
    <w:link w:val="Heading3"/>
    <w:uiPriority w:val="9"/>
    <w:semiHidden/>
    <w:rsid w:val="006F4946"/>
    <w:rPr>
      <w:rFonts w:ascii="Arial" w:hAnsi="Arial"/>
      <w:sz w:val="24"/>
    </w:rPr>
  </w:style>
  <w:style w:type="character" w:customStyle="1" w:styleId="Heading4Char">
    <w:name w:val="Heading 4 Char"/>
    <w:basedOn w:val="DefaultParagraphFont"/>
    <w:link w:val="Heading4"/>
    <w:uiPriority w:val="9"/>
    <w:semiHidden/>
    <w:rsid w:val="006F4946"/>
    <w:rPr>
      <w:rFonts w:ascii="Arial" w:hAnsi="Arial"/>
      <w:b/>
      <w:sz w:val="24"/>
    </w:rPr>
  </w:style>
  <w:style w:type="character" w:customStyle="1" w:styleId="Heading5Char">
    <w:name w:val="Heading 5 Char"/>
    <w:basedOn w:val="DefaultParagraphFont"/>
    <w:link w:val="Heading5"/>
    <w:uiPriority w:val="9"/>
    <w:semiHidden/>
    <w:rsid w:val="006F4946"/>
    <w:rPr>
      <w:sz w:val="22"/>
    </w:rPr>
  </w:style>
  <w:style w:type="character" w:customStyle="1" w:styleId="Heading6Char">
    <w:name w:val="Heading 6 Char"/>
    <w:basedOn w:val="DefaultParagraphFont"/>
    <w:link w:val="Heading6"/>
    <w:uiPriority w:val="9"/>
    <w:semiHidden/>
    <w:rsid w:val="006F4946"/>
    <w:rPr>
      <w:i/>
      <w:sz w:val="22"/>
    </w:rPr>
  </w:style>
  <w:style w:type="character" w:customStyle="1" w:styleId="Heading7Char">
    <w:name w:val="Heading 7 Char"/>
    <w:basedOn w:val="DefaultParagraphFont"/>
    <w:link w:val="Heading7"/>
    <w:uiPriority w:val="9"/>
    <w:semiHidden/>
    <w:rsid w:val="006F4946"/>
    <w:rPr>
      <w:rFonts w:ascii="Arial" w:hAnsi="Arial"/>
      <w:sz w:val="24"/>
    </w:rPr>
  </w:style>
  <w:style w:type="character" w:customStyle="1" w:styleId="Heading8Char">
    <w:name w:val="Heading 8 Char"/>
    <w:basedOn w:val="DefaultParagraphFont"/>
    <w:link w:val="Heading8"/>
    <w:uiPriority w:val="9"/>
    <w:semiHidden/>
    <w:rsid w:val="006F4946"/>
    <w:rPr>
      <w:rFonts w:ascii="Arial" w:hAnsi="Arial"/>
      <w:i/>
      <w:sz w:val="24"/>
    </w:rPr>
  </w:style>
  <w:style w:type="character" w:customStyle="1" w:styleId="Heading9Char">
    <w:name w:val="Heading 9 Char"/>
    <w:basedOn w:val="DefaultParagraphFont"/>
    <w:link w:val="Heading9"/>
    <w:uiPriority w:val="9"/>
    <w:semiHidden/>
    <w:rsid w:val="006F4946"/>
    <w:rPr>
      <w:rFonts w:ascii="Arial" w:hAnsi="Arial"/>
      <w:b/>
      <w:i/>
      <w:sz w:val="18"/>
    </w:rPr>
  </w:style>
  <w:style w:type="character" w:styleId="Emphasis">
    <w:name w:val="Emphasis"/>
    <w:uiPriority w:val="20"/>
    <w:qFormat/>
    <w:rsid w:val="006F4946"/>
    <w:rPr>
      <w:rFonts w:ascii="Calibri" w:hAnsi="Calibri" w:cs="Calibri" w:hint="default"/>
      <w:b/>
      <w:bCs w:val="0"/>
      <w:i/>
      <w:iCs/>
    </w:rPr>
  </w:style>
  <w:style w:type="paragraph" w:customStyle="1" w:styleId="msonormal0">
    <w:name w:val="msonormal"/>
    <w:basedOn w:val="Normal"/>
    <w:rsid w:val="006F4946"/>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6F4946"/>
    <w:pPr>
      <w:widowControl/>
      <w:jc w:val="both"/>
    </w:pPr>
    <w:rPr>
      <w:rFonts w:eastAsia="Calibri"/>
      <w:sz w:val="20"/>
    </w:rPr>
  </w:style>
  <w:style w:type="character" w:customStyle="1" w:styleId="CommentTextChar">
    <w:name w:val="Comment Text Char"/>
    <w:basedOn w:val="DefaultParagraphFont"/>
    <w:link w:val="CommentText"/>
    <w:uiPriority w:val="99"/>
    <w:rsid w:val="006F4946"/>
    <w:rPr>
      <w:rFonts w:eastAsia="Calibri"/>
    </w:rPr>
  </w:style>
  <w:style w:type="paragraph" w:styleId="Footer">
    <w:name w:val="footer"/>
    <w:basedOn w:val="Normal"/>
    <w:link w:val="FooterChar"/>
    <w:semiHidden/>
    <w:unhideWhenUsed/>
    <w:rsid w:val="006F4946"/>
    <w:pPr>
      <w:tabs>
        <w:tab w:val="center" w:pos="4513"/>
        <w:tab w:val="right" w:pos="9026"/>
      </w:tabs>
    </w:pPr>
  </w:style>
  <w:style w:type="character" w:customStyle="1" w:styleId="FooterChar">
    <w:name w:val="Footer Char"/>
    <w:basedOn w:val="DefaultParagraphFont"/>
    <w:link w:val="Footer"/>
    <w:semiHidden/>
    <w:rsid w:val="006F4946"/>
    <w:rPr>
      <w:sz w:val="24"/>
    </w:rPr>
  </w:style>
  <w:style w:type="paragraph" w:styleId="Title">
    <w:name w:val="Title"/>
    <w:basedOn w:val="Normal"/>
    <w:next w:val="Normal"/>
    <w:link w:val="TitleChar"/>
    <w:uiPriority w:val="10"/>
    <w:qFormat/>
    <w:rsid w:val="006F4946"/>
    <w:pPr>
      <w:widowControl/>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10"/>
    <w:rsid w:val="006F4946"/>
    <w:rPr>
      <w:rFonts w:ascii="Arial" w:hAnsi="Arial" w:cs="Arial"/>
      <w:b/>
      <w:bCs/>
      <w:kern w:val="28"/>
      <w:sz w:val="32"/>
      <w:szCs w:val="32"/>
      <w:lang w:eastAsia="en-US"/>
    </w:rPr>
  </w:style>
  <w:style w:type="paragraph" w:styleId="Subtitle">
    <w:name w:val="Subtitle"/>
    <w:basedOn w:val="Normal"/>
    <w:next w:val="Normal"/>
    <w:link w:val="SubtitleChar"/>
    <w:uiPriority w:val="11"/>
    <w:qFormat/>
    <w:rsid w:val="006F4946"/>
    <w:pPr>
      <w:widowControl/>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11"/>
    <w:rsid w:val="006F4946"/>
    <w:rPr>
      <w:rFonts w:ascii="Arial" w:hAnsi="Arial" w:cs="Arial"/>
      <w:sz w:val="24"/>
      <w:szCs w:val="24"/>
      <w:lang w:eastAsia="en-US"/>
    </w:rPr>
  </w:style>
  <w:style w:type="paragraph" w:styleId="CommentSubject">
    <w:name w:val="annotation subject"/>
    <w:basedOn w:val="CommentText"/>
    <w:next w:val="CommentText"/>
    <w:link w:val="CommentSubjectChar"/>
    <w:uiPriority w:val="99"/>
    <w:semiHidden/>
    <w:unhideWhenUsed/>
    <w:rsid w:val="006F4946"/>
    <w:rPr>
      <w:b/>
      <w:bCs/>
    </w:rPr>
  </w:style>
  <w:style w:type="character" w:customStyle="1" w:styleId="CommentSubjectChar">
    <w:name w:val="Comment Subject Char"/>
    <w:basedOn w:val="CommentTextChar"/>
    <w:link w:val="CommentSubject"/>
    <w:uiPriority w:val="99"/>
    <w:semiHidden/>
    <w:rsid w:val="006F4946"/>
    <w:rPr>
      <w:rFonts w:eastAsia="Calibri"/>
      <w:b/>
      <w:bCs/>
    </w:rPr>
  </w:style>
  <w:style w:type="paragraph" w:styleId="BalloonText">
    <w:name w:val="Balloon Text"/>
    <w:basedOn w:val="Normal"/>
    <w:link w:val="BalloonTextChar"/>
    <w:uiPriority w:val="99"/>
    <w:semiHidden/>
    <w:unhideWhenUsed/>
    <w:rsid w:val="006F4946"/>
    <w:pPr>
      <w:widowControl/>
      <w:jc w:val="both"/>
    </w:pPr>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semiHidden/>
    <w:rsid w:val="006F4946"/>
    <w:rPr>
      <w:rFonts w:ascii="Segoe UI" w:eastAsia="Calibri" w:hAnsi="Segoe UI" w:cs="Segoe UI"/>
      <w:sz w:val="18"/>
      <w:szCs w:val="18"/>
      <w:lang w:eastAsia="en-US"/>
    </w:rPr>
  </w:style>
  <w:style w:type="paragraph" w:styleId="NoSpacing">
    <w:name w:val="No Spacing"/>
    <w:basedOn w:val="Normal"/>
    <w:uiPriority w:val="1"/>
    <w:qFormat/>
    <w:rsid w:val="006F4946"/>
    <w:pPr>
      <w:widowControl/>
      <w:jc w:val="both"/>
    </w:pPr>
    <w:rPr>
      <w:rFonts w:eastAsia="Calibri"/>
      <w:szCs w:val="32"/>
      <w:lang w:eastAsia="en-US"/>
    </w:rPr>
  </w:style>
  <w:style w:type="paragraph" w:styleId="ListParagraph">
    <w:name w:val="List Paragraph"/>
    <w:basedOn w:val="Normal"/>
    <w:uiPriority w:val="34"/>
    <w:qFormat/>
    <w:rsid w:val="006F4946"/>
    <w:pPr>
      <w:widowControl/>
      <w:ind w:left="720"/>
      <w:contextualSpacing/>
      <w:jc w:val="both"/>
    </w:pPr>
    <w:rPr>
      <w:rFonts w:eastAsia="Calibri"/>
      <w:szCs w:val="24"/>
      <w:lang w:eastAsia="en-US"/>
    </w:rPr>
  </w:style>
  <w:style w:type="paragraph" w:styleId="Quote">
    <w:name w:val="Quote"/>
    <w:basedOn w:val="Normal"/>
    <w:next w:val="Normal"/>
    <w:link w:val="QuoteChar"/>
    <w:uiPriority w:val="29"/>
    <w:qFormat/>
    <w:rsid w:val="006F4946"/>
    <w:pPr>
      <w:widowControl/>
      <w:jc w:val="both"/>
    </w:pPr>
    <w:rPr>
      <w:rFonts w:eastAsia="Calibri"/>
      <w:i/>
      <w:szCs w:val="24"/>
      <w:lang w:eastAsia="en-US"/>
    </w:rPr>
  </w:style>
  <w:style w:type="character" w:customStyle="1" w:styleId="QuoteChar">
    <w:name w:val="Quote Char"/>
    <w:basedOn w:val="DefaultParagraphFont"/>
    <w:link w:val="Quote"/>
    <w:uiPriority w:val="29"/>
    <w:rsid w:val="006F4946"/>
    <w:rPr>
      <w:rFonts w:eastAsia="Calibri"/>
      <w:i/>
      <w:sz w:val="24"/>
      <w:szCs w:val="24"/>
      <w:lang w:eastAsia="en-US"/>
    </w:rPr>
  </w:style>
  <w:style w:type="paragraph" w:styleId="IntenseQuote">
    <w:name w:val="Intense Quote"/>
    <w:basedOn w:val="Normal"/>
    <w:next w:val="Normal"/>
    <w:link w:val="IntenseQuoteChar"/>
    <w:uiPriority w:val="30"/>
    <w:qFormat/>
    <w:rsid w:val="006F4946"/>
    <w:pPr>
      <w:widowControl/>
      <w:ind w:left="720" w:right="720"/>
      <w:jc w:val="both"/>
    </w:pPr>
    <w:rPr>
      <w:rFonts w:eastAsia="Calibri"/>
      <w:b/>
      <w:i/>
      <w:szCs w:val="22"/>
      <w:lang w:eastAsia="en-US"/>
    </w:rPr>
  </w:style>
  <w:style w:type="character" w:customStyle="1" w:styleId="IntenseQuoteChar">
    <w:name w:val="Intense Quote Char"/>
    <w:basedOn w:val="DefaultParagraphFont"/>
    <w:link w:val="IntenseQuote"/>
    <w:uiPriority w:val="30"/>
    <w:rsid w:val="006F4946"/>
    <w:rPr>
      <w:rFonts w:eastAsia="Calibri"/>
      <w:b/>
      <w:i/>
      <w:sz w:val="24"/>
      <w:szCs w:val="22"/>
      <w:lang w:eastAsia="en-US"/>
    </w:rPr>
  </w:style>
  <w:style w:type="paragraph" w:customStyle="1" w:styleId="Normal12">
    <w:name w:val="Normal12"/>
    <w:basedOn w:val="Normal"/>
    <w:rsid w:val="006F4946"/>
    <w:pPr>
      <w:spacing w:after="240"/>
    </w:pPr>
  </w:style>
  <w:style w:type="paragraph" w:customStyle="1" w:styleId="Cover24">
    <w:name w:val="Cover24"/>
    <w:basedOn w:val="Normal"/>
    <w:rsid w:val="006F4946"/>
    <w:pPr>
      <w:spacing w:after="480"/>
      <w:ind w:left="1418"/>
    </w:pPr>
  </w:style>
  <w:style w:type="paragraph" w:customStyle="1" w:styleId="TypeDoc">
    <w:name w:val="TypeDoc"/>
    <w:basedOn w:val="Normal"/>
    <w:rsid w:val="006F4946"/>
    <w:pPr>
      <w:spacing w:after="480"/>
      <w:ind w:left="1418"/>
    </w:pPr>
    <w:rPr>
      <w:rFonts w:ascii="Arial" w:hAnsi="Arial"/>
      <w:b/>
      <w:sz w:val="48"/>
    </w:rPr>
  </w:style>
  <w:style w:type="paragraph" w:customStyle="1" w:styleId="ZDate">
    <w:name w:val="ZDate"/>
    <w:basedOn w:val="Normal"/>
    <w:rsid w:val="006F4946"/>
    <w:pPr>
      <w:spacing w:after="1200"/>
    </w:pPr>
  </w:style>
  <w:style w:type="paragraph" w:customStyle="1" w:styleId="ZCommittee">
    <w:name w:val="ZCommittee"/>
    <w:basedOn w:val="Normal"/>
    <w:next w:val="Normal"/>
    <w:rsid w:val="006F4946"/>
    <w:pPr>
      <w:jc w:val="center"/>
    </w:pPr>
    <w:rPr>
      <w:rFonts w:ascii="Arial" w:hAnsi="Arial" w:cs="Arial"/>
      <w:i/>
      <w:sz w:val="22"/>
      <w:szCs w:val="22"/>
    </w:rPr>
  </w:style>
  <w:style w:type="paragraph" w:customStyle="1" w:styleId="PELeft">
    <w:name w:val="PELeft"/>
    <w:basedOn w:val="Normal"/>
    <w:rsid w:val="006F4946"/>
    <w:pPr>
      <w:spacing w:before="40" w:after="40"/>
    </w:pPr>
    <w:rPr>
      <w:rFonts w:ascii="Arial" w:hAnsi="Arial" w:cs="Arial"/>
      <w:sz w:val="22"/>
      <w:szCs w:val="22"/>
    </w:rPr>
  </w:style>
  <w:style w:type="paragraph" w:customStyle="1" w:styleId="PERight">
    <w:name w:val="PERight"/>
    <w:basedOn w:val="Normal"/>
    <w:next w:val="Normal"/>
    <w:rsid w:val="006F4946"/>
    <w:pPr>
      <w:jc w:val="right"/>
    </w:pPr>
    <w:rPr>
      <w:rFonts w:ascii="Arial" w:hAnsi="Arial" w:cs="Arial"/>
      <w:sz w:val="22"/>
      <w:szCs w:val="22"/>
    </w:rPr>
  </w:style>
  <w:style w:type="character" w:styleId="CommentReference">
    <w:name w:val="annotation reference"/>
    <w:uiPriority w:val="99"/>
    <w:unhideWhenUsed/>
    <w:rsid w:val="006F4946"/>
    <w:rPr>
      <w:sz w:val="16"/>
      <w:szCs w:val="16"/>
    </w:rPr>
  </w:style>
  <w:style w:type="character" w:styleId="SubtleEmphasis">
    <w:name w:val="Subtle Emphasis"/>
    <w:uiPriority w:val="19"/>
    <w:qFormat/>
    <w:rsid w:val="006F4946"/>
    <w:rPr>
      <w:i/>
      <w:iCs w:val="0"/>
      <w:color w:val="5A5A5A"/>
    </w:rPr>
  </w:style>
  <w:style w:type="character" w:styleId="IntenseEmphasis">
    <w:name w:val="Intense Emphasis"/>
    <w:uiPriority w:val="21"/>
    <w:qFormat/>
    <w:rsid w:val="006F4946"/>
    <w:rPr>
      <w:b/>
      <w:bCs w:val="0"/>
      <w:i/>
      <w:iCs w:val="0"/>
      <w:sz w:val="24"/>
      <w:szCs w:val="24"/>
      <w:u w:val="single"/>
    </w:rPr>
  </w:style>
  <w:style w:type="character" w:styleId="SubtleReference">
    <w:name w:val="Subtle Reference"/>
    <w:uiPriority w:val="31"/>
    <w:qFormat/>
    <w:rsid w:val="006F4946"/>
    <w:rPr>
      <w:sz w:val="24"/>
      <w:szCs w:val="24"/>
      <w:u w:val="single"/>
    </w:rPr>
  </w:style>
  <w:style w:type="character" w:styleId="IntenseReference">
    <w:name w:val="Intense Reference"/>
    <w:uiPriority w:val="32"/>
    <w:qFormat/>
    <w:rsid w:val="006F4946"/>
    <w:rPr>
      <w:b/>
      <w:bCs w:val="0"/>
      <w:sz w:val="24"/>
      <w:u w:val="single"/>
    </w:rPr>
  </w:style>
  <w:style w:type="character" w:styleId="BookTitle">
    <w:name w:val="Book Title"/>
    <w:uiPriority w:val="33"/>
    <w:qFormat/>
    <w:rsid w:val="006F4946"/>
    <w:rPr>
      <w:rFonts w:ascii="Calibri Light" w:eastAsia="Times New Roman" w:hAnsi="Calibri Light" w:cs="Calibri Light" w:hint="default"/>
      <w:b/>
      <w:bCs w:val="0"/>
      <w:i/>
      <w:iCs w:val="0"/>
      <w:sz w:val="24"/>
      <w:szCs w:val="24"/>
    </w:rPr>
  </w:style>
  <w:style w:type="character" w:customStyle="1" w:styleId="NormalHanging12aChar">
    <w:name w:val="NormalHanging12a Char"/>
    <w:basedOn w:val="DefaultParagraphFont"/>
    <w:link w:val="NormalHanging12a"/>
    <w:rsid w:val="000A2FE8"/>
    <w:rPr>
      <w:sz w:val="24"/>
    </w:rPr>
  </w:style>
  <w:style w:type="paragraph" w:customStyle="1" w:styleId="RollCallVotes">
    <w:name w:val="RollCallVotes"/>
    <w:basedOn w:val="Normal"/>
    <w:rsid w:val="0048021C"/>
    <w:pPr>
      <w:spacing w:before="120" w:after="120"/>
      <w:jc w:val="center"/>
    </w:pPr>
    <w:rPr>
      <w:b/>
      <w:bCs/>
      <w:snapToGrid w:val="0"/>
      <w:sz w:val="16"/>
      <w:lang w:eastAsia="en-US"/>
    </w:rPr>
  </w:style>
  <w:style w:type="paragraph" w:customStyle="1" w:styleId="RollCallTabs">
    <w:name w:val="RollCallTabs"/>
    <w:basedOn w:val="Normal"/>
    <w:qFormat/>
    <w:rsid w:val="0048021C"/>
    <w:pPr>
      <w:tabs>
        <w:tab w:val="center" w:pos="284"/>
        <w:tab w:val="left" w:pos="426"/>
      </w:tabs>
    </w:pPr>
    <w:rPr>
      <w:snapToGrid w:val="0"/>
      <w:lang w:eastAsia="en-US"/>
    </w:rPr>
  </w:style>
  <w:style w:type="paragraph" w:customStyle="1" w:styleId="RollCallSymbols14pt">
    <w:name w:val="RollCallSymbols14pt"/>
    <w:basedOn w:val="Normal"/>
    <w:rsid w:val="0048021C"/>
    <w:pPr>
      <w:spacing w:before="120" w:after="120"/>
      <w:jc w:val="center"/>
    </w:pPr>
    <w:rPr>
      <w:rFonts w:ascii="Arial" w:hAnsi="Arial"/>
      <w:b/>
      <w:bCs/>
      <w:snapToGrid w:val="0"/>
      <w:sz w:val="28"/>
      <w:lang w:eastAsia="en-US"/>
    </w:rPr>
  </w:style>
  <w:style w:type="paragraph" w:customStyle="1" w:styleId="RollCallTable">
    <w:name w:val="RollCallTable"/>
    <w:basedOn w:val="Normal"/>
    <w:rsid w:val="0048021C"/>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B83CC-7973-463D-A078-DB0B25EBD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12389</Words>
  <Characters>72724</Characters>
  <Application>Microsoft Office Word</Application>
  <DocSecurity>0</DocSecurity>
  <Lines>1818</Lines>
  <Paragraphs>868</Paragraphs>
  <ScaleCrop>false</ScaleCrop>
  <HeadingPairs>
    <vt:vector size="2" baseType="variant">
      <vt:variant>
        <vt:lpstr>Title</vt:lpstr>
      </vt:variant>
      <vt:variant>
        <vt:i4>1</vt:i4>
      </vt:variant>
    </vt:vector>
  </HeadingPairs>
  <TitlesOfParts>
    <vt:vector size="1" baseType="lpstr">
      <vt:lpstr>PR_INI_AnnPETI</vt:lpstr>
    </vt:vector>
  </TitlesOfParts>
  <Company/>
  <LinksUpToDate>false</LinksUpToDate>
  <CharactersWithSpaces>84245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PR_INI_AnnPETI</dc:title>
  <dc:creator>FOLENS Jeremy</dc:creator>
  <cp:lastModifiedBy>TURZAKOVA Gabriela</cp:lastModifiedBy>
  <cp:revision>2</cp:revision>
  <cp:lastPrinted>2023-11-03T09:46:00Z</cp:lastPrinted>
  <dcterms:created xsi:type="dcterms:W3CDTF">2023-11-20T15:13:00Z</dcterms:created>
  <dcterms:modified xsi:type="dcterms:W3CDTF">2023-11-20T15:13:00Z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1289548</vt:lpwstr>
  </property>
  <property fmtid="{D5CDD505-2E9C-101B-9397-08002B2CF9AE}" pid="4" name="&lt;Model&gt;">
    <vt:lpwstr>PR_INI_AnnPETI</vt:lpwstr>
  </property>
  <property fmtid="{D5CDD505-2E9C-101B-9397-08002B2CF9AE}" pid="5" name="&lt;ModelCod&gt;">
    <vt:lpwstr>\\eiciBRUpr1\pdocep$\DocEP\DOCS\General\PR\PR_NonLeg\INI\PR_INI_AnnPETI.dotx(17/04/2020 19:28:09)</vt:lpwstr>
  </property>
  <property fmtid="{D5CDD505-2E9C-101B-9397-08002B2CF9AE}" pid="6" name="&lt;ModelTra&gt;">
    <vt:lpwstr>\\eiciBRUpr1\pdocep$\DocEP\TRANSFIL\EN\PR_INI_AnnPETI.EN(25/10/2019 14:59:03)</vt:lpwstr>
  </property>
  <property fmtid="{D5CDD505-2E9C-101B-9397-08002B2CF9AE}" pid="7" name="&lt;Type&gt;">
    <vt:lpwstr>RR</vt:lpwstr>
  </property>
  <property fmtid="{D5CDD505-2E9C-101B-9397-08002B2CF9AE}" pid="8" name="Bookout">
    <vt:lpwstr>OK - 2023/11/20 16:13</vt:lpwstr>
  </property>
  <property fmtid="{D5CDD505-2E9C-101B-9397-08002B2CF9AE}" pid="9" name="Created with">
    <vt:lpwstr>9.14.1 Build [20230315]</vt:lpwstr>
  </property>
  <property fmtid="{D5CDD505-2E9C-101B-9397-08002B2CF9AE}" pid="10" name="FooterPath">
    <vt:lpwstr>RR\1289548SK.docx</vt:lpwstr>
  </property>
  <property fmtid="{D5CDD505-2E9C-101B-9397-08002B2CF9AE}" pid="11" name="LastEdited with">
    <vt:lpwstr>9.16.1 Build [20230920]</vt:lpwstr>
  </property>
  <property fmtid="{D5CDD505-2E9C-101B-9397-08002B2CF9AE}" pid="12" name="PE number">
    <vt:lpwstr>749.894</vt:lpwstr>
  </property>
  <property fmtid="{D5CDD505-2E9C-101B-9397-08002B2CF9AE}" pid="13" name="SDLStudio">
    <vt:lpwstr/>
  </property>
  <property fmtid="{D5CDD505-2E9C-101B-9397-08002B2CF9AE}" pid="14" name="SendToEpades">
    <vt:lpwstr/>
  </property>
</Properties>
</file>